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0"/>
        <w:rPr>
          <w:rFonts w:ascii="Times New Roman"/>
          <w:sz w:val="20"/>
        </w:rPr>
      </w:pPr>
      <w:r>
        <w:rPr/>
        <w:drawing>
          <wp:anchor distT="0" distB="0" distL="0" distR="0" allowOverlap="1" layoutInCell="1" locked="0" behindDoc="0" simplePos="0" relativeHeight="15730688">
            <wp:simplePos x="0" y="0"/>
            <wp:positionH relativeFrom="page">
              <wp:posOffset>1388313</wp:posOffset>
            </wp:positionH>
            <wp:positionV relativeFrom="page">
              <wp:posOffset>8740673</wp:posOffset>
            </wp:positionV>
            <wp:extent cx="904532" cy="91438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4532" cy="914387"/>
                    </a:xfrm>
                    <a:prstGeom prst="rect">
                      <a:avLst/>
                    </a:prstGeom>
                  </pic:spPr>
                </pic:pic>
              </a:graphicData>
            </a:graphic>
          </wp:anchor>
        </w:drawing>
      </w:r>
      <w:r>
        <w:rPr>
          <w:rFonts w:ascii="Times New Roman"/>
          <w:sz w:val="20"/>
        </w:rPr>
        <w:pict>
          <v:group style="width:504.05pt;height:62.35pt;mso-position-horizontal-relative:char;mso-position-vertical-relative:line" coordorigin="0,0" coordsize="10081,1247">
            <v:rect style="position:absolute;left:0;top:74;width:10081;height:1095" filled="true" fillcolor="#377f9a"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type id="_x0000_t202" o:spt="202" coordsize="21600,21600" path="m,l,21600r21600,l21600,xe">
              <v:stroke joinstyle="miter"/>
              <v:path gradientshapeok="t" o:connecttype="rect"/>
            </v:shapetype>
            <v:shape style="position:absolute;left:336;top:232;width:1917;height:796" type="#_x0000_t202" filled="false" stroked="false">
              <v:textbox inset="0,0,0,0">
                <w:txbxContent>
                  <w:p>
                    <w:pPr>
                      <w:spacing w:line="787" w:lineRule="exact" w:before="0"/>
                      <w:ind w:left="0" w:right="0" w:firstLine="0"/>
                      <w:jc w:val="left"/>
                      <w:rPr>
                        <w:b/>
                        <w:sz w:val="69"/>
                      </w:rPr>
                    </w:pPr>
                    <w:bookmarkStart w:name="63 p3 1.pdf" w:id="1"/>
                    <w:bookmarkEnd w:id="1"/>
                    <w:r>
                      <w:rPr/>
                    </w:r>
                    <w:r>
                      <w:rPr>
                        <w:b/>
                        <w:color w:val="FFFFFF"/>
                        <w:w w:val="95"/>
                        <w:sz w:val="69"/>
                      </w:rPr>
                      <w:t>TIP</w:t>
                    </w:r>
                    <w:r>
                      <w:rPr>
                        <w:b/>
                        <w:color w:val="FFFFFF"/>
                        <w:spacing w:val="-122"/>
                        <w:w w:val="95"/>
                        <w:sz w:val="69"/>
                      </w:rPr>
                      <w:t> </w:t>
                    </w:r>
                    <w:r>
                      <w:rPr>
                        <w:b/>
                        <w:color w:val="FFFFFF"/>
                        <w:spacing w:val="3"/>
                        <w:w w:val="95"/>
                        <w:sz w:val="69"/>
                      </w:rPr>
                      <w:t>63</w:t>
                    </w:r>
                  </w:p>
                </w:txbxContent>
              </v:textbox>
              <w10:wrap type="none"/>
            </v:shape>
            <v:shape style="position:absolute;left:4228;top:493;width:5412;height:310" type="#_x0000_t202" filled="false" stroked="false">
              <v:textbox inset="0,0,0,0">
                <w:txbxContent>
                  <w:p>
                    <w:pPr>
                      <w:spacing w:line="309" w:lineRule="exact" w:before="0"/>
                      <w:ind w:left="0" w:right="0" w:firstLine="0"/>
                      <w:jc w:val="left"/>
                      <w:rPr>
                        <w:rFonts w:ascii="Calibri"/>
                        <w:b/>
                        <w:sz w:val="26"/>
                      </w:rPr>
                    </w:pPr>
                    <w:r>
                      <w:rPr>
                        <w:rFonts w:ascii="Calibri"/>
                        <w:b/>
                        <w:color w:val="FFFFFF"/>
                        <w:spacing w:val="-3"/>
                        <w:w w:val="120"/>
                        <w:sz w:val="26"/>
                      </w:rPr>
                      <w:t>MEDICATIONS </w:t>
                    </w:r>
                    <w:r>
                      <w:rPr>
                        <w:rFonts w:ascii="Calibri"/>
                        <w:b/>
                        <w:color w:val="FFFFFF"/>
                        <w:w w:val="120"/>
                        <w:sz w:val="26"/>
                      </w:rPr>
                      <w:t>FOR OPIOID USE</w:t>
                    </w:r>
                    <w:r>
                      <w:rPr>
                        <w:rFonts w:ascii="Calibri"/>
                        <w:b/>
                        <w:color w:val="FFFFFF"/>
                        <w:spacing w:val="-35"/>
                        <w:w w:val="120"/>
                        <w:sz w:val="26"/>
                      </w:rPr>
                      <w:t> </w:t>
                    </w:r>
                    <w:r>
                      <w:rPr>
                        <w:rFonts w:ascii="Calibri"/>
                        <w:b/>
                        <w:color w:val="FFFFFF"/>
                        <w:w w:val="120"/>
                        <w:sz w:val="26"/>
                      </w:rPr>
                      <w:t>DISORDER</w:t>
                    </w:r>
                  </w:p>
                </w:txbxContent>
              </v:textbox>
              <w10:wrap type="none"/>
            </v:shape>
          </v:group>
        </w:pict>
      </w:r>
      <w:r>
        <w:rPr>
          <w:rFonts w:ascii="Times New Roman"/>
          <w:sz w:val="20"/>
        </w:rPr>
      </w:r>
    </w:p>
    <w:p>
      <w:pPr>
        <w:pStyle w:val="BodyText"/>
        <w:spacing w:before="5"/>
        <w:rPr>
          <w:rFonts w:ascii="Times New Roman"/>
          <w:sz w:val="14"/>
        </w:rPr>
      </w:pPr>
      <w:r>
        <w:rPr/>
        <w:pict>
          <v:shape style="position:absolute;margin-left:54.5pt;margin-top:10.504pt;width:503.85pt;height:105.6pt;mso-position-horizontal-relative:page;mso-position-vertical-relative:paragraph;z-index:-15728128;mso-wrap-distance-left:0;mso-wrap-distance-right:0" type="#_x0000_t202" filled="false" stroked="true" strokeweight=".5pt" strokecolor="#377f9a">
            <v:textbox inset="0,0,0,0">
              <w:txbxContent>
                <w:p>
                  <w:pPr>
                    <w:spacing w:before="118"/>
                    <w:ind w:left="172" w:right="0" w:firstLine="0"/>
                    <w:jc w:val="left"/>
                    <w:rPr>
                      <w:b/>
                      <w:sz w:val="32"/>
                    </w:rPr>
                  </w:pPr>
                  <w:r>
                    <w:rPr>
                      <w:b/>
                      <w:color w:val="414142"/>
                      <w:sz w:val="32"/>
                    </w:rPr>
                    <w:t>Part 3: Pharmacotherapy for Opioid Use Disorder</w:t>
                  </w:r>
                </w:p>
                <w:p>
                  <w:pPr>
                    <w:spacing w:before="59"/>
                    <w:ind w:left="172" w:right="0" w:firstLine="0"/>
                    <w:jc w:val="left"/>
                    <w:rPr>
                      <w:b/>
                      <w:i/>
                      <w:sz w:val="28"/>
                    </w:rPr>
                  </w:pPr>
                  <w:r>
                    <w:rPr>
                      <w:b/>
                      <w:i/>
                      <w:color w:val="377F9A"/>
                      <w:w w:val="105"/>
                      <w:sz w:val="28"/>
                    </w:rPr>
                    <w:t>For Healthcare Professionals</w:t>
                  </w:r>
                </w:p>
                <w:p>
                  <w:pPr>
                    <w:pStyle w:val="BodyText"/>
                    <w:spacing w:line="244" w:lineRule="auto" w:before="260"/>
                    <w:ind w:left="172" w:right="360"/>
                  </w:pPr>
                  <w:r>
                    <w:rPr>
                      <w:color w:val="4D4D4F"/>
                      <w:spacing w:val="-3"/>
                      <w:w w:val="110"/>
                    </w:rPr>
                    <w:t>Part </w:t>
                  </w:r>
                  <w:r>
                    <w:rPr>
                      <w:color w:val="4D4D4F"/>
                      <w:w w:val="110"/>
                    </w:rPr>
                    <w:t>3 of </w:t>
                  </w:r>
                  <w:r>
                    <w:rPr>
                      <w:color w:val="4D4D4F"/>
                      <w:spacing w:val="-3"/>
                      <w:w w:val="110"/>
                    </w:rPr>
                    <w:t>this </w:t>
                  </w:r>
                  <w:r>
                    <w:rPr>
                      <w:rFonts w:ascii="Calibri" w:hAnsi="Calibri"/>
                      <w:b/>
                      <w:color w:val="137692"/>
                      <w:spacing w:val="-7"/>
                      <w:w w:val="110"/>
                    </w:rPr>
                    <w:t>Treatment </w:t>
                  </w:r>
                  <w:r>
                    <w:rPr>
                      <w:rFonts w:ascii="Calibri" w:hAnsi="Calibri"/>
                      <w:b/>
                      <w:color w:val="137692"/>
                      <w:spacing w:val="-4"/>
                      <w:w w:val="110"/>
                    </w:rPr>
                    <w:t>Improvement Protocol (TIP) </w:t>
                  </w:r>
                  <w:r>
                    <w:rPr>
                      <w:color w:val="4D4D4F"/>
                      <w:spacing w:val="-4"/>
                      <w:w w:val="110"/>
                    </w:rPr>
                    <w:t>describes general principles </w:t>
                  </w:r>
                  <w:r>
                    <w:rPr>
                      <w:color w:val="4D4D4F"/>
                      <w:w w:val="110"/>
                    </w:rPr>
                    <w:t>of </w:t>
                  </w:r>
                  <w:r>
                    <w:rPr>
                      <w:color w:val="4D4D4F"/>
                      <w:spacing w:val="-4"/>
                      <w:w w:val="110"/>
                    </w:rPr>
                    <w:t>opioid use disorder (OUD) </w:t>
                  </w:r>
                  <w:r>
                    <w:rPr>
                      <w:color w:val="4D4D4F"/>
                      <w:spacing w:val="-3"/>
                      <w:w w:val="110"/>
                    </w:rPr>
                    <w:t>pharmacotherapy </w:t>
                  </w:r>
                  <w:r>
                    <w:rPr>
                      <w:color w:val="4D4D4F"/>
                      <w:w w:val="110"/>
                    </w:rPr>
                    <w:t>and </w:t>
                  </w:r>
                  <w:r>
                    <w:rPr>
                      <w:color w:val="4D4D4F"/>
                      <w:spacing w:val="-3"/>
                      <w:w w:val="110"/>
                    </w:rPr>
                    <w:t>discusses medication formulations, indications, </w:t>
                  </w:r>
                  <w:r>
                    <w:rPr>
                      <w:color w:val="4D4D4F"/>
                      <w:w w:val="110"/>
                    </w:rPr>
                    <w:t>and </w:t>
                  </w:r>
                  <w:r>
                    <w:rPr>
                      <w:color w:val="4D4D4F"/>
                      <w:spacing w:val="-3"/>
                      <w:w w:val="110"/>
                    </w:rPr>
                    <w:t>dosing </w:t>
                  </w:r>
                  <w:r>
                    <w:rPr>
                      <w:color w:val="4D4D4F"/>
                      <w:w w:val="110"/>
                    </w:rPr>
                    <w:t>for the </w:t>
                  </w:r>
                  <w:r>
                    <w:rPr>
                      <w:color w:val="4D4D4F"/>
                      <w:spacing w:val="-4"/>
                      <w:w w:val="110"/>
                    </w:rPr>
                    <w:t>three </w:t>
                  </w:r>
                  <w:r>
                    <w:rPr>
                      <w:color w:val="4D4D4F"/>
                      <w:spacing w:val="-3"/>
                      <w:w w:val="110"/>
                    </w:rPr>
                    <w:t>medications used </w:t>
                  </w:r>
                  <w:r>
                    <w:rPr>
                      <w:color w:val="4D4D4F"/>
                      <w:w w:val="110"/>
                    </w:rPr>
                    <w:t>to </w:t>
                  </w:r>
                  <w:r>
                    <w:rPr>
                      <w:color w:val="4D4D4F"/>
                      <w:spacing w:val="-4"/>
                      <w:w w:val="110"/>
                    </w:rPr>
                    <w:t>treat </w:t>
                  </w:r>
                  <w:r>
                    <w:rPr>
                      <w:color w:val="4D4D4F"/>
                      <w:spacing w:val="-3"/>
                      <w:w w:val="110"/>
                    </w:rPr>
                    <w:t>OUD—methadone, </w:t>
                  </w:r>
                  <w:r>
                    <w:rPr>
                      <w:color w:val="4D4D4F"/>
                      <w:spacing w:val="-4"/>
                      <w:w w:val="110"/>
                    </w:rPr>
                    <w:t>naltrexone, </w:t>
                  </w:r>
                  <w:r>
                    <w:rPr>
                      <w:color w:val="4D4D4F"/>
                      <w:w w:val="110"/>
                    </w:rPr>
                    <w:t>and </w:t>
                  </w:r>
                  <w:r>
                    <w:rPr>
                      <w:color w:val="4D4D4F"/>
                      <w:spacing w:val="-4"/>
                      <w:w w:val="110"/>
                    </w:rPr>
                    <w:t>buprenorphine.</w:t>
                  </w:r>
                </w:p>
              </w:txbxContent>
            </v:textbox>
            <v:stroke dashstyle="solid"/>
            <w10:wrap type="topAndBottom"/>
          </v:shape>
        </w:pict>
      </w:r>
    </w:p>
    <w:p>
      <w:pPr>
        <w:pStyle w:val="BodyText"/>
        <w:rPr>
          <w:rFonts w:ascii="Times New Roman"/>
          <w:sz w:val="20"/>
        </w:rPr>
      </w:pPr>
    </w:p>
    <w:p>
      <w:pPr>
        <w:pStyle w:val="BodyText"/>
        <w:spacing w:before="6"/>
        <w:rPr>
          <w:rFonts w:ascii="Times New Roman"/>
          <w:sz w:val="12"/>
        </w:rPr>
      </w:pPr>
    </w:p>
    <w:tbl>
      <w:tblPr>
        <w:tblW w:w="0" w:type="auto"/>
        <w:jc w:val="left"/>
        <w:tblInd w:w="131" w:type="dxa"/>
        <w:tblBorders>
          <w:top w:val="single" w:sz="4" w:space="0" w:color="377F9A"/>
          <w:left w:val="single" w:sz="4" w:space="0" w:color="377F9A"/>
          <w:bottom w:val="single" w:sz="4" w:space="0" w:color="377F9A"/>
          <w:right w:val="single" w:sz="4" w:space="0" w:color="377F9A"/>
          <w:insideH w:val="single" w:sz="4" w:space="0" w:color="377F9A"/>
          <w:insideV w:val="single" w:sz="4" w:space="0" w:color="377F9A"/>
        </w:tblBorders>
        <w:tblLayout w:type="fixed"/>
        <w:tblCellMar>
          <w:top w:w="0" w:type="dxa"/>
          <w:left w:w="0" w:type="dxa"/>
          <w:bottom w:w="0" w:type="dxa"/>
          <w:right w:w="0" w:type="dxa"/>
        </w:tblCellMar>
        <w:tblLook w:val="01E0"/>
      </w:tblPr>
      <w:tblGrid>
        <w:gridCol w:w="5049"/>
        <w:gridCol w:w="5034"/>
      </w:tblGrid>
      <w:tr>
        <w:trPr>
          <w:trHeight w:val="3836" w:hRule="atLeast"/>
        </w:trPr>
        <w:tc>
          <w:tcPr>
            <w:tcW w:w="5049" w:type="dxa"/>
            <w:tcBorders>
              <w:top w:val="nil"/>
              <w:left w:val="nil"/>
            </w:tcBorders>
          </w:tcPr>
          <w:p>
            <w:pPr>
              <w:pStyle w:val="TableParagraph"/>
              <w:spacing w:line="269" w:lineRule="exact"/>
              <w:ind w:left="200"/>
              <w:rPr>
                <w:rFonts w:ascii="Gill Sans MT"/>
                <w:b/>
                <w:sz w:val="28"/>
              </w:rPr>
            </w:pPr>
            <w:r>
              <w:rPr>
                <w:rFonts w:ascii="Gill Sans MT"/>
                <w:b/>
                <w:color w:val="414142"/>
                <w:w w:val="95"/>
                <w:sz w:val="28"/>
              </w:rPr>
              <w:t>TIP</w:t>
            </w:r>
            <w:r>
              <w:rPr>
                <w:rFonts w:ascii="Gill Sans MT"/>
                <w:b/>
                <w:color w:val="414142"/>
                <w:spacing w:val="-39"/>
                <w:w w:val="95"/>
                <w:sz w:val="28"/>
              </w:rPr>
              <w:t> </w:t>
            </w:r>
            <w:r>
              <w:rPr>
                <w:rFonts w:ascii="Gill Sans MT"/>
                <w:b/>
                <w:color w:val="414142"/>
                <w:w w:val="95"/>
                <w:sz w:val="28"/>
              </w:rPr>
              <w:t>Navigation</w:t>
            </w:r>
          </w:p>
          <w:p>
            <w:pPr>
              <w:pStyle w:val="TableParagraph"/>
              <w:spacing w:before="206"/>
              <w:ind w:left="200"/>
              <w:rPr>
                <w:rFonts w:ascii="Lucida Sans"/>
                <w:sz w:val="21"/>
              </w:rPr>
            </w:pPr>
            <w:r>
              <w:rPr>
                <w:rFonts w:ascii="Lucida Sans"/>
                <w:color w:val="B15651"/>
                <w:w w:val="90"/>
                <w:sz w:val="21"/>
              </w:rPr>
              <w:t>Executive</w:t>
            </w:r>
            <w:r>
              <w:rPr>
                <w:rFonts w:ascii="Lucida Sans"/>
                <w:color w:val="B15651"/>
                <w:spacing w:val="36"/>
                <w:w w:val="90"/>
                <w:sz w:val="21"/>
              </w:rPr>
              <w:t> </w:t>
            </w:r>
            <w:r>
              <w:rPr>
                <w:rFonts w:ascii="Lucida Sans"/>
                <w:color w:val="B15651"/>
                <w:w w:val="90"/>
                <w:sz w:val="21"/>
              </w:rPr>
              <w:t>Summary</w:t>
            </w:r>
          </w:p>
          <w:p>
            <w:pPr>
              <w:pStyle w:val="TableParagraph"/>
              <w:spacing w:line="249" w:lineRule="auto" w:before="22"/>
              <w:ind w:left="200" w:right="924"/>
              <w:rPr>
                <w:i/>
                <w:sz w:val="21"/>
              </w:rPr>
            </w:pPr>
            <w:r>
              <w:rPr>
                <w:i/>
                <w:color w:val="4D4D4F"/>
                <w:spacing w:val="-3"/>
                <w:w w:val="110"/>
                <w:sz w:val="21"/>
              </w:rPr>
              <w:t>For healthcare </w:t>
            </w:r>
            <w:r>
              <w:rPr>
                <w:i/>
                <w:color w:val="4D4D4F"/>
                <w:w w:val="110"/>
                <w:sz w:val="21"/>
              </w:rPr>
              <w:t>and </w:t>
            </w:r>
            <w:r>
              <w:rPr>
                <w:i/>
                <w:color w:val="4D4D4F"/>
                <w:spacing w:val="-3"/>
                <w:w w:val="110"/>
                <w:sz w:val="21"/>
              </w:rPr>
              <w:t>addiction </w:t>
            </w:r>
            <w:r>
              <w:rPr>
                <w:i/>
                <w:color w:val="4D4D4F"/>
                <w:spacing w:val="-4"/>
                <w:w w:val="110"/>
                <w:sz w:val="21"/>
              </w:rPr>
              <w:t>professionals, </w:t>
            </w:r>
            <w:r>
              <w:rPr>
                <w:i/>
                <w:color w:val="4D4D4F"/>
                <w:w w:val="110"/>
                <w:sz w:val="21"/>
              </w:rPr>
              <w:t>policymakers, patients, and families</w:t>
            </w:r>
          </w:p>
          <w:p>
            <w:pPr>
              <w:pStyle w:val="TableParagraph"/>
              <w:spacing w:line="259" w:lineRule="auto" w:before="193"/>
              <w:ind w:left="920" w:right="457" w:hanging="720"/>
              <w:rPr>
                <w:rFonts w:ascii="Lucida Sans"/>
                <w:sz w:val="21"/>
              </w:rPr>
            </w:pPr>
            <w:r>
              <w:rPr>
                <w:rFonts w:ascii="Lucida Sans"/>
                <w:color w:val="B15651"/>
                <w:sz w:val="21"/>
              </w:rPr>
              <w:t>Part</w:t>
            </w:r>
            <w:r>
              <w:rPr>
                <w:rFonts w:ascii="Lucida Sans"/>
                <w:color w:val="B15651"/>
                <w:spacing w:val="-48"/>
                <w:sz w:val="21"/>
              </w:rPr>
              <w:t> </w:t>
            </w:r>
            <w:r>
              <w:rPr>
                <w:rFonts w:ascii="Lucida Sans"/>
                <w:color w:val="B15651"/>
                <w:sz w:val="21"/>
              </w:rPr>
              <w:t>1:</w:t>
            </w:r>
            <w:r>
              <w:rPr>
                <w:rFonts w:ascii="Lucida Sans"/>
                <w:color w:val="B15651"/>
                <w:spacing w:val="-32"/>
                <w:sz w:val="21"/>
              </w:rPr>
              <w:t> </w:t>
            </w:r>
            <w:r>
              <w:rPr>
                <w:rFonts w:ascii="Lucida Sans"/>
                <w:color w:val="B15651"/>
                <w:sz w:val="21"/>
              </w:rPr>
              <w:t>Introduction</w:t>
            </w:r>
            <w:r>
              <w:rPr>
                <w:rFonts w:ascii="Lucida Sans"/>
                <w:color w:val="B15651"/>
                <w:spacing w:val="-48"/>
                <w:sz w:val="21"/>
              </w:rPr>
              <w:t> </w:t>
            </w:r>
            <w:r>
              <w:rPr>
                <w:rFonts w:ascii="Lucida Sans"/>
                <w:color w:val="B15651"/>
                <w:spacing w:val="-3"/>
                <w:sz w:val="21"/>
              </w:rPr>
              <w:t>to</w:t>
            </w:r>
            <w:r>
              <w:rPr>
                <w:rFonts w:ascii="Lucida Sans"/>
                <w:color w:val="B15651"/>
                <w:spacing w:val="-48"/>
                <w:sz w:val="21"/>
              </w:rPr>
              <w:t> </w:t>
            </w:r>
            <w:r>
              <w:rPr>
                <w:rFonts w:ascii="Lucida Sans"/>
                <w:color w:val="B15651"/>
                <w:sz w:val="21"/>
              </w:rPr>
              <w:t>Medications</w:t>
            </w:r>
            <w:r>
              <w:rPr>
                <w:rFonts w:ascii="Lucida Sans"/>
                <w:color w:val="B15651"/>
                <w:spacing w:val="-48"/>
                <w:sz w:val="21"/>
              </w:rPr>
              <w:t> </w:t>
            </w:r>
            <w:r>
              <w:rPr>
                <w:rFonts w:ascii="Lucida Sans"/>
                <w:color w:val="B15651"/>
                <w:sz w:val="21"/>
              </w:rPr>
              <w:t>for</w:t>
            </w:r>
            <w:r>
              <w:rPr>
                <w:rFonts w:ascii="Lucida Sans"/>
                <w:color w:val="B15651"/>
                <w:spacing w:val="-48"/>
                <w:sz w:val="21"/>
              </w:rPr>
              <w:t> </w:t>
            </w:r>
            <w:r>
              <w:rPr>
                <w:rFonts w:ascii="Lucida Sans"/>
                <w:color w:val="B15651"/>
                <w:sz w:val="21"/>
              </w:rPr>
              <w:t>Opioid Use Disorder</w:t>
            </w:r>
            <w:r>
              <w:rPr>
                <w:rFonts w:ascii="Lucida Sans"/>
                <w:color w:val="B15651"/>
                <w:spacing w:val="-38"/>
                <w:sz w:val="21"/>
              </w:rPr>
              <w:t> </w:t>
            </w:r>
            <w:r>
              <w:rPr>
                <w:rFonts w:ascii="Lucida Sans"/>
                <w:color w:val="B15651"/>
                <w:spacing w:val="-3"/>
                <w:sz w:val="21"/>
              </w:rPr>
              <w:t>Treatment</w:t>
            </w:r>
          </w:p>
          <w:p>
            <w:pPr>
              <w:pStyle w:val="TableParagraph"/>
              <w:spacing w:line="249" w:lineRule="auto" w:before="1"/>
              <w:ind w:left="920"/>
              <w:rPr>
                <w:i/>
                <w:sz w:val="21"/>
              </w:rPr>
            </w:pPr>
            <w:r>
              <w:rPr>
                <w:i/>
                <w:color w:val="4D4D4F"/>
                <w:spacing w:val="-4"/>
                <w:w w:val="110"/>
                <w:sz w:val="21"/>
              </w:rPr>
              <w:t>For </w:t>
            </w:r>
            <w:r>
              <w:rPr>
                <w:i/>
                <w:color w:val="4D4D4F"/>
                <w:spacing w:val="-5"/>
                <w:w w:val="110"/>
                <w:sz w:val="21"/>
              </w:rPr>
              <w:t>healthcare </w:t>
            </w:r>
            <w:r>
              <w:rPr>
                <w:i/>
                <w:color w:val="4D4D4F"/>
                <w:spacing w:val="-4"/>
                <w:w w:val="110"/>
                <w:sz w:val="21"/>
              </w:rPr>
              <w:t>and addiction </w:t>
            </w:r>
            <w:r>
              <w:rPr>
                <w:i/>
                <w:color w:val="4D4D4F"/>
                <w:spacing w:val="-6"/>
                <w:w w:val="110"/>
                <w:sz w:val="21"/>
              </w:rPr>
              <w:t>professionals, </w:t>
            </w:r>
            <w:r>
              <w:rPr>
                <w:i/>
                <w:color w:val="4D4D4F"/>
                <w:spacing w:val="-6"/>
                <w:w w:val="110"/>
                <w:sz w:val="21"/>
              </w:rPr>
              <w:t>policymakers, </w:t>
            </w:r>
            <w:r>
              <w:rPr>
                <w:i/>
                <w:color w:val="4D4D4F"/>
                <w:spacing w:val="-5"/>
                <w:w w:val="110"/>
                <w:sz w:val="21"/>
              </w:rPr>
              <w:t>patients, </w:t>
            </w:r>
            <w:r>
              <w:rPr>
                <w:i/>
                <w:color w:val="4D4D4F"/>
                <w:spacing w:val="-4"/>
                <w:w w:val="110"/>
                <w:sz w:val="21"/>
              </w:rPr>
              <w:t>and </w:t>
            </w:r>
            <w:r>
              <w:rPr>
                <w:i/>
                <w:color w:val="4D4D4F"/>
                <w:spacing w:val="-5"/>
                <w:w w:val="110"/>
                <w:sz w:val="21"/>
              </w:rPr>
              <w:t>families</w:t>
            </w:r>
          </w:p>
          <w:p>
            <w:pPr>
              <w:pStyle w:val="TableParagraph"/>
              <w:spacing w:line="259" w:lineRule="auto" w:before="194"/>
              <w:ind w:left="920" w:right="917" w:hanging="720"/>
              <w:rPr>
                <w:rFonts w:ascii="Lucida Sans"/>
                <w:sz w:val="21"/>
              </w:rPr>
            </w:pPr>
            <w:r>
              <w:rPr>
                <w:rFonts w:ascii="Lucida Sans"/>
                <w:color w:val="B15651"/>
                <w:w w:val="95"/>
                <w:sz w:val="21"/>
              </w:rPr>
              <w:t>Part</w:t>
            </w:r>
            <w:r>
              <w:rPr>
                <w:rFonts w:ascii="Lucida Sans"/>
                <w:color w:val="B15651"/>
                <w:spacing w:val="-28"/>
                <w:w w:val="95"/>
                <w:sz w:val="21"/>
              </w:rPr>
              <w:t> </w:t>
            </w:r>
            <w:r>
              <w:rPr>
                <w:rFonts w:ascii="Lucida Sans"/>
                <w:color w:val="B15651"/>
                <w:w w:val="95"/>
                <w:sz w:val="21"/>
              </w:rPr>
              <w:t>2:</w:t>
            </w:r>
            <w:r>
              <w:rPr>
                <w:rFonts w:ascii="Lucida Sans"/>
                <w:color w:val="B15651"/>
                <w:spacing w:val="3"/>
                <w:w w:val="95"/>
                <w:sz w:val="21"/>
              </w:rPr>
              <w:t> </w:t>
            </w:r>
            <w:r>
              <w:rPr>
                <w:rFonts w:ascii="Lucida Sans"/>
                <w:color w:val="B15651"/>
                <w:w w:val="95"/>
                <w:sz w:val="21"/>
              </w:rPr>
              <w:t>Addressing</w:t>
            </w:r>
            <w:r>
              <w:rPr>
                <w:rFonts w:ascii="Lucida Sans"/>
                <w:color w:val="B15651"/>
                <w:spacing w:val="-28"/>
                <w:w w:val="95"/>
                <w:sz w:val="21"/>
              </w:rPr>
              <w:t> </w:t>
            </w:r>
            <w:r>
              <w:rPr>
                <w:rFonts w:ascii="Lucida Sans"/>
                <w:color w:val="B15651"/>
                <w:w w:val="95"/>
                <w:sz w:val="21"/>
              </w:rPr>
              <w:t>Opioid</w:t>
            </w:r>
            <w:r>
              <w:rPr>
                <w:rFonts w:ascii="Lucida Sans"/>
                <w:color w:val="B15651"/>
                <w:spacing w:val="-28"/>
                <w:w w:val="95"/>
                <w:sz w:val="21"/>
              </w:rPr>
              <w:t> </w:t>
            </w:r>
            <w:r>
              <w:rPr>
                <w:rFonts w:ascii="Lucida Sans"/>
                <w:color w:val="B15651"/>
                <w:w w:val="95"/>
                <w:sz w:val="21"/>
              </w:rPr>
              <w:t>Use</w:t>
            </w:r>
            <w:r>
              <w:rPr>
                <w:rFonts w:ascii="Lucida Sans"/>
                <w:color w:val="B15651"/>
                <w:spacing w:val="-28"/>
                <w:w w:val="95"/>
                <w:sz w:val="21"/>
              </w:rPr>
              <w:t> </w:t>
            </w:r>
            <w:r>
              <w:rPr>
                <w:rFonts w:ascii="Lucida Sans"/>
                <w:color w:val="B15651"/>
                <w:w w:val="95"/>
                <w:sz w:val="21"/>
              </w:rPr>
              <w:t>Disorder</w:t>
            </w:r>
            <w:r>
              <w:rPr>
                <w:rFonts w:ascii="Lucida Sans"/>
                <w:color w:val="B15651"/>
                <w:spacing w:val="-28"/>
                <w:w w:val="95"/>
                <w:sz w:val="21"/>
              </w:rPr>
              <w:t> </w:t>
            </w:r>
            <w:r>
              <w:rPr>
                <w:rFonts w:ascii="Lucida Sans"/>
                <w:color w:val="B15651"/>
                <w:w w:val="95"/>
                <w:sz w:val="21"/>
              </w:rPr>
              <w:t>in </w:t>
            </w:r>
            <w:r>
              <w:rPr>
                <w:rFonts w:ascii="Lucida Sans"/>
                <w:color w:val="B15651"/>
                <w:sz w:val="21"/>
              </w:rPr>
              <w:t>General Medical</w:t>
            </w:r>
            <w:r>
              <w:rPr>
                <w:rFonts w:ascii="Lucida Sans"/>
                <w:color w:val="B15651"/>
                <w:spacing w:val="-43"/>
                <w:sz w:val="21"/>
              </w:rPr>
              <w:t> </w:t>
            </w:r>
            <w:r>
              <w:rPr>
                <w:rFonts w:ascii="Lucida Sans"/>
                <w:color w:val="B15651"/>
                <w:sz w:val="21"/>
              </w:rPr>
              <w:t>Settings</w:t>
            </w:r>
          </w:p>
          <w:p>
            <w:pPr>
              <w:pStyle w:val="TableParagraph"/>
              <w:spacing w:before="1"/>
              <w:ind w:left="920"/>
              <w:rPr>
                <w:i/>
                <w:sz w:val="21"/>
              </w:rPr>
            </w:pPr>
            <w:r>
              <w:rPr>
                <w:i/>
                <w:color w:val="4D4D4F"/>
                <w:w w:val="110"/>
                <w:sz w:val="21"/>
              </w:rPr>
              <w:t>For healthcare professionals</w:t>
            </w:r>
          </w:p>
        </w:tc>
        <w:tc>
          <w:tcPr>
            <w:tcW w:w="5034" w:type="dxa"/>
            <w:tcBorders>
              <w:bottom w:val="nil"/>
            </w:tcBorders>
            <w:shd w:val="clear" w:color="auto" w:fill="FFF7F2"/>
          </w:tcPr>
          <w:p>
            <w:pPr>
              <w:pStyle w:val="TableParagraph"/>
              <w:spacing w:before="212" w:after="36"/>
              <w:ind w:left="278"/>
              <w:rPr>
                <w:rFonts w:ascii="Arial"/>
                <w:b/>
                <w:sz w:val="32"/>
              </w:rPr>
            </w:pPr>
            <w:r>
              <w:rPr>
                <w:rFonts w:ascii="Arial"/>
                <w:b/>
                <w:color w:val="137692"/>
                <w:sz w:val="32"/>
              </w:rPr>
              <w:t>KEY MESSAGES</w:t>
            </w:r>
          </w:p>
          <w:p>
            <w:pPr>
              <w:pStyle w:val="TableParagraph"/>
              <w:spacing w:line="40" w:lineRule="exact"/>
              <w:ind w:left="258"/>
              <w:rPr>
                <w:rFonts w:ascii="Times New Roman"/>
                <w:sz w:val="4"/>
              </w:rPr>
            </w:pPr>
            <w:r>
              <w:rPr>
                <w:rFonts w:ascii="Times New Roman"/>
                <w:position w:val="0"/>
                <w:sz w:val="4"/>
              </w:rPr>
              <w:pict>
                <v:group style="width:225pt;height:2pt;mso-position-horizontal-relative:char;mso-position-vertical-relative:line" coordorigin="0,0" coordsize="4500,40">
                  <v:line style="position:absolute" from="0,20" to="4500,20" stroked="true" strokeweight="2pt" strokecolor="#6292ab">
                    <v:stroke dashstyle="solid"/>
                  </v:line>
                </v:group>
              </w:pict>
            </w:r>
            <w:r>
              <w:rPr>
                <w:rFonts w:ascii="Times New Roman"/>
                <w:position w:val="0"/>
                <w:sz w:val="4"/>
              </w:rPr>
            </w:r>
          </w:p>
          <w:p>
            <w:pPr>
              <w:pStyle w:val="TableParagraph"/>
              <w:numPr>
                <w:ilvl w:val="0"/>
                <w:numId w:val="1"/>
              </w:numPr>
              <w:tabs>
                <w:tab w:pos="459" w:val="left" w:leader="none"/>
              </w:tabs>
              <w:spacing w:line="225" w:lineRule="auto" w:before="232" w:after="0"/>
              <w:ind w:left="458" w:right="478" w:hanging="180"/>
              <w:jc w:val="left"/>
              <w:rPr>
                <w:rFonts w:ascii="Tahoma" w:hAnsi="Tahoma"/>
                <w:b/>
                <w:sz w:val="20"/>
              </w:rPr>
            </w:pPr>
            <w:r>
              <w:rPr>
                <w:rFonts w:ascii="Tahoma" w:hAnsi="Tahoma"/>
                <w:b/>
                <w:color w:val="414142"/>
                <w:w w:val="105"/>
                <w:sz w:val="20"/>
              </w:rPr>
              <w:t>OUD</w:t>
            </w:r>
            <w:r>
              <w:rPr>
                <w:rFonts w:ascii="Tahoma" w:hAnsi="Tahoma"/>
                <w:b/>
                <w:color w:val="414142"/>
                <w:spacing w:val="-15"/>
                <w:w w:val="105"/>
                <w:sz w:val="20"/>
              </w:rPr>
              <w:t> </w:t>
            </w:r>
            <w:r>
              <w:rPr>
                <w:rFonts w:ascii="Tahoma" w:hAnsi="Tahoma"/>
                <w:b/>
                <w:color w:val="414142"/>
                <w:w w:val="105"/>
                <w:sz w:val="20"/>
              </w:rPr>
              <w:t>medications</w:t>
            </w:r>
            <w:r>
              <w:rPr>
                <w:rFonts w:ascii="Tahoma" w:hAnsi="Tahoma"/>
                <w:b/>
                <w:color w:val="414142"/>
                <w:spacing w:val="-15"/>
                <w:w w:val="105"/>
                <w:sz w:val="20"/>
              </w:rPr>
              <w:t> </w:t>
            </w:r>
            <w:r>
              <w:rPr>
                <w:rFonts w:ascii="Tahoma" w:hAnsi="Tahoma"/>
                <w:b/>
                <w:color w:val="414142"/>
                <w:w w:val="105"/>
                <w:sz w:val="20"/>
              </w:rPr>
              <w:t>are</w:t>
            </w:r>
            <w:r>
              <w:rPr>
                <w:rFonts w:ascii="Tahoma" w:hAnsi="Tahoma"/>
                <w:b/>
                <w:color w:val="414142"/>
                <w:spacing w:val="-15"/>
                <w:w w:val="105"/>
                <w:sz w:val="20"/>
              </w:rPr>
              <w:t> </w:t>
            </w:r>
            <w:r>
              <w:rPr>
                <w:rFonts w:ascii="Tahoma" w:hAnsi="Tahoma"/>
                <w:b/>
                <w:color w:val="414142"/>
                <w:w w:val="105"/>
                <w:sz w:val="20"/>
              </w:rPr>
              <w:t>safe</w:t>
            </w:r>
            <w:r>
              <w:rPr>
                <w:rFonts w:ascii="Tahoma" w:hAnsi="Tahoma"/>
                <w:b/>
                <w:color w:val="414142"/>
                <w:spacing w:val="-14"/>
                <w:w w:val="105"/>
                <w:sz w:val="20"/>
              </w:rPr>
              <w:t> </w:t>
            </w:r>
            <w:r>
              <w:rPr>
                <w:rFonts w:ascii="Tahoma" w:hAnsi="Tahoma"/>
                <w:b/>
                <w:color w:val="414142"/>
                <w:w w:val="105"/>
                <w:sz w:val="20"/>
              </w:rPr>
              <w:t>and</w:t>
            </w:r>
            <w:r>
              <w:rPr>
                <w:rFonts w:ascii="Tahoma" w:hAnsi="Tahoma"/>
                <w:b/>
                <w:color w:val="414142"/>
                <w:spacing w:val="-15"/>
                <w:w w:val="105"/>
                <w:sz w:val="20"/>
              </w:rPr>
              <w:t> </w:t>
            </w:r>
            <w:r>
              <w:rPr>
                <w:rFonts w:ascii="Tahoma" w:hAnsi="Tahoma"/>
                <w:b/>
                <w:color w:val="414142"/>
                <w:w w:val="105"/>
                <w:sz w:val="20"/>
              </w:rPr>
              <w:t>effective when used</w:t>
            </w:r>
            <w:r>
              <w:rPr>
                <w:rFonts w:ascii="Tahoma" w:hAnsi="Tahoma"/>
                <w:b/>
                <w:color w:val="414142"/>
                <w:spacing w:val="-18"/>
                <w:w w:val="105"/>
                <w:sz w:val="20"/>
              </w:rPr>
              <w:t> </w:t>
            </w:r>
            <w:r>
              <w:rPr>
                <w:rFonts w:ascii="Tahoma" w:hAnsi="Tahoma"/>
                <w:b/>
                <w:color w:val="414142"/>
                <w:w w:val="105"/>
                <w:sz w:val="20"/>
              </w:rPr>
              <w:t>appropriately.</w:t>
            </w:r>
          </w:p>
          <w:p>
            <w:pPr>
              <w:pStyle w:val="TableParagraph"/>
              <w:numPr>
                <w:ilvl w:val="0"/>
                <w:numId w:val="1"/>
              </w:numPr>
              <w:tabs>
                <w:tab w:pos="459" w:val="left" w:leader="none"/>
              </w:tabs>
              <w:spacing w:line="280" w:lineRule="exact" w:before="88" w:after="0"/>
              <w:ind w:left="458" w:right="683" w:hanging="180"/>
              <w:jc w:val="left"/>
              <w:rPr>
                <w:rFonts w:ascii="Tahoma" w:hAnsi="Tahoma"/>
                <w:b/>
                <w:sz w:val="20"/>
              </w:rPr>
            </w:pPr>
            <w:r>
              <w:rPr>
                <w:rFonts w:ascii="Tahoma" w:hAnsi="Tahoma"/>
                <w:b/>
                <w:color w:val="414142"/>
                <w:w w:val="105"/>
                <w:sz w:val="20"/>
              </w:rPr>
              <w:t>OUD medications can help patients reduce or stop illicit opioid use and improve</w:t>
            </w:r>
            <w:r>
              <w:rPr>
                <w:rFonts w:ascii="Tahoma" w:hAnsi="Tahoma"/>
                <w:b/>
                <w:color w:val="414142"/>
                <w:spacing w:val="-18"/>
                <w:w w:val="105"/>
                <w:sz w:val="20"/>
              </w:rPr>
              <w:t> </w:t>
            </w:r>
            <w:r>
              <w:rPr>
                <w:rFonts w:ascii="Tahoma" w:hAnsi="Tahoma"/>
                <w:b/>
                <w:color w:val="414142"/>
                <w:w w:val="105"/>
                <w:sz w:val="20"/>
              </w:rPr>
              <w:t>their</w:t>
            </w:r>
            <w:r>
              <w:rPr>
                <w:rFonts w:ascii="Tahoma" w:hAnsi="Tahoma"/>
                <w:b/>
                <w:color w:val="414142"/>
                <w:spacing w:val="-17"/>
                <w:w w:val="105"/>
                <w:sz w:val="20"/>
              </w:rPr>
              <w:t> </w:t>
            </w:r>
            <w:r>
              <w:rPr>
                <w:rFonts w:ascii="Tahoma" w:hAnsi="Tahoma"/>
                <w:b/>
                <w:color w:val="414142"/>
                <w:w w:val="105"/>
                <w:sz w:val="20"/>
              </w:rPr>
              <w:t>health</w:t>
            </w:r>
            <w:r>
              <w:rPr>
                <w:rFonts w:ascii="Tahoma" w:hAnsi="Tahoma"/>
                <w:b/>
                <w:color w:val="414142"/>
                <w:spacing w:val="-17"/>
                <w:w w:val="105"/>
                <w:sz w:val="20"/>
              </w:rPr>
              <w:t> </w:t>
            </w:r>
            <w:r>
              <w:rPr>
                <w:rFonts w:ascii="Tahoma" w:hAnsi="Tahoma"/>
                <w:b/>
                <w:color w:val="414142"/>
                <w:w w:val="105"/>
                <w:sz w:val="20"/>
              </w:rPr>
              <w:t>and</w:t>
            </w:r>
            <w:r>
              <w:rPr>
                <w:rFonts w:ascii="Tahoma" w:hAnsi="Tahoma"/>
                <w:b/>
                <w:color w:val="414142"/>
                <w:spacing w:val="-18"/>
                <w:w w:val="105"/>
                <w:sz w:val="20"/>
              </w:rPr>
              <w:t> </w:t>
            </w:r>
            <w:r>
              <w:rPr>
                <w:rFonts w:ascii="Tahoma" w:hAnsi="Tahoma"/>
                <w:b/>
                <w:color w:val="414142"/>
                <w:w w:val="105"/>
                <w:sz w:val="20"/>
              </w:rPr>
              <w:t>functioning.</w:t>
            </w:r>
          </w:p>
          <w:p>
            <w:pPr>
              <w:pStyle w:val="TableParagraph"/>
              <w:numPr>
                <w:ilvl w:val="0"/>
                <w:numId w:val="1"/>
              </w:numPr>
              <w:tabs>
                <w:tab w:pos="459" w:val="left" w:leader="none"/>
              </w:tabs>
              <w:spacing w:line="280" w:lineRule="exact" w:before="72" w:after="0"/>
              <w:ind w:left="458" w:right="391" w:hanging="180"/>
              <w:jc w:val="left"/>
              <w:rPr>
                <w:rFonts w:ascii="Tahoma" w:hAnsi="Tahoma"/>
                <w:b/>
                <w:sz w:val="20"/>
              </w:rPr>
            </w:pPr>
            <w:r>
              <w:rPr>
                <w:rFonts w:ascii="Tahoma" w:hAnsi="Tahoma"/>
                <w:b/>
                <w:color w:val="414142"/>
                <w:w w:val="105"/>
                <w:sz w:val="20"/>
              </w:rPr>
              <w:t>Pharmacotherapy should be considered for</w:t>
            </w:r>
            <w:r>
              <w:rPr>
                <w:rFonts w:ascii="Tahoma" w:hAnsi="Tahoma"/>
                <w:b/>
                <w:color w:val="414142"/>
                <w:spacing w:val="-23"/>
                <w:w w:val="105"/>
                <w:sz w:val="20"/>
              </w:rPr>
              <w:t> </w:t>
            </w:r>
            <w:r>
              <w:rPr>
                <w:rFonts w:ascii="Tahoma" w:hAnsi="Tahoma"/>
                <w:b/>
                <w:color w:val="414142"/>
                <w:w w:val="105"/>
                <w:sz w:val="20"/>
              </w:rPr>
              <w:t>all</w:t>
            </w:r>
            <w:r>
              <w:rPr>
                <w:rFonts w:ascii="Tahoma" w:hAnsi="Tahoma"/>
                <w:b/>
                <w:color w:val="414142"/>
                <w:spacing w:val="-23"/>
                <w:w w:val="105"/>
                <w:sz w:val="20"/>
              </w:rPr>
              <w:t> </w:t>
            </w:r>
            <w:r>
              <w:rPr>
                <w:rFonts w:ascii="Tahoma" w:hAnsi="Tahoma"/>
                <w:b/>
                <w:color w:val="414142"/>
                <w:w w:val="105"/>
                <w:sz w:val="20"/>
              </w:rPr>
              <w:t>patients</w:t>
            </w:r>
            <w:r>
              <w:rPr>
                <w:rFonts w:ascii="Tahoma" w:hAnsi="Tahoma"/>
                <w:b/>
                <w:color w:val="414142"/>
                <w:spacing w:val="-22"/>
                <w:w w:val="105"/>
                <w:sz w:val="20"/>
              </w:rPr>
              <w:t> </w:t>
            </w:r>
            <w:r>
              <w:rPr>
                <w:rFonts w:ascii="Tahoma" w:hAnsi="Tahoma"/>
                <w:b/>
                <w:color w:val="414142"/>
                <w:w w:val="105"/>
                <w:sz w:val="20"/>
              </w:rPr>
              <w:t>with</w:t>
            </w:r>
            <w:r>
              <w:rPr>
                <w:rFonts w:ascii="Tahoma" w:hAnsi="Tahoma"/>
                <w:b/>
                <w:color w:val="414142"/>
                <w:spacing w:val="-23"/>
                <w:w w:val="105"/>
                <w:sz w:val="20"/>
              </w:rPr>
              <w:t> </w:t>
            </w:r>
            <w:r>
              <w:rPr>
                <w:rFonts w:ascii="Tahoma" w:hAnsi="Tahoma"/>
                <w:b/>
                <w:color w:val="414142"/>
                <w:w w:val="105"/>
                <w:sz w:val="20"/>
              </w:rPr>
              <w:t>OUD.</w:t>
            </w:r>
            <w:r>
              <w:rPr>
                <w:rFonts w:ascii="Tahoma" w:hAnsi="Tahoma"/>
                <w:b/>
                <w:color w:val="414142"/>
                <w:spacing w:val="-23"/>
                <w:w w:val="105"/>
                <w:sz w:val="20"/>
              </w:rPr>
              <w:t> </w:t>
            </w:r>
            <w:r>
              <w:rPr>
                <w:rFonts w:ascii="Tahoma" w:hAnsi="Tahoma"/>
                <w:b/>
                <w:color w:val="414142"/>
                <w:w w:val="105"/>
                <w:sz w:val="20"/>
              </w:rPr>
              <w:t>Reserve</w:t>
            </w:r>
            <w:r>
              <w:rPr>
                <w:rFonts w:ascii="Tahoma" w:hAnsi="Tahoma"/>
                <w:b/>
                <w:color w:val="414142"/>
                <w:spacing w:val="-22"/>
                <w:w w:val="105"/>
                <w:sz w:val="20"/>
              </w:rPr>
              <w:t> </w:t>
            </w:r>
            <w:r>
              <w:rPr>
                <w:rFonts w:ascii="Tahoma" w:hAnsi="Tahoma"/>
                <w:b/>
                <w:color w:val="414142"/>
                <w:w w:val="105"/>
                <w:sz w:val="20"/>
              </w:rPr>
              <w:t>opioid pharmacotherapies for those with moderate-to-severe OUD with physical dependence.</w:t>
            </w:r>
          </w:p>
        </w:tc>
      </w:tr>
      <w:tr>
        <w:trPr>
          <w:trHeight w:val="1431" w:hRule="atLeast"/>
        </w:trPr>
        <w:tc>
          <w:tcPr>
            <w:tcW w:w="10083" w:type="dxa"/>
            <w:gridSpan w:val="2"/>
            <w:tcBorders>
              <w:top w:val="nil"/>
              <w:bottom w:val="nil"/>
            </w:tcBorders>
            <w:shd w:val="clear" w:color="auto" w:fill="FFF7F2"/>
          </w:tcPr>
          <w:p>
            <w:pPr>
              <w:pStyle w:val="TableParagraph"/>
              <w:numPr>
                <w:ilvl w:val="0"/>
                <w:numId w:val="2"/>
              </w:numPr>
              <w:tabs>
                <w:tab w:pos="5508" w:val="left" w:leader="none"/>
              </w:tabs>
              <w:spacing w:line="281" w:lineRule="exact" w:before="44" w:after="0"/>
              <w:ind w:left="5507" w:right="0" w:hanging="181"/>
              <w:jc w:val="left"/>
              <w:rPr>
                <w:rFonts w:ascii="Tahoma" w:hAnsi="Tahoma"/>
                <w:b/>
                <w:sz w:val="20"/>
              </w:rPr>
            </w:pPr>
            <w:r>
              <w:rPr>
                <w:rFonts w:ascii="Tahoma" w:hAnsi="Tahoma"/>
                <w:b/>
                <w:color w:val="414142"/>
                <w:w w:val="105"/>
                <w:sz w:val="20"/>
              </w:rPr>
              <w:t>Patients with OUD should</w:t>
            </w:r>
            <w:r>
              <w:rPr>
                <w:rFonts w:ascii="Tahoma" w:hAnsi="Tahoma"/>
                <w:b/>
                <w:color w:val="414142"/>
                <w:spacing w:val="-29"/>
                <w:w w:val="105"/>
                <w:sz w:val="20"/>
              </w:rPr>
              <w:t> </w:t>
            </w:r>
            <w:r>
              <w:rPr>
                <w:rFonts w:ascii="Tahoma" w:hAnsi="Tahoma"/>
                <w:b/>
                <w:color w:val="414142"/>
                <w:w w:val="105"/>
                <w:sz w:val="20"/>
              </w:rPr>
              <w:t>be</w:t>
            </w:r>
          </w:p>
          <w:p>
            <w:pPr>
              <w:pStyle w:val="TableParagraph"/>
              <w:tabs>
                <w:tab w:pos="5507" w:val="left" w:leader="none"/>
              </w:tabs>
              <w:spacing w:line="192" w:lineRule="auto"/>
              <w:ind w:left="195"/>
              <w:rPr>
                <w:rFonts w:ascii="Tahoma" w:hAnsi="Tahoma"/>
                <w:b/>
                <w:sz w:val="20"/>
              </w:rPr>
            </w:pPr>
            <w:r>
              <w:rPr>
                <w:rFonts w:ascii="Lucida Sans" w:hAnsi="Lucida Sans"/>
                <w:b/>
                <w:color w:val="B15651"/>
                <w:sz w:val="21"/>
              </w:rPr>
              <w:t>Part</w:t>
            </w:r>
            <w:r>
              <w:rPr>
                <w:rFonts w:ascii="Lucida Sans" w:hAnsi="Lucida Sans"/>
                <w:b/>
                <w:color w:val="B15651"/>
                <w:spacing w:val="-17"/>
                <w:sz w:val="21"/>
              </w:rPr>
              <w:t> </w:t>
            </w:r>
            <w:r>
              <w:rPr>
                <w:rFonts w:ascii="Lucida Sans" w:hAnsi="Lucida Sans"/>
                <w:b/>
                <w:color w:val="B15651"/>
                <w:sz w:val="21"/>
              </w:rPr>
              <w:t>3:</w:t>
            </w:r>
            <w:r>
              <w:rPr>
                <w:rFonts w:ascii="Lucida Sans" w:hAnsi="Lucida Sans"/>
                <w:b/>
                <w:color w:val="B15651"/>
                <w:spacing w:val="-27"/>
                <w:sz w:val="21"/>
              </w:rPr>
              <w:t> </w:t>
            </w:r>
            <w:r>
              <w:rPr>
                <w:rFonts w:ascii="Lucida Sans" w:hAnsi="Lucida Sans"/>
                <w:b/>
                <w:color w:val="B15651"/>
                <w:sz w:val="21"/>
              </w:rPr>
              <w:t>Pharmacotherapy</w:t>
            </w:r>
            <w:r>
              <w:rPr>
                <w:rFonts w:ascii="Lucida Sans" w:hAnsi="Lucida Sans"/>
                <w:b/>
                <w:color w:val="B15651"/>
                <w:spacing w:val="-17"/>
                <w:sz w:val="21"/>
              </w:rPr>
              <w:t> </w:t>
            </w:r>
            <w:r>
              <w:rPr>
                <w:rFonts w:ascii="Lucida Sans" w:hAnsi="Lucida Sans"/>
                <w:b/>
                <w:color w:val="B15651"/>
                <w:sz w:val="21"/>
              </w:rPr>
              <w:t>for</w:t>
            </w:r>
            <w:r>
              <w:rPr>
                <w:rFonts w:ascii="Lucida Sans" w:hAnsi="Lucida Sans"/>
                <w:b/>
                <w:color w:val="B15651"/>
                <w:spacing w:val="-17"/>
                <w:sz w:val="21"/>
              </w:rPr>
              <w:t> </w:t>
            </w:r>
            <w:r>
              <w:rPr>
                <w:rFonts w:ascii="Lucida Sans" w:hAnsi="Lucida Sans"/>
                <w:b/>
                <w:color w:val="B15651"/>
                <w:sz w:val="21"/>
              </w:rPr>
              <w:t>Opioid</w:t>
            </w:r>
            <w:r>
              <w:rPr>
                <w:rFonts w:ascii="Lucida Sans" w:hAnsi="Lucida Sans"/>
                <w:b/>
                <w:color w:val="B15651"/>
                <w:spacing w:val="-16"/>
                <w:sz w:val="21"/>
              </w:rPr>
              <w:t> </w:t>
            </w:r>
            <w:r>
              <w:rPr>
                <w:rFonts w:ascii="Lucida Sans" w:hAnsi="Lucida Sans"/>
                <w:b/>
                <w:color w:val="B15651"/>
                <w:sz w:val="21"/>
              </w:rPr>
              <w:t>Use</w:t>
              <w:tab/>
            </w:r>
            <w:r>
              <w:rPr>
                <w:rFonts w:ascii="Tahoma" w:hAnsi="Tahoma"/>
                <w:b/>
                <w:color w:val="414142"/>
                <w:position w:val="-5"/>
                <w:sz w:val="20"/>
              </w:rPr>
              <w:t>informed of the risks and beneﬁts</w:t>
            </w:r>
            <w:r>
              <w:rPr>
                <w:rFonts w:ascii="Tahoma" w:hAnsi="Tahoma"/>
                <w:b/>
                <w:color w:val="414142"/>
                <w:spacing w:val="13"/>
                <w:position w:val="-5"/>
                <w:sz w:val="20"/>
              </w:rPr>
              <w:t> </w:t>
            </w:r>
            <w:r>
              <w:rPr>
                <w:rFonts w:ascii="Tahoma" w:hAnsi="Tahoma"/>
                <w:b/>
                <w:color w:val="414142"/>
                <w:position w:val="-5"/>
                <w:sz w:val="20"/>
              </w:rPr>
              <w:t>of</w:t>
            </w:r>
          </w:p>
          <w:p>
            <w:pPr>
              <w:pStyle w:val="TableParagraph"/>
              <w:tabs>
                <w:tab w:pos="5507" w:val="left" w:leader="none"/>
              </w:tabs>
              <w:spacing w:line="272" w:lineRule="exact"/>
              <w:ind w:left="915"/>
              <w:rPr>
                <w:rFonts w:ascii="Tahoma"/>
                <w:b/>
                <w:sz w:val="20"/>
              </w:rPr>
            </w:pPr>
            <w:r>
              <w:rPr>
                <w:rFonts w:ascii="Lucida Sans"/>
                <w:b/>
                <w:color w:val="B15651"/>
                <w:position w:val="7"/>
                <w:sz w:val="21"/>
              </w:rPr>
              <w:t>Disorder</w:t>
              <w:tab/>
            </w:r>
            <w:r>
              <w:rPr>
                <w:rFonts w:ascii="Tahoma"/>
                <w:b/>
                <w:color w:val="414142"/>
                <w:sz w:val="20"/>
              </w:rPr>
              <w:t>pharmacotherapy, treatment</w:t>
            </w:r>
            <w:r>
              <w:rPr>
                <w:rFonts w:ascii="Tahoma"/>
                <w:b/>
                <w:color w:val="414142"/>
                <w:spacing w:val="8"/>
                <w:sz w:val="20"/>
              </w:rPr>
              <w:t> </w:t>
            </w:r>
            <w:r>
              <w:rPr>
                <w:rFonts w:ascii="Tahoma"/>
                <w:b/>
                <w:color w:val="414142"/>
                <w:sz w:val="20"/>
              </w:rPr>
              <w:t>without</w:t>
            </w:r>
          </w:p>
          <w:p>
            <w:pPr>
              <w:pStyle w:val="TableParagraph"/>
              <w:tabs>
                <w:tab w:pos="5507" w:val="left" w:leader="none"/>
              </w:tabs>
              <w:spacing w:line="208" w:lineRule="auto"/>
              <w:ind w:left="915"/>
              <w:rPr>
                <w:rFonts w:ascii="Tahoma"/>
                <w:b/>
                <w:sz w:val="20"/>
              </w:rPr>
            </w:pPr>
            <w:r>
              <w:rPr>
                <w:rFonts w:ascii="Lucida Sans"/>
                <w:b/>
                <w:i/>
                <w:color w:val="4D4D4F"/>
                <w:sz w:val="21"/>
              </w:rPr>
              <w:t>For</w:t>
            </w:r>
            <w:r>
              <w:rPr>
                <w:rFonts w:ascii="Lucida Sans"/>
                <w:b/>
                <w:i/>
                <w:color w:val="4D4D4F"/>
                <w:spacing w:val="-31"/>
                <w:sz w:val="21"/>
              </w:rPr>
              <w:t> </w:t>
            </w:r>
            <w:r>
              <w:rPr>
                <w:rFonts w:ascii="Lucida Sans"/>
                <w:b/>
                <w:i/>
                <w:color w:val="4D4D4F"/>
                <w:sz w:val="21"/>
              </w:rPr>
              <w:t>healthcare</w:t>
            </w:r>
            <w:r>
              <w:rPr>
                <w:rFonts w:ascii="Lucida Sans"/>
                <w:b/>
                <w:i/>
                <w:color w:val="4D4D4F"/>
                <w:spacing w:val="-30"/>
                <w:sz w:val="21"/>
              </w:rPr>
              <w:t> </w:t>
            </w:r>
            <w:r>
              <w:rPr>
                <w:rFonts w:ascii="Lucida Sans"/>
                <w:b/>
                <w:i/>
                <w:color w:val="4D4D4F"/>
                <w:sz w:val="21"/>
              </w:rPr>
              <w:t>professionals</w:t>
              <w:tab/>
            </w:r>
            <w:r>
              <w:rPr>
                <w:rFonts w:ascii="Tahoma"/>
                <w:b/>
                <w:color w:val="414142"/>
                <w:position w:val="-8"/>
                <w:sz w:val="20"/>
              </w:rPr>
              <w:t>medication, and no treatment.</w:t>
            </w:r>
          </w:p>
          <w:p>
            <w:pPr>
              <w:pStyle w:val="TableParagraph"/>
              <w:numPr>
                <w:ilvl w:val="0"/>
                <w:numId w:val="2"/>
              </w:numPr>
              <w:tabs>
                <w:tab w:pos="5508" w:val="left" w:leader="none"/>
              </w:tabs>
              <w:spacing w:line="175" w:lineRule="exact" w:before="79" w:after="0"/>
              <w:ind w:left="5507" w:right="0" w:hanging="181"/>
              <w:jc w:val="left"/>
              <w:rPr>
                <w:rFonts w:ascii="Tahoma" w:hAnsi="Tahoma"/>
                <w:b/>
                <w:sz w:val="20"/>
              </w:rPr>
            </w:pPr>
            <w:r>
              <w:rPr>
                <w:rFonts w:ascii="Tahoma" w:hAnsi="Tahoma"/>
                <w:b/>
                <w:color w:val="414142"/>
                <w:w w:val="105"/>
                <w:sz w:val="20"/>
              </w:rPr>
              <w:t>Patients should be advised on</w:t>
            </w:r>
            <w:r>
              <w:rPr>
                <w:rFonts w:ascii="Tahoma" w:hAnsi="Tahoma"/>
                <w:b/>
                <w:color w:val="414142"/>
                <w:spacing w:val="-43"/>
                <w:w w:val="105"/>
                <w:sz w:val="20"/>
              </w:rPr>
              <w:t> </w:t>
            </w:r>
            <w:r>
              <w:rPr>
                <w:rFonts w:ascii="Tahoma" w:hAnsi="Tahoma"/>
                <w:b/>
                <w:color w:val="414142"/>
                <w:w w:val="105"/>
                <w:sz w:val="20"/>
              </w:rPr>
              <w:t>where</w:t>
            </w:r>
          </w:p>
        </w:tc>
      </w:tr>
      <w:tr>
        <w:trPr>
          <w:trHeight w:val="3473" w:hRule="atLeast"/>
        </w:trPr>
        <w:tc>
          <w:tcPr>
            <w:tcW w:w="5049" w:type="dxa"/>
            <w:tcBorders>
              <w:left w:val="nil"/>
              <w:bottom w:val="nil"/>
            </w:tcBorders>
          </w:tcPr>
          <w:p>
            <w:pPr>
              <w:pStyle w:val="TableParagraph"/>
              <w:spacing w:before="1"/>
              <w:rPr>
                <w:rFonts w:ascii="Times New Roman"/>
                <w:sz w:val="21"/>
              </w:rPr>
            </w:pPr>
          </w:p>
          <w:p>
            <w:pPr>
              <w:pStyle w:val="TableParagraph"/>
              <w:spacing w:line="259" w:lineRule="auto"/>
              <w:ind w:left="920" w:right="924" w:hanging="720"/>
              <w:rPr>
                <w:rFonts w:ascii="Lucida Sans"/>
                <w:sz w:val="21"/>
              </w:rPr>
            </w:pPr>
            <w:r>
              <w:rPr>
                <w:rFonts w:ascii="Lucida Sans"/>
                <w:color w:val="B15651"/>
                <w:w w:val="95"/>
                <w:sz w:val="21"/>
              </w:rPr>
              <w:t>Part 4: Partnering Addiction Treatment </w:t>
            </w:r>
            <w:r>
              <w:rPr>
                <w:rFonts w:ascii="Lucida Sans"/>
                <w:color w:val="B15651"/>
                <w:sz w:val="21"/>
              </w:rPr>
              <w:t>Counselors With Clients and Healthcare Professionals</w:t>
            </w:r>
          </w:p>
          <w:p>
            <w:pPr>
              <w:pStyle w:val="TableParagraph"/>
              <w:spacing w:line="256" w:lineRule="exact"/>
              <w:ind w:left="920"/>
              <w:rPr>
                <w:i/>
                <w:sz w:val="21"/>
              </w:rPr>
            </w:pPr>
            <w:r>
              <w:rPr>
                <w:i/>
                <w:color w:val="4D4D4F"/>
                <w:w w:val="110"/>
                <w:sz w:val="21"/>
              </w:rPr>
              <w:t>For healthcare and addiction professionals</w:t>
            </w:r>
          </w:p>
          <w:p>
            <w:pPr>
              <w:pStyle w:val="TableParagraph"/>
              <w:spacing w:line="259" w:lineRule="auto" w:before="205"/>
              <w:ind w:left="920" w:right="556" w:hanging="720"/>
              <w:rPr>
                <w:rFonts w:ascii="Lucida Sans"/>
                <w:sz w:val="21"/>
              </w:rPr>
            </w:pPr>
            <w:r>
              <w:rPr>
                <w:rFonts w:ascii="Lucida Sans"/>
                <w:color w:val="B15651"/>
                <w:w w:val="95"/>
                <w:sz w:val="21"/>
              </w:rPr>
              <w:t>Part 5: Resources Related </w:t>
            </w:r>
            <w:r>
              <w:rPr>
                <w:rFonts w:ascii="Lucida Sans"/>
                <w:color w:val="B15651"/>
                <w:spacing w:val="-3"/>
                <w:w w:val="95"/>
                <w:sz w:val="21"/>
              </w:rPr>
              <w:t>to </w:t>
            </w:r>
            <w:r>
              <w:rPr>
                <w:rFonts w:ascii="Lucida Sans"/>
                <w:color w:val="B15651"/>
                <w:w w:val="95"/>
                <w:sz w:val="21"/>
              </w:rPr>
              <w:t>Medications for </w:t>
            </w:r>
            <w:r>
              <w:rPr>
                <w:rFonts w:ascii="Lucida Sans"/>
                <w:color w:val="B15651"/>
                <w:sz w:val="21"/>
              </w:rPr>
              <w:t>Opioid Use Disorder</w:t>
            </w:r>
          </w:p>
          <w:p>
            <w:pPr>
              <w:pStyle w:val="TableParagraph"/>
              <w:spacing w:line="249" w:lineRule="auto" w:before="1"/>
              <w:ind w:left="920"/>
              <w:rPr>
                <w:i/>
                <w:sz w:val="21"/>
              </w:rPr>
            </w:pPr>
            <w:r>
              <w:rPr>
                <w:i/>
                <w:color w:val="4D4D4F"/>
                <w:spacing w:val="-4"/>
                <w:w w:val="110"/>
                <w:sz w:val="21"/>
              </w:rPr>
              <w:t>For </w:t>
            </w:r>
            <w:r>
              <w:rPr>
                <w:i/>
                <w:color w:val="4D4D4F"/>
                <w:spacing w:val="-5"/>
                <w:w w:val="110"/>
                <w:sz w:val="21"/>
              </w:rPr>
              <w:t>healthcare </w:t>
            </w:r>
            <w:r>
              <w:rPr>
                <w:i/>
                <w:color w:val="4D4D4F"/>
                <w:spacing w:val="-4"/>
                <w:w w:val="110"/>
                <w:sz w:val="21"/>
              </w:rPr>
              <w:t>and addiction </w:t>
            </w:r>
            <w:r>
              <w:rPr>
                <w:i/>
                <w:color w:val="4D4D4F"/>
                <w:spacing w:val="-6"/>
                <w:w w:val="110"/>
                <w:sz w:val="21"/>
              </w:rPr>
              <w:t>professionals, </w:t>
            </w:r>
            <w:r>
              <w:rPr>
                <w:i/>
                <w:color w:val="4D4D4F"/>
                <w:w w:val="110"/>
                <w:sz w:val="21"/>
              </w:rPr>
              <w:t>policymakers, patients, and families</w:t>
            </w:r>
          </w:p>
        </w:tc>
        <w:tc>
          <w:tcPr>
            <w:tcW w:w="5034" w:type="dxa"/>
            <w:tcBorders>
              <w:top w:val="nil"/>
            </w:tcBorders>
            <w:shd w:val="clear" w:color="auto" w:fill="FFF7F2"/>
          </w:tcPr>
          <w:p>
            <w:pPr>
              <w:pStyle w:val="TableParagraph"/>
              <w:spacing w:line="278" w:lineRule="auto" w:before="97"/>
              <w:ind w:left="458"/>
              <w:rPr>
                <w:rFonts w:ascii="Tahoma"/>
                <w:b/>
                <w:sz w:val="20"/>
              </w:rPr>
            </w:pPr>
            <w:r>
              <w:rPr>
                <w:rFonts w:ascii="Tahoma"/>
                <w:b/>
                <w:color w:val="414142"/>
                <w:w w:val="105"/>
                <w:sz w:val="20"/>
              </w:rPr>
              <w:t>and how to get treatment with OUD medication.</w:t>
            </w:r>
          </w:p>
          <w:p>
            <w:pPr>
              <w:pStyle w:val="TableParagraph"/>
              <w:numPr>
                <w:ilvl w:val="0"/>
                <w:numId w:val="3"/>
              </w:numPr>
              <w:tabs>
                <w:tab w:pos="459" w:val="left" w:leader="none"/>
              </w:tabs>
              <w:spacing w:line="225" w:lineRule="auto" w:before="63" w:after="0"/>
              <w:ind w:left="458" w:right="297" w:hanging="180"/>
              <w:jc w:val="left"/>
              <w:rPr>
                <w:rFonts w:ascii="Tahoma" w:hAnsi="Tahoma"/>
                <w:b/>
                <w:sz w:val="20"/>
              </w:rPr>
            </w:pPr>
            <w:r>
              <w:rPr>
                <w:rFonts w:ascii="Tahoma" w:hAnsi="Tahoma"/>
                <w:b/>
                <w:color w:val="414142"/>
                <w:w w:val="105"/>
                <w:sz w:val="20"/>
              </w:rPr>
              <w:t>Doses</w:t>
            </w:r>
            <w:r>
              <w:rPr>
                <w:rFonts w:ascii="Tahoma" w:hAnsi="Tahoma"/>
                <w:b/>
                <w:color w:val="414142"/>
                <w:spacing w:val="-19"/>
                <w:w w:val="105"/>
                <w:sz w:val="20"/>
              </w:rPr>
              <w:t> </w:t>
            </w:r>
            <w:r>
              <w:rPr>
                <w:rFonts w:ascii="Tahoma" w:hAnsi="Tahoma"/>
                <w:b/>
                <w:color w:val="414142"/>
                <w:w w:val="105"/>
                <w:sz w:val="20"/>
              </w:rPr>
              <w:t>and</w:t>
            </w:r>
            <w:r>
              <w:rPr>
                <w:rFonts w:ascii="Tahoma" w:hAnsi="Tahoma"/>
                <w:b/>
                <w:color w:val="414142"/>
                <w:spacing w:val="-18"/>
                <w:w w:val="105"/>
                <w:sz w:val="20"/>
              </w:rPr>
              <w:t> </w:t>
            </w:r>
            <w:r>
              <w:rPr>
                <w:rFonts w:ascii="Tahoma" w:hAnsi="Tahoma"/>
                <w:b/>
                <w:color w:val="414142"/>
                <w:w w:val="105"/>
                <w:sz w:val="20"/>
              </w:rPr>
              <w:t>schedules</w:t>
            </w:r>
            <w:r>
              <w:rPr>
                <w:rFonts w:ascii="Tahoma" w:hAnsi="Tahoma"/>
                <w:b/>
                <w:color w:val="414142"/>
                <w:spacing w:val="-18"/>
                <w:w w:val="105"/>
                <w:sz w:val="20"/>
              </w:rPr>
              <w:t> </w:t>
            </w:r>
            <w:r>
              <w:rPr>
                <w:rFonts w:ascii="Tahoma" w:hAnsi="Tahoma"/>
                <w:b/>
                <w:color w:val="414142"/>
                <w:w w:val="105"/>
                <w:sz w:val="20"/>
              </w:rPr>
              <w:t>of</w:t>
            </w:r>
            <w:r>
              <w:rPr>
                <w:rFonts w:ascii="Tahoma" w:hAnsi="Tahoma"/>
                <w:b/>
                <w:color w:val="414142"/>
                <w:spacing w:val="-18"/>
                <w:w w:val="105"/>
                <w:sz w:val="20"/>
              </w:rPr>
              <w:t> </w:t>
            </w:r>
            <w:r>
              <w:rPr>
                <w:rFonts w:ascii="Tahoma" w:hAnsi="Tahoma"/>
                <w:b/>
                <w:color w:val="414142"/>
                <w:spacing w:val="-4"/>
                <w:w w:val="105"/>
                <w:sz w:val="20"/>
              </w:rPr>
              <w:t>pharmacotherapy </w:t>
            </w:r>
            <w:r>
              <w:rPr>
                <w:rFonts w:ascii="Tahoma" w:hAnsi="Tahoma"/>
                <w:b/>
                <w:color w:val="414142"/>
                <w:w w:val="105"/>
                <w:sz w:val="20"/>
              </w:rPr>
              <w:t>must be</w:t>
            </w:r>
            <w:r>
              <w:rPr>
                <w:rFonts w:ascii="Tahoma" w:hAnsi="Tahoma"/>
                <w:b/>
                <w:color w:val="414142"/>
                <w:spacing w:val="-16"/>
                <w:w w:val="105"/>
                <w:sz w:val="20"/>
              </w:rPr>
              <w:t> </w:t>
            </w:r>
            <w:r>
              <w:rPr>
                <w:rFonts w:ascii="Tahoma" w:hAnsi="Tahoma"/>
                <w:b/>
                <w:color w:val="414142"/>
                <w:w w:val="105"/>
                <w:sz w:val="20"/>
              </w:rPr>
              <w:t>individualized.</w:t>
            </w:r>
          </w:p>
        </w:tc>
      </w:tr>
    </w:tbl>
    <w:p>
      <w:pPr>
        <w:pStyle w:val="BodyText"/>
        <w:rPr>
          <w:rFonts w:ascii="Times New Roman"/>
          <w:sz w:val="20"/>
        </w:rPr>
      </w:pPr>
    </w:p>
    <w:p>
      <w:pPr>
        <w:pStyle w:val="BodyText"/>
        <w:spacing w:before="5"/>
        <w:rPr>
          <w:rFonts w:ascii="Times New Roman"/>
          <w:sz w:val="14"/>
        </w:rPr>
      </w:pPr>
      <w:r>
        <w:rPr/>
        <w:pict>
          <v:shape style="position:absolute;margin-left:290.201019pt;margin-top:10.251971pt;width:215.35pt;height:41.3pt;mso-position-horizontal-relative:page;mso-position-vertical-relative:paragraph;z-index:-15727104;mso-wrap-distance-left:0;mso-wrap-distance-right:0" coordorigin="5804,205" coordsize="4307,826" path="m6599,205l6330,205,6262,213,6198,234,6145,267,6106,308,6074,359,6046,408,6024,456,6008,502,6003,538,6009,571,6023,601,6047,628,6099,654,6165,674,6224,698,6257,736,6256,790,6230,841,6188,879,6136,894,5946,894,5916,892,5894,884,5882,868,5881,841,5867,841,5807,993,5804,1007,5808,1019,5820,1027,5843,1030,6164,1030,6220,1025,6270,1009,6316,984,6354,951,6398,895,6431,835,6456,771,6474,706,6478,652,6464,612,6436,582,6397,560,6352,544,6297,525,6250,502,6225,477,6224,434,6241,390,6272,356,6314,342,6465,342,6494,342,6523,337,6549,322,6568,292,6599,205xm7150,241l7150,228,7146,217,7137,208,7121,205,6958,205,6958,375,6922,702,6728,702,6958,375,6958,205,6887,205,6881,218,6898,230,6897,250,6886,273,6873,293,6362,975,6349,998,6347,1015,6354,1026,6370,1030,6551,1030,6556,1017,6538,1013,6530,1002,6529,988,6534,976,6643,826,6906,826,6892,976,6891,993,6893,1011,6904,1025,6931,1030,7087,1030,7091,1017,7079,1013,7072,1003,7069,989,7069,976,7086,826,7099,702,7136,375,7150,241xm8143,228l8139,217,8130,208,8114,205,7910,205,7903,218,7920,230,7920,250,7910,274,7671,702,7695,241,7694,228,7691,217,7682,208,7666,205,7471,205,7464,218,7482,230,7484,250,7476,274,7115,976,7107,994,7105,1011,7113,1025,7139,1030,7295,1030,7299,1017,7287,1013,7279,1002,7276,989,7279,976,7533,453,7493,1030,7620,1030,7948,453,7865,976,7863,993,7864,1011,7875,1025,7902,1030,8063,1030,8067,1017,8055,1013,8049,1003,8046,989,8047,976,8143,241,8143,228xm9011,228l9009,217,9001,208,8986,205,8808,205,8801,218,8816,229,8817,250,8811,273,8803,295,8719,510,8465,510,8568,240,8571,228,8569,217,8561,208,8545,205,8367,205,8361,218,8375,229,8376,250,8370,273,8362,295,8097,976,8091,994,8088,1012,8096,1025,8122,1030,8303,1030,8308,1017,8295,1013,8288,1003,8285,989,8287,976,8415,640,8669,640,8538,976,8531,994,8528,1012,8537,1025,8562,1030,8744,1030,8748,1017,8736,1013,8728,1003,8726,989,8728,976,9008,240,9011,228xm9556,205l9287,205,9219,213,9155,234,9102,267,9063,308,9031,359,9003,408,8981,456,8965,502,8960,538,8966,571,8980,601,9004,628,9056,654,9122,674,9181,698,9215,736,9213,790,9187,841,9145,879,9093,894,8903,894,8873,892,8852,884,8839,868,8839,841,8824,841,8764,993,8761,1007,8765,1019,8777,1027,8800,1030,9121,1030,9177,1025,9227,1009,9273,984,9311,951,9355,895,9388,835,9414,771,9431,706,9435,652,9421,612,9393,582,9354,560,9309,544,9254,525,9207,502,9182,477,9181,434,9198,390,9229,356,9271,342,9422,342,9451,342,9480,337,9506,322,9525,292,9556,205xm10111,241l10111,228,10107,217,10097,208,10081,205,9918,205,9918,375,9883,702,9689,702,9918,375,9918,205,9847,205,9841,218,9858,230,9857,250,9846,273,9833,293,9323,975,9310,998,9308,1015,9315,1026,9330,1030,9512,1030,9516,1017,9499,1013,9490,1002,9489,988,9495,976,9603,826,9867,826,9853,976,9851,993,9853,1011,9864,1025,9891,1030,10047,1030,10051,1017,10039,1013,10032,1003,10030,989,10030,976,10046,826,10060,702,10096,375,10111,241xe" filled="true" fillcolor="#020303" stroked="false">
            <v:path arrowok="t"/>
            <v:fill type="solid"/>
            <w10:wrap type="topAndBottom"/>
          </v:shape>
        </w:pict>
      </w:r>
    </w:p>
    <w:p>
      <w:pPr>
        <w:spacing w:line="237" w:lineRule="auto" w:before="24"/>
        <w:ind w:left="5813" w:right="1310" w:hanging="672"/>
        <w:jc w:val="left"/>
        <w:rPr>
          <w:rFonts w:ascii="Calibri"/>
          <w:sz w:val="26"/>
        </w:rPr>
      </w:pPr>
      <w:r>
        <w:rPr>
          <w:rFonts w:ascii="Calibri"/>
          <w:color w:val="020303"/>
          <w:sz w:val="26"/>
        </w:rPr>
        <w:t>Substance Abuse and Mental Health Services Administration</w:t>
      </w:r>
    </w:p>
    <w:p>
      <w:pPr>
        <w:spacing w:after="0" w:line="237" w:lineRule="auto"/>
        <w:jc w:val="left"/>
        <w:rPr>
          <w:rFonts w:ascii="Calibri"/>
          <w:sz w:val="26"/>
        </w:rPr>
        <w:sectPr>
          <w:type w:val="continuous"/>
          <w:pgSz w:w="12240" w:h="15840"/>
          <w:pgMar w:top="540" w:bottom="280" w:left="940" w:right="920"/>
        </w:sectPr>
      </w:pPr>
    </w:p>
    <w:p>
      <w:pPr>
        <w:pStyle w:val="BodyText"/>
        <w:spacing w:before="2"/>
        <w:rPr>
          <w:rFonts w:ascii="Calibri"/>
          <w:sz w:val="25"/>
        </w:rPr>
      </w:pPr>
    </w:p>
    <w:p>
      <w:pPr>
        <w:pStyle w:val="Heading2"/>
        <w:spacing w:before="93"/>
        <w:ind w:left="1148"/>
        <w:rPr>
          <w:rFonts w:ascii="Gill Sans MT"/>
        </w:rPr>
      </w:pPr>
      <w:r>
        <w:rPr>
          <w:rFonts w:ascii="Gill Sans MT"/>
          <w:color w:val="414142"/>
        </w:rPr>
        <w:t>Contents</w:t>
      </w:r>
    </w:p>
    <w:p>
      <w:pPr>
        <w:spacing w:after="0"/>
        <w:rPr>
          <w:rFonts w:ascii="Gill Sans MT"/>
        </w:rPr>
        <w:sectPr>
          <w:headerReference w:type="even" r:id="rId7"/>
          <w:headerReference w:type="default" r:id="rId8"/>
          <w:footerReference w:type="even" r:id="rId9"/>
          <w:footerReference w:type="default" r:id="rId10"/>
          <w:pgSz w:w="12240" w:h="15840"/>
          <w:pgMar w:header="576" w:footer="677" w:top="1340" w:bottom="640" w:left="940" w:right="920"/>
        </w:sectPr>
      </w:pPr>
    </w:p>
    <w:sdt>
      <w:sdtPr>
        <w:docPartObj>
          <w:docPartGallery w:val="Table of Contents"/>
          <w:docPartUnique/>
        </w:docPartObj>
      </w:sdtPr>
      <w:sdtEndPr/>
      <w:sdtContent>
        <w:p>
          <w:pPr>
            <w:pStyle w:val="TOC2"/>
            <w:tabs>
              <w:tab w:pos="8802" w:val="left" w:leader="dot"/>
            </w:tabs>
            <w:spacing w:before="282"/>
            <w:rPr>
              <w:sz w:val="20"/>
            </w:rPr>
          </w:pPr>
          <w:hyperlink w:history="true" w:anchor="_TOC_250112">
            <w:r>
              <w:rPr>
                <w:color w:val="231F20"/>
                <w:spacing w:val="2"/>
                <w:w w:val="95"/>
              </w:rPr>
              <w:t>PHARMACOTHERAPY FOR </w:t>
            </w:r>
            <w:r>
              <w:rPr>
                <w:color w:val="231F20"/>
                <w:spacing w:val="3"/>
                <w:w w:val="95"/>
              </w:rPr>
              <w:t>OPIOID</w:t>
            </w:r>
            <w:r>
              <w:rPr>
                <w:color w:val="231F20"/>
                <w:spacing w:val="-34"/>
                <w:w w:val="95"/>
              </w:rPr>
              <w:t> </w:t>
            </w:r>
            <w:r>
              <w:rPr>
                <w:color w:val="231F20"/>
                <w:spacing w:val="2"/>
                <w:w w:val="95"/>
              </w:rPr>
              <w:t>USE</w:t>
            </w:r>
            <w:r>
              <w:rPr>
                <w:color w:val="231F20"/>
                <w:spacing w:val="-10"/>
                <w:w w:val="95"/>
              </w:rPr>
              <w:t> </w:t>
            </w:r>
            <w:r>
              <w:rPr>
                <w:color w:val="231F20"/>
                <w:spacing w:val="3"/>
                <w:w w:val="95"/>
              </w:rPr>
              <w:t>DISORDER</w:t>
              <w:tab/>
            </w:r>
            <w:r>
              <w:rPr>
                <w:color w:val="4D4D4F"/>
                <w:sz w:val="20"/>
              </w:rPr>
              <w:t>3-1</w:t>
            </w:r>
          </w:hyperlink>
        </w:p>
        <w:p>
          <w:pPr>
            <w:pStyle w:val="TOC1"/>
            <w:tabs>
              <w:tab w:pos="8802" w:val="left" w:leader="dot"/>
            </w:tabs>
            <w:spacing w:before="84"/>
            <w:rPr>
              <w:rFonts w:ascii="Lucida Sans"/>
              <w:b w:val="0"/>
              <w:sz w:val="20"/>
            </w:rPr>
          </w:pPr>
          <w:hyperlink w:history="true" w:anchor="_TOC_250111">
            <w:r>
              <w:rPr>
                <w:color w:val="147692"/>
              </w:rPr>
              <w:t>Scope</w:t>
            </w:r>
            <w:r>
              <w:rPr>
                <w:color w:val="147692"/>
                <w:spacing w:val="-30"/>
              </w:rPr>
              <w:t> </w:t>
            </w:r>
            <w:r>
              <w:rPr>
                <w:color w:val="147692"/>
              </w:rPr>
              <w:t>of</w:t>
            </w:r>
            <w:r>
              <w:rPr>
                <w:color w:val="147692"/>
                <w:spacing w:val="-29"/>
              </w:rPr>
              <w:t> </w:t>
            </w:r>
            <w:r>
              <w:rPr>
                <w:color w:val="147692"/>
              </w:rPr>
              <w:t>the</w:t>
            </w:r>
            <w:r>
              <w:rPr>
                <w:color w:val="147692"/>
                <w:spacing w:val="-29"/>
              </w:rPr>
              <w:t> </w:t>
            </w:r>
            <w:r>
              <w:rPr>
                <w:color w:val="147692"/>
              </w:rPr>
              <w:t>Problem</w:t>
              <w:tab/>
            </w:r>
            <w:r>
              <w:rPr>
                <w:rFonts w:ascii="Lucida Sans"/>
                <w:b w:val="0"/>
                <w:color w:val="4D4D4F"/>
                <w:sz w:val="20"/>
              </w:rPr>
              <w:t>3-1</w:t>
            </w:r>
          </w:hyperlink>
        </w:p>
        <w:p>
          <w:pPr>
            <w:pStyle w:val="TOC2"/>
            <w:tabs>
              <w:tab w:pos="8802" w:val="left" w:leader="dot"/>
            </w:tabs>
            <w:spacing w:line="254" w:lineRule="auto"/>
            <w:ind w:right="1310"/>
            <w:rPr>
              <w:sz w:val="20"/>
            </w:rPr>
          </w:pPr>
          <w:hyperlink w:history="true" w:anchor="_TOC_250110">
            <w:r>
              <w:rPr>
                <w:color w:val="231F20"/>
                <w:spacing w:val="4"/>
              </w:rPr>
              <w:t>CHAPTER </w:t>
            </w:r>
            <w:r>
              <w:rPr>
                <w:color w:val="231F20"/>
              </w:rPr>
              <w:t>3A: </w:t>
            </w:r>
            <w:r>
              <w:rPr>
                <w:color w:val="231F20"/>
                <w:spacing w:val="2"/>
              </w:rPr>
              <w:t>OVERVIEW </w:t>
            </w:r>
            <w:r>
              <w:rPr>
                <w:color w:val="231F20"/>
              </w:rPr>
              <w:t>OF </w:t>
            </w:r>
            <w:r>
              <w:rPr>
                <w:color w:val="231F20"/>
                <w:spacing w:val="2"/>
              </w:rPr>
              <w:t>PHARMACOTHERAPY FOR </w:t>
            </w:r>
            <w:r>
              <w:rPr>
                <w:color w:val="231F20"/>
                <w:spacing w:val="3"/>
              </w:rPr>
              <w:t>OPIOID USE DISORDER</w:t>
              <w:tab/>
            </w:r>
            <w:r>
              <w:rPr>
                <w:color w:val="4D4D4F"/>
                <w:spacing w:val="-6"/>
                <w:w w:val="85"/>
                <w:sz w:val="20"/>
              </w:rPr>
              <w:t>3-5</w:t>
            </w:r>
          </w:hyperlink>
        </w:p>
        <w:p>
          <w:pPr>
            <w:pStyle w:val="TOC1"/>
            <w:tabs>
              <w:tab w:pos="8802" w:val="left" w:leader="dot"/>
            </w:tabs>
            <w:spacing w:before="67"/>
            <w:rPr>
              <w:rFonts w:ascii="Lucida Sans"/>
              <w:b w:val="0"/>
              <w:sz w:val="20"/>
            </w:rPr>
          </w:pPr>
          <w:hyperlink w:history="true" w:anchor="_TOC_250109">
            <w:r>
              <w:rPr>
                <w:color w:val="147692"/>
              </w:rPr>
              <w:t>Introduction</w:t>
            </w:r>
            <w:r>
              <w:rPr>
                <w:color w:val="147692"/>
                <w:spacing w:val="-45"/>
              </w:rPr>
              <w:t> </w:t>
            </w:r>
            <w:r>
              <w:rPr>
                <w:color w:val="147692"/>
              </w:rPr>
              <w:t>to</w:t>
            </w:r>
            <w:r>
              <w:rPr>
                <w:color w:val="147692"/>
                <w:spacing w:val="-45"/>
              </w:rPr>
              <w:t> </w:t>
            </w:r>
            <w:r>
              <w:rPr>
                <w:color w:val="147692"/>
              </w:rPr>
              <w:t>Medications</w:t>
            </w:r>
            <w:r>
              <w:rPr>
                <w:color w:val="147692"/>
                <w:spacing w:val="-45"/>
              </w:rPr>
              <w:t> </w:t>
            </w:r>
            <w:r>
              <w:rPr>
                <w:color w:val="147692"/>
              </w:rPr>
              <w:t>That</w:t>
            </w:r>
            <w:r>
              <w:rPr>
                <w:color w:val="147692"/>
                <w:spacing w:val="-44"/>
              </w:rPr>
              <w:t> </w:t>
            </w:r>
            <w:r>
              <w:rPr>
                <w:color w:val="147692"/>
              </w:rPr>
              <w:t>Address</w:t>
            </w:r>
            <w:r>
              <w:rPr>
                <w:color w:val="147692"/>
                <w:spacing w:val="-45"/>
              </w:rPr>
              <w:t> </w:t>
            </w:r>
            <w:r>
              <w:rPr>
                <w:color w:val="147692"/>
              </w:rPr>
              <w:t>OUD</w:t>
              <w:tab/>
            </w:r>
            <w:r>
              <w:rPr>
                <w:rFonts w:ascii="Lucida Sans"/>
                <w:b w:val="0"/>
                <w:color w:val="4D4D4F"/>
                <w:sz w:val="20"/>
              </w:rPr>
              <w:t>3-8</w:t>
            </w:r>
          </w:hyperlink>
        </w:p>
        <w:p>
          <w:pPr>
            <w:pStyle w:val="TOC3"/>
            <w:tabs>
              <w:tab w:pos="8802" w:val="left" w:leader="dot"/>
            </w:tabs>
            <w:spacing w:before="35"/>
          </w:pPr>
          <w:hyperlink w:history="true" w:anchor="_TOC_250108">
            <w:r>
              <w:rPr>
                <w:color w:val="4D4D4F"/>
              </w:rPr>
              <w:t>Methadone</w:t>
              <w:tab/>
              <w:t>3-8</w:t>
            </w:r>
          </w:hyperlink>
        </w:p>
        <w:p>
          <w:pPr>
            <w:pStyle w:val="TOC3"/>
            <w:tabs>
              <w:tab w:pos="8802" w:val="left" w:leader="dot"/>
            </w:tabs>
          </w:pPr>
          <w:hyperlink w:history="true" w:anchor="_TOC_250107">
            <w:r>
              <w:rPr>
                <w:color w:val="4D4D4F"/>
                <w:w w:val="95"/>
              </w:rPr>
              <w:t>Naltrexone</w:t>
              <w:tab/>
            </w:r>
            <w:r>
              <w:rPr>
                <w:color w:val="4D4D4F"/>
              </w:rPr>
              <w:t>3-8</w:t>
            </w:r>
          </w:hyperlink>
        </w:p>
        <w:p>
          <w:pPr>
            <w:pStyle w:val="TOC3"/>
            <w:tabs>
              <w:tab w:pos="8802" w:val="left" w:leader="dot"/>
            </w:tabs>
          </w:pPr>
          <w:hyperlink w:history="true" w:anchor="_TOC_250106">
            <w:r>
              <w:rPr>
                <w:color w:val="4D4D4F"/>
                <w:w w:val="95"/>
              </w:rPr>
              <w:t>Buprenorphine</w:t>
              <w:tab/>
            </w:r>
            <w:r>
              <w:rPr>
                <w:color w:val="4D4D4F"/>
              </w:rPr>
              <w:t>3-9</w:t>
            </w:r>
          </w:hyperlink>
        </w:p>
        <w:p>
          <w:pPr>
            <w:pStyle w:val="TOC3"/>
            <w:tabs>
              <w:tab w:pos="8703" w:val="left" w:leader="dot"/>
            </w:tabs>
          </w:pPr>
          <w:r>
            <w:rPr>
              <w:color w:val="4D4D4F"/>
              <w:w w:val="95"/>
            </w:rPr>
            <w:t>Choosing</w:t>
          </w:r>
          <w:r>
            <w:rPr>
              <w:color w:val="4D4D4F"/>
              <w:spacing w:val="-30"/>
              <w:w w:val="95"/>
            </w:rPr>
            <w:t> </w:t>
          </w:r>
          <w:r>
            <w:rPr>
              <w:color w:val="4D4D4F"/>
              <w:w w:val="95"/>
            </w:rPr>
            <w:t>an</w:t>
          </w:r>
          <w:r>
            <w:rPr>
              <w:color w:val="4D4D4F"/>
              <w:spacing w:val="-30"/>
              <w:w w:val="95"/>
            </w:rPr>
            <w:t> </w:t>
          </w:r>
          <w:r>
            <w:rPr>
              <w:color w:val="4D4D4F"/>
              <w:w w:val="95"/>
            </w:rPr>
            <w:t>OUD</w:t>
          </w:r>
          <w:r>
            <w:rPr>
              <w:color w:val="4D4D4F"/>
              <w:spacing w:val="-30"/>
              <w:w w:val="95"/>
            </w:rPr>
            <w:t> </w:t>
          </w:r>
          <w:r>
            <w:rPr>
              <w:color w:val="4D4D4F"/>
              <w:w w:val="95"/>
            </w:rPr>
            <w:t>Medication</w:t>
            <w:tab/>
          </w:r>
          <w:r>
            <w:rPr>
              <w:color w:val="4D4D4F"/>
            </w:rPr>
            <w:t>3-10</w:t>
          </w:r>
        </w:p>
        <w:p>
          <w:pPr>
            <w:pStyle w:val="TOC3"/>
            <w:tabs>
              <w:tab w:pos="8714" w:val="left" w:leader="dot"/>
            </w:tabs>
          </w:pPr>
          <w:hyperlink w:history="true" w:anchor="_TOC_250105">
            <w:r>
              <w:rPr>
                <w:color w:val="4D4D4F"/>
                <w:w w:val="90"/>
              </w:rPr>
              <w:t>Comparative</w:t>
            </w:r>
            <w:r>
              <w:rPr>
                <w:color w:val="4D4D4F"/>
                <w:spacing w:val="-15"/>
                <w:w w:val="90"/>
              </w:rPr>
              <w:t> </w:t>
            </w:r>
            <w:r>
              <w:rPr>
                <w:color w:val="4D4D4F"/>
                <w:w w:val="90"/>
              </w:rPr>
              <w:t>Effectiveness</w:t>
              <w:tab/>
            </w:r>
            <w:r>
              <w:rPr>
                <w:color w:val="4D4D4F"/>
                <w:spacing w:val="-5"/>
              </w:rPr>
              <w:t>3-11</w:t>
            </w:r>
          </w:hyperlink>
        </w:p>
        <w:p>
          <w:pPr>
            <w:pStyle w:val="TOC3"/>
            <w:tabs>
              <w:tab w:pos="8714" w:val="left" w:leader="dot"/>
            </w:tabs>
          </w:pPr>
          <w:hyperlink w:history="true" w:anchor="_TOC_250104">
            <w:r>
              <w:rPr>
                <w:color w:val="4D4D4F"/>
                <w:w w:val="95"/>
              </w:rPr>
              <w:t>Duration</w:t>
            </w:r>
            <w:r>
              <w:rPr>
                <w:color w:val="4D4D4F"/>
                <w:spacing w:val="-27"/>
                <w:w w:val="95"/>
              </w:rPr>
              <w:t> </w:t>
            </w:r>
            <w:r>
              <w:rPr>
                <w:color w:val="4D4D4F"/>
                <w:w w:val="95"/>
              </w:rPr>
              <w:t>of</w:t>
            </w:r>
            <w:r>
              <w:rPr>
                <w:color w:val="4D4D4F"/>
                <w:spacing w:val="-27"/>
                <w:w w:val="95"/>
              </w:rPr>
              <w:t> </w:t>
            </w:r>
            <w:r>
              <w:rPr>
                <w:color w:val="4D4D4F"/>
                <w:w w:val="95"/>
              </w:rPr>
              <w:t>Medication</w:t>
              <w:tab/>
            </w:r>
            <w:r>
              <w:rPr>
                <w:color w:val="4D4D4F"/>
                <w:spacing w:val="-5"/>
              </w:rPr>
              <w:t>3-11</w:t>
            </w:r>
          </w:hyperlink>
        </w:p>
        <w:p>
          <w:pPr>
            <w:pStyle w:val="TOC1"/>
            <w:tabs>
              <w:tab w:pos="8714" w:val="left" w:leader="dot"/>
            </w:tabs>
            <w:rPr>
              <w:rFonts w:ascii="Lucida Sans"/>
              <w:b w:val="0"/>
              <w:sz w:val="20"/>
            </w:rPr>
          </w:pPr>
          <w:hyperlink w:history="true" w:anchor="_TOC_250103">
            <w:r>
              <w:rPr>
                <w:color w:val="147692"/>
                <w:w w:val="95"/>
              </w:rPr>
              <w:t>Principles of</w:t>
            </w:r>
            <w:r>
              <w:rPr>
                <w:color w:val="147692"/>
                <w:spacing w:val="-30"/>
                <w:w w:val="95"/>
              </w:rPr>
              <w:t> </w:t>
            </w:r>
            <w:r>
              <w:rPr>
                <w:color w:val="147692"/>
                <w:w w:val="95"/>
              </w:rPr>
              <w:t>OUD</w:t>
            </w:r>
            <w:r>
              <w:rPr>
                <w:color w:val="147692"/>
                <w:spacing w:val="-15"/>
                <w:w w:val="95"/>
              </w:rPr>
              <w:t> </w:t>
            </w:r>
            <w:r>
              <w:rPr>
                <w:color w:val="147692"/>
                <w:w w:val="95"/>
              </w:rPr>
              <w:t>Pharmacotherapy</w:t>
              <w:tab/>
            </w:r>
            <w:r>
              <w:rPr>
                <w:rFonts w:ascii="Lucida Sans"/>
                <w:b w:val="0"/>
                <w:color w:val="4D4D4F"/>
                <w:spacing w:val="-5"/>
                <w:sz w:val="20"/>
              </w:rPr>
              <w:t>3-11</w:t>
            </w:r>
          </w:hyperlink>
        </w:p>
        <w:p>
          <w:pPr>
            <w:pStyle w:val="TOC3"/>
            <w:tabs>
              <w:tab w:pos="8714" w:val="left" w:leader="dot"/>
            </w:tabs>
            <w:spacing w:before="34"/>
          </w:pPr>
          <w:hyperlink w:history="true" w:anchor="_TOC_250102">
            <w:r>
              <w:rPr>
                <w:color w:val="4D4D4F"/>
                <w:w w:val="95"/>
              </w:rPr>
              <w:t>Basic</w:t>
            </w:r>
            <w:r>
              <w:rPr>
                <w:color w:val="4D4D4F"/>
                <w:spacing w:val="-36"/>
                <w:w w:val="95"/>
              </w:rPr>
              <w:t> </w:t>
            </w:r>
            <w:r>
              <w:rPr>
                <w:color w:val="4D4D4F"/>
                <w:w w:val="95"/>
              </w:rPr>
              <w:t>Function</w:t>
              <w:tab/>
            </w:r>
            <w:r>
              <w:rPr>
                <w:color w:val="4D4D4F"/>
                <w:spacing w:val="-5"/>
                <w:w w:val="95"/>
              </w:rPr>
              <w:t>3-11</w:t>
            </w:r>
          </w:hyperlink>
        </w:p>
        <w:p>
          <w:pPr>
            <w:pStyle w:val="TOC3"/>
            <w:tabs>
              <w:tab w:pos="8708" w:val="left" w:leader="dot"/>
            </w:tabs>
          </w:pPr>
          <w:hyperlink w:history="true" w:anchor="_TOC_250101">
            <w:r>
              <w:rPr>
                <w:color w:val="4D4D4F"/>
                <w:w w:val="95"/>
              </w:rPr>
              <w:t>Intrinsic</w:t>
            </w:r>
            <w:r>
              <w:rPr>
                <w:color w:val="4D4D4F"/>
                <w:spacing w:val="-41"/>
                <w:w w:val="95"/>
              </w:rPr>
              <w:t> </w:t>
            </w:r>
            <w:r>
              <w:rPr>
                <w:color w:val="4D4D4F"/>
                <w:w w:val="95"/>
              </w:rPr>
              <w:t>Activity</w:t>
              <w:tab/>
            </w:r>
            <w:r>
              <w:rPr>
                <w:color w:val="4D4D4F"/>
                <w:spacing w:val="-4"/>
                <w:w w:val="95"/>
              </w:rPr>
              <w:t>3-13</w:t>
            </w:r>
          </w:hyperlink>
        </w:p>
        <w:p>
          <w:pPr>
            <w:pStyle w:val="TOC1"/>
            <w:tabs>
              <w:tab w:pos="8708" w:val="left" w:leader="dot"/>
            </w:tabs>
            <w:rPr>
              <w:rFonts w:ascii="Lucida Sans"/>
              <w:b w:val="0"/>
              <w:sz w:val="20"/>
            </w:rPr>
          </w:pPr>
          <w:hyperlink w:history="true" w:anchor="_TOC_250100">
            <w:r>
              <w:rPr>
                <w:color w:val="147692"/>
              </w:rPr>
              <w:t>Overview</w:t>
            </w:r>
            <w:r>
              <w:rPr>
                <w:color w:val="147692"/>
                <w:spacing w:val="-22"/>
              </w:rPr>
              <w:t> </w:t>
            </w:r>
            <w:r>
              <w:rPr>
                <w:color w:val="147692"/>
              </w:rPr>
              <w:t>of</w:t>
            </w:r>
            <w:r>
              <w:rPr>
                <w:color w:val="147692"/>
                <w:spacing w:val="-21"/>
              </w:rPr>
              <w:t> </w:t>
            </w:r>
            <w:r>
              <w:rPr>
                <w:color w:val="147692"/>
              </w:rPr>
              <w:t>Medication</w:t>
            </w:r>
            <w:r>
              <w:rPr>
                <w:color w:val="147692"/>
                <w:spacing w:val="-21"/>
              </w:rPr>
              <w:t> </w:t>
            </w:r>
            <w:r>
              <w:rPr>
                <w:color w:val="147692"/>
              </w:rPr>
              <w:t>Indications</w:t>
            </w:r>
            <w:r>
              <w:rPr>
                <w:color w:val="147692"/>
                <w:spacing w:val="-21"/>
              </w:rPr>
              <w:t> </w:t>
            </w:r>
            <w:r>
              <w:rPr>
                <w:color w:val="147692"/>
              </w:rPr>
              <w:t>and</w:t>
            </w:r>
            <w:r>
              <w:rPr>
                <w:color w:val="147692"/>
                <w:spacing w:val="-21"/>
              </w:rPr>
              <w:t> </w:t>
            </w:r>
            <w:r>
              <w:rPr>
                <w:color w:val="147692"/>
              </w:rPr>
              <w:t>Dosing</w:t>
              <w:tab/>
            </w:r>
            <w:r>
              <w:rPr>
                <w:rFonts w:ascii="Lucida Sans"/>
                <w:b w:val="0"/>
                <w:color w:val="4D4D4F"/>
                <w:spacing w:val="-4"/>
                <w:sz w:val="20"/>
              </w:rPr>
              <w:t>3-13</w:t>
            </w:r>
          </w:hyperlink>
        </w:p>
        <w:p>
          <w:pPr>
            <w:pStyle w:val="TOC2"/>
            <w:tabs>
              <w:tab w:pos="8709" w:val="left" w:leader="dot"/>
            </w:tabs>
            <w:rPr>
              <w:sz w:val="20"/>
            </w:rPr>
          </w:pPr>
          <w:hyperlink w:history="true" w:anchor="_TOC_250099">
            <w:r>
              <w:rPr>
                <w:color w:val="231F20"/>
                <w:spacing w:val="4"/>
                <w:w w:val="95"/>
              </w:rPr>
              <w:t>CHAPTER</w:t>
            </w:r>
            <w:r>
              <w:rPr>
                <w:color w:val="231F20"/>
                <w:spacing w:val="-18"/>
                <w:w w:val="95"/>
              </w:rPr>
              <w:t> </w:t>
            </w:r>
            <w:r>
              <w:rPr>
                <w:color w:val="231F20"/>
                <w:w w:val="95"/>
              </w:rPr>
              <w:t>3B:</w:t>
            </w:r>
            <w:r>
              <w:rPr>
                <w:color w:val="231F20"/>
                <w:spacing w:val="-18"/>
                <w:w w:val="95"/>
              </w:rPr>
              <w:t> </w:t>
            </w:r>
            <w:r>
              <w:rPr>
                <w:color w:val="231F20"/>
                <w:spacing w:val="4"/>
                <w:w w:val="95"/>
              </w:rPr>
              <w:t>METHADONE</w:t>
              <w:tab/>
            </w:r>
            <w:r>
              <w:rPr>
                <w:color w:val="4D4D4F"/>
                <w:spacing w:val="-4"/>
                <w:sz w:val="20"/>
              </w:rPr>
              <w:t>3-17</w:t>
            </w:r>
          </w:hyperlink>
        </w:p>
        <w:p>
          <w:pPr>
            <w:pStyle w:val="TOC4"/>
            <w:tabs>
              <w:tab w:pos="8709" w:val="left" w:leader="dot"/>
            </w:tabs>
            <w:rPr>
              <w:rFonts w:ascii="Lucida Sans"/>
              <w:b w:val="0"/>
              <w:i w:val="0"/>
              <w:sz w:val="20"/>
            </w:rPr>
          </w:pPr>
          <w:hyperlink w:history="true" w:anchor="_TOC_250098">
            <w:r>
              <w:rPr>
                <w:i w:val="0"/>
                <w:color w:val="147692"/>
                <w:w w:val="95"/>
                <w:sz w:val="24"/>
              </w:rPr>
              <w:t>Formulations</w:t>
              <w:tab/>
            </w:r>
            <w:r>
              <w:rPr>
                <w:rFonts w:ascii="Lucida Sans"/>
                <w:b w:val="0"/>
                <w:i w:val="0"/>
                <w:color w:val="4D4D4F"/>
                <w:spacing w:val="-4"/>
                <w:sz w:val="20"/>
              </w:rPr>
              <w:t>3-17</w:t>
            </w:r>
          </w:hyperlink>
        </w:p>
        <w:p>
          <w:pPr>
            <w:pStyle w:val="TOC4"/>
            <w:tabs>
              <w:tab w:pos="8709" w:val="left" w:leader="dot"/>
            </w:tabs>
            <w:spacing w:before="122"/>
            <w:rPr>
              <w:rFonts w:ascii="Lucida Sans"/>
              <w:b w:val="0"/>
              <w:i w:val="0"/>
              <w:sz w:val="20"/>
            </w:rPr>
          </w:pPr>
          <w:hyperlink w:history="true" w:anchor="_TOC_250097">
            <w:r>
              <w:rPr>
                <w:i w:val="0"/>
                <w:color w:val="147692"/>
                <w:sz w:val="24"/>
              </w:rPr>
              <w:t>Pharmacology</w:t>
              <w:tab/>
            </w:r>
            <w:r>
              <w:rPr>
                <w:rFonts w:ascii="Lucida Sans"/>
                <w:b w:val="0"/>
                <w:i w:val="0"/>
                <w:color w:val="4D4D4F"/>
                <w:spacing w:val="-4"/>
                <w:sz w:val="20"/>
              </w:rPr>
              <w:t>3-17</w:t>
            </w:r>
          </w:hyperlink>
        </w:p>
        <w:p>
          <w:pPr>
            <w:pStyle w:val="TOC1"/>
            <w:tabs>
              <w:tab w:pos="8703" w:val="left" w:leader="dot"/>
            </w:tabs>
            <w:spacing w:before="123"/>
            <w:rPr>
              <w:rFonts w:ascii="Lucida Sans"/>
              <w:b w:val="0"/>
              <w:sz w:val="20"/>
            </w:rPr>
          </w:pPr>
          <w:hyperlink w:history="true" w:anchor="_TOC_250096">
            <w:r>
              <w:rPr>
                <w:color w:val="147692"/>
              </w:rPr>
              <w:t>Bioavailability</w:t>
              <w:tab/>
            </w:r>
            <w:r>
              <w:rPr>
                <w:rFonts w:ascii="Lucida Sans"/>
                <w:b w:val="0"/>
                <w:color w:val="4D4D4F"/>
                <w:spacing w:val="-3"/>
                <w:sz w:val="20"/>
              </w:rPr>
              <w:t>3-18</w:t>
            </w:r>
          </w:hyperlink>
        </w:p>
        <w:p>
          <w:pPr>
            <w:pStyle w:val="TOC1"/>
            <w:tabs>
              <w:tab w:pos="8703" w:val="left" w:leader="dot"/>
            </w:tabs>
            <w:spacing w:before="122"/>
            <w:rPr>
              <w:rFonts w:ascii="Lucida Sans"/>
              <w:b w:val="0"/>
              <w:sz w:val="20"/>
            </w:rPr>
          </w:pPr>
          <w:hyperlink w:history="true" w:anchor="_TOC_250095">
            <w:r>
              <w:rPr>
                <w:color w:val="147692"/>
              </w:rPr>
              <w:t>Dosing</w:t>
            </w:r>
            <w:r>
              <w:rPr>
                <w:color w:val="147692"/>
                <w:spacing w:val="-39"/>
              </w:rPr>
              <w:t> </w:t>
            </w:r>
            <w:r>
              <w:rPr>
                <w:color w:val="147692"/>
              </w:rPr>
              <w:t>Considerations</w:t>
              <w:tab/>
            </w:r>
            <w:r>
              <w:rPr>
                <w:rFonts w:ascii="Lucida Sans"/>
                <w:b w:val="0"/>
                <w:color w:val="4D4D4F"/>
                <w:spacing w:val="-3"/>
                <w:sz w:val="20"/>
              </w:rPr>
              <w:t>3-18</w:t>
            </w:r>
          </w:hyperlink>
        </w:p>
        <w:p>
          <w:pPr>
            <w:pStyle w:val="TOC1"/>
            <w:tabs>
              <w:tab w:pos="8703" w:val="left" w:leader="dot"/>
            </w:tabs>
            <w:spacing w:before="123"/>
            <w:rPr>
              <w:rFonts w:ascii="Lucida Sans"/>
              <w:b w:val="0"/>
              <w:sz w:val="20"/>
            </w:rPr>
          </w:pPr>
          <w:hyperlink w:history="true" w:anchor="_TOC_250094">
            <w:r>
              <w:rPr>
                <w:color w:val="147692"/>
                <w:w w:val="95"/>
              </w:rPr>
              <w:t>Contraindications</w:t>
              <w:tab/>
            </w:r>
            <w:r>
              <w:rPr>
                <w:rFonts w:ascii="Lucida Sans"/>
                <w:b w:val="0"/>
                <w:color w:val="4D4D4F"/>
                <w:spacing w:val="-3"/>
                <w:sz w:val="20"/>
              </w:rPr>
              <w:t>3-18</w:t>
            </w:r>
          </w:hyperlink>
        </w:p>
        <w:p>
          <w:pPr>
            <w:pStyle w:val="TOC3"/>
            <w:tabs>
              <w:tab w:pos="8703" w:val="left" w:leader="dot"/>
            </w:tabs>
            <w:spacing w:before="34"/>
            <w:ind w:left="1148"/>
          </w:pPr>
          <w:hyperlink w:history="true" w:anchor="_TOC_250093">
            <w:r>
              <w:rPr>
                <w:color w:val="4D4D4F"/>
                <w:w w:val="95"/>
              </w:rPr>
              <w:t>Precautions</w:t>
            </w:r>
            <w:r>
              <w:rPr>
                <w:color w:val="4D4D4F"/>
                <w:spacing w:val="-35"/>
                <w:w w:val="95"/>
              </w:rPr>
              <w:t> </w:t>
            </w:r>
            <w:r>
              <w:rPr>
                <w:color w:val="4D4D4F"/>
                <w:w w:val="95"/>
              </w:rPr>
              <w:t>and</w:t>
            </w:r>
            <w:r>
              <w:rPr>
                <w:color w:val="4D4D4F"/>
                <w:spacing w:val="-35"/>
                <w:w w:val="95"/>
              </w:rPr>
              <w:t> </w:t>
            </w:r>
            <w:r>
              <w:rPr>
                <w:color w:val="4D4D4F"/>
                <w:w w:val="95"/>
              </w:rPr>
              <w:t>Warnings</w:t>
              <w:tab/>
            </w:r>
            <w:r>
              <w:rPr>
                <w:color w:val="4D4D4F"/>
                <w:spacing w:val="-3"/>
              </w:rPr>
              <w:t>3-18</w:t>
            </w:r>
          </w:hyperlink>
        </w:p>
        <w:p>
          <w:pPr>
            <w:pStyle w:val="TOC3"/>
            <w:tabs>
              <w:tab w:pos="8695" w:val="left" w:leader="dot"/>
            </w:tabs>
            <w:ind w:left="1148"/>
          </w:pPr>
          <w:hyperlink w:history="true" w:anchor="_TOC_250092">
            <w:r>
              <w:rPr>
                <w:color w:val="4D4D4F"/>
                <w:w w:val="95"/>
              </w:rPr>
              <w:t>Drug</w:t>
            </w:r>
            <w:r>
              <w:rPr>
                <w:color w:val="4D4D4F"/>
                <w:spacing w:val="-35"/>
                <w:w w:val="95"/>
              </w:rPr>
              <w:t> </w:t>
            </w:r>
            <w:r>
              <w:rPr>
                <w:color w:val="4D4D4F"/>
                <w:w w:val="95"/>
              </w:rPr>
              <w:t>Interactions</w:t>
              <w:tab/>
            </w:r>
            <w:r>
              <w:rPr>
                <w:color w:val="4D4D4F"/>
              </w:rPr>
              <w:t>3-22</w:t>
            </w:r>
          </w:hyperlink>
        </w:p>
        <w:p>
          <w:pPr>
            <w:pStyle w:val="TOC3"/>
            <w:tabs>
              <w:tab w:pos="8695" w:val="left" w:leader="dot"/>
            </w:tabs>
            <w:ind w:left="1148"/>
          </w:pPr>
          <w:hyperlink w:history="true" w:anchor="_TOC_250091">
            <w:r>
              <w:rPr>
                <w:color w:val="4D4D4F"/>
              </w:rPr>
              <w:t>Side</w:t>
            </w:r>
            <w:r>
              <w:rPr>
                <w:color w:val="4D4D4F"/>
                <w:spacing w:val="-45"/>
              </w:rPr>
              <w:t> </w:t>
            </w:r>
            <w:r>
              <w:rPr>
                <w:color w:val="4D4D4F"/>
              </w:rPr>
              <w:t>Effects</w:t>
              <w:tab/>
              <w:t>3-25</w:t>
            </w:r>
          </w:hyperlink>
        </w:p>
        <w:p>
          <w:pPr>
            <w:pStyle w:val="TOC3"/>
            <w:tabs>
              <w:tab w:pos="8695" w:val="left" w:leader="dot"/>
            </w:tabs>
            <w:ind w:left="1148"/>
          </w:pPr>
          <w:hyperlink w:history="true" w:anchor="_TOC_250090">
            <w:r>
              <w:rPr>
                <w:color w:val="4D4D4F"/>
                <w:w w:val="90"/>
              </w:rPr>
              <w:t>Assessment</w:t>
              <w:tab/>
            </w:r>
            <w:r>
              <w:rPr>
                <w:color w:val="4D4D4F"/>
                <w:w w:val="95"/>
              </w:rPr>
              <w:t>3-25</w:t>
            </w:r>
          </w:hyperlink>
        </w:p>
        <w:p>
          <w:pPr>
            <w:pStyle w:val="TOC3"/>
            <w:tabs>
              <w:tab w:pos="8700" w:val="left" w:leader="dot"/>
            </w:tabs>
            <w:ind w:left="1148"/>
          </w:pPr>
          <w:hyperlink w:history="true" w:anchor="_TOC_250089">
            <w:r>
              <w:rPr>
                <w:color w:val="4D4D4F"/>
                <w:w w:val="95"/>
              </w:rPr>
              <w:t>Patient</w:t>
            </w:r>
            <w:r>
              <w:rPr>
                <w:color w:val="4D4D4F"/>
                <w:spacing w:val="-28"/>
                <w:w w:val="95"/>
              </w:rPr>
              <w:t> </w:t>
            </w:r>
            <w:r>
              <w:rPr>
                <w:color w:val="4D4D4F"/>
                <w:w w:val="95"/>
              </w:rPr>
              <w:t>Selection</w:t>
              <w:tab/>
            </w:r>
            <w:r>
              <w:rPr>
                <w:color w:val="4D4D4F"/>
              </w:rPr>
              <w:t>3-27</w:t>
            </w:r>
          </w:hyperlink>
        </w:p>
        <w:p>
          <w:pPr>
            <w:pStyle w:val="TOC3"/>
            <w:tabs>
              <w:tab w:pos="8700" w:val="left" w:leader="dot"/>
            </w:tabs>
            <w:ind w:left="1148"/>
          </w:pPr>
          <w:hyperlink w:history="true" w:anchor="_TOC_250088">
            <w:r>
              <w:rPr>
                <w:color w:val="4D4D4F"/>
                <w:w w:val="95"/>
              </w:rPr>
              <w:t>Informed</w:t>
            </w:r>
            <w:r>
              <w:rPr>
                <w:color w:val="4D4D4F"/>
                <w:spacing w:val="-36"/>
                <w:w w:val="95"/>
              </w:rPr>
              <w:t> </w:t>
            </w:r>
            <w:r>
              <w:rPr>
                <w:color w:val="4D4D4F"/>
                <w:w w:val="95"/>
              </w:rPr>
              <w:t>Consent</w:t>
              <w:tab/>
            </w:r>
            <w:r>
              <w:rPr>
                <w:color w:val="4D4D4F"/>
              </w:rPr>
              <w:t>3-27</w:t>
            </w:r>
          </w:hyperlink>
        </w:p>
        <w:p>
          <w:pPr>
            <w:pStyle w:val="TOC1"/>
            <w:tabs>
              <w:tab w:pos="8695" w:val="left" w:leader="dot"/>
            </w:tabs>
            <w:rPr>
              <w:rFonts w:ascii="Lucida Sans"/>
              <w:b w:val="0"/>
              <w:sz w:val="20"/>
            </w:rPr>
          </w:pPr>
          <w:hyperlink w:history="true" w:anchor="_TOC_250087">
            <w:r>
              <w:rPr>
                <w:color w:val="147692"/>
              </w:rPr>
              <w:t>Initiating</w:t>
            </w:r>
            <w:r>
              <w:rPr>
                <w:color w:val="147692"/>
                <w:spacing w:val="-43"/>
              </w:rPr>
              <w:t> </w:t>
            </w:r>
            <w:r>
              <w:rPr>
                <w:color w:val="147692"/>
              </w:rPr>
              <w:t>Methadone</w:t>
            </w:r>
            <w:r>
              <w:rPr>
                <w:color w:val="147692"/>
                <w:spacing w:val="-42"/>
              </w:rPr>
              <w:t> </w:t>
            </w:r>
            <w:r>
              <w:rPr>
                <w:color w:val="147692"/>
              </w:rPr>
              <w:t>Treatment</w:t>
              <w:tab/>
            </w:r>
            <w:r>
              <w:rPr>
                <w:rFonts w:ascii="Lucida Sans"/>
                <w:b w:val="0"/>
                <w:color w:val="4D4D4F"/>
                <w:sz w:val="20"/>
              </w:rPr>
              <w:t>3-29</w:t>
            </w:r>
          </w:hyperlink>
        </w:p>
        <w:p>
          <w:pPr>
            <w:pStyle w:val="TOC3"/>
            <w:tabs>
              <w:tab w:pos="8695" w:val="left" w:leader="dot"/>
            </w:tabs>
            <w:spacing w:before="35"/>
          </w:pPr>
          <w:hyperlink w:history="true" w:anchor="_TOC_250086">
            <w:r>
              <w:rPr>
                <w:color w:val="4D4D4F"/>
                <w:spacing w:val="-3"/>
                <w:w w:val="95"/>
              </w:rPr>
              <w:t>Day</w:t>
            </w:r>
            <w:r>
              <w:rPr>
                <w:color w:val="4D4D4F"/>
                <w:spacing w:val="-17"/>
                <w:w w:val="95"/>
              </w:rPr>
              <w:t> </w:t>
            </w:r>
            <w:r>
              <w:rPr>
                <w:color w:val="4D4D4F"/>
                <w:w w:val="95"/>
              </w:rPr>
              <w:t>1</w:t>
              <w:tab/>
              <w:t>3-29</w:t>
            </w:r>
          </w:hyperlink>
        </w:p>
        <w:p>
          <w:pPr>
            <w:pStyle w:val="TOC3"/>
            <w:tabs>
              <w:tab w:pos="8695" w:val="left" w:leader="dot"/>
            </w:tabs>
          </w:pPr>
          <w:hyperlink w:history="true" w:anchor="_TOC_250085">
            <w:r>
              <w:rPr>
                <w:color w:val="4D4D4F"/>
              </w:rPr>
              <w:t>Dose</w:t>
            </w:r>
            <w:r>
              <w:rPr>
                <w:color w:val="4D4D4F"/>
                <w:spacing w:val="-44"/>
              </w:rPr>
              <w:t> </w:t>
            </w:r>
            <w:r>
              <w:rPr>
                <w:color w:val="4D4D4F"/>
              </w:rPr>
              <w:t>Titration</w:t>
            </w:r>
            <w:r>
              <w:rPr>
                <w:color w:val="4D4D4F"/>
                <w:spacing w:val="-43"/>
              </w:rPr>
              <w:t> </w:t>
            </w:r>
            <w:r>
              <w:rPr>
                <w:color w:val="4D4D4F"/>
              </w:rPr>
              <w:t>(Weeks</w:t>
            </w:r>
            <w:r>
              <w:rPr>
                <w:color w:val="4D4D4F"/>
                <w:spacing w:val="-44"/>
              </w:rPr>
              <w:t> </w:t>
            </w:r>
            <w:r>
              <w:rPr>
                <w:color w:val="4D4D4F"/>
              </w:rPr>
              <w:t>1</w:t>
            </w:r>
            <w:r>
              <w:rPr>
                <w:color w:val="4D4D4F"/>
                <w:spacing w:val="-43"/>
              </w:rPr>
              <w:t> </w:t>
            </w:r>
            <w:r>
              <w:rPr>
                <w:color w:val="4D4D4F"/>
              </w:rPr>
              <w:t>to</w:t>
            </w:r>
            <w:r>
              <w:rPr>
                <w:color w:val="4D4D4F"/>
                <w:spacing w:val="-44"/>
              </w:rPr>
              <w:t> </w:t>
            </w:r>
            <w:r>
              <w:rPr>
                <w:color w:val="4D4D4F"/>
              </w:rPr>
              <w:t>2)</w:t>
              <w:tab/>
              <w:t>3-30</w:t>
            </w:r>
          </w:hyperlink>
        </w:p>
        <w:p>
          <w:pPr>
            <w:pStyle w:val="TOC3"/>
            <w:tabs>
              <w:tab w:pos="8704" w:val="left" w:leader="dot"/>
            </w:tabs>
          </w:pPr>
          <w:r>
            <w:rPr>
              <w:color w:val="4D4D4F"/>
            </w:rPr>
            <w:t>Dose</w:t>
          </w:r>
          <w:r>
            <w:rPr>
              <w:color w:val="4D4D4F"/>
              <w:spacing w:val="-44"/>
            </w:rPr>
            <w:t> </w:t>
          </w:r>
          <w:r>
            <w:rPr>
              <w:color w:val="4D4D4F"/>
            </w:rPr>
            <w:t>Titration</w:t>
          </w:r>
          <w:r>
            <w:rPr>
              <w:color w:val="4D4D4F"/>
              <w:spacing w:val="-43"/>
            </w:rPr>
            <w:t> </w:t>
          </w:r>
          <w:r>
            <w:rPr>
              <w:color w:val="4D4D4F"/>
            </w:rPr>
            <w:t>(Weeks</w:t>
          </w:r>
          <w:r>
            <w:rPr>
              <w:color w:val="4D4D4F"/>
              <w:spacing w:val="-44"/>
            </w:rPr>
            <w:t> </w:t>
          </w:r>
          <w:r>
            <w:rPr>
              <w:color w:val="4D4D4F"/>
            </w:rPr>
            <w:t>3</w:t>
          </w:r>
          <w:r>
            <w:rPr>
              <w:color w:val="4D4D4F"/>
              <w:spacing w:val="-43"/>
            </w:rPr>
            <w:t> </w:t>
          </w:r>
          <w:r>
            <w:rPr>
              <w:color w:val="4D4D4F"/>
            </w:rPr>
            <w:t>to</w:t>
          </w:r>
          <w:r>
            <w:rPr>
              <w:color w:val="4D4D4F"/>
              <w:spacing w:val="-44"/>
            </w:rPr>
            <w:t> </w:t>
          </w:r>
          <w:r>
            <w:rPr>
              <w:color w:val="4D4D4F"/>
            </w:rPr>
            <w:t>4)</w:t>
            <w:tab/>
          </w:r>
          <w:r>
            <w:rPr>
              <w:color w:val="4D4D4F"/>
              <w:spacing w:val="-3"/>
            </w:rPr>
            <w:t>3-31</w:t>
          </w:r>
        </w:p>
        <w:p>
          <w:pPr>
            <w:pStyle w:val="TOC3"/>
            <w:tabs>
              <w:tab w:pos="8704" w:val="left" w:leader="dot"/>
            </w:tabs>
          </w:pPr>
          <w:hyperlink w:history="true" w:anchor="_TOC_250084">
            <w:r>
              <w:rPr>
                <w:color w:val="4D4D4F"/>
                <w:w w:val="95"/>
              </w:rPr>
              <w:t>Serum</w:t>
            </w:r>
            <w:r>
              <w:rPr>
                <w:color w:val="4D4D4F"/>
                <w:spacing w:val="-35"/>
                <w:w w:val="95"/>
              </w:rPr>
              <w:t> </w:t>
            </w:r>
            <w:r>
              <w:rPr>
                <w:color w:val="4D4D4F"/>
                <w:w w:val="95"/>
              </w:rPr>
              <w:t>Levels</w:t>
              <w:tab/>
            </w:r>
            <w:r>
              <w:rPr>
                <w:color w:val="4D4D4F"/>
                <w:spacing w:val="-3"/>
                <w:w w:val="95"/>
              </w:rPr>
              <w:t>3-31</w:t>
            </w:r>
          </w:hyperlink>
        </w:p>
        <w:p>
          <w:pPr>
            <w:pStyle w:val="TOC3"/>
            <w:tabs>
              <w:tab w:pos="8695" w:val="left" w:leader="dot"/>
            </w:tabs>
          </w:pPr>
          <w:r>
            <w:rPr>
              <w:color w:val="4D4D4F"/>
              <w:w w:val="95"/>
            </w:rPr>
            <w:t>Dose</w:t>
          </w:r>
          <w:r>
            <w:rPr>
              <w:color w:val="4D4D4F"/>
              <w:spacing w:val="-26"/>
              <w:w w:val="95"/>
            </w:rPr>
            <w:t> </w:t>
          </w:r>
          <w:r>
            <w:rPr>
              <w:color w:val="4D4D4F"/>
              <w:w w:val="95"/>
            </w:rPr>
            <w:t>Stabilization</w:t>
          </w:r>
          <w:r>
            <w:rPr>
              <w:color w:val="4D4D4F"/>
              <w:spacing w:val="-25"/>
              <w:w w:val="95"/>
            </w:rPr>
            <w:t> </w:t>
          </w:r>
          <w:r>
            <w:rPr>
              <w:color w:val="4D4D4F"/>
              <w:w w:val="95"/>
            </w:rPr>
            <w:t>(Week</w:t>
          </w:r>
          <w:r>
            <w:rPr>
              <w:color w:val="4D4D4F"/>
              <w:spacing w:val="-25"/>
              <w:w w:val="95"/>
            </w:rPr>
            <w:t> </w:t>
          </w:r>
          <w:r>
            <w:rPr>
              <w:color w:val="4D4D4F"/>
              <w:w w:val="95"/>
            </w:rPr>
            <w:t>5</w:t>
          </w:r>
          <w:r>
            <w:rPr>
              <w:color w:val="4D4D4F"/>
              <w:spacing w:val="-25"/>
              <w:w w:val="95"/>
            </w:rPr>
            <w:t> </w:t>
          </w:r>
          <w:r>
            <w:rPr>
              <w:color w:val="4D4D4F"/>
              <w:w w:val="95"/>
            </w:rPr>
            <w:t>and</w:t>
          </w:r>
          <w:r>
            <w:rPr>
              <w:color w:val="4D4D4F"/>
              <w:spacing w:val="-25"/>
              <w:w w:val="95"/>
            </w:rPr>
            <w:t> </w:t>
          </w:r>
          <w:r>
            <w:rPr>
              <w:color w:val="4D4D4F"/>
              <w:w w:val="95"/>
            </w:rPr>
            <w:t>Beyond)</w:t>
            <w:tab/>
          </w:r>
          <w:r>
            <w:rPr>
              <w:color w:val="4D4D4F"/>
            </w:rPr>
            <w:t>3-32</w:t>
          </w:r>
        </w:p>
        <w:p>
          <w:pPr>
            <w:pStyle w:val="TOC3"/>
            <w:tabs>
              <w:tab w:pos="8695" w:val="left" w:leader="dot"/>
            </w:tabs>
            <w:spacing w:after="240"/>
          </w:pPr>
          <w:hyperlink w:history="true" w:anchor="_TOC_250083">
            <w:r>
              <w:rPr>
                <w:color w:val="4D4D4F"/>
                <w:spacing w:val="-3"/>
                <w:w w:val="95"/>
              </w:rPr>
              <w:t>Take-Home</w:t>
            </w:r>
            <w:r>
              <w:rPr>
                <w:color w:val="4D4D4F"/>
                <w:spacing w:val="-34"/>
                <w:w w:val="95"/>
              </w:rPr>
              <w:t> </w:t>
            </w:r>
            <w:r>
              <w:rPr>
                <w:color w:val="4D4D4F"/>
                <w:w w:val="95"/>
              </w:rPr>
              <w:t>Medication</w:t>
              <w:tab/>
            </w:r>
            <w:r>
              <w:rPr>
                <w:color w:val="4D4D4F"/>
              </w:rPr>
              <w:t>3-32</w:t>
            </w:r>
          </w:hyperlink>
        </w:p>
        <w:p>
          <w:pPr>
            <w:pStyle w:val="TOC1"/>
            <w:tabs>
              <w:tab w:pos="9067" w:val="right" w:leader="dot"/>
            </w:tabs>
            <w:spacing w:before="414"/>
            <w:rPr>
              <w:rFonts w:ascii="Lucida Sans"/>
              <w:b w:val="0"/>
              <w:sz w:val="20"/>
            </w:rPr>
          </w:pPr>
          <w:hyperlink w:history="true" w:anchor="_TOC_250082">
            <w:r>
              <w:rPr>
                <w:color w:val="147692"/>
              </w:rPr>
              <w:t>Duration of</w:t>
            </w:r>
            <w:r>
              <w:rPr>
                <w:color w:val="147692"/>
                <w:spacing w:val="-22"/>
              </w:rPr>
              <w:t> </w:t>
            </w:r>
            <w:r>
              <w:rPr>
                <w:color w:val="147692"/>
              </w:rPr>
              <w:t>Methadone</w:t>
            </w:r>
            <w:r>
              <w:rPr>
                <w:color w:val="147692"/>
                <w:spacing w:val="-11"/>
              </w:rPr>
              <w:t> </w:t>
            </w:r>
            <w:r>
              <w:rPr>
                <w:color w:val="147692"/>
              </w:rPr>
              <w:t>Treatment</w:t>
              <w:tab/>
            </w:r>
            <w:r>
              <w:rPr>
                <w:rFonts w:ascii="Lucida Sans"/>
                <w:b w:val="0"/>
                <w:color w:val="4D4D4F"/>
                <w:sz w:val="20"/>
              </w:rPr>
              <w:t>3-33</w:t>
            </w:r>
          </w:hyperlink>
        </w:p>
        <w:p>
          <w:pPr>
            <w:pStyle w:val="TOC3"/>
            <w:tabs>
              <w:tab w:pos="9067" w:val="right" w:leader="dot"/>
            </w:tabs>
            <w:spacing w:before="35"/>
          </w:pPr>
          <w:hyperlink w:history="true" w:anchor="_TOC_250081">
            <w:r>
              <w:rPr>
                <w:color w:val="4D4D4F"/>
              </w:rPr>
              <w:t>Dose</w:t>
            </w:r>
            <w:r>
              <w:rPr>
                <w:color w:val="4D4D4F"/>
                <w:spacing w:val="-21"/>
              </w:rPr>
              <w:t> </w:t>
            </w:r>
            <w:r>
              <w:rPr>
                <w:color w:val="4D4D4F"/>
                <w:spacing w:val="-3"/>
              </w:rPr>
              <w:t>Tapering</w:t>
            </w:r>
            <w:r>
              <w:rPr>
                <w:color w:val="4D4D4F"/>
                <w:spacing w:val="-20"/>
              </w:rPr>
              <w:t> </w:t>
            </w:r>
            <w:r>
              <w:rPr>
                <w:color w:val="4D4D4F"/>
              </w:rPr>
              <w:t>and</w:t>
            </w:r>
            <w:r>
              <w:rPr>
                <w:color w:val="4D4D4F"/>
                <w:spacing w:val="-20"/>
              </w:rPr>
              <w:t> </w:t>
            </w:r>
            <w:r>
              <w:rPr>
                <w:color w:val="4D4D4F"/>
              </w:rPr>
              <w:t>Methadone</w:t>
            </w:r>
            <w:r>
              <w:rPr>
                <w:color w:val="4D4D4F"/>
                <w:spacing w:val="-21"/>
              </w:rPr>
              <w:t> </w:t>
            </w:r>
            <w:r>
              <w:rPr>
                <w:color w:val="4D4D4F"/>
              </w:rPr>
              <w:t>Discontinuation</w:t>
              <w:tab/>
              <w:t>3-34</w:t>
            </w:r>
          </w:hyperlink>
        </w:p>
        <w:p>
          <w:pPr>
            <w:pStyle w:val="TOC1"/>
            <w:tabs>
              <w:tab w:pos="9067" w:val="right" w:leader="dot"/>
            </w:tabs>
            <w:rPr>
              <w:rFonts w:ascii="Lucida Sans"/>
              <w:b w:val="0"/>
              <w:sz w:val="20"/>
            </w:rPr>
          </w:pPr>
          <w:hyperlink w:history="true" w:anchor="_TOC_250080">
            <w:r>
              <w:rPr>
                <w:color w:val="147692"/>
              </w:rPr>
              <w:t>Methadone</w:t>
            </w:r>
            <w:r>
              <w:rPr>
                <w:color w:val="147692"/>
                <w:spacing w:val="-10"/>
              </w:rPr>
              <w:t> </w:t>
            </w:r>
            <w:r>
              <w:rPr>
                <w:color w:val="147692"/>
              </w:rPr>
              <w:t>Dosing</w:t>
            </w:r>
            <w:r>
              <w:rPr>
                <w:color w:val="147692"/>
                <w:spacing w:val="-9"/>
              </w:rPr>
              <w:t> </w:t>
            </w:r>
            <w:r>
              <w:rPr>
                <w:color w:val="147692"/>
              </w:rPr>
              <w:t>Summary</w:t>
              <w:tab/>
            </w:r>
            <w:r>
              <w:rPr>
                <w:rFonts w:ascii="Lucida Sans"/>
                <w:b w:val="0"/>
                <w:color w:val="4D4D4F"/>
                <w:sz w:val="20"/>
              </w:rPr>
              <w:t>3-35</w:t>
            </w:r>
          </w:hyperlink>
        </w:p>
        <w:p>
          <w:pPr>
            <w:pStyle w:val="TOC1"/>
            <w:tabs>
              <w:tab w:pos="9067" w:val="right" w:leader="dot"/>
            </w:tabs>
            <w:spacing w:before="122"/>
            <w:rPr>
              <w:rFonts w:ascii="Lucida Sans"/>
              <w:b w:val="0"/>
              <w:sz w:val="20"/>
            </w:rPr>
          </w:pPr>
          <w:hyperlink w:history="true" w:anchor="_TOC_250079">
            <w:r>
              <w:rPr>
                <w:color w:val="147692"/>
              </w:rPr>
              <w:t>Enhancing</w:t>
            </w:r>
            <w:r>
              <w:rPr>
                <w:color w:val="147692"/>
                <w:spacing w:val="-15"/>
              </w:rPr>
              <w:t> </w:t>
            </w:r>
            <w:r>
              <w:rPr>
                <w:color w:val="147692"/>
              </w:rPr>
              <w:t>Access</w:t>
            </w:r>
            <w:r>
              <w:rPr>
                <w:color w:val="147692"/>
                <w:spacing w:val="-15"/>
              </w:rPr>
              <w:t> </w:t>
            </w:r>
            <w:r>
              <w:rPr>
                <w:color w:val="147692"/>
              </w:rPr>
              <w:t>to</w:t>
            </w:r>
            <w:r>
              <w:rPr>
                <w:color w:val="147692"/>
                <w:spacing w:val="-15"/>
              </w:rPr>
              <w:t> </w:t>
            </w:r>
            <w:r>
              <w:rPr>
                <w:color w:val="147692"/>
              </w:rPr>
              <w:t>OUD</w:t>
            </w:r>
            <w:r>
              <w:rPr>
                <w:color w:val="147692"/>
                <w:spacing w:val="-14"/>
              </w:rPr>
              <w:t> </w:t>
            </w:r>
            <w:r>
              <w:rPr>
                <w:color w:val="147692"/>
              </w:rPr>
              <w:t>Medication</w:t>
            </w:r>
            <w:r>
              <w:rPr>
                <w:color w:val="147692"/>
                <w:spacing w:val="-15"/>
              </w:rPr>
              <w:t> </w:t>
            </w:r>
            <w:r>
              <w:rPr>
                <w:color w:val="147692"/>
              </w:rPr>
              <w:t>in</w:t>
            </w:r>
            <w:r>
              <w:rPr>
                <w:color w:val="147692"/>
                <w:spacing w:val="-15"/>
              </w:rPr>
              <w:t> </w:t>
            </w:r>
            <w:r>
              <w:rPr>
                <w:color w:val="147692"/>
              </w:rPr>
              <w:t>OTPs</w:t>
              <w:tab/>
            </w:r>
            <w:r>
              <w:rPr>
                <w:rFonts w:ascii="Lucida Sans"/>
                <w:b w:val="0"/>
                <w:color w:val="4D4D4F"/>
                <w:sz w:val="20"/>
              </w:rPr>
              <w:t>3-35</w:t>
            </w:r>
          </w:hyperlink>
        </w:p>
        <w:p>
          <w:pPr>
            <w:pStyle w:val="TOC1"/>
            <w:tabs>
              <w:tab w:pos="9067" w:val="right" w:leader="dot"/>
            </w:tabs>
            <w:spacing w:before="123"/>
            <w:rPr>
              <w:rFonts w:ascii="Lucida Sans"/>
              <w:b w:val="0"/>
              <w:sz w:val="20"/>
            </w:rPr>
          </w:pPr>
          <w:hyperlink w:history="true" w:anchor="_TOC_250078">
            <w:r>
              <w:rPr>
                <w:color w:val="147692"/>
              </w:rPr>
              <w:t>Chapter</w:t>
            </w:r>
            <w:r>
              <w:rPr>
                <w:color w:val="147692"/>
                <w:spacing w:val="-10"/>
              </w:rPr>
              <w:t> </w:t>
            </w:r>
            <w:r>
              <w:rPr>
                <w:color w:val="147692"/>
              </w:rPr>
              <w:t>3B</w:t>
            </w:r>
            <w:r>
              <w:rPr>
                <w:color w:val="147692"/>
                <w:spacing w:val="-9"/>
              </w:rPr>
              <w:t> </w:t>
            </w:r>
            <w:r>
              <w:rPr>
                <w:color w:val="147692"/>
              </w:rPr>
              <w:t>Appendix</w:t>
              <w:tab/>
            </w:r>
            <w:r>
              <w:rPr>
                <w:rFonts w:ascii="Lucida Sans"/>
                <w:b w:val="0"/>
                <w:color w:val="4D4D4F"/>
                <w:sz w:val="20"/>
              </w:rPr>
              <w:t>3-36</w:t>
            </w:r>
          </w:hyperlink>
        </w:p>
        <w:p>
          <w:pPr>
            <w:pStyle w:val="TOC3"/>
            <w:tabs>
              <w:tab w:pos="9067" w:val="right" w:leader="dot"/>
            </w:tabs>
            <w:spacing w:before="34"/>
            <w:ind w:left="1148"/>
          </w:pPr>
          <w:hyperlink w:history="true" w:anchor="_TOC_250077">
            <w:r>
              <w:rPr>
                <w:color w:val="4D4D4F"/>
              </w:rPr>
              <w:t>Sample</w:t>
            </w:r>
            <w:r>
              <w:rPr>
                <w:color w:val="4D4D4F"/>
                <w:spacing w:val="-37"/>
              </w:rPr>
              <w:t> </w:t>
            </w:r>
            <w:r>
              <w:rPr>
                <w:color w:val="4D4D4F"/>
              </w:rPr>
              <w:t>Standard</w:t>
            </w:r>
            <w:r>
              <w:rPr>
                <w:color w:val="4D4D4F"/>
                <w:spacing w:val="-37"/>
              </w:rPr>
              <w:t> </w:t>
            </w:r>
            <w:r>
              <w:rPr>
                <w:color w:val="4D4D4F"/>
              </w:rPr>
              <w:t>Consent</w:t>
            </w:r>
            <w:r>
              <w:rPr>
                <w:color w:val="4D4D4F"/>
                <w:spacing w:val="-37"/>
              </w:rPr>
              <w:t> </w:t>
            </w:r>
            <w:r>
              <w:rPr>
                <w:color w:val="4D4D4F"/>
              </w:rPr>
              <w:t>to</w:t>
            </w:r>
            <w:r>
              <w:rPr>
                <w:color w:val="4D4D4F"/>
                <w:spacing w:val="-37"/>
              </w:rPr>
              <w:t> </w:t>
            </w:r>
            <w:r>
              <w:rPr>
                <w:color w:val="4D4D4F"/>
              </w:rPr>
              <w:t>Opioid</w:t>
            </w:r>
            <w:r>
              <w:rPr>
                <w:color w:val="4D4D4F"/>
                <w:spacing w:val="-36"/>
              </w:rPr>
              <w:t> </w:t>
            </w:r>
            <w:r>
              <w:rPr>
                <w:color w:val="4D4D4F"/>
              </w:rPr>
              <w:t>Maintenance</w:t>
            </w:r>
            <w:r>
              <w:rPr>
                <w:color w:val="4D4D4F"/>
                <w:spacing w:val="-37"/>
              </w:rPr>
              <w:t> </w:t>
            </w:r>
            <w:r>
              <w:rPr>
                <w:color w:val="4D4D4F"/>
                <w:spacing w:val="-3"/>
              </w:rPr>
              <w:t>Treatment</w:t>
            </w:r>
            <w:r>
              <w:rPr>
                <w:color w:val="4D4D4F"/>
                <w:spacing w:val="-37"/>
              </w:rPr>
              <w:t> </w:t>
            </w:r>
            <w:r>
              <w:rPr>
                <w:color w:val="4D4D4F"/>
              </w:rPr>
              <w:t>Form</w:t>
            </w:r>
            <w:r>
              <w:rPr>
                <w:color w:val="4D4D4F"/>
                <w:spacing w:val="-37"/>
              </w:rPr>
              <w:t> </w:t>
            </w:r>
            <w:r>
              <w:rPr>
                <w:color w:val="4D4D4F"/>
              </w:rPr>
              <w:t>for</w:t>
            </w:r>
            <w:r>
              <w:rPr>
                <w:color w:val="4D4D4F"/>
                <w:spacing w:val="-37"/>
              </w:rPr>
              <w:t> </w:t>
            </w:r>
            <w:r>
              <w:rPr>
                <w:color w:val="4D4D4F"/>
              </w:rPr>
              <w:t>OTPs</w:t>
              <w:tab/>
              <w:t>3-36</w:t>
            </w:r>
          </w:hyperlink>
        </w:p>
        <w:p>
          <w:pPr>
            <w:pStyle w:val="TOC2"/>
            <w:tabs>
              <w:tab w:pos="9068" w:val="right" w:leader="dot"/>
            </w:tabs>
            <w:spacing w:before="314"/>
            <w:rPr>
              <w:sz w:val="20"/>
            </w:rPr>
          </w:pPr>
          <w:hyperlink w:history="true" w:anchor="_TOC_250076">
            <w:r>
              <w:rPr>
                <w:color w:val="231F20"/>
                <w:spacing w:val="4"/>
              </w:rPr>
              <w:t>CHAPTER</w:t>
            </w:r>
            <w:r>
              <w:rPr>
                <w:color w:val="231F20"/>
                <w:spacing w:val="-18"/>
              </w:rPr>
              <w:t> </w:t>
            </w:r>
            <w:r>
              <w:rPr>
                <w:color w:val="231F20"/>
              </w:rPr>
              <w:t>3C:</w:t>
            </w:r>
            <w:r>
              <w:rPr>
                <w:color w:val="231F20"/>
                <w:spacing w:val="-18"/>
              </w:rPr>
              <w:t> </w:t>
            </w:r>
            <w:r>
              <w:rPr>
                <w:color w:val="231F20"/>
                <w:spacing w:val="2"/>
              </w:rPr>
              <w:t>NALTREXONE</w:t>
              <w:tab/>
            </w:r>
            <w:r>
              <w:rPr>
                <w:color w:val="4D4D4F"/>
                <w:sz w:val="20"/>
              </w:rPr>
              <w:t>3-37</w:t>
            </w:r>
          </w:hyperlink>
        </w:p>
        <w:p>
          <w:pPr>
            <w:pStyle w:val="TOC4"/>
            <w:tabs>
              <w:tab w:pos="9067" w:val="right" w:leader="dot"/>
            </w:tabs>
            <w:rPr>
              <w:rFonts w:ascii="Lucida Sans"/>
              <w:b w:val="0"/>
              <w:i w:val="0"/>
              <w:sz w:val="20"/>
            </w:rPr>
          </w:pPr>
          <w:hyperlink w:history="true" w:anchor="_TOC_250075">
            <w:r>
              <w:rPr>
                <w:i w:val="0"/>
                <w:color w:val="147692"/>
                <w:sz w:val="24"/>
              </w:rPr>
              <w:t>Formulations</w:t>
              <w:tab/>
            </w:r>
            <w:r>
              <w:rPr>
                <w:rFonts w:ascii="Lucida Sans"/>
                <w:b w:val="0"/>
                <w:i w:val="0"/>
                <w:color w:val="4D4D4F"/>
                <w:sz w:val="20"/>
              </w:rPr>
              <w:t>3-37</w:t>
            </w:r>
          </w:hyperlink>
        </w:p>
        <w:p>
          <w:pPr>
            <w:pStyle w:val="TOC4"/>
            <w:tabs>
              <w:tab w:pos="9068" w:val="right" w:leader="dot"/>
            </w:tabs>
            <w:spacing w:before="122"/>
            <w:rPr>
              <w:rFonts w:ascii="Lucida Sans"/>
              <w:b w:val="0"/>
              <w:i w:val="0"/>
              <w:sz w:val="20"/>
            </w:rPr>
          </w:pPr>
          <w:hyperlink w:history="true" w:anchor="_TOC_250074">
            <w:r>
              <w:rPr>
                <w:i w:val="0"/>
                <w:color w:val="147692"/>
                <w:sz w:val="24"/>
              </w:rPr>
              <w:t>Pharmacology</w:t>
              <w:tab/>
            </w:r>
            <w:r>
              <w:rPr>
                <w:rFonts w:ascii="Lucida Sans"/>
                <w:b w:val="0"/>
                <w:i w:val="0"/>
                <w:color w:val="4D4D4F"/>
                <w:sz w:val="20"/>
              </w:rPr>
              <w:t>3-38</w:t>
            </w:r>
          </w:hyperlink>
        </w:p>
        <w:p>
          <w:pPr>
            <w:pStyle w:val="TOC3"/>
            <w:tabs>
              <w:tab w:pos="9068" w:val="right" w:leader="dot"/>
            </w:tabs>
            <w:spacing w:before="35"/>
            <w:ind w:left="1148"/>
          </w:pPr>
          <w:hyperlink w:history="true" w:anchor="_TOC_250073">
            <w:r>
              <w:rPr>
                <w:color w:val="4D4D4F"/>
                <w:w w:val="95"/>
              </w:rPr>
              <w:t>Bioavailability</w:t>
              <w:tab/>
              <w:t>3-38</w:t>
            </w:r>
          </w:hyperlink>
        </w:p>
        <w:p>
          <w:pPr>
            <w:pStyle w:val="TOC1"/>
            <w:tabs>
              <w:tab w:pos="9067" w:val="right" w:leader="dot"/>
            </w:tabs>
            <w:rPr>
              <w:rFonts w:ascii="Lucida Sans"/>
              <w:b w:val="0"/>
              <w:sz w:val="20"/>
            </w:rPr>
          </w:pPr>
          <w:hyperlink w:history="true" w:anchor="_TOC_250072">
            <w:r>
              <w:rPr>
                <w:color w:val="147692"/>
              </w:rPr>
              <w:t>Dosing</w:t>
            </w:r>
            <w:r>
              <w:rPr>
                <w:color w:val="147692"/>
                <w:spacing w:val="-10"/>
              </w:rPr>
              <w:t> </w:t>
            </w:r>
            <w:r>
              <w:rPr>
                <w:color w:val="147692"/>
              </w:rPr>
              <w:t>Considerations</w:t>
              <w:tab/>
            </w:r>
            <w:r>
              <w:rPr>
                <w:rFonts w:ascii="Lucida Sans"/>
                <w:b w:val="0"/>
                <w:color w:val="4D4D4F"/>
                <w:sz w:val="20"/>
              </w:rPr>
              <w:t>3-38</w:t>
            </w:r>
          </w:hyperlink>
        </w:p>
        <w:p>
          <w:pPr>
            <w:pStyle w:val="TOC3"/>
            <w:tabs>
              <w:tab w:pos="9067" w:val="right" w:leader="dot"/>
            </w:tabs>
            <w:spacing w:before="34"/>
            <w:ind w:left="1148"/>
          </w:pPr>
          <w:hyperlink w:history="true" w:anchor="_TOC_250071">
            <w:r>
              <w:rPr>
                <w:color w:val="4D4D4F"/>
              </w:rPr>
              <w:t>XR-NTX</w:t>
              <w:tab/>
              <w:t>3-38</w:t>
            </w:r>
          </w:hyperlink>
        </w:p>
        <w:p>
          <w:pPr>
            <w:pStyle w:val="TOC3"/>
            <w:tabs>
              <w:tab w:pos="9067" w:val="right" w:leader="dot"/>
            </w:tabs>
            <w:spacing w:before="63"/>
            <w:ind w:left="1148"/>
          </w:pPr>
          <w:hyperlink w:history="true" w:anchor="_TOC_250070">
            <w:r>
              <w:rPr>
                <w:color w:val="4D4D4F"/>
              </w:rPr>
              <w:t>Oral</w:t>
            </w:r>
            <w:r>
              <w:rPr>
                <w:color w:val="4D4D4F"/>
                <w:spacing w:val="-16"/>
              </w:rPr>
              <w:t> </w:t>
            </w:r>
            <w:r>
              <w:rPr>
                <w:color w:val="4D4D4F"/>
              </w:rPr>
              <w:t>Naltrexone</w:t>
              <w:tab/>
              <w:t>3-46</w:t>
            </w:r>
          </w:hyperlink>
        </w:p>
        <w:p>
          <w:pPr>
            <w:pStyle w:val="TOC3"/>
            <w:tabs>
              <w:tab w:pos="9067" w:val="right" w:leader="dot"/>
            </w:tabs>
            <w:ind w:left="1148"/>
          </w:pPr>
          <w:hyperlink w:history="true" w:anchor="_TOC_250069">
            <w:r>
              <w:rPr>
                <w:color w:val="4D4D4F"/>
              </w:rPr>
              <w:t>Patient</w:t>
            </w:r>
            <w:r>
              <w:rPr>
                <w:color w:val="4D4D4F"/>
                <w:spacing w:val="-16"/>
              </w:rPr>
              <w:t> </w:t>
            </w:r>
            <w:r>
              <w:rPr>
                <w:color w:val="4D4D4F"/>
              </w:rPr>
              <w:t>Selection</w:t>
              <w:tab/>
              <w:t>3-46</w:t>
            </w:r>
          </w:hyperlink>
        </w:p>
        <w:p>
          <w:pPr>
            <w:pStyle w:val="TOC1"/>
            <w:tabs>
              <w:tab w:pos="9067" w:val="right" w:leader="dot"/>
            </w:tabs>
            <w:rPr>
              <w:rFonts w:ascii="Lucida Sans"/>
              <w:b w:val="0"/>
              <w:sz w:val="20"/>
            </w:rPr>
          </w:pPr>
          <w:hyperlink w:history="true" w:anchor="_TOC_250068">
            <w:r>
              <w:rPr>
                <w:color w:val="147692"/>
              </w:rPr>
              <w:t>Naltrexone</w:t>
            </w:r>
            <w:r>
              <w:rPr>
                <w:color w:val="147692"/>
                <w:spacing w:val="-11"/>
              </w:rPr>
              <w:t> </w:t>
            </w:r>
            <w:r>
              <w:rPr>
                <w:color w:val="147692"/>
              </w:rPr>
              <w:t>Dosing</w:t>
            </w:r>
            <w:r>
              <w:rPr>
                <w:color w:val="147692"/>
                <w:spacing w:val="-10"/>
              </w:rPr>
              <w:t> </w:t>
            </w:r>
            <w:r>
              <w:rPr>
                <w:color w:val="147692"/>
              </w:rPr>
              <w:t>Summary</w:t>
              <w:tab/>
            </w:r>
            <w:r>
              <w:rPr>
                <w:rFonts w:ascii="Lucida Sans"/>
                <w:b w:val="0"/>
                <w:color w:val="4D4D4F"/>
                <w:sz w:val="20"/>
              </w:rPr>
              <w:t>3-47</w:t>
            </w:r>
          </w:hyperlink>
        </w:p>
        <w:p>
          <w:pPr>
            <w:pStyle w:val="TOC3"/>
            <w:tabs>
              <w:tab w:pos="9067" w:val="right" w:leader="dot"/>
            </w:tabs>
            <w:spacing w:before="34"/>
          </w:pPr>
          <w:hyperlink w:history="true" w:anchor="_TOC_250067">
            <w:r>
              <w:rPr>
                <w:color w:val="4D4D4F"/>
              </w:rPr>
              <w:t>XR-NTX</w:t>
              <w:tab/>
              <w:t>3-47</w:t>
            </w:r>
          </w:hyperlink>
        </w:p>
        <w:p>
          <w:pPr>
            <w:pStyle w:val="TOC3"/>
            <w:tabs>
              <w:tab w:pos="9067" w:val="right" w:leader="dot"/>
            </w:tabs>
          </w:pPr>
          <w:hyperlink w:history="true" w:anchor="_TOC_250066">
            <w:r>
              <w:rPr>
                <w:color w:val="4D4D4F"/>
              </w:rPr>
              <w:t>Oral</w:t>
            </w:r>
            <w:r>
              <w:rPr>
                <w:color w:val="4D4D4F"/>
                <w:spacing w:val="-16"/>
              </w:rPr>
              <w:t> </w:t>
            </w:r>
            <w:r>
              <w:rPr>
                <w:color w:val="4D4D4F"/>
              </w:rPr>
              <w:t>Naltrexone</w:t>
              <w:tab/>
              <w:t>3-47</w:t>
            </w:r>
          </w:hyperlink>
        </w:p>
        <w:p>
          <w:pPr>
            <w:pStyle w:val="TOC1"/>
            <w:tabs>
              <w:tab w:pos="9067" w:val="right" w:leader="dot"/>
            </w:tabs>
            <w:rPr>
              <w:rFonts w:ascii="Lucida Sans"/>
              <w:b w:val="0"/>
              <w:sz w:val="20"/>
            </w:rPr>
          </w:pPr>
          <w:hyperlink w:history="true" w:anchor="_TOC_250065">
            <w:r>
              <w:rPr>
                <w:color w:val="147692"/>
              </w:rPr>
              <w:t>Chapter</w:t>
            </w:r>
            <w:r>
              <w:rPr>
                <w:color w:val="147692"/>
                <w:spacing w:val="-10"/>
              </w:rPr>
              <w:t> </w:t>
            </w:r>
            <w:r>
              <w:rPr>
                <w:color w:val="147692"/>
              </w:rPr>
              <w:t>3C</w:t>
            </w:r>
            <w:r>
              <w:rPr>
                <w:color w:val="147692"/>
                <w:spacing w:val="-9"/>
              </w:rPr>
              <w:t> </w:t>
            </w:r>
            <w:r>
              <w:rPr>
                <w:color w:val="147692"/>
              </w:rPr>
              <w:t>Appendix</w:t>
              <w:tab/>
            </w:r>
            <w:r>
              <w:rPr>
                <w:rFonts w:ascii="Lucida Sans"/>
                <w:b w:val="0"/>
                <w:color w:val="4D4D4F"/>
                <w:sz w:val="20"/>
              </w:rPr>
              <w:t>3-48</w:t>
            </w:r>
          </w:hyperlink>
        </w:p>
        <w:p>
          <w:pPr>
            <w:pStyle w:val="TOC3"/>
            <w:tabs>
              <w:tab w:pos="9067" w:val="right" w:leader="dot"/>
            </w:tabs>
            <w:spacing w:before="35"/>
            <w:ind w:left="1148"/>
          </w:pPr>
          <w:hyperlink w:history="true" w:anchor="_TOC_250064">
            <w:r>
              <w:rPr>
                <w:color w:val="4D4D4F"/>
              </w:rPr>
              <w:t>Sample XR-NTX</w:t>
            </w:r>
            <w:r>
              <w:rPr>
                <w:color w:val="4D4D4F"/>
                <w:spacing w:val="-36"/>
              </w:rPr>
              <w:t> </w:t>
            </w:r>
            <w:r>
              <w:rPr>
                <w:color w:val="4D4D4F"/>
                <w:spacing w:val="-3"/>
              </w:rPr>
              <w:t>Treatment</w:t>
            </w:r>
            <w:r>
              <w:rPr>
                <w:color w:val="4D4D4F"/>
                <w:spacing w:val="-18"/>
              </w:rPr>
              <w:t> </w:t>
            </w:r>
            <w:r>
              <w:rPr>
                <w:color w:val="4D4D4F"/>
              </w:rPr>
              <w:t>Agreement</w:t>
              <w:tab/>
              <w:t>3-48</w:t>
            </w:r>
          </w:hyperlink>
        </w:p>
        <w:p>
          <w:pPr>
            <w:pStyle w:val="TOC3"/>
            <w:tabs>
              <w:tab w:pos="9067" w:val="right" w:leader="dot"/>
            </w:tabs>
            <w:ind w:left="1148"/>
          </w:pPr>
          <w:hyperlink w:history="true" w:anchor="_TOC_250063">
            <w:r>
              <w:rPr>
                <w:color w:val="4D4D4F"/>
              </w:rPr>
              <w:t>Patient</w:t>
            </w:r>
            <w:r>
              <w:rPr>
                <w:color w:val="4D4D4F"/>
                <w:spacing w:val="-19"/>
              </w:rPr>
              <w:t> </w:t>
            </w:r>
            <w:r>
              <w:rPr>
                <w:color w:val="4D4D4F"/>
              </w:rPr>
              <w:t>Counseling</w:t>
            </w:r>
            <w:r>
              <w:rPr>
                <w:color w:val="4D4D4F"/>
                <w:spacing w:val="-18"/>
              </w:rPr>
              <w:t> </w:t>
            </w:r>
            <w:r>
              <w:rPr>
                <w:color w:val="4D4D4F"/>
                <w:spacing w:val="-4"/>
              </w:rPr>
              <w:t>Tool</w:t>
            </w:r>
            <w:r>
              <w:rPr>
                <w:color w:val="4D4D4F"/>
                <w:spacing w:val="-18"/>
              </w:rPr>
              <w:t> </w:t>
            </w:r>
            <w:r>
              <w:rPr>
                <w:color w:val="4D4D4F"/>
              </w:rPr>
              <w:t>for</w:t>
            </w:r>
            <w:r>
              <w:rPr>
                <w:color w:val="4D4D4F"/>
                <w:spacing w:val="-18"/>
              </w:rPr>
              <w:t> </w:t>
            </w:r>
            <w:r>
              <w:rPr>
                <w:color w:val="4D4D4F"/>
              </w:rPr>
              <w:t>XR-NTX</w:t>
              <w:tab/>
              <w:t>3-49</w:t>
            </w:r>
          </w:hyperlink>
        </w:p>
        <w:p>
          <w:pPr>
            <w:pStyle w:val="TOC3"/>
            <w:tabs>
              <w:tab w:pos="9067" w:val="right" w:leader="dot"/>
            </w:tabs>
            <w:ind w:left="1148"/>
          </w:pPr>
          <w:r>
            <w:rPr>
              <w:color w:val="4D4D4F"/>
              <w:spacing w:val="-3"/>
            </w:rPr>
            <w:t>Key</w:t>
          </w:r>
          <w:r>
            <w:rPr>
              <w:color w:val="4D4D4F"/>
              <w:spacing w:val="-23"/>
            </w:rPr>
            <w:t> </w:t>
          </w:r>
          <w:r>
            <w:rPr>
              <w:color w:val="4D4D4F"/>
              <w:spacing w:val="-3"/>
            </w:rPr>
            <w:t>Techniques</w:t>
          </w:r>
          <w:r>
            <w:rPr>
              <w:color w:val="4D4D4F"/>
              <w:spacing w:val="-22"/>
            </w:rPr>
            <w:t> </w:t>
          </w:r>
          <w:r>
            <w:rPr>
              <w:color w:val="4D4D4F"/>
            </w:rPr>
            <w:t>for</w:t>
          </w:r>
          <w:r>
            <w:rPr>
              <w:color w:val="4D4D4F"/>
              <w:spacing w:val="-22"/>
            </w:rPr>
            <w:t> </w:t>
          </w:r>
          <w:r>
            <w:rPr>
              <w:color w:val="4D4D4F"/>
            </w:rPr>
            <w:t>Reducing</w:t>
          </w:r>
          <w:r>
            <w:rPr>
              <w:color w:val="4D4D4F"/>
              <w:spacing w:val="-23"/>
            </w:rPr>
            <w:t> </w:t>
          </w:r>
          <w:r>
            <w:rPr>
              <w:color w:val="4D4D4F"/>
            </w:rPr>
            <w:t>Injection</w:t>
          </w:r>
          <w:r>
            <w:rPr>
              <w:color w:val="4D4D4F"/>
              <w:spacing w:val="-22"/>
            </w:rPr>
            <w:t> </w:t>
          </w:r>
          <w:r>
            <w:rPr>
              <w:color w:val="4D4D4F"/>
            </w:rPr>
            <w:t>Site</w:t>
          </w:r>
          <w:r>
            <w:rPr>
              <w:color w:val="4D4D4F"/>
              <w:spacing w:val="-22"/>
            </w:rPr>
            <w:t> </w:t>
          </w:r>
          <w:r>
            <w:rPr>
              <w:color w:val="4D4D4F"/>
            </w:rPr>
            <w:t>Reactions</w:t>
            <w:tab/>
            <w:t>3-50</w:t>
          </w:r>
        </w:p>
        <w:p>
          <w:pPr>
            <w:pStyle w:val="TOC2"/>
            <w:tabs>
              <w:tab w:pos="9067" w:val="right" w:leader="dot"/>
            </w:tabs>
            <w:spacing w:before="314"/>
            <w:rPr>
              <w:sz w:val="20"/>
            </w:rPr>
          </w:pPr>
          <w:hyperlink w:history="true" w:anchor="_TOC_250062">
            <w:r>
              <w:rPr>
                <w:color w:val="231F20"/>
                <w:spacing w:val="4"/>
              </w:rPr>
              <w:t>CHAPTER</w:t>
            </w:r>
            <w:r>
              <w:rPr>
                <w:color w:val="231F20"/>
                <w:spacing w:val="-18"/>
              </w:rPr>
              <w:t> </w:t>
            </w:r>
            <w:r>
              <w:rPr>
                <w:color w:val="231F20"/>
              </w:rPr>
              <w:t>3D:</w:t>
            </w:r>
            <w:r>
              <w:rPr>
                <w:color w:val="231F20"/>
                <w:spacing w:val="-18"/>
              </w:rPr>
              <w:t> </w:t>
            </w:r>
            <w:r>
              <w:rPr>
                <w:color w:val="231F20"/>
                <w:spacing w:val="3"/>
              </w:rPr>
              <w:t>BUPRENORPHINE</w:t>
              <w:tab/>
            </w:r>
            <w:r>
              <w:rPr>
                <w:color w:val="4D4D4F"/>
                <w:spacing w:val="-4"/>
                <w:sz w:val="20"/>
              </w:rPr>
              <w:t>3-51</w:t>
            </w:r>
          </w:hyperlink>
        </w:p>
        <w:p>
          <w:pPr>
            <w:pStyle w:val="TOC4"/>
            <w:tabs>
              <w:tab w:pos="9067" w:val="right" w:leader="dot"/>
            </w:tabs>
            <w:rPr>
              <w:rFonts w:ascii="Lucida Sans"/>
              <w:b w:val="0"/>
              <w:i w:val="0"/>
              <w:sz w:val="20"/>
            </w:rPr>
          </w:pPr>
          <w:hyperlink w:history="true" w:anchor="_TOC_250061">
            <w:r>
              <w:rPr>
                <w:i w:val="0"/>
                <w:color w:val="147692"/>
                <w:sz w:val="24"/>
              </w:rPr>
              <w:t>Formulations</w:t>
              <w:tab/>
            </w:r>
            <w:r>
              <w:rPr>
                <w:rFonts w:ascii="Lucida Sans"/>
                <w:b w:val="0"/>
                <w:i w:val="0"/>
                <w:color w:val="4D4D4F"/>
                <w:spacing w:val="-4"/>
                <w:sz w:val="20"/>
              </w:rPr>
              <w:t>3-51</w:t>
            </w:r>
          </w:hyperlink>
        </w:p>
        <w:p>
          <w:pPr>
            <w:pStyle w:val="TOC3"/>
            <w:tabs>
              <w:tab w:pos="9067" w:val="right" w:leader="dot"/>
            </w:tabs>
            <w:spacing w:before="34"/>
            <w:ind w:left="1148"/>
          </w:pPr>
          <w:hyperlink w:history="true" w:anchor="_TOC_250060">
            <w:r>
              <w:rPr>
                <w:color w:val="4D4D4F"/>
              </w:rPr>
              <w:t>History</w:t>
            </w:r>
            <w:r>
              <w:rPr>
                <w:color w:val="4D4D4F"/>
                <w:spacing w:val="-17"/>
              </w:rPr>
              <w:t> </w:t>
            </w:r>
            <w:r>
              <w:rPr>
                <w:color w:val="4D4D4F"/>
              </w:rPr>
              <w:t>of</w:t>
            </w:r>
            <w:r>
              <w:rPr>
                <w:color w:val="4D4D4F"/>
                <w:spacing w:val="-16"/>
              </w:rPr>
              <w:t> </w:t>
            </w:r>
            <w:r>
              <w:rPr>
                <w:color w:val="4D4D4F"/>
              </w:rPr>
              <w:t>Approvals</w:t>
              <w:tab/>
            </w:r>
            <w:r>
              <w:rPr>
                <w:color w:val="4D4D4F"/>
                <w:spacing w:val="-4"/>
              </w:rPr>
              <w:t>3-51</w:t>
            </w:r>
          </w:hyperlink>
        </w:p>
        <w:p>
          <w:pPr>
            <w:pStyle w:val="TOC3"/>
            <w:tabs>
              <w:tab w:pos="9067" w:val="right" w:leader="dot"/>
            </w:tabs>
            <w:ind w:left="1148"/>
          </w:pPr>
          <w:hyperlink w:history="true" w:anchor="_TOC_250059">
            <w:r>
              <w:rPr>
                <w:color w:val="4D4D4F"/>
                <w:w w:val="95"/>
              </w:rPr>
              <w:t>Implants</w:t>
              <w:tab/>
              <w:t>3-52</w:t>
            </w:r>
          </w:hyperlink>
        </w:p>
        <w:p>
          <w:pPr>
            <w:pStyle w:val="TOC3"/>
            <w:tabs>
              <w:tab w:pos="9067" w:val="right" w:leader="dot"/>
            </w:tabs>
            <w:ind w:left="1148"/>
          </w:pPr>
          <w:hyperlink w:history="true" w:anchor="_TOC_250058">
            <w:r>
              <w:rPr>
                <w:color w:val="4D4D4F"/>
                <w:w w:val="95"/>
              </w:rPr>
              <w:t>Injectables</w:t>
              <w:tab/>
              <w:t>3-53</w:t>
            </w:r>
          </w:hyperlink>
        </w:p>
        <w:p>
          <w:pPr>
            <w:pStyle w:val="TOC4"/>
            <w:tabs>
              <w:tab w:pos="9068" w:val="right" w:leader="dot"/>
            </w:tabs>
            <w:spacing w:before="150"/>
            <w:rPr>
              <w:rFonts w:ascii="Lucida Sans"/>
              <w:b w:val="0"/>
              <w:i w:val="0"/>
              <w:sz w:val="20"/>
            </w:rPr>
          </w:pPr>
          <w:hyperlink w:history="true" w:anchor="_TOC_250057">
            <w:r>
              <w:rPr>
                <w:i w:val="0"/>
                <w:color w:val="147692"/>
                <w:sz w:val="24"/>
              </w:rPr>
              <w:t>Pharmacology</w:t>
              <w:tab/>
            </w:r>
            <w:r>
              <w:rPr>
                <w:rFonts w:ascii="Lucida Sans"/>
                <w:b w:val="0"/>
                <w:i w:val="0"/>
                <w:color w:val="4D4D4F"/>
                <w:sz w:val="20"/>
              </w:rPr>
              <w:t>3-53</w:t>
            </w:r>
          </w:hyperlink>
        </w:p>
        <w:p>
          <w:pPr>
            <w:pStyle w:val="TOC1"/>
            <w:tabs>
              <w:tab w:pos="9067" w:val="right" w:leader="dot"/>
            </w:tabs>
            <w:spacing w:before="123"/>
            <w:rPr>
              <w:rFonts w:ascii="Lucida Sans"/>
              <w:b w:val="0"/>
              <w:sz w:val="20"/>
            </w:rPr>
          </w:pPr>
          <w:hyperlink w:history="true" w:anchor="_TOC_250056">
            <w:r>
              <w:rPr>
                <w:color w:val="147692"/>
              </w:rPr>
              <w:t>Bioavailability</w:t>
              <w:tab/>
            </w:r>
            <w:r>
              <w:rPr>
                <w:rFonts w:ascii="Lucida Sans"/>
                <w:b w:val="0"/>
                <w:color w:val="4D4D4F"/>
                <w:sz w:val="20"/>
              </w:rPr>
              <w:t>3-53</w:t>
            </w:r>
          </w:hyperlink>
        </w:p>
        <w:p>
          <w:pPr>
            <w:pStyle w:val="TOC3"/>
            <w:tabs>
              <w:tab w:pos="9067" w:val="right" w:leader="dot"/>
            </w:tabs>
            <w:spacing w:before="34"/>
          </w:pPr>
          <w:hyperlink w:history="true" w:anchor="_TOC_250055">
            <w:r>
              <w:rPr>
                <w:color w:val="4D4D4F"/>
              </w:rPr>
              <w:t>Metabolism</w:t>
            </w:r>
            <w:r>
              <w:rPr>
                <w:color w:val="4D4D4F"/>
                <w:spacing w:val="-17"/>
              </w:rPr>
              <w:t> </w:t>
            </w:r>
            <w:r>
              <w:rPr>
                <w:color w:val="4D4D4F"/>
              </w:rPr>
              <w:t>and</w:t>
            </w:r>
            <w:r>
              <w:rPr>
                <w:color w:val="4D4D4F"/>
                <w:spacing w:val="-17"/>
              </w:rPr>
              <w:t> </w:t>
            </w:r>
            <w:r>
              <w:rPr>
                <w:color w:val="4D4D4F"/>
              </w:rPr>
              <w:t>Excretion</w:t>
              <w:tab/>
              <w:t>3-54</w:t>
            </w:r>
          </w:hyperlink>
        </w:p>
        <w:p>
          <w:pPr>
            <w:pStyle w:val="TOC1"/>
            <w:tabs>
              <w:tab w:pos="9067" w:val="right" w:leader="dot"/>
            </w:tabs>
            <w:rPr>
              <w:rFonts w:ascii="Lucida Sans"/>
              <w:b w:val="0"/>
              <w:sz w:val="20"/>
            </w:rPr>
          </w:pPr>
          <w:hyperlink w:history="true" w:anchor="_TOC_250054">
            <w:r>
              <w:rPr>
                <w:color w:val="147692"/>
              </w:rPr>
              <w:t>Dosing</w:t>
            </w:r>
            <w:r>
              <w:rPr>
                <w:color w:val="147692"/>
                <w:spacing w:val="-9"/>
              </w:rPr>
              <w:t> </w:t>
            </w:r>
            <w:r>
              <w:rPr>
                <w:color w:val="147692"/>
              </w:rPr>
              <w:t>Considerations</w:t>
              <w:tab/>
            </w:r>
            <w:r>
              <w:rPr>
                <w:rFonts w:ascii="Lucida Sans"/>
                <w:b w:val="0"/>
                <w:color w:val="4D4D4F"/>
                <w:sz w:val="20"/>
              </w:rPr>
              <w:t>3-54</w:t>
            </w:r>
          </w:hyperlink>
        </w:p>
        <w:p>
          <w:pPr>
            <w:pStyle w:val="TOC3"/>
            <w:tabs>
              <w:tab w:pos="9067" w:val="right" w:leader="dot"/>
            </w:tabs>
            <w:spacing w:before="35"/>
            <w:ind w:left="1148"/>
          </w:pPr>
          <w:hyperlink w:history="true" w:anchor="_TOC_250053">
            <w:r>
              <w:rPr>
                <w:color w:val="4D4D4F"/>
                <w:w w:val="95"/>
              </w:rPr>
              <w:t>Contraindications</w:t>
              <w:tab/>
              <w:t>3-54</w:t>
            </w:r>
          </w:hyperlink>
        </w:p>
        <w:p>
          <w:pPr>
            <w:pStyle w:val="TOC3"/>
            <w:tabs>
              <w:tab w:pos="9067" w:val="right" w:leader="dot"/>
            </w:tabs>
            <w:ind w:left="1148"/>
          </w:pPr>
          <w:hyperlink w:history="true" w:anchor="_TOC_250052">
            <w:r>
              <w:rPr>
                <w:color w:val="4D4D4F"/>
              </w:rPr>
              <w:t>Precautions</w:t>
            </w:r>
            <w:r>
              <w:rPr>
                <w:color w:val="4D4D4F"/>
                <w:spacing w:val="-17"/>
              </w:rPr>
              <w:t> </w:t>
            </w:r>
            <w:r>
              <w:rPr>
                <w:color w:val="4D4D4F"/>
              </w:rPr>
              <w:t>and</w:t>
            </w:r>
            <w:r>
              <w:rPr>
                <w:color w:val="4D4D4F"/>
                <w:spacing w:val="-17"/>
              </w:rPr>
              <w:t> </w:t>
            </w:r>
            <w:r>
              <w:rPr>
                <w:color w:val="4D4D4F"/>
              </w:rPr>
              <w:t>Warnings</w:t>
              <w:tab/>
              <w:t>3-54</w:t>
            </w:r>
          </w:hyperlink>
        </w:p>
        <w:p>
          <w:pPr>
            <w:pStyle w:val="TOC3"/>
            <w:tabs>
              <w:tab w:pos="9067" w:val="right" w:leader="dot"/>
            </w:tabs>
            <w:ind w:left="1148"/>
          </w:pPr>
          <w:hyperlink w:history="true" w:anchor="_TOC_250051">
            <w:r>
              <w:rPr>
                <w:color w:val="4D4D4F"/>
              </w:rPr>
              <w:t>Drug</w:t>
            </w:r>
            <w:r>
              <w:rPr>
                <w:color w:val="4D4D4F"/>
                <w:spacing w:val="-16"/>
              </w:rPr>
              <w:t> </w:t>
            </w:r>
            <w:r>
              <w:rPr>
                <w:color w:val="4D4D4F"/>
              </w:rPr>
              <w:t>Interactions</w:t>
              <w:tab/>
              <w:t>3-57</w:t>
            </w:r>
          </w:hyperlink>
        </w:p>
        <w:p>
          <w:pPr>
            <w:pStyle w:val="TOC3"/>
            <w:tabs>
              <w:tab w:pos="9067" w:val="right" w:leader="dot"/>
            </w:tabs>
            <w:ind w:left="1148"/>
          </w:pPr>
          <w:hyperlink w:history="true" w:anchor="_TOC_250050">
            <w:r>
              <w:rPr>
                <w:color w:val="4D4D4F"/>
              </w:rPr>
              <w:t>Side</w:t>
            </w:r>
            <w:r>
              <w:rPr>
                <w:color w:val="4D4D4F"/>
                <w:spacing w:val="-16"/>
              </w:rPr>
              <w:t> </w:t>
            </w:r>
            <w:r>
              <w:rPr>
                <w:color w:val="4D4D4F"/>
              </w:rPr>
              <w:t>Effects</w:t>
              <w:tab/>
              <w:t>3-60</w:t>
            </w:r>
          </w:hyperlink>
        </w:p>
        <w:p>
          <w:pPr>
            <w:pStyle w:val="TOC3"/>
            <w:tabs>
              <w:tab w:pos="9067" w:val="right" w:leader="dot"/>
            </w:tabs>
            <w:ind w:left="1148"/>
          </w:pPr>
          <w:hyperlink w:history="true" w:anchor="_TOC_250049">
            <w:r>
              <w:rPr>
                <w:color w:val="4D4D4F"/>
                <w:w w:val="95"/>
              </w:rPr>
              <w:t>Assessment</w:t>
              <w:tab/>
              <w:t>3-60</w:t>
            </w:r>
          </w:hyperlink>
        </w:p>
        <w:p>
          <w:pPr>
            <w:pStyle w:val="TOC3"/>
            <w:tabs>
              <w:tab w:pos="9067" w:val="right" w:leader="dot"/>
            </w:tabs>
            <w:ind w:left="1148"/>
          </w:pPr>
          <w:hyperlink w:history="true" w:anchor="_TOC_250048">
            <w:r>
              <w:rPr>
                <w:color w:val="4D4D4F"/>
              </w:rPr>
              <w:t>Patient</w:t>
            </w:r>
            <w:r>
              <w:rPr>
                <w:color w:val="4D4D4F"/>
                <w:spacing w:val="-16"/>
              </w:rPr>
              <w:t> </w:t>
            </w:r>
            <w:r>
              <w:rPr>
                <w:color w:val="4D4D4F"/>
              </w:rPr>
              <w:t>Selection</w:t>
              <w:tab/>
              <w:t>3-62</w:t>
            </w:r>
          </w:hyperlink>
        </w:p>
        <w:p>
          <w:pPr>
            <w:pStyle w:val="TOC3"/>
            <w:tabs>
              <w:tab w:pos="9067" w:val="right" w:leader="dot"/>
            </w:tabs>
            <w:spacing w:after="240"/>
            <w:ind w:left="1148"/>
          </w:pPr>
          <w:hyperlink w:history="true" w:anchor="_TOC_250047">
            <w:r>
              <w:rPr>
                <w:color w:val="4D4D4F"/>
              </w:rPr>
              <w:t>Informed</w:t>
            </w:r>
            <w:r>
              <w:rPr>
                <w:color w:val="4D4D4F"/>
                <w:spacing w:val="-16"/>
              </w:rPr>
              <w:t> </w:t>
            </w:r>
            <w:r>
              <w:rPr>
                <w:color w:val="4D4D4F"/>
              </w:rPr>
              <w:t>Consent</w:t>
              <w:tab/>
              <w:t>3-62</w:t>
            </w:r>
          </w:hyperlink>
        </w:p>
        <w:p>
          <w:pPr>
            <w:pStyle w:val="TOC1"/>
            <w:tabs>
              <w:tab w:pos="8695" w:val="left" w:leader="dot"/>
            </w:tabs>
            <w:spacing w:before="414"/>
            <w:rPr>
              <w:rFonts w:ascii="Lucida Sans"/>
              <w:b w:val="0"/>
              <w:sz w:val="20"/>
            </w:rPr>
          </w:pPr>
          <w:hyperlink w:history="true" w:anchor="_TOC_250046">
            <w:r>
              <w:rPr>
                <w:color w:val="147692"/>
                <w:w w:val="95"/>
              </w:rPr>
              <w:t>Initiating</w:t>
            </w:r>
            <w:r>
              <w:rPr>
                <w:color w:val="147692"/>
                <w:spacing w:val="-8"/>
                <w:w w:val="95"/>
              </w:rPr>
              <w:t> </w:t>
            </w:r>
            <w:r>
              <w:rPr>
                <w:color w:val="147692"/>
                <w:w w:val="95"/>
              </w:rPr>
              <w:t>Buprenorphine</w:t>
            </w:r>
            <w:r>
              <w:rPr>
                <w:color w:val="147692"/>
                <w:spacing w:val="-8"/>
                <w:w w:val="95"/>
              </w:rPr>
              <w:t> </w:t>
            </w:r>
            <w:r>
              <w:rPr>
                <w:color w:val="147692"/>
                <w:w w:val="95"/>
              </w:rPr>
              <w:t>Treatment</w:t>
              <w:tab/>
            </w:r>
            <w:r>
              <w:rPr>
                <w:rFonts w:ascii="Lucida Sans"/>
                <w:b w:val="0"/>
                <w:color w:val="4D4D4F"/>
                <w:sz w:val="20"/>
              </w:rPr>
              <w:t>3-63</w:t>
            </w:r>
          </w:hyperlink>
        </w:p>
        <w:p>
          <w:pPr>
            <w:pStyle w:val="TOC3"/>
            <w:tabs>
              <w:tab w:pos="8695" w:val="left" w:leader="dot"/>
            </w:tabs>
            <w:spacing w:before="35"/>
          </w:pPr>
          <w:hyperlink w:history="true" w:anchor="_TOC_250045">
            <w:r>
              <w:rPr>
                <w:color w:val="4D4D4F"/>
                <w:w w:val="95"/>
              </w:rPr>
              <w:t>Office-Based</w:t>
            </w:r>
            <w:r>
              <w:rPr>
                <w:color w:val="4D4D4F"/>
                <w:spacing w:val="-35"/>
                <w:w w:val="95"/>
              </w:rPr>
              <w:t> </w:t>
            </w:r>
            <w:r>
              <w:rPr>
                <w:color w:val="4D4D4F"/>
                <w:w w:val="95"/>
              </w:rPr>
              <w:t>Induction</w:t>
              <w:tab/>
            </w:r>
            <w:r>
              <w:rPr>
                <w:color w:val="4D4D4F"/>
              </w:rPr>
              <w:t>3-63</w:t>
            </w:r>
          </w:hyperlink>
        </w:p>
        <w:p>
          <w:pPr>
            <w:pStyle w:val="TOC3"/>
            <w:tabs>
              <w:tab w:pos="8695" w:val="left" w:leader="dot"/>
            </w:tabs>
          </w:pPr>
          <w:hyperlink w:history="true" w:anchor="_TOC_250044">
            <w:r>
              <w:rPr>
                <w:color w:val="4D4D4F"/>
                <w:w w:val="95"/>
              </w:rPr>
              <w:t>Home</w:t>
            </w:r>
            <w:r>
              <w:rPr>
                <w:color w:val="4D4D4F"/>
                <w:spacing w:val="-25"/>
                <w:w w:val="95"/>
              </w:rPr>
              <w:t> </w:t>
            </w:r>
            <w:r>
              <w:rPr>
                <w:color w:val="4D4D4F"/>
                <w:w w:val="95"/>
              </w:rPr>
              <w:t>Induction</w:t>
              <w:tab/>
            </w:r>
            <w:r>
              <w:rPr>
                <w:color w:val="4D4D4F"/>
              </w:rPr>
              <w:t>3-63</w:t>
            </w:r>
          </w:hyperlink>
        </w:p>
        <w:p>
          <w:pPr>
            <w:pStyle w:val="TOC3"/>
            <w:tabs>
              <w:tab w:pos="8692" w:val="left" w:leader="dot"/>
            </w:tabs>
          </w:pPr>
          <w:hyperlink w:history="true" w:anchor="_TOC_250043">
            <w:r>
              <w:rPr>
                <w:color w:val="4D4D4F"/>
              </w:rPr>
              <w:t>Induction</w:t>
              <w:tab/>
              <w:t>3-64</w:t>
            </w:r>
          </w:hyperlink>
        </w:p>
        <w:p>
          <w:pPr>
            <w:pStyle w:val="TOC3"/>
            <w:tabs>
              <w:tab w:pos="8695" w:val="left" w:leader="dot"/>
            </w:tabs>
          </w:pPr>
          <w:hyperlink w:history="true" w:anchor="_TOC_250042">
            <w:r>
              <w:rPr>
                <w:color w:val="4D4D4F"/>
                <w:w w:val="95"/>
              </w:rPr>
              <w:t>Dose</w:t>
            </w:r>
            <w:r>
              <w:rPr>
                <w:color w:val="4D4D4F"/>
                <w:spacing w:val="-42"/>
                <w:w w:val="95"/>
              </w:rPr>
              <w:t> </w:t>
            </w:r>
            <w:r>
              <w:rPr>
                <w:color w:val="4D4D4F"/>
                <w:w w:val="95"/>
              </w:rPr>
              <w:t>Stabilization</w:t>
              <w:tab/>
              <w:t>3-65</w:t>
            </w:r>
          </w:hyperlink>
        </w:p>
        <w:p>
          <w:pPr>
            <w:pStyle w:val="TOC3"/>
            <w:tabs>
              <w:tab w:pos="8698" w:val="left" w:leader="dot"/>
            </w:tabs>
          </w:pPr>
          <w:r>
            <w:rPr>
              <w:color w:val="4D4D4F"/>
              <w:w w:val="95"/>
            </w:rPr>
            <w:t>Risk</w:t>
          </w:r>
          <w:r>
            <w:rPr>
              <w:color w:val="4D4D4F"/>
              <w:spacing w:val="-32"/>
              <w:w w:val="95"/>
            </w:rPr>
            <w:t> </w:t>
          </w:r>
          <w:r>
            <w:rPr>
              <w:color w:val="4D4D4F"/>
              <w:w w:val="95"/>
            </w:rPr>
            <w:t>Evaluation</w:t>
          </w:r>
          <w:r>
            <w:rPr>
              <w:color w:val="4D4D4F"/>
              <w:spacing w:val="-32"/>
              <w:w w:val="95"/>
            </w:rPr>
            <w:t> </w:t>
          </w:r>
          <w:r>
            <w:rPr>
              <w:color w:val="4D4D4F"/>
              <w:w w:val="95"/>
            </w:rPr>
            <w:t>and</w:t>
          </w:r>
          <w:r>
            <w:rPr>
              <w:color w:val="4D4D4F"/>
              <w:spacing w:val="-32"/>
              <w:w w:val="95"/>
            </w:rPr>
            <w:t> </w:t>
          </w:r>
          <w:r>
            <w:rPr>
              <w:color w:val="4D4D4F"/>
              <w:w w:val="95"/>
            </w:rPr>
            <w:t>Mitigation</w:t>
          </w:r>
          <w:r>
            <w:rPr>
              <w:color w:val="4D4D4F"/>
              <w:spacing w:val="-32"/>
              <w:w w:val="95"/>
            </w:rPr>
            <w:t> </w:t>
          </w:r>
          <w:r>
            <w:rPr>
              <w:color w:val="4D4D4F"/>
              <w:spacing w:val="-3"/>
              <w:w w:val="95"/>
            </w:rPr>
            <w:t>Strategy</w:t>
            <w:tab/>
          </w:r>
          <w:r>
            <w:rPr>
              <w:color w:val="4D4D4F"/>
            </w:rPr>
            <w:t>3-67</w:t>
          </w:r>
        </w:p>
        <w:p>
          <w:pPr>
            <w:pStyle w:val="TOC3"/>
            <w:tabs>
              <w:tab w:pos="8698" w:val="left" w:leader="dot"/>
            </w:tabs>
          </w:pPr>
          <w:hyperlink w:history="true" w:anchor="_TOC_250041">
            <w:r>
              <w:rPr>
                <w:color w:val="4D4D4F"/>
                <w:spacing w:val="-3"/>
                <w:w w:val="90"/>
              </w:rPr>
              <w:t>Transmucosal </w:t>
            </w:r>
            <w:r>
              <w:rPr>
                <w:color w:val="4D4D4F"/>
                <w:w w:val="90"/>
              </w:rPr>
              <w:t>Buprenorphine</w:t>
            </w:r>
            <w:r>
              <w:rPr>
                <w:color w:val="4D4D4F"/>
                <w:spacing w:val="-21"/>
                <w:w w:val="90"/>
              </w:rPr>
              <w:t> </w:t>
            </w:r>
            <w:r>
              <w:rPr>
                <w:color w:val="4D4D4F"/>
                <w:w w:val="90"/>
              </w:rPr>
              <w:t>Dosing</w:t>
            </w:r>
            <w:r>
              <w:rPr>
                <w:color w:val="4D4D4F"/>
                <w:spacing w:val="-12"/>
                <w:w w:val="90"/>
              </w:rPr>
              <w:t> </w:t>
            </w:r>
            <w:r>
              <w:rPr>
                <w:color w:val="4D4D4F"/>
                <w:w w:val="90"/>
              </w:rPr>
              <w:t>Summary</w:t>
              <w:tab/>
            </w:r>
            <w:r>
              <w:rPr>
                <w:color w:val="4D4D4F"/>
              </w:rPr>
              <w:t>3-67</w:t>
            </w:r>
          </w:hyperlink>
        </w:p>
        <w:p>
          <w:pPr>
            <w:pStyle w:val="TOC3"/>
            <w:tabs>
              <w:tab w:pos="8695" w:val="left" w:leader="dot"/>
            </w:tabs>
          </w:pPr>
          <w:r>
            <w:rPr>
              <w:color w:val="4D4D4F"/>
              <w:w w:val="95"/>
            </w:rPr>
            <w:t>Initiation</w:t>
          </w:r>
          <w:r>
            <w:rPr>
              <w:color w:val="4D4D4F"/>
              <w:spacing w:val="-39"/>
              <w:w w:val="95"/>
            </w:rPr>
            <w:t> </w:t>
          </w:r>
          <w:r>
            <w:rPr>
              <w:color w:val="4D4D4F"/>
              <w:w w:val="95"/>
            </w:rPr>
            <w:t>of</w:t>
          </w:r>
          <w:r>
            <w:rPr>
              <w:color w:val="4D4D4F"/>
              <w:spacing w:val="-38"/>
              <w:w w:val="95"/>
            </w:rPr>
            <w:t> </w:t>
          </w:r>
          <w:r>
            <w:rPr>
              <w:color w:val="4D4D4F"/>
              <w:w w:val="95"/>
            </w:rPr>
            <w:t>Buprenorphine</w:t>
          </w:r>
          <w:r>
            <w:rPr>
              <w:color w:val="4D4D4F"/>
              <w:spacing w:val="-38"/>
              <w:w w:val="95"/>
            </w:rPr>
            <w:t> </w:t>
          </w:r>
          <w:r>
            <w:rPr>
              <w:color w:val="4D4D4F"/>
              <w:w w:val="95"/>
            </w:rPr>
            <w:t>Implants</w:t>
            <w:tab/>
          </w:r>
          <w:r>
            <w:rPr>
              <w:color w:val="4D4D4F"/>
            </w:rPr>
            <w:t>3-68</w:t>
          </w:r>
        </w:p>
        <w:p>
          <w:pPr>
            <w:pStyle w:val="TOC3"/>
            <w:tabs>
              <w:tab w:pos="8695" w:val="left" w:leader="dot"/>
            </w:tabs>
          </w:pPr>
          <w:hyperlink w:history="true" w:anchor="_TOC_250040">
            <w:r>
              <w:rPr>
                <w:color w:val="4D4D4F"/>
                <w:w w:val="90"/>
              </w:rPr>
              <w:t>Initiation of Buprenorphine</w:t>
            </w:r>
            <w:r>
              <w:rPr>
                <w:color w:val="4D4D4F"/>
                <w:spacing w:val="-14"/>
                <w:w w:val="90"/>
              </w:rPr>
              <w:t> </w:t>
            </w:r>
            <w:r>
              <w:rPr>
                <w:color w:val="4D4D4F"/>
                <w:w w:val="90"/>
              </w:rPr>
              <w:t>Extended-Release</w:t>
            </w:r>
            <w:r>
              <w:rPr>
                <w:color w:val="4D4D4F"/>
                <w:spacing w:val="-5"/>
                <w:w w:val="90"/>
              </w:rPr>
              <w:t> </w:t>
            </w:r>
            <w:r>
              <w:rPr>
                <w:color w:val="4D4D4F"/>
                <w:w w:val="90"/>
              </w:rPr>
              <w:t>Injection</w:t>
              <w:tab/>
            </w:r>
            <w:r>
              <w:rPr>
                <w:color w:val="4D4D4F"/>
              </w:rPr>
              <w:t>3-69</w:t>
            </w:r>
          </w:hyperlink>
        </w:p>
        <w:p>
          <w:pPr>
            <w:pStyle w:val="TOC1"/>
            <w:tabs>
              <w:tab w:pos="8695" w:val="left" w:leader="dot"/>
            </w:tabs>
            <w:rPr>
              <w:rFonts w:ascii="Lucida Sans"/>
              <w:b w:val="0"/>
              <w:sz w:val="20"/>
            </w:rPr>
          </w:pPr>
          <w:hyperlink w:history="true" w:anchor="_TOC_250039">
            <w:r>
              <w:rPr>
                <w:color w:val="147692"/>
                <w:w w:val="95"/>
              </w:rPr>
              <w:t>Duration of</w:t>
            </w:r>
            <w:r>
              <w:rPr>
                <w:color w:val="147692"/>
                <w:spacing w:val="-22"/>
                <w:w w:val="95"/>
              </w:rPr>
              <w:t> </w:t>
            </w:r>
            <w:r>
              <w:rPr>
                <w:color w:val="147692"/>
                <w:w w:val="95"/>
              </w:rPr>
              <w:t>Buprenorphine</w:t>
            </w:r>
            <w:r>
              <w:rPr>
                <w:color w:val="147692"/>
                <w:spacing w:val="-10"/>
                <w:w w:val="95"/>
              </w:rPr>
              <w:t> </w:t>
            </w:r>
            <w:r>
              <w:rPr>
                <w:color w:val="147692"/>
                <w:w w:val="95"/>
              </w:rPr>
              <w:t>Treatment</w:t>
              <w:tab/>
            </w:r>
            <w:r>
              <w:rPr>
                <w:rFonts w:ascii="Lucida Sans"/>
                <w:b w:val="0"/>
                <w:color w:val="4D4D4F"/>
                <w:sz w:val="20"/>
              </w:rPr>
              <w:t>3-70</w:t>
            </w:r>
          </w:hyperlink>
        </w:p>
        <w:p>
          <w:pPr>
            <w:pStyle w:val="TOC3"/>
            <w:tabs>
              <w:tab w:pos="8695" w:val="left" w:leader="dot"/>
            </w:tabs>
            <w:spacing w:before="35"/>
          </w:pPr>
          <w:r>
            <w:rPr>
              <w:color w:val="4D4D4F"/>
              <w:w w:val="90"/>
            </w:rPr>
            <w:t>Successful</w:t>
          </w:r>
          <w:r>
            <w:rPr>
              <w:color w:val="4D4D4F"/>
              <w:spacing w:val="-11"/>
              <w:w w:val="90"/>
            </w:rPr>
            <w:t> </w:t>
          </w:r>
          <w:r>
            <w:rPr>
              <w:color w:val="4D4D4F"/>
              <w:w w:val="90"/>
            </w:rPr>
            <w:t>Buprenorphine</w:t>
          </w:r>
          <w:r>
            <w:rPr>
              <w:color w:val="4D4D4F"/>
              <w:spacing w:val="-10"/>
              <w:w w:val="90"/>
            </w:rPr>
            <w:t> </w:t>
          </w:r>
          <w:r>
            <w:rPr>
              <w:color w:val="4D4D4F"/>
              <w:spacing w:val="-3"/>
              <w:w w:val="90"/>
            </w:rPr>
            <w:t>Treatment</w:t>
            <w:tab/>
          </w:r>
          <w:r>
            <w:rPr>
              <w:color w:val="4D4D4F"/>
            </w:rPr>
            <w:t>3-70</w:t>
          </w:r>
        </w:p>
        <w:p>
          <w:pPr>
            <w:pStyle w:val="TOC3"/>
            <w:tabs>
              <w:tab w:pos="8704" w:val="left" w:leader="dot"/>
            </w:tabs>
          </w:pPr>
          <w:hyperlink w:history="true" w:anchor="_TOC_250038">
            <w:r>
              <w:rPr>
                <w:color w:val="4D4D4F"/>
                <w:w w:val="90"/>
              </w:rPr>
              <w:t>Dose </w:t>
            </w:r>
            <w:r>
              <w:rPr>
                <w:color w:val="4D4D4F"/>
                <w:spacing w:val="-3"/>
                <w:w w:val="90"/>
              </w:rPr>
              <w:t>Tapering </w:t>
            </w:r>
            <w:r>
              <w:rPr>
                <w:color w:val="4D4D4F"/>
                <w:w w:val="90"/>
              </w:rPr>
              <w:t>and</w:t>
            </w:r>
            <w:r>
              <w:rPr>
                <w:color w:val="4D4D4F"/>
                <w:spacing w:val="-19"/>
                <w:w w:val="90"/>
              </w:rPr>
              <w:t> </w:t>
            </w:r>
            <w:r>
              <w:rPr>
                <w:color w:val="4D4D4F"/>
                <w:w w:val="90"/>
              </w:rPr>
              <w:t>Buprenorphine</w:t>
            </w:r>
            <w:r>
              <w:rPr>
                <w:color w:val="4D4D4F"/>
                <w:spacing w:val="-7"/>
                <w:w w:val="90"/>
              </w:rPr>
              <w:t> </w:t>
            </w:r>
            <w:r>
              <w:rPr>
                <w:color w:val="4D4D4F"/>
                <w:w w:val="90"/>
              </w:rPr>
              <w:t>Discontinuation</w:t>
              <w:tab/>
            </w:r>
            <w:r>
              <w:rPr>
                <w:color w:val="4D4D4F"/>
                <w:spacing w:val="-3"/>
              </w:rPr>
              <w:t>3-71</w:t>
            </w:r>
          </w:hyperlink>
        </w:p>
        <w:p>
          <w:pPr>
            <w:pStyle w:val="TOC1"/>
            <w:tabs>
              <w:tab w:pos="8695" w:val="left" w:leader="dot"/>
            </w:tabs>
            <w:rPr>
              <w:rFonts w:ascii="Lucida Sans"/>
              <w:b w:val="0"/>
              <w:sz w:val="20"/>
            </w:rPr>
          </w:pPr>
          <w:hyperlink w:history="true" w:anchor="_TOC_250037">
            <w:r>
              <w:rPr>
                <w:color w:val="147692"/>
              </w:rPr>
              <w:t>Chapter</w:t>
            </w:r>
            <w:r>
              <w:rPr>
                <w:color w:val="147692"/>
                <w:spacing w:val="-37"/>
              </w:rPr>
              <w:t> </w:t>
            </w:r>
            <w:r>
              <w:rPr>
                <w:color w:val="147692"/>
              </w:rPr>
              <w:t>3D</w:t>
            </w:r>
            <w:r>
              <w:rPr>
                <w:color w:val="147692"/>
                <w:spacing w:val="-37"/>
              </w:rPr>
              <w:t> </w:t>
            </w:r>
            <w:r>
              <w:rPr>
                <w:color w:val="147692"/>
              </w:rPr>
              <w:t>Appendix</w:t>
              <w:tab/>
            </w:r>
            <w:r>
              <w:rPr>
                <w:rFonts w:ascii="Lucida Sans"/>
                <w:b w:val="0"/>
                <w:color w:val="4D4D4F"/>
                <w:sz w:val="20"/>
              </w:rPr>
              <w:t>3-73</w:t>
            </w:r>
          </w:hyperlink>
        </w:p>
        <w:p>
          <w:pPr>
            <w:pStyle w:val="TOC3"/>
            <w:tabs>
              <w:tab w:pos="8695" w:val="left" w:leader="dot"/>
            </w:tabs>
            <w:spacing w:before="34"/>
            <w:ind w:left="1148"/>
          </w:pPr>
          <w:hyperlink w:history="true" w:anchor="_TOC_250036">
            <w:r>
              <w:rPr>
                <w:color w:val="4D4D4F"/>
                <w:w w:val="90"/>
              </w:rPr>
              <w:t>Buprenorphine Induction and Maintenance Appropriate</w:t>
            </w:r>
            <w:r>
              <w:rPr>
                <w:color w:val="4D4D4F"/>
                <w:spacing w:val="-25"/>
                <w:w w:val="90"/>
              </w:rPr>
              <w:t> </w:t>
            </w:r>
            <w:r>
              <w:rPr>
                <w:color w:val="4D4D4F"/>
                <w:w w:val="90"/>
              </w:rPr>
              <w:t>Use</w:t>
            </w:r>
            <w:r>
              <w:rPr>
                <w:color w:val="4D4D4F"/>
                <w:spacing w:val="-5"/>
                <w:w w:val="90"/>
              </w:rPr>
              <w:t> </w:t>
            </w:r>
            <w:r>
              <w:rPr>
                <w:color w:val="4D4D4F"/>
                <w:w w:val="90"/>
              </w:rPr>
              <w:t>Checklists</w:t>
              <w:tab/>
            </w:r>
            <w:r>
              <w:rPr>
                <w:color w:val="4D4D4F"/>
              </w:rPr>
              <w:t>3-73</w:t>
            </w:r>
          </w:hyperlink>
        </w:p>
        <w:p>
          <w:pPr>
            <w:pStyle w:val="TOC3"/>
            <w:tabs>
              <w:tab w:pos="8695" w:val="left" w:leader="dot"/>
            </w:tabs>
            <w:ind w:left="1148"/>
          </w:pPr>
          <w:hyperlink w:history="true" w:anchor="_TOC_250035">
            <w:r>
              <w:rPr>
                <w:color w:val="4D4D4F"/>
                <w:w w:val="95"/>
              </w:rPr>
              <w:t>Sample</w:t>
            </w:r>
            <w:r>
              <w:rPr>
                <w:color w:val="4D4D4F"/>
                <w:spacing w:val="-36"/>
                <w:w w:val="95"/>
              </w:rPr>
              <w:t> </w:t>
            </w:r>
            <w:r>
              <w:rPr>
                <w:color w:val="4D4D4F"/>
                <w:w w:val="95"/>
              </w:rPr>
              <w:t>Goal</w:t>
            </w:r>
            <w:r>
              <w:rPr>
                <w:color w:val="4D4D4F"/>
                <w:spacing w:val="-35"/>
                <w:w w:val="95"/>
              </w:rPr>
              <w:t> </w:t>
            </w:r>
            <w:r>
              <w:rPr>
                <w:color w:val="4D4D4F"/>
                <w:w w:val="95"/>
              </w:rPr>
              <w:t>Sheet</w:t>
            </w:r>
            <w:r>
              <w:rPr>
                <w:color w:val="4D4D4F"/>
                <w:spacing w:val="-36"/>
                <w:w w:val="95"/>
              </w:rPr>
              <w:t> </w:t>
            </w:r>
            <w:r>
              <w:rPr>
                <w:color w:val="4D4D4F"/>
                <w:w w:val="95"/>
              </w:rPr>
              <w:t>and</w:t>
            </w:r>
            <w:r>
              <w:rPr>
                <w:color w:val="4D4D4F"/>
                <w:spacing w:val="-35"/>
                <w:w w:val="95"/>
              </w:rPr>
              <w:t> </w:t>
            </w:r>
            <w:r>
              <w:rPr>
                <w:color w:val="4D4D4F"/>
                <w:w w:val="95"/>
              </w:rPr>
              <w:t>Coping</w:t>
            </w:r>
            <w:r>
              <w:rPr>
                <w:color w:val="4D4D4F"/>
                <w:spacing w:val="-35"/>
                <w:w w:val="95"/>
              </w:rPr>
              <w:t> </w:t>
            </w:r>
            <w:r>
              <w:rPr>
                <w:color w:val="4D4D4F"/>
                <w:w w:val="95"/>
              </w:rPr>
              <w:t>Strategies</w:t>
            </w:r>
            <w:r>
              <w:rPr>
                <w:color w:val="4D4D4F"/>
                <w:spacing w:val="-36"/>
                <w:w w:val="95"/>
              </w:rPr>
              <w:t> </w:t>
            </w:r>
            <w:r>
              <w:rPr>
                <w:color w:val="4D4D4F"/>
                <w:w w:val="95"/>
              </w:rPr>
              <w:t>Form</w:t>
              <w:tab/>
            </w:r>
            <w:r>
              <w:rPr>
                <w:color w:val="4D4D4F"/>
              </w:rPr>
              <w:t>3-75</w:t>
            </w:r>
          </w:hyperlink>
        </w:p>
        <w:p>
          <w:pPr>
            <w:pStyle w:val="TOC3"/>
            <w:tabs>
              <w:tab w:pos="8702" w:val="left" w:leader="dot"/>
            </w:tabs>
            <w:ind w:left="1148"/>
          </w:pPr>
          <w:hyperlink w:history="true" w:anchor="_TOC_250034">
            <w:r>
              <w:rPr>
                <w:color w:val="4D4D4F"/>
                <w:w w:val="95"/>
              </w:rPr>
              <w:t>Sample</w:t>
            </w:r>
            <w:r>
              <w:rPr>
                <w:color w:val="4D4D4F"/>
                <w:spacing w:val="-37"/>
                <w:w w:val="95"/>
              </w:rPr>
              <w:t> </w:t>
            </w:r>
            <w:r>
              <w:rPr>
                <w:color w:val="4D4D4F"/>
                <w:w w:val="95"/>
              </w:rPr>
              <w:t>Goal-Setting</w:t>
            </w:r>
            <w:r>
              <w:rPr>
                <w:color w:val="4D4D4F"/>
                <w:spacing w:val="-37"/>
                <w:w w:val="95"/>
              </w:rPr>
              <w:t> </w:t>
            </w:r>
            <w:r>
              <w:rPr>
                <w:color w:val="4D4D4F"/>
                <w:w w:val="95"/>
              </w:rPr>
              <w:t>Form</w:t>
              <w:tab/>
            </w:r>
            <w:r>
              <w:rPr>
                <w:color w:val="4D4D4F"/>
              </w:rPr>
              <w:t>3-76</w:t>
            </w:r>
          </w:hyperlink>
        </w:p>
        <w:p>
          <w:pPr>
            <w:pStyle w:val="TOC3"/>
            <w:tabs>
              <w:tab w:pos="8697" w:val="left" w:leader="dot"/>
            </w:tabs>
            <w:ind w:left="1148"/>
          </w:pPr>
          <w:hyperlink w:history="true" w:anchor="_TOC_250033">
            <w:r>
              <w:rPr>
                <w:color w:val="4D4D4F"/>
                <w:w w:val="90"/>
              </w:rPr>
              <w:t>Buprenorphine/Naloxone</w:t>
            </w:r>
            <w:r>
              <w:rPr>
                <w:color w:val="4D4D4F"/>
                <w:spacing w:val="-12"/>
                <w:w w:val="90"/>
              </w:rPr>
              <w:t> </w:t>
            </w:r>
            <w:r>
              <w:rPr>
                <w:color w:val="4D4D4F"/>
                <w:w w:val="90"/>
              </w:rPr>
              <w:t>Home</w:t>
            </w:r>
            <w:r>
              <w:rPr>
                <w:color w:val="4D4D4F"/>
                <w:spacing w:val="-11"/>
                <w:w w:val="90"/>
              </w:rPr>
              <w:t> </w:t>
            </w:r>
            <w:r>
              <w:rPr>
                <w:color w:val="4D4D4F"/>
                <w:w w:val="90"/>
              </w:rPr>
              <w:t>Dosage</w:t>
            </w:r>
            <w:r>
              <w:rPr>
                <w:color w:val="4D4D4F"/>
                <w:spacing w:val="-12"/>
                <w:w w:val="90"/>
              </w:rPr>
              <w:t> </w:t>
            </w:r>
            <w:r>
              <w:rPr>
                <w:color w:val="4D4D4F"/>
                <w:w w:val="90"/>
              </w:rPr>
              <w:t>Schedule:</w:t>
            </w:r>
            <w:r>
              <w:rPr>
                <w:color w:val="4D4D4F"/>
                <w:spacing w:val="-11"/>
                <w:w w:val="90"/>
              </w:rPr>
              <w:t> </w:t>
            </w:r>
            <w:r>
              <w:rPr>
                <w:color w:val="4D4D4F"/>
                <w:w w:val="90"/>
              </w:rPr>
              <w:t>Films</w:t>
            </w:r>
            <w:r>
              <w:rPr>
                <w:color w:val="4D4D4F"/>
                <w:spacing w:val="-11"/>
                <w:w w:val="90"/>
              </w:rPr>
              <w:t> </w:t>
            </w:r>
            <w:r>
              <w:rPr>
                <w:color w:val="4D4D4F"/>
                <w:w w:val="90"/>
              </w:rPr>
              <w:t>or</w:t>
            </w:r>
            <w:r>
              <w:rPr>
                <w:color w:val="4D4D4F"/>
                <w:spacing w:val="-12"/>
                <w:w w:val="90"/>
              </w:rPr>
              <w:t> </w:t>
            </w:r>
            <w:r>
              <w:rPr>
                <w:color w:val="4D4D4F"/>
                <w:spacing w:val="-3"/>
                <w:w w:val="90"/>
              </w:rPr>
              <w:t>Tablets</w:t>
              <w:tab/>
            </w:r>
            <w:r>
              <w:rPr>
                <w:color w:val="4D4D4F"/>
              </w:rPr>
              <w:t>3-77</w:t>
            </w:r>
          </w:hyperlink>
        </w:p>
        <w:p>
          <w:pPr>
            <w:pStyle w:val="TOC3"/>
            <w:tabs>
              <w:tab w:pos="8695" w:val="left" w:leader="dot"/>
            </w:tabs>
            <w:ind w:left="1148"/>
          </w:pPr>
          <w:hyperlink w:history="true" w:anchor="_TOC_250032">
            <w:r>
              <w:rPr>
                <w:color w:val="4D4D4F"/>
                <w:w w:val="95"/>
              </w:rPr>
              <w:t>Buprenorphine</w:t>
            </w:r>
            <w:r>
              <w:rPr>
                <w:color w:val="4D4D4F"/>
                <w:spacing w:val="-37"/>
                <w:w w:val="95"/>
              </w:rPr>
              <w:t> </w:t>
            </w:r>
            <w:r>
              <w:rPr>
                <w:color w:val="4D4D4F"/>
                <w:spacing w:val="-3"/>
                <w:w w:val="95"/>
              </w:rPr>
              <w:t>Treatment</w:t>
            </w:r>
            <w:r>
              <w:rPr>
                <w:color w:val="4D4D4F"/>
                <w:spacing w:val="-36"/>
                <w:w w:val="95"/>
              </w:rPr>
              <w:t> </w:t>
            </w:r>
            <w:r>
              <w:rPr>
                <w:color w:val="4D4D4F"/>
                <w:w w:val="95"/>
              </w:rPr>
              <w:t>Agreement</w:t>
              <w:tab/>
            </w:r>
            <w:r>
              <w:rPr>
                <w:color w:val="4D4D4F"/>
              </w:rPr>
              <w:t>3-78</w:t>
            </w:r>
          </w:hyperlink>
        </w:p>
        <w:p>
          <w:pPr>
            <w:pStyle w:val="TOC3"/>
            <w:tabs>
              <w:tab w:pos="8695" w:val="left" w:leader="dot"/>
            </w:tabs>
            <w:ind w:left="1148"/>
          </w:pPr>
          <w:hyperlink w:history="true" w:anchor="_TOC_250031">
            <w:r>
              <w:rPr>
                <w:color w:val="4D4D4F"/>
                <w:w w:val="95"/>
              </w:rPr>
              <w:t>Patient</w:t>
            </w:r>
            <w:r>
              <w:rPr>
                <w:color w:val="4D4D4F"/>
                <w:spacing w:val="-33"/>
                <w:w w:val="95"/>
              </w:rPr>
              <w:t> </w:t>
            </w:r>
            <w:r>
              <w:rPr>
                <w:color w:val="4D4D4F"/>
                <w:w w:val="95"/>
              </w:rPr>
              <w:t>Urine</w:t>
            </w:r>
            <w:r>
              <w:rPr>
                <w:color w:val="4D4D4F"/>
                <w:spacing w:val="-32"/>
                <w:w w:val="95"/>
              </w:rPr>
              <w:t> </w:t>
            </w:r>
            <w:r>
              <w:rPr>
                <w:color w:val="4D4D4F"/>
                <w:w w:val="95"/>
              </w:rPr>
              <w:t>Drug</w:t>
            </w:r>
            <w:r>
              <w:rPr>
                <w:color w:val="4D4D4F"/>
                <w:spacing w:val="-32"/>
                <w:w w:val="95"/>
              </w:rPr>
              <w:t> </w:t>
            </w:r>
            <w:r>
              <w:rPr>
                <w:color w:val="4D4D4F"/>
                <w:w w:val="95"/>
              </w:rPr>
              <w:t>Screen</w:t>
            </w:r>
            <w:r>
              <w:rPr>
                <w:color w:val="4D4D4F"/>
                <w:spacing w:val="-32"/>
                <w:w w:val="95"/>
              </w:rPr>
              <w:t> </w:t>
            </w:r>
            <w:r>
              <w:rPr>
                <w:color w:val="4D4D4F"/>
                <w:w w:val="95"/>
              </w:rPr>
              <w:t>and</w:t>
            </w:r>
            <w:r>
              <w:rPr>
                <w:color w:val="4D4D4F"/>
                <w:spacing w:val="-32"/>
                <w:w w:val="95"/>
              </w:rPr>
              <w:t> </w:t>
            </w:r>
            <w:r>
              <w:rPr>
                <w:color w:val="4D4D4F"/>
                <w:w w:val="95"/>
              </w:rPr>
              <w:t>Medication</w:t>
            </w:r>
            <w:r>
              <w:rPr>
                <w:color w:val="4D4D4F"/>
                <w:spacing w:val="-32"/>
                <w:w w:val="95"/>
              </w:rPr>
              <w:t> </w:t>
            </w:r>
            <w:r>
              <w:rPr>
                <w:color w:val="4D4D4F"/>
                <w:w w:val="95"/>
              </w:rPr>
              <w:t>Count</w:t>
            </w:r>
            <w:r>
              <w:rPr>
                <w:color w:val="4D4D4F"/>
                <w:spacing w:val="-32"/>
                <w:w w:val="95"/>
              </w:rPr>
              <w:t> </w:t>
            </w:r>
            <w:r>
              <w:rPr>
                <w:color w:val="4D4D4F"/>
                <w:w w:val="95"/>
              </w:rPr>
              <w:t>Monitoring</w:t>
            </w:r>
            <w:r>
              <w:rPr>
                <w:color w:val="4D4D4F"/>
                <w:spacing w:val="-32"/>
                <w:w w:val="95"/>
              </w:rPr>
              <w:t> </w:t>
            </w:r>
            <w:r>
              <w:rPr>
                <w:color w:val="4D4D4F"/>
                <w:w w:val="95"/>
              </w:rPr>
              <w:t>Form</w:t>
              <w:tab/>
            </w:r>
            <w:r>
              <w:rPr>
                <w:color w:val="4D4D4F"/>
              </w:rPr>
              <w:t>3-80</w:t>
            </w:r>
          </w:hyperlink>
        </w:p>
        <w:p>
          <w:pPr>
            <w:pStyle w:val="TOC3"/>
            <w:tabs>
              <w:tab w:pos="8702" w:val="left" w:leader="dot"/>
            </w:tabs>
            <w:ind w:left="1148"/>
          </w:pPr>
          <w:hyperlink w:history="true" w:anchor="_TOC_250030">
            <w:r>
              <w:rPr>
                <w:color w:val="4D4D4F"/>
                <w:w w:val="95"/>
              </w:rPr>
              <w:t>Pharmacy</w:t>
            </w:r>
            <w:r>
              <w:rPr>
                <w:color w:val="4D4D4F"/>
                <w:spacing w:val="-40"/>
                <w:w w:val="95"/>
              </w:rPr>
              <w:t> </w:t>
            </w:r>
            <w:r>
              <w:rPr>
                <w:color w:val="4D4D4F"/>
                <w:spacing w:val="-3"/>
                <w:w w:val="95"/>
              </w:rPr>
              <w:t>Tablet/Film</w:t>
            </w:r>
            <w:r>
              <w:rPr>
                <w:color w:val="4D4D4F"/>
                <w:spacing w:val="-39"/>
                <w:w w:val="95"/>
              </w:rPr>
              <w:t> </w:t>
            </w:r>
            <w:r>
              <w:rPr>
                <w:color w:val="4D4D4F"/>
                <w:w w:val="95"/>
              </w:rPr>
              <w:t>Count</w:t>
            </w:r>
            <w:r>
              <w:rPr>
                <w:color w:val="4D4D4F"/>
                <w:spacing w:val="-39"/>
                <w:w w:val="95"/>
              </w:rPr>
              <w:t> </w:t>
            </w:r>
            <w:r>
              <w:rPr>
                <w:color w:val="4D4D4F"/>
                <w:w w:val="95"/>
              </w:rPr>
              <w:t>Form</w:t>
              <w:tab/>
            </w:r>
            <w:r>
              <w:rPr>
                <w:color w:val="4D4D4F"/>
              </w:rPr>
              <w:t>3-81</w:t>
            </w:r>
          </w:hyperlink>
        </w:p>
        <w:p>
          <w:pPr>
            <w:pStyle w:val="TOC2"/>
            <w:tabs>
              <w:tab w:pos="8695" w:val="left" w:leader="dot"/>
            </w:tabs>
            <w:spacing w:line="254" w:lineRule="auto" w:before="314"/>
            <w:ind w:right="1310"/>
            <w:rPr>
              <w:sz w:val="20"/>
            </w:rPr>
          </w:pPr>
          <w:hyperlink w:history="true" w:anchor="_TOC_250029">
            <w:r>
              <w:rPr>
                <w:color w:val="231F20"/>
                <w:spacing w:val="4"/>
              </w:rPr>
              <w:t>CHAPTER </w:t>
            </w:r>
            <w:r>
              <w:rPr>
                <w:color w:val="231F20"/>
              </w:rPr>
              <w:t>3E: </w:t>
            </w:r>
            <w:r>
              <w:rPr>
                <w:color w:val="231F20"/>
                <w:spacing w:val="4"/>
              </w:rPr>
              <w:t>MEDICAL </w:t>
            </w:r>
            <w:r>
              <w:rPr>
                <w:color w:val="231F20"/>
                <w:spacing w:val="2"/>
              </w:rPr>
              <w:t>MANAGEMENT </w:t>
            </w:r>
            <w:r>
              <w:rPr>
                <w:color w:val="231F20"/>
              </w:rPr>
              <w:t>STRATEGIES </w:t>
            </w:r>
            <w:r>
              <w:rPr>
                <w:color w:val="231F20"/>
                <w:spacing w:val="2"/>
              </w:rPr>
              <w:t>FOR </w:t>
            </w:r>
            <w:r>
              <w:rPr>
                <w:color w:val="231F20"/>
              </w:rPr>
              <w:t>PATIENTS </w:t>
            </w:r>
            <w:r>
              <w:rPr>
                <w:color w:val="231F20"/>
                <w:w w:val="95"/>
              </w:rPr>
              <w:t>TAKING</w:t>
            </w:r>
            <w:r>
              <w:rPr>
                <w:color w:val="231F20"/>
                <w:spacing w:val="-18"/>
                <w:w w:val="95"/>
              </w:rPr>
              <w:t> </w:t>
            </w:r>
            <w:r>
              <w:rPr>
                <w:color w:val="231F20"/>
                <w:w w:val="95"/>
              </w:rPr>
              <w:t>OUD</w:t>
            </w:r>
            <w:r>
              <w:rPr>
                <w:color w:val="231F20"/>
                <w:spacing w:val="-19"/>
                <w:w w:val="95"/>
              </w:rPr>
              <w:t> </w:t>
            </w:r>
            <w:r>
              <w:rPr>
                <w:color w:val="231F20"/>
                <w:spacing w:val="2"/>
                <w:w w:val="95"/>
              </w:rPr>
              <w:t>MEDICATIONS</w:t>
            </w:r>
            <w:r>
              <w:rPr>
                <w:color w:val="231F20"/>
                <w:spacing w:val="-16"/>
                <w:w w:val="95"/>
              </w:rPr>
              <w:t> </w:t>
            </w:r>
            <w:r>
              <w:rPr>
                <w:color w:val="231F20"/>
                <w:w w:val="95"/>
              </w:rPr>
              <w:t>IN</w:t>
            </w:r>
            <w:r>
              <w:rPr>
                <w:color w:val="231F20"/>
                <w:spacing w:val="-18"/>
                <w:w w:val="95"/>
              </w:rPr>
              <w:t> </w:t>
            </w:r>
            <w:r>
              <w:rPr>
                <w:color w:val="231F20"/>
                <w:spacing w:val="3"/>
                <w:w w:val="95"/>
              </w:rPr>
              <w:t>OFFICE-BASED</w:t>
            </w:r>
            <w:r>
              <w:rPr>
                <w:color w:val="231F20"/>
                <w:spacing w:val="-18"/>
                <w:w w:val="95"/>
              </w:rPr>
              <w:t> </w:t>
            </w:r>
            <w:r>
              <w:rPr>
                <w:color w:val="231F20"/>
                <w:spacing w:val="4"/>
                <w:w w:val="95"/>
              </w:rPr>
              <w:t>SETTINGS</w:t>
              <w:tab/>
            </w:r>
            <w:r>
              <w:rPr>
                <w:color w:val="4D4D4F"/>
                <w:spacing w:val="-5"/>
                <w:w w:val="85"/>
                <w:sz w:val="20"/>
              </w:rPr>
              <w:t>3-83</w:t>
            </w:r>
          </w:hyperlink>
        </w:p>
        <w:p>
          <w:pPr>
            <w:pStyle w:val="TOC1"/>
            <w:tabs>
              <w:tab w:pos="8695" w:val="left" w:leader="dot"/>
            </w:tabs>
            <w:spacing w:before="68"/>
            <w:rPr>
              <w:rFonts w:ascii="Lucida Sans"/>
              <w:b w:val="0"/>
              <w:sz w:val="20"/>
            </w:rPr>
          </w:pPr>
          <w:hyperlink w:history="true" w:anchor="_TOC_250028">
            <w:r>
              <w:rPr>
                <w:color w:val="147692"/>
              </w:rPr>
              <w:t>Patient</w:t>
            </w:r>
            <w:r>
              <w:rPr>
                <w:color w:val="147692"/>
                <w:spacing w:val="-39"/>
              </w:rPr>
              <w:t> </w:t>
            </w:r>
            <w:r>
              <w:rPr>
                <w:color w:val="147692"/>
              </w:rPr>
              <w:t>Selection</w:t>
              <w:tab/>
            </w:r>
            <w:r>
              <w:rPr>
                <w:rFonts w:ascii="Lucida Sans"/>
                <w:b w:val="0"/>
                <w:color w:val="4D4D4F"/>
                <w:sz w:val="20"/>
              </w:rPr>
              <w:t>3-83</w:t>
            </w:r>
          </w:hyperlink>
        </w:p>
        <w:p>
          <w:pPr>
            <w:pStyle w:val="TOC1"/>
            <w:tabs>
              <w:tab w:pos="8691" w:val="left" w:leader="dot"/>
            </w:tabs>
            <w:spacing w:before="122"/>
            <w:rPr>
              <w:rFonts w:ascii="Lucida Sans"/>
              <w:b w:val="0"/>
              <w:sz w:val="20"/>
            </w:rPr>
          </w:pPr>
          <w:hyperlink w:history="true" w:anchor="_TOC_250027">
            <w:r>
              <w:rPr>
                <w:color w:val="147692"/>
              </w:rPr>
              <w:t>Patient</w:t>
            </w:r>
            <w:r>
              <w:rPr>
                <w:color w:val="147692"/>
                <w:spacing w:val="-42"/>
              </w:rPr>
              <w:t> </w:t>
            </w:r>
            <w:r>
              <w:rPr>
                <w:color w:val="147692"/>
              </w:rPr>
              <w:t>Management</w:t>
            </w:r>
            <w:r>
              <w:rPr>
                <w:color w:val="147692"/>
                <w:spacing w:val="-41"/>
              </w:rPr>
              <w:t> </w:t>
            </w:r>
            <w:r>
              <w:rPr>
                <w:color w:val="147692"/>
              </w:rPr>
              <w:t>and</w:t>
            </w:r>
            <w:r>
              <w:rPr>
                <w:color w:val="147692"/>
                <w:spacing w:val="-41"/>
              </w:rPr>
              <w:t> </w:t>
            </w:r>
            <w:r>
              <w:rPr>
                <w:color w:val="147692"/>
              </w:rPr>
              <w:t>Treatment</w:t>
            </w:r>
            <w:r>
              <w:rPr>
                <w:color w:val="147692"/>
                <w:spacing w:val="-41"/>
              </w:rPr>
              <w:t> </w:t>
            </w:r>
            <w:r>
              <w:rPr>
                <w:color w:val="147692"/>
              </w:rPr>
              <w:t>Monitoring</w:t>
              <w:tab/>
            </w:r>
            <w:r>
              <w:rPr>
                <w:rFonts w:ascii="Lucida Sans"/>
                <w:b w:val="0"/>
                <w:color w:val="4D4D4F"/>
                <w:sz w:val="20"/>
              </w:rPr>
              <w:t>3-84</w:t>
            </w:r>
          </w:hyperlink>
        </w:p>
        <w:p>
          <w:pPr>
            <w:pStyle w:val="TOC3"/>
            <w:tabs>
              <w:tab w:pos="8695" w:val="left" w:leader="dot"/>
            </w:tabs>
            <w:spacing w:before="35"/>
          </w:pPr>
          <w:hyperlink w:history="true" w:anchor="_TOC_250026">
            <w:r>
              <w:rPr>
                <w:color w:val="4D4D4F"/>
                <w:w w:val="95"/>
              </w:rPr>
              <w:t>Course</w:t>
            </w:r>
            <w:r>
              <w:rPr>
                <w:color w:val="4D4D4F"/>
                <w:spacing w:val="-28"/>
                <w:w w:val="95"/>
              </w:rPr>
              <w:t> </w:t>
            </w:r>
            <w:r>
              <w:rPr>
                <w:color w:val="4D4D4F"/>
                <w:w w:val="95"/>
              </w:rPr>
              <w:t>of</w:t>
            </w:r>
            <w:r>
              <w:rPr>
                <w:color w:val="4D4D4F"/>
                <w:spacing w:val="-28"/>
                <w:w w:val="95"/>
              </w:rPr>
              <w:t> </w:t>
            </w:r>
            <w:r>
              <w:rPr>
                <w:color w:val="4D4D4F"/>
                <w:spacing w:val="-3"/>
                <w:w w:val="95"/>
              </w:rPr>
              <w:t>Treatment</w:t>
              <w:tab/>
            </w:r>
            <w:r>
              <w:rPr>
                <w:color w:val="4D4D4F"/>
              </w:rPr>
              <w:t>3-85</w:t>
            </w:r>
          </w:hyperlink>
        </w:p>
        <w:p>
          <w:pPr>
            <w:pStyle w:val="TOC3"/>
            <w:tabs>
              <w:tab w:pos="8695" w:val="left" w:leader="dot"/>
            </w:tabs>
          </w:pPr>
          <w:hyperlink w:history="true" w:anchor="_TOC_250025">
            <w:r>
              <w:rPr>
                <w:color w:val="4D4D4F"/>
                <w:w w:val="95"/>
              </w:rPr>
              <w:t>Role</w:t>
            </w:r>
            <w:r>
              <w:rPr>
                <w:color w:val="4D4D4F"/>
                <w:spacing w:val="-26"/>
                <w:w w:val="95"/>
              </w:rPr>
              <w:t> </w:t>
            </w:r>
            <w:r>
              <w:rPr>
                <w:color w:val="4D4D4F"/>
                <w:w w:val="95"/>
              </w:rPr>
              <w:t>of</w:t>
            </w:r>
            <w:r>
              <w:rPr>
                <w:color w:val="4D4D4F"/>
                <w:spacing w:val="-26"/>
                <w:w w:val="95"/>
              </w:rPr>
              <w:t> </w:t>
            </w:r>
            <w:r>
              <w:rPr>
                <w:color w:val="4D4D4F"/>
                <w:w w:val="95"/>
              </w:rPr>
              <w:t>the</w:t>
            </w:r>
            <w:r>
              <w:rPr>
                <w:color w:val="4D4D4F"/>
                <w:spacing w:val="-26"/>
                <w:w w:val="95"/>
              </w:rPr>
              <w:t> </w:t>
            </w:r>
            <w:r>
              <w:rPr>
                <w:color w:val="4D4D4F"/>
                <w:spacing w:val="-3"/>
                <w:w w:val="95"/>
              </w:rPr>
              <w:t>Treatment</w:t>
            </w:r>
            <w:r>
              <w:rPr>
                <w:color w:val="4D4D4F"/>
                <w:spacing w:val="-26"/>
                <w:w w:val="95"/>
              </w:rPr>
              <w:t> </w:t>
            </w:r>
            <w:r>
              <w:rPr>
                <w:color w:val="4D4D4F"/>
                <w:w w:val="95"/>
              </w:rPr>
              <w:t>Plan</w:t>
            </w:r>
            <w:r>
              <w:rPr>
                <w:color w:val="4D4D4F"/>
                <w:spacing w:val="-25"/>
                <w:w w:val="95"/>
              </w:rPr>
              <w:t> </w:t>
            </w:r>
            <w:r>
              <w:rPr>
                <w:color w:val="4D4D4F"/>
                <w:w w:val="95"/>
              </w:rPr>
              <w:t>and</w:t>
            </w:r>
            <w:r>
              <w:rPr>
                <w:color w:val="4D4D4F"/>
                <w:spacing w:val="-26"/>
                <w:w w:val="95"/>
              </w:rPr>
              <w:t> </w:t>
            </w:r>
            <w:r>
              <w:rPr>
                <w:color w:val="4D4D4F"/>
                <w:spacing w:val="-3"/>
                <w:w w:val="95"/>
              </w:rPr>
              <w:t>Treatment</w:t>
            </w:r>
            <w:r>
              <w:rPr>
                <w:color w:val="4D4D4F"/>
                <w:spacing w:val="-26"/>
                <w:w w:val="95"/>
              </w:rPr>
              <w:t> </w:t>
            </w:r>
            <w:r>
              <w:rPr>
                <w:color w:val="4D4D4F"/>
                <w:w w:val="95"/>
              </w:rPr>
              <w:t>Agreement</w:t>
            </w:r>
            <w:r>
              <w:rPr>
                <w:color w:val="4D4D4F"/>
                <w:spacing w:val="-26"/>
                <w:w w:val="95"/>
              </w:rPr>
              <w:t> </w:t>
            </w:r>
            <w:r>
              <w:rPr>
                <w:color w:val="4D4D4F"/>
                <w:w w:val="95"/>
              </w:rPr>
              <w:t>in</w:t>
            </w:r>
            <w:r>
              <w:rPr>
                <w:color w:val="4D4D4F"/>
                <w:spacing w:val="-25"/>
                <w:w w:val="95"/>
              </w:rPr>
              <w:t> </w:t>
            </w:r>
            <w:r>
              <w:rPr>
                <w:color w:val="4D4D4F"/>
                <w:w w:val="95"/>
              </w:rPr>
              <w:t>Medical</w:t>
            </w:r>
            <w:r>
              <w:rPr>
                <w:color w:val="4D4D4F"/>
                <w:spacing w:val="-26"/>
                <w:w w:val="95"/>
              </w:rPr>
              <w:t> </w:t>
            </w:r>
            <w:r>
              <w:rPr>
                <w:color w:val="4D4D4F"/>
                <w:w w:val="95"/>
              </w:rPr>
              <w:t>Management</w:t>
              <w:tab/>
            </w:r>
            <w:r>
              <w:rPr>
                <w:color w:val="4D4D4F"/>
              </w:rPr>
              <w:t>3-86</w:t>
            </w:r>
          </w:hyperlink>
        </w:p>
        <w:p>
          <w:pPr>
            <w:pStyle w:val="TOC3"/>
            <w:tabs>
              <w:tab w:pos="8695" w:val="left" w:leader="dot"/>
            </w:tabs>
          </w:pPr>
          <w:hyperlink w:history="true" w:anchor="_TOC_250024">
            <w:r>
              <w:rPr>
                <w:color w:val="4D4D4F"/>
                <w:w w:val="95"/>
              </w:rPr>
              <w:t>Medical</w:t>
            </w:r>
            <w:r>
              <w:rPr>
                <w:color w:val="4D4D4F"/>
                <w:spacing w:val="-32"/>
                <w:w w:val="95"/>
              </w:rPr>
              <w:t> </w:t>
            </w:r>
            <w:r>
              <w:rPr>
                <w:color w:val="4D4D4F"/>
                <w:w w:val="95"/>
              </w:rPr>
              <w:t>Management</w:t>
            </w:r>
            <w:r>
              <w:rPr>
                <w:color w:val="4D4D4F"/>
                <w:spacing w:val="-31"/>
                <w:w w:val="95"/>
              </w:rPr>
              <w:t> </w:t>
            </w:r>
            <w:r>
              <w:rPr>
                <w:color w:val="4D4D4F"/>
                <w:w w:val="95"/>
              </w:rPr>
              <w:t>Strategies</w:t>
              <w:tab/>
            </w:r>
            <w:r>
              <w:rPr>
                <w:color w:val="4D4D4F"/>
              </w:rPr>
              <w:t>3-86</w:t>
            </w:r>
          </w:hyperlink>
        </w:p>
        <w:p>
          <w:pPr>
            <w:pStyle w:val="TOC1"/>
            <w:tabs>
              <w:tab w:pos="8695" w:val="left" w:leader="dot"/>
            </w:tabs>
            <w:rPr>
              <w:rFonts w:ascii="Lucida Sans"/>
              <w:b w:val="0"/>
              <w:sz w:val="20"/>
            </w:rPr>
          </w:pPr>
          <w:hyperlink w:history="true" w:anchor="_TOC_250023">
            <w:r>
              <w:rPr>
                <w:color w:val="147692"/>
                <w:w w:val="95"/>
              </w:rPr>
              <w:t>Administrative</w:t>
            </w:r>
            <w:r>
              <w:rPr>
                <w:color w:val="147692"/>
                <w:spacing w:val="-13"/>
                <w:w w:val="95"/>
              </w:rPr>
              <w:t> </w:t>
            </w:r>
            <w:r>
              <w:rPr>
                <w:color w:val="147692"/>
                <w:w w:val="95"/>
              </w:rPr>
              <w:t>Considerations</w:t>
              <w:tab/>
            </w:r>
            <w:r>
              <w:rPr>
                <w:rFonts w:ascii="Lucida Sans"/>
                <w:b w:val="0"/>
                <w:color w:val="4D4D4F"/>
                <w:sz w:val="20"/>
              </w:rPr>
              <w:t>3-93</w:t>
            </w:r>
          </w:hyperlink>
        </w:p>
        <w:p>
          <w:pPr>
            <w:pStyle w:val="TOC3"/>
            <w:tabs>
              <w:tab w:pos="8695" w:val="left" w:leader="dot"/>
            </w:tabs>
            <w:spacing w:before="34"/>
          </w:pPr>
          <w:hyperlink w:history="true" w:anchor="_TOC_250022">
            <w:r>
              <w:rPr>
                <w:color w:val="4D4D4F"/>
                <w:w w:val="95"/>
              </w:rPr>
              <w:t>Patient</w:t>
            </w:r>
            <w:r>
              <w:rPr>
                <w:color w:val="4D4D4F"/>
                <w:spacing w:val="-34"/>
                <w:w w:val="95"/>
              </w:rPr>
              <w:t> </w:t>
            </w:r>
            <w:r>
              <w:rPr>
                <w:color w:val="4D4D4F"/>
                <w:w w:val="95"/>
              </w:rPr>
              <w:t>Limits</w:t>
              <w:tab/>
            </w:r>
            <w:r>
              <w:rPr>
                <w:color w:val="4D4D4F"/>
              </w:rPr>
              <w:t>3-93</w:t>
            </w:r>
          </w:hyperlink>
        </w:p>
        <w:p>
          <w:pPr>
            <w:pStyle w:val="TOC3"/>
            <w:tabs>
              <w:tab w:pos="8694" w:val="left" w:leader="dot"/>
            </w:tabs>
          </w:pPr>
          <w:hyperlink w:history="true" w:anchor="_TOC_250021">
            <w:r>
              <w:rPr>
                <w:color w:val="4D4D4F"/>
                <w:w w:val="95"/>
              </w:rPr>
              <w:t>Diversion</w:t>
            </w:r>
            <w:r>
              <w:rPr>
                <w:color w:val="4D4D4F"/>
                <w:spacing w:val="-41"/>
                <w:w w:val="95"/>
              </w:rPr>
              <w:t> </w:t>
            </w:r>
            <w:r>
              <w:rPr>
                <w:color w:val="4D4D4F"/>
                <w:w w:val="95"/>
              </w:rPr>
              <w:t>Control</w:t>
            </w:r>
            <w:r>
              <w:rPr>
                <w:color w:val="4D4D4F"/>
                <w:spacing w:val="-40"/>
                <w:w w:val="95"/>
              </w:rPr>
              <w:t> </w:t>
            </w:r>
            <w:r>
              <w:rPr>
                <w:color w:val="4D4D4F"/>
                <w:w w:val="95"/>
              </w:rPr>
              <w:t>Policies</w:t>
            </w:r>
            <w:r>
              <w:rPr>
                <w:color w:val="4D4D4F"/>
                <w:spacing w:val="-40"/>
                <w:w w:val="95"/>
              </w:rPr>
              <w:t> </w:t>
            </w:r>
            <w:r>
              <w:rPr>
                <w:color w:val="4D4D4F"/>
                <w:w w:val="95"/>
              </w:rPr>
              <w:t>for</w:t>
            </w:r>
            <w:r>
              <w:rPr>
                <w:color w:val="4D4D4F"/>
                <w:spacing w:val="-40"/>
                <w:w w:val="95"/>
              </w:rPr>
              <w:t> </w:t>
            </w:r>
            <w:r>
              <w:rPr>
                <w:color w:val="4D4D4F"/>
                <w:w w:val="95"/>
              </w:rPr>
              <w:t>OBOT</w:t>
            </w:r>
            <w:r>
              <w:rPr>
                <w:color w:val="4D4D4F"/>
                <w:spacing w:val="-40"/>
                <w:w w:val="95"/>
              </w:rPr>
              <w:t> </w:t>
            </w:r>
            <w:r>
              <w:rPr>
                <w:color w:val="4D4D4F"/>
                <w:w w:val="95"/>
              </w:rPr>
              <w:t>With</w:t>
            </w:r>
            <w:r>
              <w:rPr>
                <w:color w:val="4D4D4F"/>
                <w:spacing w:val="-40"/>
                <w:w w:val="95"/>
              </w:rPr>
              <w:t> </w:t>
            </w:r>
            <w:r>
              <w:rPr>
                <w:color w:val="4D4D4F"/>
                <w:w w:val="95"/>
              </w:rPr>
              <w:t>Buprenorphine</w:t>
              <w:tab/>
            </w:r>
            <w:r>
              <w:rPr>
                <w:color w:val="4D4D4F"/>
              </w:rPr>
              <w:t>3-94</w:t>
            </w:r>
          </w:hyperlink>
        </w:p>
        <w:p>
          <w:pPr>
            <w:pStyle w:val="TOC3"/>
            <w:tabs>
              <w:tab w:pos="8695" w:val="left" w:leader="dot"/>
            </w:tabs>
          </w:pPr>
          <w:hyperlink w:history="true" w:anchor="_TOC_250020">
            <w:r>
              <w:rPr>
                <w:color w:val="4D4D4F"/>
                <w:spacing w:val="-3"/>
                <w:w w:val="95"/>
              </w:rPr>
              <w:t>Storage</w:t>
            </w:r>
            <w:r>
              <w:rPr>
                <w:color w:val="4D4D4F"/>
                <w:spacing w:val="-28"/>
                <w:w w:val="95"/>
              </w:rPr>
              <w:t> </w:t>
            </w:r>
            <w:r>
              <w:rPr>
                <w:color w:val="4D4D4F"/>
                <w:w w:val="95"/>
              </w:rPr>
              <w:t>of</w:t>
            </w:r>
            <w:r>
              <w:rPr>
                <w:color w:val="4D4D4F"/>
                <w:spacing w:val="-27"/>
                <w:w w:val="95"/>
              </w:rPr>
              <w:t> </w:t>
            </w:r>
            <w:r>
              <w:rPr>
                <w:color w:val="4D4D4F"/>
                <w:w w:val="95"/>
              </w:rPr>
              <w:t>Buprenorphine</w:t>
              <w:tab/>
            </w:r>
            <w:r>
              <w:rPr>
                <w:color w:val="4D4D4F"/>
              </w:rPr>
              <w:t>3-95</w:t>
            </w:r>
          </w:hyperlink>
        </w:p>
        <w:p>
          <w:pPr>
            <w:pStyle w:val="TOC3"/>
            <w:tabs>
              <w:tab w:pos="8695" w:val="left" w:leader="dot"/>
            </w:tabs>
          </w:pPr>
          <w:hyperlink w:history="true" w:anchor="_TOC_250019">
            <w:r>
              <w:rPr>
                <w:color w:val="4D4D4F"/>
                <w:w w:val="90"/>
              </w:rPr>
              <w:t>Records</w:t>
            </w:r>
            <w:r>
              <w:rPr>
                <w:color w:val="4D4D4F"/>
                <w:spacing w:val="-21"/>
                <w:w w:val="90"/>
              </w:rPr>
              <w:t> </w:t>
            </w:r>
            <w:r>
              <w:rPr>
                <w:color w:val="4D4D4F"/>
                <w:w w:val="90"/>
              </w:rPr>
              <w:t>for</w:t>
            </w:r>
            <w:r>
              <w:rPr>
                <w:color w:val="4D4D4F"/>
                <w:spacing w:val="-20"/>
                <w:w w:val="90"/>
              </w:rPr>
              <w:t> </w:t>
            </w:r>
            <w:r>
              <w:rPr>
                <w:color w:val="4D4D4F"/>
                <w:w w:val="90"/>
              </w:rPr>
              <w:t>Dispensers</w:t>
              <w:tab/>
            </w:r>
            <w:r>
              <w:rPr>
                <w:color w:val="4D4D4F"/>
                <w:w w:val="95"/>
              </w:rPr>
              <w:t>3-96</w:t>
            </w:r>
          </w:hyperlink>
        </w:p>
        <w:p>
          <w:pPr>
            <w:pStyle w:val="TOC3"/>
            <w:tabs>
              <w:tab w:pos="8695" w:val="left" w:leader="dot"/>
            </w:tabs>
            <w:spacing w:before="63"/>
          </w:pPr>
          <w:hyperlink w:history="true" w:anchor="_TOC_250018">
            <w:r>
              <w:rPr>
                <w:color w:val="4D4D4F"/>
                <w:w w:val="95"/>
              </w:rPr>
              <w:t>DEA</w:t>
            </w:r>
            <w:r>
              <w:rPr>
                <w:color w:val="4D4D4F"/>
                <w:spacing w:val="-31"/>
                <w:w w:val="95"/>
              </w:rPr>
              <w:t> </w:t>
            </w:r>
            <w:r>
              <w:rPr>
                <w:color w:val="4D4D4F"/>
                <w:w w:val="95"/>
              </w:rPr>
              <w:t>Inspections</w:t>
              <w:tab/>
            </w:r>
            <w:r>
              <w:rPr>
                <w:color w:val="4D4D4F"/>
              </w:rPr>
              <w:t>3-96</w:t>
            </w:r>
          </w:hyperlink>
        </w:p>
        <w:p>
          <w:pPr>
            <w:pStyle w:val="TOC1"/>
            <w:tabs>
              <w:tab w:pos="8695" w:val="left" w:leader="dot"/>
            </w:tabs>
            <w:rPr>
              <w:rFonts w:ascii="Lucida Sans"/>
              <w:b w:val="0"/>
              <w:sz w:val="20"/>
            </w:rPr>
          </w:pPr>
          <w:hyperlink w:history="true" w:anchor="_TOC_250017">
            <w:r>
              <w:rPr>
                <w:color w:val="147692"/>
              </w:rPr>
              <w:t>Emergency</w:t>
            </w:r>
            <w:r>
              <w:rPr>
                <w:color w:val="147692"/>
                <w:spacing w:val="-39"/>
              </w:rPr>
              <w:t> </w:t>
            </w:r>
            <w:r>
              <w:rPr>
                <w:color w:val="147692"/>
              </w:rPr>
              <w:t>Protocols</w:t>
            </w:r>
            <w:r>
              <w:rPr>
                <w:color w:val="147692"/>
                <w:spacing w:val="-39"/>
              </w:rPr>
              <w:t> </w:t>
            </w:r>
            <w:r>
              <w:rPr>
                <w:color w:val="147692"/>
              </w:rPr>
              <w:t>and</w:t>
            </w:r>
            <w:r>
              <w:rPr>
                <w:color w:val="147692"/>
                <w:spacing w:val="-39"/>
              </w:rPr>
              <w:t> </w:t>
            </w:r>
            <w:r>
              <w:rPr>
                <w:color w:val="147692"/>
              </w:rPr>
              <w:t>Patient</w:t>
            </w:r>
            <w:r>
              <w:rPr>
                <w:color w:val="147692"/>
                <w:spacing w:val="-39"/>
              </w:rPr>
              <w:t> </w:t>
            </w:r>
            <w:r>
              <w:rPr>
                <w:color w:val="147692"/>
              </w:rPr>
              <w:t>Safety</w:t>
            </w:r>
            <w:r>
              <w:rPr>
                <w:color w:val="147692"/>
                <w:spacing w:val="-39"/>
              </w:rPr>
              <w:t> </w:t>
            </w:r>
            <w:r>
              <w:rPr>
                <w:color w:val="147692"/>
              </w:rPr>
              <w:t>Measures</w:t>
              <w:tab/>
            </w:r>
            <w:r>
              <w:rPr>
                <w:rFonts w:ascii="Lucida Sans"/>
                <w:b w:val="0"/>
                <w:color w:val="4D4D4F"/>
                <w:sz w:val="20"/>
              </w:rPr>
              <w:t>3-96</w:t>
            </w:r>
          </w:hyperlink>
        </w:p>
        <w:p>
          <w:pPr>
            <w:pStyle w:val="TOC1"/>
            <w:tabs>
              <w:tab w:pos="8701" w:val="left" w:leader="dot"/>
            </w:tabs>
            <w:spacing w:before="122"/>
            <w:rPr>
              <w:rFonts w:ascii="Lucida Sans"/>
              <w:b w:val="0"/>
              <w:sz w:val="20"/>
            </w:rPr>
          </w:pPr>
          <w:hyperlink w:history="true" w:anchor="_TOC_250016">
            <w:r>
              <w:rPr>
                <w:color w:val="147692"/>
              </w:rPr>
              <w:t>Recommendations</w:t>
            </w:r>
            <w:r>
              <w:rPr>
                <w:color w:val="147692"/>
                <w:spacing w:val="-44"/>
              </w:rPr>
              <w:t> </w:t>
            </w:r>
            <w:r>
              <w:rPr>
                <w:color w:val="147692"/>
              </w:rPr>
              <w:t>for</w:t>
            </w:r>
            <w:r>
              <w:rPr>
                <w:color w:val="147692"/>
                <w:spacing w:val="-45"/>
              </w:rPr>
              <w:t> </w:t>
            </w:r>
            <w:r>
              <w:rPr>
                <w:color w:val="147692"/>
              </w:rPr>
              <w:t>Staff</w:t>
            </w:r>
            <w:r>
              <w:rPr>
                <w:color w:val="147692"/>
                <w:spacing w:val="-44"/>
              </w:rPr>
              <w:t> </w:t>
            </w:r>
            <w:r>
              <w:rPr>
                <w:color w:val="147692"/>
              </w:rPr>
              <w:t>Member</w:t>
            </w:r>
            <w:r>
              <w:rPr>
                <w:color w:val="147692"/>
                <w:spacing w:val="-44"/>
              </w:rPr>
              <w:t> </w:t>
            </w:r>
            <w:r>
              <w:rPr>
                <w:color w:val="147692"/>
                <w:spacing w:val="-3"/>
              </w:rPr>
              <w:t>Training</w:t>
              <w:tab/>
            </w:r>
            <w:r>
              <w:rPr>
                <w:rFonts w:ascii="Lucida Sans"/>
                <w:b w:val="0"/>
                <w:color w:val="4D4D4F"/>
                <w:sz w:val="20"/>
              </w:rPr>
              <w:t>3-97</w:t>
            </w:r>
          </w:hyperlink>
        </w:p>
        <w:p>
          <w:pPr>
            <w:pStyle w:val="TOC1"/>
            <w:tabs>
              <w:tab w:pos="8695" w:val="left" w:leader="dot"/>
            </w:tabs>
            <w:spacing w:before="122"/>
            <w:rPr>
              <w:rFonts w:ascii="Lucida Sans"/>
              <w:b w:val="0"/>
              <w:sz w:val="20"/>
            </w:rPr>
          </w:pPr>
          <w:hyperlink w:history="true" w:anchor="_TOC_250015">
            <w:r>
              <w:rPr>
                <w:color w:val="147692"/>
              </w:rPr>
              <w:t>Chapter</w:t>
            </w:r>
            <w:r>
              <w:rPr>
                <w:color w:val="147692"/>
                <w:spacing w:val="-37"/>
              </w:rPr>
              <w:t> </w:t>
            </w:r>
            <w:r>
              <w:rPr>
                <w:color w:val="147692"/>
              </w:rPr>
              <w:t>3E</w:t>
            </w:r>
            <w:r>
              <w:rPr>
                <w:color w:val="147692"/>
                <w:spacing w:val="-36"/>
              </w:rPr>
              <w:t> </w:t>
            </w:r>
            <w:r>
              <w:rPr>
                <w:color w:val="147692"/>
              </w:rPr>
              <w:t>Appendix</w:t>
              <w:tab/>
            </w:r>
            <w:r>
              <w:rPr>
                <w:rFonts w:ascii="Lucida Sans"/>
                <w:b w:val="0"/>
                <w:color w:val="4D4D4F"/>
                <w:sz w:val="20"/>
              </w:rPr>
              <w:t>3-98</w:t>
            </w:r>
          </w:hyperlink>
        </w:p>
        <w:p>
          <w:pPr>
            <w:pStyle w:val="TOC3"/>
            <w:tabs>
              <w:tab w:pos="8695" w:val="left" w:leader="dot"/>
            </w:tabs>
            <w:spacing w:before="35"/>
            <w:ind w:left="1148"/>
          </w:pPr>
          <w:hyperlink w:history="true" w:anchor="_TOC_250014">
            <w:r>
              <w:rPr>
                <w:color w:val="4D4D4F"/>
                <w:w w:val="95"/>
              </w:rPr>
              <w:t>Sample</w:t>
            </w:r>
            <w:r>
              <w:rPr>
                <w:color w:val="4D4D4F"/>
                <w:spacing w:val="-37"/>
                <w:w w:val="95"/>
              </w:rPr>
              <w:t> </w:t>
            </w:r>
            <w:r>
              <w:rPr>
                <w:color w:val="4D4D4F"/>
                <w:w w:val="95"/>
              </w:rPr>
              <w:t>Goal-Setting</w:t>
            </w:r>
            <w:r>
              <w:rPr>
                <w:color w:val="4D4D4F"/>
                <w:spacing w:val="-37"/>
                <w:w w:val="95"/>
              </w:rPr>
              <w:t> </w:t>
            </w:r>
            <w:r>
              <w:rPr>
                <w:color w:val="4D4D4F"/>
                <w:w w:val="95"/>
              </w:rPr>
              <w:t>Form</w:t>
              <w:tab/>
            </w:r>
            <w:r>
              <w:rPr>
                <w:color w:val="4D4D4F"/>
              </w:rPr>
              <w:t>3-98</w:t>
            </w:r>
          </w:hyperlink>
        </w:p>
        <w:p>
          <w:pPr>
            <w:pStyle w:val="TOC3"/>
            <w:tabs>
              <w:tab w:pos="8695" w:val="left" w:leader="dot"/>
            </w:tabs>
            <w:ind w:left="1148"/>
          </w:pPr>
          <w:hyperlink w:history="true" w:anchor="_TOC_250013">
            <w:r>
              <w:rPr>
                <w:color w:val="4D4D4F"/>
                <w:w w:val="95"/>
              </w:rPr>
              <w:t>Sample</w:t>
            </w:r>
            <w:r>
              <w:rPr>
                <w:color w:val="4D4D4F"/>
                <w:spacing w:val="-32"/>
                <w:w w:val="95"/>
              </w:rPr>
              <w:t> </w:t>
            </w:r>
            <w:r>
              <w:rPr>
                <w:color w:val="4D4D4F"/>
                <w:w w:val="95"/>
              </w:rPr>
              <w:t>Medical</w:t>
            </w:r>
            <w:r>
              <w:rPr>
                <w:color w:val="4D4D4F"/>
                <w:spacing w:val="-32"/>
                <w:w w:val="95"/>
              </w:rPr>
              <w:t> </w:t>
            </w:r>
            <w:r>
              <w:rPr>
                <w:color w:val="4D4D4F"/>
                <w:w w:val="95"/>
              </w:rPr>
              <w:t>Management</w:t>
            </w:r>
            <w:r>
              <w:rPr>
                <w:color w:val="4D4D4F"/>
                <w:spacing w:val="-32"/>
                <w:w w:val="95"/>
              </w:rPr>
              <w:t> </w:t>
            </w:r>
            <w:r>
              <w:rPr>
                <w:color w:val="4D4D4F"/>
                <w:w w:val="95"/>
              </w:rPr>
              <w:t>Visit</w:t>
            </w:r>
            <w:r>
              <w:rPr>
                <w:color w:val="4D4D4F"/>
                <w:spacing w:val="-32"/>
                <w:w w:val="95"/>
              </w:rPr>
              <w:t> </w:t>
            </w:r>
            <w:r>
              <w:rPr>
                <w:color w:val="4D4D4F"/>
                <w:w w:val="95"/>
              </w:rPr>
              <w:t>Form</w:t>
              <w:tab/>
            </w:r>
            <w:r>
              <w:rPr>
                <w:color w:val="4D4D4F"/>
              </w:rPr>
              <w:t>3-99</w:t>
            </w:r>
          </w:hyperlink>
        </w:p>
        <w:p>
          <w:pPr>
            <w:pStyle w:val="TOC3"/>
            <w:tabs>
              <w:tab w:pos="8595" w:val="left" w:leader="dot"/>
            </w:tabs>
            <w:spacing w:after="240"/>
            <w:ind w:left="1148"/>
          </w:pPr>
          <w:hyperlink w:history="true" w:anchor="_TOC_250012">
            <w:r>
              <w:rPr>
                <w:color w:val="4D4D4F"/>
                <w:w w:val="90"/>
              </w:rPr>
              <w:t>Sample Buprenorphine Diversion</w:t>
            </w:r>
            <w:r>
              <w:rPr>
                <w:color w:val="4D4D4F"/>
                <w:spacing w:val="-35"/>
                <w:w w:val="90"/>
              </w:rPr>
              <w:t> </w:t>
            </w:r>
            <w:r>
              <w:rPr>
                <w:color w:val="4D4D4F"/>
                <w:w w:val="90"/>
              </w:rPr>
              <w:t>Control</w:t>
            </w:r>
            <w:r>
              <w:rPr>
                <w:color w:val="4D4D4F"/>
                <w:spacing w:val="-12"/>
                <w:w w:val="90"/>
              </w:rPr>
              <w:t> </w:t>
            </w:r>
            <w:r>
              <w:rPr>
                <w:color w:val="4D4D4F"/>
                <w:w w:val="90"/>
              </w:rPr>
              <w:t>Policy</w:t>
              <w:tab/>
            </w:r>
            <w:r>
              <w:rPr>
                <w:color w:val="4D4D4F"/>
              </w:rPr>
              <w:t>3-100</w:t>
            </w:r>
          </w:hyperlink>
        </w:p>
        <w:p>
          <w:pPr>
            <w:pStyle w:val="TOC6"/>
            <w:tabs>
              <w:tab w:pos="8657" w:val="left" w:leader="dot"/>
            </w:tabs>
            <w:spacing w:line="254" w:lineRule="auto"/>
            <w:rPr>
              <w:sz w:val="20"/>
            </w:rPr>
          </w:pPr>
          <w:hyperlink w:history="true" w:anchor="_TOC_250011">
            <w:r>
              <w:rPr>
                <w:color w:val="231F20"/>
                <w:spacing w:val="4"/>
              </w:rPr>
              <w:t>CHAPTER </w:t>
            </w:r>
            <w:r>
              <w:rPr>
                <w:color w:val="231F20"/>
              </w:rPr>
              <w:t>3F: </w:t>
            </w:r>
            <w:r>
              <w:rPr>
                <w:color w:val="231F20"/>
                <w:spacing w:val="4"/>
              </w:rPr>
              <w:t>MEDICAL </w:t>
            </w:r>
            <w:r>
              <w:rPr>
                <w:color w:val="231F20"/>
                <w:spacing w:val="2"/>
              </w:rPr>
              <w:t>MANAGEMENT </w:t>
            </w:r>
            <w:r>
              <w:rPr>
                <w:color w:val="231F20"/>
              </w:rPr>
              <w:t>OF PATIENTS TAKING </w:t>
            </w:r>
            <w:r>
              <w:rPr>
                <w:color w:val="231F20"/>
                <w:spacing w:val="4"/>
              </w:rPr>
              <w:t>OUD </w:t>
            </w:r>
            <w:r>
              <w:rPr>
                <w:color w:val="231F20"/>
                <w:spacing w:val="2"/>
                <w:w w:val="95"/>
              </w:rPr>
              <w:t>MEDICATIONS </w:t>
            </w:r>
            <w:r>
              <w:rPr>
                <w:color w:val="231F20"/>
                <w:w w:val="95"/>
              </w:rPr>
              <w:t>IN</w:t>
            </w:r>
            <w:r>
              <w:rPr>
                <w:color w:val="231F20"/>
                <w:spacing w:val="-41"/>
                <w:w w:val="95"/>
              </w:rPr>
              <w:t> </w:t>
            </w:r>
            <w:r>
              <w:rPr>
                <w:color w:val="231F20"/>
                <w:w w:val="95"/>
              </w:rPr>
              <w:t>HOSPITAL</w:t>
            </w:r>
            <w:r>
              <w:rPr>
                <w:color w:val="231F20"/>
                <w:spacing w:val="-20"/>
                <w:w w:val="95"/>
              </w:rPr>
              <w:t> </w:t>
            </w:r>
            <w:r>
              <w:rPr>
                <w:color w:val="231F20"/>
                <w:spacing w:val="4"/>
                <w:w w:val="95"/>
              </w:rPr>
              <w:t>SETTINGS</w:t>
              <w:tab/>
            </w:r>
            <w:r>
              <w:rPr>
                <w:color w:val="4D4D4F"/>
                <w:spacing w:val="-6"/>
                <w:w w:val="85"/>
                <w:sz w:val="20"/>
              </w:rPr>
              <w:t>3-103</w:t>
            </w:r>
          </w:hyperlink>
        </w:p>
        <w:p>
          <w:pPr>
            <w:pStyle w:val="TOC5"/>
            <w:tabs>
              <w:tab w:pos="8657" w:val="left" w:leader="dot"/>
            </w:tabs>
            <w:spacing w:before="68"/>
            <w:rPr>
              <w:rFonts w:ascii="Lucida Sans"/>
              <w:b w:val="0"/>
              <w:sz w:val="20"/>
            </w:rPr>
          </w:pPr>
          <w:hyperlink w:history="true" w:anchor="_TOC_250010">
            <w:r>
              <w:rPr>
                <w:color w:val="147692"/>
              </w:rPr>
              <w:t>Hospitalized</w:t>
            </w:r>
            <w:r>
              <w:rPr>
                <w:color w:val="147692"/>
                <w:spacing w:val="-46"/>
              </w:rPr>
              <w:t> </w:t>
            </w:r>
            <w:r>
              <w:rPr>
                <w:color w:val="147692"/>
              </w:rPr>
              <w:t>or</w:t>
            </w:r>
            <w:r>
              <w:rPr>
                <w:color w:val="147692"/>
                <w:spacing w:val="-45"/>
              </w:rPr>
              <w:t> </w:t>
            </w:r>
            <w:r>
              <w:rPr>
                <w:color w:val="147692"/>
              </w:rPr>
              <w:t>ED</w:t>
            </w:r>
            <w:r>
              <w:rPr>
                <w:color w:val="147692"/>
                <w:spacing w:val="-45"/>
              </w:rPr>
              <w:t> </w:t>
            </w:r>
            <w:r>
              <w:rPr>
                <w:color w:val="147692"/>
              </w:rPr>
              <w:t>Patients</w:t>
            </w:r>
            <w:r>
              <w:rPr>
                <w:color w:val="147692"/>
                <w:spacing w:val="-45"/>
              </w:rPr>
              <w:t> </w:t>
            </w:r>
            <w:r>
              <w:rPr>
                <w:color w:val="147692"/>
                <w:spacing w:val="-3"/>
              </w:rPr>
              <w:t>Taking</w:t>
            </w:r>
            <w:r>
              <w:rPr>
                <w:color w:val="147692"/>
                <w:spacing w:val="-45"/>
              </w:rPr>
              <w:t> </w:t>
            </w:r>
            <w:r>
              <w:rPr>
                <w:color w:val="147692"/>
              </w:rPr>
              <w:t>Medication</w:t>
            </w:r>
            <w:r>
              <w:rPr>
                <w:color w:val="147692"/>
                <w:spacing w:val="-45"/>
              </w:rPr>
              <w:t> </w:t>
            </w:r>
            <w:r>
              <w:rPr>
                <w:color w:val="147692"/>
              </w:rPr>
              <w:t>for</w:t>
            </w:r>
            <w:r>
              <w:rPr>
                <w:color w:val="147692"/>
                <w:spacing w:val="-45"/>
              </w:rPr>
              <w:t> </w:t>
            </w:r>
            <w:r>
              <w:rPr>
                <w:color w:val="147692"/>
              </w:rPr>
              <w:t>OUD</w:t>
              <w:tab/>
            </w:r>
            <w:r>
              <w:rPr>
                <w:rFonts w:ascii="Lucida Sans"/>
                <w:b w:val="0"/>
                <w:color w:val="4D4D4F"/>
                <w:sz w:val="20"/>
              </w:rPr>
              <w:t>3-103</w:t>
            </w:r>
          </w:hyperlink>
        </w:p>
        <w:p>
          <w:pPr>
            <w:pStyle w:val="TOC7"/>
            <w:tabs>
              <w:tab w:pos="8657" w:val="left" w:leader="dot"/>
            </w:tabs>
            <w:spacing w:before="34"/>
          </w:pPr>
          <w:hyperlink w:history="true" w:anchor="_TOC_250009">
            <w:r>
              <w:rPr>
                <w:color w:val="4D4D4F"/>
                <w:w w:val="95"/>
              </w:rPr>
              <w:t>Pain</w:t>
            </w:r>
            <w:r>
              <w:rPr>
                <w:color w:val="4D4D4F"/>
                <w:spacing w:val="-21"/>
                <w:w w:val="95"/>
              </w:rPr>
              <w:t> </w:t>
            </w:r>
            <w:r>
              <w:rPr>
                <w:color w:val="4D4D4F"/>
                <w:w w:val="95"/>
              </w:rPr>
              <w:t>Management</w:t>
              <w:tab/>
            </w:r>
            <w:r>
              <w:rPr>
                <w:color w:val="4D4D4F"/>
              </w:rPr>
              <w:t>3-103</w:t>
            </w:r>
          </w:hyperlink>
        </w:p>
        <w:p>
          <w:pPr>
            <w:pStyle w:val="TOC7"/>
            <w:tabs>
              <w:tab w:pos="8654" w:val="left" w:leader="dot"/>
            </w:tabs>
          </w:pPr>
          <w:hyperlink w:history="true" w:anchor="_TOC_250008">
            <w:r>
              <w:rPr>
                <w:color w:val="4D4D4F"/>
                <w:w w:val="95"/>
              </w:rPr>
              <w:t>Buprenorphine</w:t>
              <w:tab/>
            </w:r>
            <w:r>
              <w:rPr>
                <w:color w:val="4D4D4F"/>
              </w:rPr>
              <w:t>3-104</w:t>
            </w:r>
          </w:hyperlink>
        </w:p>
        <w:p>
          <w:pPr>
            <w:pStyle w:val="TOC7"/>
            <w:tabs>
              <w:tab w:pos="8657" w:val="left" w:leader="dot"/>
            </w:tabs>
          </w:pPr>
          <w:hyperlink w:history="true" w:anchor="_TOC_250007">
            <w:r>
              <w:rPr>
                <w:color w:val="4D4D4F"/>
              </w:rPr>
              <w:t>Methadone</w:t>
              <w:tab/>
              <w:t>3-105</w:t>
            </w:r>
          </w:hyperlink>
        </w:p>
        <w:p>
          <w:pPr>
            <w:pStyle w:val="TOC7"/>
            <w:tabs>
              <w:tab w:pos="8657" w:val="left" w:leader="dot"/>
            </w:tabs>
          </w:pPr>
          <w:hyperlink w:history="true" w:anchor="_TOC_250006">
            <w:r>
              <w:rPr>
                <w:color w:val="4D4D4F"/>
                <w:w w:val="95"/>
              </w:rPr>
              <w:t>Naltrexone</w:t>
              <w:tab/>
            </w:r>
            <w:r>
              <w:rPr>
                <w:color w:val="4D4D4F"/>
              </w:rPr>
              <w:t>3-106</w:t>
            </w:r>
          </w:hyperlink>
        </w:p>
        <w:p>
          <w:pPr>
            <w:pStyle w:val="TOC5"/>
            <w:tabs>
              <w:tab w:pos="8657" w:val="left" w:leader="dot"/>
            </w:tabs>
            <w:rPr>
              <w:rFonts w:ascii="Lucida Sans"/>
              <w:b w:val="0"/>
              <w:sz w:val="20"/>
            </w:rPr>
          </w:pPr>
          <w:hyperlink w:history="true" w:anchor="_TOC_250005">
            <w:r>
              <w:rPr>
                <w:color w:val="147692"/>
              </w:rPr>
              <w:t>Hospitalized</w:t>
            </w:r>
            <w:r>
              <w:rPr>
                <w:color w:val="147692"/>
                <w:spacing w:val="-46"/>
              </w:rPr>
              <w:t> </w:t>
            </w:r>
            <w:r>
              <w:rPr>
                <w:color w:val="147692"/>
              </w:rPr>
              <w:t>or</w:t>
            </w:r>
            <w:r>
              <w:rPr>
                <w:color w:val="147692"/>
                <w:spacing w:val="-46"/>
              </w:rPr>
              <w:t> </w:t>
            </w:r>
            <w:r>
              <w:rPr>
                <w:color w:val="147692"/>
              </w:rPr>
              <w:t>ED</w:t>
            </w:r>
            <w:r>
              <w:rPr>
                <w:color w:val="147692"/>
                <w:spacing w:val="-45"/>
              </w:rPr>
              <w:t> </w:t>
            </w:r>
            <w:r>
              <w:rPr>
                <w:color w:val="147692"/>
              </w:rPr>
              <w:t>Patients</w:t>
            </w:r>
            <w:r>
              <w:rPr>
                <w:color w:val="147692"/>
                <w:spacing w:val="-46"/>
              </w:rPr>
              <w:t> </w:t>
            </w:r>
            <w:r>
              <w:rPr>
                <w:color w:val="147692"/>
              </w:rPr>
              <w:t>Not</w:t>
            </w:r>
            <w:r>
              <w:rPr>
                <w:color w:val="147692"/>
                <w:spacing w:val="-45"/>
              </w:rPr>
              <w:t> </w:t>
            </w:r>
            <w:r>
              <w:rPr>
                <w:color w:val="147692"/>
                <w:spacing w:val="-3"/>
              </w:rPr>
              <w:t>Taking</w:t>
            </w:r>
            <w:r>
              <w:rPr>
                <w:color w:val="147692"/>
                <w:spacing w:val="-46"/>
              </w:rPr>
              <w:t> </w:t>
            </w:r>
            <w:r>
              <w:rPr>
                <w:color w:val="147692"/>
              </w:rPr>
              <w:t>Medication</w:t>
            </w:r>
            <w:r>
              <w:rPr>
                <w:color w:val="147692"/>
                <w:spacing w:val="-45"/>
              </w:rPr>
              <w:t> </w:t>
            </w:r>
            <w:r>
              <w:rPr>
                <w:color w:val="147692"/>
              </w:rPr>
              <w:t>for</w:t>
            </w:r>
            <w:r>
              <w:rPr>
                <w:color w:val="147692"/>
                <w:spacing w:val="-46"/>
              </w:rPr>
              <w:t> </w:t>
            </w:r>
            <w:r>
              <w:rPr>
                <w:color w:val="147692"/>
              </w:rPr>
              <w:t>OUD</w:t>
              <w:tab/>
            </w:r>
            <w:r>
              <w:rPr>
                <w:rFonts w:ascii="Lucida Sans"/>
                <w:b w:val="0"/>
                <w:color w:val="4D4D4F"/>
                <w:sz w:val="20"/>
              </w:rPr>
              <w:t>3-106</w:t>
            </w:r>
          </w:hyperlink>
        </w:p>
        <w:p>
          <w:pPr>
            <w:pStyle w:val="TOC7"/>
            <w:tabs>
              <w:tab w:pos="8657" w:val="left" w:leader="dot"/>
            </w:tabs>
            <w:spacing w:before="35"/>
          </w:pPr>
          <w:hyperlink w:history="true" w:anchor="_TOC_250004">
            <w:r>
              <w:rPr>
                <w:color w:val="4D4D4F"/>
                <w:w w:val="95"/>
              </w:rPr>
              <w:t>Buprenorphine</w:t>
            </w:r>
            <w:r>
              <w:rPr>
                <w:color w:val="4D4D4F"/>
                <w:spacing w:val="-37"/>
                <w:w w:val="95"/>
              </w:rPr>
              <w:t> </w:t>
            </w:r>
            <w:r>
              <w:rPr>
                <w:color w:val="4D4D4F"/>
                <w:w w:val="95"/>
              </w:rPr>
              <w:t>Induction</w:t>
            </w:r>
            <w:r>
              <w:rPr>
                <w:color w:val="4D4D4F"/>
                <w:spacing w:val="-37"/>
                <w:w w:val="95"/>
              </w:rPr>
              <w:t> </w:t>
            </w:r>
            <w:r>
              <w:rPr>
                <w:color w:val="4D4D4F"/>
                <w:w w:val="95"/>
              </w:rPr>
              <w:t>in</w:t>
            </w:r>
            <w:r>
              <w:rPr>
                <w:color w:val="4D4D4F"/>
                <w:spacing w:val="-36"/>
                <w:w w:val="95"/>
              </w:rPr>
              <w:t> </w:t>
            </w:r>
            <w:r>
              <w:rPr>
                <w:color w:val="4D4D4F"/>
                <w:w w:val="95"/>
              </w:rPr>
              <w:t>the</w:t>
            </w:r>
            <w:r>
              <w:rPr>
                <w:color w:val="4D4D4F"/>
                <w:spacing w:val="-37"/>
                <w:w w:val="95"/>
              </w:rPr>
              <w:t> </w:t>
            </w:r>
            <w:r>
              <w:rPr>
                <w:color w:val="4D4D4F"/>
                <w:w w:val="95"/>
              </w:rPr>
              <w:t>Hospital</w:t>
            </w:r>
            <w:r>
              <w:rPr>
                <w:color w:val="4D4D4F"/>
                <w:spacing w:val="-37"/>
                <w:w w:val="95"/>
              </w:rPr>
              <w:t> </w:t>
            </w:r>
            <w:r>
              <w:rPr>
                <w:color w:val="4D4D4F"/>
                <w:w w:val="95"/>
              </w:rPr>
              <w:t>Setting</w:t>
              <w:tab/>
            </w:r>
            <w:r>
              <w:rPr>
                <w:color w:val="4D4D4F"/>
              </w:rPr>
              <w:t>3-106</w:t>
            </w:r>
          </w:hyperlink>
        </w:p>
        <w:p>
          <w:pPr>
            <w:pStyle w:val="TOC7"/>
            <w:tabs>
              <w:tab w:pos="8661" w:val="left" w:leader="dot"/>
            </w:tabs>
          </w:pPr>
          <w:hyperlink w:history="true" w:anchor="_TOC_250003">
            <w:r>
              <w:rPr>
                <w:color w:val="4D4D4F"/>
                <w:w w:val="95"/>
              </w:rPr>
              <w:t>Methadone</w:t>
            </w:r>
            <w:r>
              <w:rPr>
                <w:color w:val="4D4D4F"/>
                <w:spacing w:val="-30"/>
                <w:w w:val="95"/>
              </w:rPr>
              <w:t> </w:t>
            </w:r>
            <w:r>
              <w:rPr>
                <w:color w:val="4D4D4F"/>
                <w:w w:val="95"/>
              </w:rPr>
              <w:t>Induction</w:t>
            </w:r>
            <w:r>
              <w:rPr>
                <w:color w:val="4D4D4F"/>
                <w:spacing w:val="-30"/>
                <w:w w:val="95"/>
              </w:rPr>
              <w:t> </w:t>
            </w:r>
            <w:r>
              <w:rPr>
                <w:color w:val="4D4D4F"/>
                <w:w w:val="95"/>
              </w:rPr>
              <w:t>in</w:t>
            </w:r>
            <w:r>
              <w:rPr>
                <w:color w:val="4D4D4F"/>
                <w:spacing w:val="-30"/>
                <w:w w:val="95"/>
              </w:rPr>
              <w:t> </w:t>
            </w:r>
            <w:r>
              <w:rPr>
                <w:color w:val="4D4D4F"/>
                <w:w w:val="95"/>
              </w:rPr>
              <w:t>the</w:t>
            </w:r>
            <w:r>
              <w:rPr>
                <w:color w:val="4D4D4F"/>
                <w:spacing w:val="-30"/>
                <w:w w:val="95"/>
              </w:rPr>
              <w:t> </w:t>
            </w:r>
            <w:r>
              <w:rPr>
                <w:color w:val="4D4D4F"/>
                <w:w w:val="95"/>
              </w:rPr>
              <w:t>Hospital</w:t>
            </w:r>
            <w:r>
              <w:rPr>
                <w:color w:val="4D4D4F"/>
                <w:spacing w:val="-30"/>
                <w:w w:val="95"/>
              </w:rPr>
              <w:t> </w:t>
            </w:r>
            <w:r>
              <w:rPr>
                <w:color w:val="4D4D4F"/>
                <w:w w:val="95"/>
              </w:rPr>
              <w:t>Setting</w:t>
              <w:tab/>
            </w:r>
            <w:r>
              <w:rPr>
                <w:color w:val="4D4D4F"/>
                <w:spacing w:val="-3"/>
              </w:rPr>
              <w:t>3-107</w:t>
            </w:r>
          </w:hyperlink>
        </w:p>
        <w:p>
          <w:pPr>
            <w:pStyle w:val="TOC7"/>
            <w:tabs>
              <w:tab w:pos="8657" w:val="left" w:leader="dot"/>
            </w:tabs>
          </w:pPr>
          <w:hyperlink w:history="true" w:anchor="_TOC_250002">
            <w:r>
              <w:rPr>
                <w:color w:val="4D4D4F"/>
                <w:w w:val="95"/>
              </w:rPr>
              <w:t>Naltrexone</w:t>
            </w:r>
            <w:r>
              <w:rPr>
                <w:color w:val="4D4D4F"/>
                <w:spacing w:val="-37"/>
                <w:w w:val="95"/>
              </w:rPr>
              <w:t> </w:t>
            </w:r>
            <w:r>
              <w:rPr>
                <w:color w:val="4D4D4F"/>
                <w:w w:val="95"/>
              </w:rPr>
              <w:t>Induction</w:t>
            </w:r>
            <w:r>
              <w:rPr>
                <w:color w:val="4D4D4F"/>
                <w:spacing w:val="-36"/>
                <w:w w:val="95"/>
              </w:rPr>
              <w:t> </w:t>
            </w:r>
            <w:r>
              <w:rPr>
                <w:color w:val="4D4D4F"/>
                <w:w w:val="95"/>
              </w:rPr>
              <w:t>in</w:t>
            </w:r>
            <w:r>
              <w:rPr>
                <w:color w:val="4D4D4F"/>
                <w:spacing w:val="-36"/>
                <w:w w:val="95"/>
              </w:rPr>
              <w:t> </w:t>
            </w:r>
            <w:r>
              <w:rPr>
                <w:color w:val="4D4D4F"/>
                <w:w w:val="95"/>
              </w:rPr>
              <w:t>the</w:t>
            </w:r>
            <w:r>
              <w:rPr>
                <w:color w:val="4D4D4F"/>
                <w:spacing w:val="-37"/>
                <w:w w:val="95"/>
              </w:rPr>
              <w:t> </w:t>
            </w:r>
            <w:r>
              <w:rPr>
                <w:color w:val="4D4D4F"/>
                <w:w w:val="95"/>
              </w:rPr>
              <w:t>Hospital</w:t>
            </w:r>
            <w:r>
              <w:rPr>
                <w:color w:val="4D4D4F"/>
                <w:spacing w:val="-36"/>
                <w:w w:val="95"/>
              </w:rPr>
              <w:t> </w:t>
            </w:r>
            <w:r>
              <w:rPr>
                <w:color w:val="4D4D4F"/>
                <w:w w:val="95"/>
              </w:rPr>
              <w:t>Setting</w:t>
              <w:tab/>
            </w:r>
            <w:r>
              <w:rPr>
                <w:color w:val="4D4D4F"/>
              </w:rPr>
              <w:t>3-108</w:t>
            </w:r>
          </w:hyperlink>
        </w:p>
        <w:p>
          <w:pPr>
            <w:pStyle w:val="TOC5"/>
            <w:tabs>
              <w:tab w:pos="8657" w:val="left" w:leader="dot"/>
            </w:tabs>
            <w:rPr>
              <w:rFonts w:ascii="Lucida Sans"/>
              <w:b w:val="0"/>
              <w:sz w:val="20"/>
            </w:rPr>
          </w:pPr>
          <w:hyperlink w:history="true" w:anchor="_TOC_250001">
            <w:r>
              <w:rPr>
                <w:color w:val="147692"/>
              </w:rPr>
              <w:t>Medical</w:t>
            </w:r>
            <w:r>
              <w:rPr>
                <w:color w:val="147692"/>
                <w:spacing w:val="-22"/>
              </w:rPr>
              <w:t> </w:t>
            </w:r>
            <w:r>
              <w:rPr>
                <w:color w:val="147692"/>
              </w:rPr>
              <w:t>Management</w:t>
            </w:r>
            <w:r>
              <w:rPr>
                <w:color w:val="147692"/>
                <w:spacing w:val="-22"/>
              </w:rPr>
              <w:t> </w:t>
            </w:r>
            <w:r>
              <w:rPr>
                <w:color w:val="147692"/>
              </w:rPr>
              <w:t>Plan</w:t>
              <w:tab/>
            </w:r>
            <w:r>
              <w:rPr>
                <w:rFonts w:ascii="Lucida Sans"/>
                <w:b w:val="0"/>
                <w:color w:val="4D4D4F"/>
                <w:sz w:val="20"/>
              </w:rPr>
              <w:t>3-108</w:t>
            </w:r>
          </w:hyperlink>
        </w:p>
        <w:p>
          <w:pPr>
            <w:pStyle w:val="TOC8"/>
            <w:tabs>
              <w:tab w:pos="8657" w:val="left" w:leader="dot"/>
            </w:tabs>
            <w:rPr>
              <w:rFonts w:ascii="Lucida Sans"/>
              <w:b w:val="0"/>
              <w:i w:val="0"/>
              <w:sz w:val="20"/>
            </w:rPr>
          </w:pPr>
          <w:hyperlink w:history="true" w:anchor="_TOC_250000">
            <w:r>
              <w:rPr>
                <w:i w:val="0"/>
                <w:color w:val="147692"/>
                <w:sz w:val="24"/>
              </w:rPr>
              <w:t>Notes</w:t>
              <w:tab/>
            </w:r>
            <w:r>
              <w:rPr>
                <w:rFonts w:ascii="Lucida Sans"/>
                <w:b w:val="0"/>
                <w:i w:val="0"/>
                <w:color w:val="4D4D4F"/>
                <w:sz w:val="20"/>
              </w:rPr>
              <w:t>3-109</w:t>
            </w:r>
          </w:hyperlink>
        </w:p>
      </w:sdtContent>
    </w:sdt>
    <w:p>
      <w:pPr>
        <w:spacing w:after="0"/>
        <w:rPr>
          <w:rFonts w:ascii="Lucida Sans"/>
          <w:sz w:val="20"/>
        </w:rPr>
        <w:sectPr>
          <w:type w:val="continuous"/>
          <w:pgSz w:w="12240" w:h="15840"/>
          <w:pgMar w:top="1344" w:bottom="640" w:left="940" w:right="920"/>
        </w:sect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pStyle w:val="BodyText"/>
        <w:rPr>
          <w:rFonts w:ascii="Lucida Sans"/>
          <w:sz w:val="24"/>
        </w:rPr>
      </w:pPr>
    </w:p>
    <w:p>
      <w:pPr>
        <w:spacing w:before="164"/>
        <w:ind w:left="3471" w:right="3489" w:firstLine="0"/>
        <w:jc w:val="center"/>
        <w:rPr>
          <w:rFonts w:ascii="Arial Black"/>
          <w:sz w:val="18"/>
        </w:rPr>
      </w:pPr>
      <w:r>
        <w:rPr>
          <w:rFonts w:ascii="Arial Black"/>
          <w:color w:val="414042"/>
          <w:sz w:val="18"/>
        </w:rPr>
        <w:t>This page intentionally left blank.</w:t>
      </w:r>
    </w:p>
    <w:p>
      <w:pPr>
        <w:spacing w:after="0"/>
        <w:jc w:val="center"/>
        <w:rPr>
          <w:rFonts w:ascii="Arial Black"/>
          <w:sz w:val="18"/>
        </w:rPr>
        <w:sectPr>
          <w:headerReference w:type="even" r:id="rId11"/>
          <w:footerReference w:type="even" r:id="rId12"/>
          <w:pgSz w:w="12240" w:h="15840"/>
          <w:pgMar w:header="0" w:footer="0" w:top="1500" w:bottom="280" w:left="940" w:right="920"/>
        </w:sectPr>
      </w:pPr>
    </w:p>
    <w:p>
      <w:pPr>
        <w:pStyle w:val="BodyText"/>
        <w:ind w:left="140"/>
        <w:rPr>
          <w:rFonts w:ascii="Arial Black"/>
          <w:sz w:val="20"/>
        </w:rPr>
      </w:pPr>
      <w:r>
        <w:rPr>
          <w:rFonts w:ascii="Arial Black"/>
          <w:sz w:val="20"/>
        </w:rPr>
        <w:pict>
          <v:group style="width:504.05pt;height:62.35pt;mso-position-horizontal-relative:char;mso-position-vertical-relative:line" coordorigin="0,0" coordsize="10081,1247">
            <v:rect style="position:absolute;left:0;top:74;width:10081;height:1095" filled="true" fillcolor="#377f9a"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87" w:lineRule="exact" w:before="0"/>
                      <w:ind w:left="0" w:right="0" w:firstLine="0"/>
                      <w:jc w:val="left"/>
                      <w:rPr>
                        <w:b/>
                        <w:sz w:val="69"/>
                      </w:rPr>
                    </w:pPr>
                    <w:r>
                      <w:rPr>
                        <w:b/>
                        <w:color w:val="FFFFFF"/>
                        <w:w w:val="95"/>
                        <w:sz w:val="69"/>
                      </w:rPr>
                      <w:t>TIP</w:t>
                    </w:r>
                    <w:r>
                      <w:rPr>
                        <w:b/>
                        <w:color w:val="FFFFFF"/>
                        <w:spacing w:val="-122"/>
                        <w:w w:val="95"/>
                        <w:sz w:val="69"/>
                      </w:rPr>
                      <w:t> </w:t>
                    </w:r>
                    <w:r>
                      <w:rPr>
                        <w:b/>
                        <w:color w:val="FFFFFF"/>
                        <w:spacing w:val="3"/>
                        <w:w w:val="95"/>
                        <w:sz w:val="69"/>
                      </w:rPr>
                      <w:t>63</w:t>
                    </w:r>
                  </w:p>
                </w:txbxContent>
              </v:textbox>
              <w10:wrap type="none"/>
            </v:shape>
            <v:shape style="position:absolute;left:4228;top:493;width:5412;height:310" type="#_x0000_t202" filled="false" stroked="false">
              <v:textbox inset="0,0,0,0">
                <w:txbxContent>
                  <w:p>
                    <w:pPr>
                      <w:spacing w:line="309" w:lineRule="exact" w:before="0"/>
                      <w:ind w:left="0" w:right="0" w:firstLine="0"/>
                      <w:jc w:val="left"/>
                      <w:rPr>
                        <w:rFonts w:ascii="Calibri"/>
                        <w:b/>
                        <w:sz w:val="26"/>
                      </w:rPr>
                    </w:pPr>
                    <w:r>
                      <w:rPr>
                        <w:rFonts w:ascii="Calibri"/>
                        <w:b/>
                        <w:color w:val="FFFFFF"/>
                        <w:spacing w:val="-3"/>
                        <w:w w:val="120"/>
                        <w:sz w:val="26"/>
                      </w:rPr>
                      <w:t>MEDICATIONS </w:t>
                    </w:r>
                    <w:r>
                      <w:rPr>
                        <w:rFonts w:ascii="Calibri"/>
                        <w:b/>
                        <w:color w:val="FFFFFF"/>
                        <w:w w:val="120"/>
                        <w:sz w:val="26"/>
                      </w:rPr>
                      <w:t>FOR OPIOID USE</w:t>
                    </w:r>
                    <w:r>
                      <w:rPr>
                        <w:rFonts w:ascii="Calibri"/>
                        <w:b/>
                        <w:color w:val="FFFFFF"/>
                        <w:spacing w:val="-35"/>
                        <w:w w:val="120"/>
                        <w:sz w:val="26"/>
                      </w:rPr>
                      <w:t> </w:t>
                    </w:r>
                    <w:r>
                      <w:rPr>
                        <w:rFonts w:ascii="Calibri"/>
                        <w:b/>
                        <w:color w:val="FFFFFF"/>
                        <w:w w:val="120"/>
                        <w:sz w:val="26"/>
                      </w:rPr>
                      <w:t>DISORDER</w:t>
                    </w:r>
                  </w:p>
                </w:txbxContent>
              </v:textbox>
              <w10:wrap type="none"/>
            </v:shape>
          </v:group>
        </w:pict>
      </w:r>
      <w:r>
        <w:rPr>
          <w:rFonts w:ascii="Arial Black"/>
          <w:sz w:val="20"/>
        </w:rPr>
      </w:r>
    </w:p>
    <w:p>
      <w:pPr>
        <w:spacing w:line="367" w:lineRule="exact" w:before="204"/>
        <w:ind w:left="137" w:right="0" w:firstLine="0"/>
        <w:jc w:val="left"/>
        <w:rPr>
          <w:rFonts w:ascii="Arial"/>
          <w:b/>
          <w:sz w:val="32"/>
        </w:rPr>
      </w:pPr>
      <w:r>
        <w:rPr>
          <w:rFonts w:ascii="Arial"/>
          <w:b/>
          <w:color w:val="137692"/>
          <w:sz w:val="32"/>
        </w:rPr>
        <w:t>PART 3 </w:t>
      </w:r>
      <w:r>
        <w:rPr>
          <w:rFonts w:ascii="Arial"/>
          <w:b/>
          <w:color w:val="137692"/>
          <w:sz w:val="26"/>
        </w:rPr>
        <w:t>of </w:t>
      </w:r>
      <w:r>
        <w:rPr>
          <w:rFonts w:ascii="Arial"/>
          <w:b/>
          <w:color w:val="137692"/>
          <w:sz w:val="32"/>
        </w:rPr>
        <w:t>5</w:t>
      </w:r>
    </w:p>
    <w:p>
      <w:pPr>
        <w:pStyle w:val="Heading1"/>
        <w:spacing w:line="579" w:lineRule="exact" w:before="0"/>
        <w:rPr>
          <w:rFonts w:ascii="Gill Sans MT"/>
        </w:rPr>
      </w:pPr>
      <w:bookmarkStart w:name="_TOC_250112" w:id="2"/>
      <w:r>
        <w:rPr>
          <w:rFonts w:ascii="Gill Sans MT"/>
          <w:color w:val="414142"/>
        </w:rPr>
        <w:t>Pharmacotherapy</w:t>
      </w:r>
      <w:r>
        <w:rPr>
          <w:rFonts w:ascii="Gill Sans MT"/>
          <w:color w:val="414142"/>
          <w:spacing w:val="-65"/>
        </w:rPr>
        <w:t> </w:t>
      </w:r>
      <w:r>
        <w:rPr>
          <w:rFonts w:ascii="Gill Sans MT"/>
          <w:color w:val="414142"/>
        </w:rPr>
        <w:t>for</w:t>
      </w:r>
      <w:r>
        <w:rPr>
          <w:rFonts w:ascii="Gill Sans MT"/>
          <w:color w:val="414142"/>
          <w:spacing w:val="-64"/>
        </w:rPr>
        <w:t> </w:t>
      </w:r>
      <w:r>
        <w:rPr>
          <w:rFonts w:ascii="Gill Sans MT"/>
          <w:color w:val="414142"/>
        </w:rPr>
        <w:t>Opioid</w:t>
      </w:r>
      <w:r>
        <w:rPr>
          <w:rFonts w:ascii="Gill Sans MT"/>
          <w:color w:val="414142"/>
          <w:spacing w:val="-64"/>
        </w:rPr>
        <w:t> </w:t>
      </w:r>
      <w:r>
        <w:rPr>
          <w:rFonts w:ascii="Gill Sans MT"/>
          <w:color w:val="414142"/>
        </w:rPr>
        <w:t>Use</w:t>
      </w:r>
      <w:r>
        <w:rPr>
          <w:rFonts w:ascii="Gill Sans MT"/>
          <w:color w:val="414142"/>
          <w:spacing w:val="-64"/>
        </w:rPr>
        <w:t> </w:t>
      </w:r>
      <w:bookmarkEnd w:id="2"/>
      <w:r>
        <w:rPr>
          <w:rFonts w:ascii="Gill Sans MT"/>
          <w:color w:val="414142"/>
        </w:rPr>
        <w:t>Disorder</w:t>
      </w:r>
    </w:p>
    <w:p>
      <w:pPr>
        <w:pStyle w:val="BodyText"/>
        <w:spacing w:before="3"/>
        <w:rPr>
          <w:b/>
          <w:sz w:val="21"/>
        </w:rPr>
      </w:pPr>
      <w:r>
        <w:rPr/>
        <w:pict>
          <v:shape style="position:absolute;margin-left:54.25pt;margin-top:14.570382pt;width:504.7pt;height:88.65pt;mso-position-horizontal-relative:page;mso-position-vertical-relative:paragraph;z-index:-15725568;mso-wrap-distance-left:0;mso-wrap-distance-right:0" type="#_x0000_t202" filled="false" stroked="true" strokeweight=".5pt" strokecolor="#88aabd">
            <v:textbox inset="0,0,0,0">
              <w:txbxContent>
                <w:p>
                  <w:pPr>
                    <w:pStyle w:val="BodyText"/>
                    <w:spacing w:line="235" w:lineRule="auto" w:before="231"/>
                    <w:ind w:left="270"/>
                    <w:rPr>
                      <w:rFonts w:ascii="Calibri" w:hAnsi="Calibri"/>
                    </w:rPr>
                  </w:pPr>
                  <w:r>
                    <w:rPr>
                      <w:rFonts w:ascii="Calibri" w:hAnsi="Calibri"/>
                      <w:color w:val="4D4D4F"/>
                      <w:spacing w:val="-3"/>
                      <w:w w:val="110"/>
                    </w:rPr>
                    <w:t>Part </w:t>
                  </w:r>
                  <w:r>
                    <w:rPr>
                      <w:rFonts w:ascii="Calibri" w:hAnsi="Calibri"/>
                      <w:color w:val="4D4D4F"/>
                      <w:w w:val="110"/>
                    </w:rPr>
                    <w:t>3 of </w:t>
                  </w:r>
                  <w:r>
                    <w:rPr>
                      <w:rFonts w:ascii="Calibri" w:hAnsi="Calibri"/>
                      <w:color w:val="4D4D4F"/>
                      <w:spacing w:val="-3"/>
                      <w:w w:val="110"/>
                    </w:rPr>
                    <w:t>this TIP </w:t>
                  </w:r>
                  <w:r>
                    <w:rPr>
                      <w:rFonts w:ascii="Calibri" w:hAnsi="Calibri"/>
                      <w:color w:val="4D4D4F"/>
                      <w:spacing w:val="-4"/>
                      <w:w w:val="110"/>
                    </w:rPr>
                    <w:t>describes general principles </w:t>
                  </w:r>
                  <w:r>
                    <w:rPr>
                      <w:rFonts w:ascii="Calibri" w:hAnsi="Calibri"/>
                      <w:color w:val="4D4D4F"/>
                      <w:w w:val="110"/>
                    </w:rPr>
                    <w:t>of </w:t>
                  </w:r>
                  <w:r>
                    <w:rPr>
                      <w:rFonts w:ascii="Calibri" w:hAnsi="Calibri"/>
                      <w:color w:val="4D4D4F"/>
                      <w:spacing w:val="-3"/>
                      <w:w w:val="110"/>
                    </w:rPr>
                    <w:t>OUD </w:t>
                  </w:r>
                  <w:r>
                    <w:rPr>
                      <w:rFonts w:ascii="Calibri" w:hAnsi="Calibri"/>
                      <w:color w:val="4D4D4F"/>
                      <w:spacing w:val="-4"/>
                      <w:w w:val="110"/>
                    </w:rPr>
                    <w:t>pharmacotherapy </w:t>
                  </w:r>
                  <w:r>
                    <w:rPr>
                      <w:rFonts w:ascii="Calibri" w:hAnsi="Calibri"/>
                      <w:color w:val="4D4D4F"/>
                      <w:spacing w:val="-3"/>
                      <w:w w:val="110"/>
                    </w:rPr>
                    <w:t>and </w:t>
                  </w:r>
                  <w:r>
                    <w:rPr>
                      <w:rFonts w:ascii="Calibri" w:hAnsi="Calibri"/>
                      <w:color w:val="4D4D4F"/>
                      <w:spacing w:val="-4"/>
                      <w:w w:val="110"/>
                    </w:rPr>
                    <w:t>discusses medication formulations, indications, </w:t>
                  </w:r>
                  <w:r>
                    <w:rPr>
                      <w:rFonts w:ascii="Calibri" w:hAnsi="Calibri"/>
                      <w:color w:val="4D4D4F"/>
                      <w:spacing w:val="-3"/>
                      <w:w w:val="110"/>
                    </w:rPr>
                    <w:t>and </w:t>
                  </w:r>
                  <w:r>
                    <w:rPr>
                      <w:rFonts w:ascii="Calibri" w:hAnsi="Calibri"/>
                      <w:color w:val="4D4D4F"/>
                      <w:spacing w:val="-4"/>
                      <w:w w:val="110"/>
                    </w:rPr>
                    <w:t>dosing </w:t>
                  </w:r>
                  <w:r>
                    <w:rPr>
                      <w:rFonts w:ascii="Calibri" w:hAnsi="Calibri"/>
                      <w:color w:val="4D4D4F"/>
                      <w:spacing w:val="-3"/>
                      <w:w w:val="110"/>
                    </w:rPr>
                    <w:t>for the </w:t>
                  </w:r>
                  <w:r>
                    <w:rPr>
                      <w:rFonts w:ascii="Calibri" w:hAnsi="Calibri"/>
                      <w:color w:val="4D4D4F"/>
                      <w:spacing w:val="-4"/>
                      <w:w w:val="110"/>
                    </w:rPr>
                    <w:t>three </w:t>
                  </w:r>
                  <w:r>
                    <w:rPr>
                      <w:rFonts w:ascii="Calibri" w:hAnsi="Calibri"/>
                      <w:color w:val="4D4D4F"/>
                      <w:spacing w:val="-3"/>
                      <w:w w:val="110"/>
                    </w:rPr>
                    <w:t>Food and Drug </w:t>
                  </w:r>
                  <w:r>
                    <w:rPr>
                      <w:rFonts w:ascii="Calibri" w:hAnsi="Calibri"/>
                      <w:color w:val="4D4D4F"/>
                      <w:spacing w:val="-4"/>
                      <w:w w:val="110"/>
                    </w:rPr>
                    <w:t>Administration </w:t>
                  </w:r>
                  <w:r>
                    <w:rPr>
                      <w:rFonts w:ascii="Calibri" w:hAnsi="Calibri"/>
                      <w:color w:val="4D4D4F"/>
                      <w:spacing w:val="-5"/>
                      <w:w w:val="110"/>
                    </w:rPr>
                    <w:t>(FDA)-approved </w:t>
                  </w:r>
                  <w:r>
                    <w:rPr>
                      <w:rFonts w:ascii="Calibri" w:hAnsi="Calibri"/>
                      <w:color w:val="4D4D4F"/>
                      <w:spacing w:val="-4"/>
                      <w:w w:val="110"/>
                    </w:rPr>
                    <w:t>medications </w:t>
                  </w:r>
                  <w:r>
                    <w:rPr>
                      <w:rFonts w:ascii="Calibri" w:hAnsi="Calibri"/>
                      <w:color w:val="4D4D4F"/>
                      <w:spacing w:val="-3"/>
                      <w:w w:val="110"/>
                    </w:rPr>
                    <w:t>used </w:t>
                  </w:r>
                  <w:r>
                    <w:rPr>
                      <w:rFonts w:ascii="Calibri" w:hAnsi="Calibri"/>
                      <w:color w:val="4D4D4F"/>
                      <w:w w:val="110"/>
                    </w:rPr>
                    <w:t>to </w:t>
                  </w:r>
                  <w:r>
                    <w:rPr>
                      <w:rFonts w:ascii="Calibri" w:hAnsi="Calibri"/>
                      <w:color w:val="4D4D4F"/>
                      <w:spacing w:val="-4"/>
                      <w:w w:val="110"/>
                    </w:rPr>
                    <w:t>treat OUD—methadone, naltrexone, </w:t>
                  </w:r>
                  <w:r>
                    <w:rPr>
                      <w:rFonts w:ascii="Calibri" w:hAnsi="Calibri"/>
                      <w:color w:val="4D4D4F"/>
                      <w:spacing w:val="-3"/>
                      <w:w w:val="110"/>
                    </w:rPr>
                    <w:t>and </w:t>
                  </w:r>
                  <w:r>
                    <w:rPr>
                      <w:rFonts w:ascii="Calibri" w:hAnsi="Calibri"/>
                      <w:color w:val="4D4D4F"/>
                      <w:spacing w:val="-4"/>
                      <w:w w:val="110"/>
                    </w:rPr>
                    <w:t>buprenorphine. </w:t>
                  </w:r>
                  <w:r>
                    <w:rPr>
                      <w:rFonts w:ascii="Calibri" w:hAnsi="Calibri"/>
                      <w:color w:val="4D4D4F"/>
                      <w:spacing w:val="-3"/>
                      <w:w w:val="110"/>
                    </w:rPr>
                    <w:t>Part </w:t>
                  </w:r>
                  <w:r>
                    <w:rPr>
                      <w:rFonts w:ascii="Calibri" w:hAnsi="Calibri"/>
                      <w:color w:val="4D4D4F"/>
                      <w:w w:val="110"/>
                    </w:rPr>
                    <w:t>3 </w:t>
                  </w:r>
                  <w:r>
                    <w:rPr>
                      <w:rFonts w:ascii="Calibri" w:hAnsi="Calibri"/>
                      <w:color w:val="4D4D4F"/>
                      <w:spacing w:val="-3"/>
                      <w:w w:val="110"/>
                    </w:rPr>
                    <w:t>also </w:t>
                  </w:r>
                  <w:r>
                    <w:rPr>
                      <w:rFonts w:ascii="Calibri" w:hAnsi="Calibri"/>
                      <w:color w:val="4D4D4F"/>
                      <w:spacing w:val="-4"/>
                      <w:w w:val="110"/>
                    </w:rPr>
                    <w:t>discusses patient management </w:t>
                  </w:r>
                  <w:r>
                    <w:rPr>
                      <w:rFonts w:ascii="Calibri" w:hAnsi="Calibri"/>
                      <w:color w:val="4D4D4F"/>
                      <w:spacing w:val="-3"/>
                      <w:w w:val="110"/>
                    </w:rPr>
                    <w:t>and </w:t>
                  </w:r>
                  <w:r>
                    <w:rPr>
                      <w:rFonts w:ascii="Calibri" w:hAnsi="Calibri"/>
                      <w:color w:val="4D4D4F"/>
                      <w:spacing w:val="-4"/>
                      <w:w w:val="110"/>
                    </w:rPr>
                    <w:t>monitoring </w:t>
                  </w:r>
                  <w:r>
                    <w:rPr>
                      <w:rFonts w:ascii="Calibri" w:hAnsi="Calibri"/>
                      <w:color w:val="4D4D4F"/>
                      <w:w w:val="110"/>
                    </w:rPr>
                    <w:t>in </w:t>
                  </w:r>
                  <w:r>
                    <w:rPr>
                      <w:rFonts w:ascii="Calibri" w:hAnsi="Calibri"/>
                      <w:color w:val="4D4D4F"/>
                      <w:spacing w:val="-4"/>
                      <w:w w:val="110"/>
                    </w:rPr>
                    <w:t>outpatient settings other </w:t>
                  </w:r>
                  <w:r>
                    <w:rPr>
                      <w:rFonts w:ascii="Calibri" w:hAnsi="Calibri"/>
                      <w:color w:val="4D4D4F"/>
                      <w:spacing w:val="-3"/>
                      <w:w w:val="110"/>
                    </w:rPr>
                    <w:t>than </w:t>
                  </w:r>
                  <w:r>
                    <w:rPr>
                      <w:rFonts w:ascii="Calibri" w:hAnsi="Calibri"/>
                      <w:color w:val="4D4D4F"/>
                      <w:spacing w:val="-4"/>
                      <w:w w:val="110"/>
                    </w:rPr>
                    <w:t>opioid treatment </w:t>
                  </w:r>
                  <w:r>
                    <w:rPr>
                      <w:rFonts w:ascii="Calibri" w:hAnsi="Calibri"/>
                      <w:color w:val="4D4D4F"/>
                      <w:spacing w:val="-5"/>
                      <w:w w:val="110"/>
                    </w:rPr>
                    <w:t>programs </w:t>
                  </w:r>
                  <w:r>
                    <w:rPr>
                      <w:rFonts w:ascii="Calibri" w:hAnsi="Calibri"/>
                      <w:color w:val="4D4D4F"/>
                      <w:spacing w:val="-4"/>
                      <w:w w:val="110"/>
                    </w:rPr>
                    <w:t>(OTPs) </w:t>
                  </w:r>
                  <w:r>
                    <w:rPr>
                      <w:rFonts w:ascii="Calibri" w:hAnsi="Calibri"/>
                      <w:color w:val="4D4D4F"/>
                      <w:w w:val="110"/>
                    </w:rPr>
                    <w:t>as </w:t>
                  </w:r>
                  <w:r>
                    <w:rPr>
                      <w:rFonts w:ascii="Calibri" w:hAnsi="Calibri"/>
                      <w:color w:val="4D4D4F"/>
                      <w:spacing w:val="-3"/>
                      <w:w w:val="110"/>
                    </w:rPr>
                    <w:t>well </w:t>
                  </w:r>
                  <w:r>
                    <w:rPr>
                      <w:rFonts w:ascii="Calibri" w:hAnsi="Calibri"/>
                      <w:color w:val="4D4D4F"/>
                      <w:w w:val="110"/>
                    </w:rPr>
                    <w:t>as </w:t>
                  </w:r>
                  <w:r>
                    <w:rPr>
                      <w:rFonts w:ascii="Calibri" w:hAnsi="Calibri"/>
                      <w:color w:val="4D4D4F"/>
                      <w:spacing w:val="-4"/>
                      <w:w w:val="110"/>
                    </w:rPr>
                    <w:t>medical management </w:t>
                  </w:r>
                  <w:r>
                    <w:rPr>
                      <w:rFonts w:ascii="Calibri" w:hAnsi="Calibri"/>
                      <w:color w:val="4D4D4F"/>
                      <w:w w:val="110"/>
                    </w:rPr>
                    <w:t>of </w:t>
                  </w:r>
                  <w:r>
                    <w:rPr>
                      <w:rFonts w:ascii="Calibri" w:hAnsi="Calibri"/>
                      <w:color w:val="4D4D4F"/>
                      <w:spacing w:val="-4"/>
                      <w:w w:val="110"/>
                    </w:rPr>
                    <w:t>patients </w:t>
                  </w:r>
                  <w:r>
                    <w:rPr>
                      <w:rFonts w:ascii="Calibri" w:hAnsi="Calibri"/>
                      <w:color w:val="4D4D4F"/>
                      <w:spacing w:val="-3"/>
                      <w:w w:val="110"/>
                    </w:rPr>
                    <w:t>with OUD </w:t>
                  </w:r>
                  <w:r>
                    <w:rPr>
                      <w:rFonts w:ascii="Calibri" w:hAnsi="Calibri"/>
                      <w:color w:val="4D4D4F"/>
                      <w:w w:val="110"/>
                    </w:rPr>
                    <w:t>in </w:t>
                  </w:r>
                  <w:r>
                    <w:rPr>
                      <w:rFonts w:ascii="Calibri" w:hAnsi="Calibri"/>
                      <w:color w:val="4D4D4F"/>
                      <w:spacing w:val="-4"/>
                      <w:w w:val="110"/>
                    </w:rPr>
                    <w:t>hospital settings.</w:t>
                  </w:r>
                </w:p>
              </w:txbxContent>
            </v:textbox>
            <v:stroke dashstyle="solid"/>
            <w10:wrap type="topAndBottom"/>
          </v:shape>
        </w:pict>
      </w:r>
    </w:p>
    <w:p>
      <w:pPr>
        <w:pStyle w:val="BodyText"/>
        <w:rPr>
          <w:b/>
          <w:sz w:val="20"/>
        </w:rPr>
      </w:pPr>
    </w:p>
    <w:p>
      <w:pPr>
        <w:spacing w:after="0"/>
        <w:rPr>
          <w:sz w:val="20"/>
        </w:rPr>
        <w:sectPr>
          <w:headerReference w:type="default" r:id="rId13"/>
          <w:footerReference w:type="default" r:id="rId14"/>
          <w:footerReference w:type="even" r:id="rId15"/>
          <w:pgSz w:w="12240" w:h="15840"/>
          <w:pgMar w:header="0" w:footer="677" w:top="540" w:bottom="860" w:left="940" w:right="920"/>
          <w:pgNumType w:start="1"/>
        </w:sectPr>
      </w:pPr>
    </w:p>
    <w:p>
      <w:pPr>
        <w:pStyle w:val="Heading2"/>
        <w:spacing w:before="215"/>
        <w:ind w:left="137"/>
        <w:rPr>
          <w:rFonts w:ascii="Gill Sans MT"/>
        </w:rPr>
      </w:pPr>
      <w:bookmarkStart w:name="_TOC_250111" w:id="3"/>
      <w:r>
        <w:rPr>
          <w:rFonts w:ascii="Gill Sans MT"/>
          <w:color w:val="137692"/>
        </w:rPr>
        <w:t>Scope of the</w:t>
      </w:r>
      <w:r>
        <w:rPr>
          <w:rFonts w:ascii="Gill Sans MT"/>
          <w:color w:val="137692"/>
          <w:spacing w:val="-58"/>
        </w:rPr>
        <w:t> </w:t>
      </w:r>
      <w:bookmarkEnd w:id="3"/>
      <w:r>
        <w:rPr>
          <w:rFonts w:ascii="Gill Sans MT"/>
          <w:color w:val="137692"/>
        </w:rPr>
        <w:t>Problem</w:t>
      </w:r>
    </w:p>
    <w:p>
      <w:pPr>
        <w:pStyle w:val="BodyText"/>
        <w:spacing w:line="247" w:lineRule="auto" w:before="44"/>
        <w:ind w:left="137" w:right="35"/>
      </w:pPr>
      <w:r>
        <w:rPr>
          <w:color w:val="4D4D4F"/>
          <w:w w:val="115"/>
        </w:rPr>
        <w:t>The United States is experiencing an opioid addiction epidemic.</w:t>
      </w:r>
      <w:r>
        <w:rPr>
          <w:color w:val="4D4D4F"/>
          <w:w w:val="115"/>
          <w:position w:val="7"/>
          <w:sz w:val="13"/>
        </w:rPr>
        <w:t>1 </w:t>
      </w:r>
      <w:r>
        <w:rPr>
          <w:color w:val="4D4D4F"/>
          <w:w w:val="115"/>
        </w:rPr>
        <w:t>In 2018, an estimated 2.0 million</w:t>
      </w:r>
      <w:r>
        <w:rPr>
          <w:color w:val="4D4D4F"/>
          <w:spacing w:val="-23"/>
          <w:w w:val="115"/>
        </w:rPr>
        <w:t> </w:t>
      </w:r>
      <w:r>
        <w:rPr>
          <w:color w:val="4D4D4F"/>
          <w:w w:val="115"/>
        </w:rPr>
        <w:t>people</w:t>
      </w:r>
      <w:r>
        <w:rPr>
          <w:color w:val="4D4D4F"/>
          <w:spacing w:val="-23"/>
          <w:w w:val="115"/>
        </w:rPr>
        <w:t> </w:t>
      </w:r>
      <w:r>
        <w:rPr>
          <w:color w:val="4D4D4F"/>
          <w:w w:val="115"/>
        </w:rPr>
        <w:t>aged</w:t>
      </w:r>
      <w:r>
        <w:rPr>
          <w:color w:val="4D4D4F"/>
          <w:spacing w:val="-23"/>
          <w:w w:val="115"/>
        </w:rPr>
        <w:t> </w:t>
      </w:r>
      <w:r>
        <w:rPr>
          <w:color w:val="4D4D4F"/>
          <w:w w:val="115"/>
        </w:rPr>
        <w:t>12</w:t>
      </w:r>
      <w:r>
        <w:rPr>
          <w:color w:val="4D4D4F"/>
          <w:spacing w:val="-23"/>
          <w:w w:val="115"/>
        </w:rPr>
        <w:t> </w:t>
      </w:r>
      <w:r>
        <w:rPr>
          <w:color w:val="4D4D4F"/>
          <w:w w:val="115"/>
        </w:rPr>
        <w:t>or</w:t>
      </w:r>
      <w:r>
        <w:rPr>
          <w:color w:val="4D4D4F"/>
          <w:spacing w:val="-23"/>
          <w:w w:val="115"/>
        </w:rPr>
        <w:t> </w:t>
      </w:r>
      <w:r>
        <w:rPr>
          <w:color w:val="4D4D4F"/>
          <w:w w:val="115"/>
        </w:rPr>
        <w:t>older</w:t>
      </w:r>
      <w:r>
        <w:rPr>
          <w:color w:val="4D4D4F"/>
          <w:spacing w:val="-23"/>
          <w:w w:val="115"/>
        </w:rPr>
        <w:t> </w:t>
      </w:r>
      <w:r>
        <w:rPr>
          <w:color w:val="4D4D4F"/>
          <w:w w:val="115"/>
        </w:rPr>
        <w:t>had</w:t>
      </w:r>
      <w:r>
        <w:rPr>
          <w:color w:val="4D4D4F"/>
          <w:spacing w:val="-23"/>
          <w:w w:val="115"/>
        </w:rPr>
        <w:t> </w:t>
      </w:r>
      <w:r>
        <w:rPr>
          <w:color w:val="4D4D4F"/>
          <w:w w:val="115"/>
        </w:rPr>
        <w:t>OUD</w:t>
      </w:r>
      <w:r>
        <w:rPr>
          <w:color w:val="4D4D4F"/>
          <w:spacing w:val="-23"/>
          <w:w w:val="115"/>
        </w:rPr>
        <w:t> </w:t>
      </w:r>
      <w:r>
        <w:rPr>
          <w:color w:val="4D4D4F"/>
          <w:w w:val="115"/>
        </w:rPr>
        <w:t>in</w:t>
      </w:r>
      <w:r>
        <w:rPr>
          <w:color w:val="4D4D4F"/>
          <w:spacing w:val="-23"/>
          <w:w w:val="115"/>
        </w:rPr>
        <w:t> </w:t>
      </w:r>
      <w:r>
        <w:rPr>
          <w:color w:val="4D4D4F"/>
          <w:w w:val="115"/>
        </w:rPr>
        <w:t>the United States.</w:t>
      </w:r>
      <w:r>
        <w:rPr>
          <w:color w:val="4D4D4F"/>
          <w:w w:val="115"/>
          <w:position w:val="7"/>
          <w:sz w:val="13"/>
        </w:rPr>
        <w:t>2 </w:t>
      </w:r>
      <w:r>
        <w:rPr>
          <w:color w:val="4D4D4F"/>
          <w:w w:val="115"/>
        </w:rPr>
        <w:t>Illicit opioid use contributes to the</w:t>
      </w:r>
      <w:r>
        <w:rPr>
          <w:color w:val="4D4D4F"/>
          <w:spacing w:val="-29"/>
          <w:w w:val="115"/>
        </w:rPr>
        <w:t> </w:t>
      </w:r>
      <w:r>
        <w:rPr>
          <w:color w:val="4D4D4F"/>
          <w:w w:val="115"/>
        </w:rPr>
        <w:t>development</w:t>
      </w:r>
      <w:r>
        <w:rPr>
          <w:color w:val="4D4D4F"/>
          <w:spacing w:val="-29"/>
          <w:w w:val="115"/>
        </w:rPr>
        <w:t> </w:t>
      </w:r>
      <w:r>
        <w:rPr>
          <w:color w:val="4D4D4F"/>
          <w:w w:val="115"/>
        </w:rPr>
        <w:t>of</w:t>
      </w:r>
      <w:r>
        <w:rPr>
          <w:color w:val="4D4D4F"/>
          <w:spacing w:val="-29"/>
          <w:w w:val="115"/>
        </w:rPr>
        <w:t> </w:t>
      </w:r>
      <w:r>
        <w:rPr>
          <w:color w:val="4D4D4F"/>
          <w:w w:val="115"/>
        </w:rPr>
        <w:t>OUD,</w:t>
      </w:r>
      <w:r>
        <w:rPr>
          <w:color w:val="4D4D4F"/>
          <w:spacing w:val="-29"/>
          <w:w w:val="115"/>
        </w:rPr>
        <w:t> </w:t>
      </w:r>
      <w:r>
        <w:rPr>
          <w:color w:val="4D4D4F"/>
          <w:w w:val="115"/>
        </w:rPr>
        <w:t>the</w:t>
      </w:r>
      <w:r>
        <w:rPr>
          <w:color w:val="4D4D4F"/>
          <w:spacing w:val="-29"/>
          <w:w w:val="115"/>
        </w:rPr>
        <w:t> </w:t>
      </w:r>
      <w:r>
        <w:rPr>
          <w:color w:val="4D4D4F"/>
          <w:w w:val="115"/>
        </w:rPr>
        <w:t>spread</w:t>
      </w:r>
      <w:r>
        <w:rPr>
          <w:color w:val="4D4D4F"/>
          <w:spacing w:val="-29"/>
          <w:w w:val="115"/>
        </w:rPr>
        <w:t> </w:t>
      </w:r>
      <w:r>
        <w:rPr>
          <w:color w:val="4D4D4F"/>
          <w:w w:val="115"/>
        </w:rPr>
        <w:t>of</w:t>
      </w:r>
      <w:r>
        <w:rPr>
          <w:color w:val="4D4D4F"/>
          <w:spacing w:val="-29"/>
          <w:w w:val="115"/>
        </w:rPr>
        <w:t> </w:t>
      </w:r>
      <w:r>
        <w:rPr>
          <w:color w:val="4D4D4F"/>
          <w:w w:val="115"/>
        </w:rPr>
        <w:t>HIV</w:t>
      </w:r>
      <w:r>
        <w:rPr>
          <w:color w:val="4D4D4F"/>
          <w:spacing w:val="-29"/>
          <w:w w:val="115"/>
        </w:rPr>
        <w:t> </w:t>
      </w:r>
      <w:r>
        <w:rPr>
          <w:color w:val="4D4D4F"/>
          <w:spacing w:val="-6"/>
          <w:w w:val="115"/>
        </w:rPr>
        <w:t>and </w:t>
      </w:r>
      <w:r>
        <w:rPr>
          <w:color w:val="4D4D4F"/>
          <w:w w:val="115"/>
        </w:rPr>
        <w:t>hepatitis infections, and increasing numbers of overdose</w:t>
      </w:r>
      <w:r>
        <w:rPr>
          <w:color w:val="4D4D4F"/>
          <w:spacing w:val="-10"/>
          <w:w w:val="115"/>
        </w:rPr>
        <w:t> </w:t>
      </w:r>
      <w:r>
        <w:rPr>
          <w:color w:val="4D4D4F"/>
          <w:w w:val="115"/>
        </w:rPr>
        <w:t>deaths.</w:t>
      </w:r>
    </w:p>
    <w:p>
      <w:pPr>
        <w:pStyle w:val="BodyText"/>
        <w:spacing w:line="247" w:lineRule="auto" w:before="188"/>
        <w:ind w:left="137" w:right="32"/>
      </w:pPr>
      <w:r>
        <w:rPr>
          <w:color w:val="4D4D4F"/>
          <w:w w:val="115"/>
        </w:rPr>
        <w:t>OUD is a set of cognitive, behavioral, and physiological symptoms marked by an inability to </w:t>
      </w:r>
      <w:r>
        <w:rPr>
          <w:color w:val="4D4D4F"/>
          <w:spacing w:val="-3"/>
          <w:w w:val="115"/>
        </w:rPr>
        <w:t>stop </w:t>
      </w:r>
      <w:r>
        <w:rPr>
          <w:color w:val="4D4D4F"/>
          <w:spacing w:val="-4"/>
          <w:w w:val="115"/>
        </w:rPr>
        <w:t>opioid </w:t>
      </w:r>
      <w:r>
        <w:rPr>
          <w:color w:val="4D4D4F"/>
          <w:spacing w:val="-3"/>
          <w:w w:val="115"/>
        </w:rPr>
        <w:t>use </w:t>
      </w:r>
      <w:r>
        <w:rPr>
          <w:color w:val="4D4D4F"/>
          <w:spacing w:val="-4"/>
          <w:w w:val="115"/>
        </w:rPr>
        <w:t>despite negative consequenc- </w:t>
      </w:r>
      <w:r>
        <w:rPr>
          <w:color w:val="4D4D4F"/>
          <w:spacing w:val="-3"/>
          <w:w w:val="115"/>
        </w:rPr>
        <w:t>es.</w:t>
      </w:r>
      <w:r>
        <w:rPr>
          <w:color w:val="4D4D4F"/>
          <w:spacing w:val="-3"/>
          <w:w w:val="115"/>
          <w:position w:val="7"/>
          <w:sz w:val="13"/>
        </w:rPr>
        <w:t>3 </w:t>
      </w:r>
      <w:r>
        <w:rPr>
          <w:color w:val="4D4D4F"/>
          <w:w w:val="115"/>
        </w:rPr>
        <w:t>When severe, it can present as a chronic, recurring</w:t>
      </w:r>
      <w:r>
        <w:rPr>
          <w:color w:val="4D4D4F"/>
          <w:spacing w:val="-32"/>
          <w:w w:val="115"/>
        </w:rPr>
        <w:t> </w:t>
      </w:r>
      <w:r>
        <w:rPr>
          <w:color w:val="4D4D4F"/>
          <w:w w:val="115"/>
        </w:rPr>
        <w:t>condition</w:t>
      </w:r>
      <w:r>
        <w:rPr>
          <w:color w:val="4D4D4F"/>
          <w:spacing w:val="-31"/>
          <w:w w:val="115"/>
        </w:rPr>
        <w:t> </w:t>
      </w:r>
      <w:r>
        <w:rPr>
          <w:color w:val="4D4D4F"/>
          <w:w w:val="115"/>
        </w:rPr>
        <w:t>with</w:t>
      </w:r>
      <w:r>
        <w:rPr>
          <w:color w:val="4D4D4F"/>
          <w:spacing w:val="-31"/>
          <w:w w:val="115"/>
        </w:rPr>
        <w:t> </w:t>
      </w:r>
      <w:r>
        <w:rPr>
          <w:color w:val="4D4D4F"/>
          <w:w w:val="115"/>
        </w:rPr>
        <w:t>compulsive</w:t>
      </w:r>
      <w:r>
        <w:rPr>
          <w:color w:val="4D4D4F"/>
          <w:spacing w:val="-31"/>
          <w:w w:val="115"/>
        </w:rPr>
        <w:t> </w:t>
      </w:r>
      <w:r>
        <w:rPr>
          <w:color w:val="4D4D4F"/>
          <w:w w:val="115"/>
        </w:rPr>
        <w:t>opioid</w:t>
      </w:r>
      <w:r>
        <w:rPr>
          <w:color w:val="4D4D4F"/>
          <w:spacing w:val="-31"/>
          <w:w w:val="115"/>
        </w:rPr>
        <w:t> </w:t>
      </w:r>
      <w:r>
        <w:rPr>
          <w:color w:val="4D4D4F"/>
          <w:w w:val="115"/>
        </w:rPr>
        <w:t>use that is often termed “addiction.” It can cause serious</w:t>
      </w:r>
      <w:r>
        <w:rPr>
          <w:color w:val="4D4D4F"/>
          <w:spacing w:val="-30"/>
          <w:w w:val="115"/>
        </w:rPr>
        <w:t> </w:t>
      </w:r>
      <w:r>
        <w:rPr>
          <w:color w:val="4D4D4F"/>
          <w:w w:val="115"/>
        </w:rPr>
        <w:t>physical</w:t>
      </w:r>
      <w:r>
        <w:rPr>
          <w:color w:val="4D4D4F"/>
          <w:spacing w:val="-29"/>
          <w:w w:val="115"/>
        </w:rPr>
        <w:t> </w:t>
      </w:r>
      <w:r>
        <w:rPr>
          <w:color w:val="4D4D4F"/>
          <w:w w:val="115"/>
        </w:rPr>
        <w:t>and</w:t>
      </w:r>
      <w:r>
        <w:rPr>
          <w:color w:val="4D4D4F"/>
          <w:spacing w:val="-30"/>
          <w:w w:val="115"/>
        </w:rPr>
        <w:t> </w:t>
      </w:r>
      <w:r>
        <w:rPr>
          <w:color w:val="4D4D4F"/>
          <w:w w:val="115"/>
        </w:rPr>
        <w:t>mental</w:t>
      </w:r>
      <w:r>
        <w:rPr>
          <w:color w:val="4D4D4F"/>
          <w:spacing w:val="-29"/>
          <w:w w:val="115"/>
        </w:rPr>
        <w:t> </w:t>
      </w:r>
      <w:r>
        <w:rPr>
          <w:color w:val="4D4D4F"/>
          <w:w w:val="115"/>
        </w:rPr>
        <w:t>health,</w:t>
      </w:r>
      <w:r>
        <w:rPr>
          <w:color w:val="4D4D4F"/>
          <w:spacing w:val="-30"/>
          <w:w w:val="115"/>
        </w:rPr>
        <w:t> </w:t>
      </w:r>
      <w:r>
        <w:rPr>
          <w:color w:val="4D4D4F"/>
          <w:w w:val="115"/>
        </w:rPr>
        <w:t>employment, legal, and family</w:t>
      </w:r>
      <w:r>
        <w:rPr>
          <w:color w:val="4D4D4F"/>
          <w:spacing w:val="-27"/>
          <w:w w:val="115"/>
        </w:rPr>
        <w:t> </w:t>
      </w:r>
      <w:r>
        <w:rPr>
          <w:color w:val="4D4D4F"/>
          <w:w w:val="115"/>
        </w:rPr>
        <w:t>problems.</w:t>
      </w:r>
    </w:p>
    <w:p>
      <w:pPr>
        <w:pStyle w:val="BodyText"/>
        <w:spacing w:line="247" w:lineRule="auto" w:before="190"/>
        <w:ind w:left="137" w:right="354"/>
        <w:jc w:val="both"/>
      </w:pPr>
      <w:r>
        <w:rPr>
          <w:color w:val="4D4D4F"/>
          <w:w w:val="110"/>
        </w:rPr>
        <w:t>Each FDA-approved medication used to treat OUD can help patients achieve remission and begin or maintain recovery. Pharmacotherapy</w:t>
      </w:r>
    </w:p>
    <w:p>
      <w:pPr>
        <w:pStyle w:val="BodyText"/>
        <w:rPr>
          <w:sz w:val="20"/>
        </w:rPr>
      </w:pPr>
      <w:r>
        <w:rPr/>
        <w:br w:type="column"/>
      </w:r>
      <w:r>
        <w:rPr>
          <w:sz w:val="20"/>
        </w:rPr>
      </w:r>
    </w:p>
    <w:p>
      <w:pPr>
        <w:pStyle w:val="BodyText"/>
        <w:spacing w:before="5"/>
        <w:rPr>
          <w:sz w:val="14"/>
        </w:rPr>
      </w:pPr>
      <w:r>
        <w:rPr/>
        <w:pict>
          <v:group style="position:absolute;margin-left:328.181pt;margin-top:10.356641pt;width:219.85pt;height:100.1pt;mso-position-horizontal-relative:page;mso-position-vertical-relative:paragraph;z-index:-15725056;mso-wrap-distance-left:0;mso-wrap-distance-right:0" coordorigin="6564,207" coordsize="4397,2002">
            <v:rect style="position:absolute;left:6563;top:207;width:4284;height:1856" filled="true" fillcolor="#fff7f2" stroked="false">
              <v:fill type="solid"/>
            </v:rect>
            <v:shape style="position:absolute;left:9117;top:396;width:1657;height:1656" coordorigin="9118,397" coordsize="1657,1656" path="m10774,909l10262,909,10262,397,9631,397,9631,909,9118,909,9118,1541,9631,1541,9631,2053,10262,2053,10262,1541,10774,1541,10774,909xe" filled="true" fillcolor="#377f9a" stroked="false">
              <v:path arrowok="t"/>
              <v:fill type="solid"/>
            </v:shape>
            <v:shape style="position:absolute;left:10231;top:816;width:590;height:454" coordorigin="10231,817" coordsize="590,454" path="m10808,817l10231,1212,10271,1270,10793,912,10812,893,10821,870,10821,844,10811,820,10808,817xe" filled="true" fillcolor="#e77d25" stroked="false">
              <v:path arrowok="t"/>
              <v:fill type="solid"/>
            </v:shape>
            <v:shape style="position:absolute;left:10191;top:785;width:617;height:427" coordorigin="10192,786" coordsize="617,427" path="m10764,786l10738,786,10714,796,10192,1155,10231,1212,10808,817,10806,813,10787,795,10764,786xe" filled="true" fillcolor="#f8983a" stroked="false">
              <v:path arrowok="t"/>
              <v:fill type="solid"/>
            </v:shape>
            <v:shape style="position:absolute;left:10224;top:807;width:591;height:416" coordorigin="10224,807" coordsize="591,416" path="m10801,807l10224,1202,10238,1222,10815,827,10811,820,10803,809,10801,807xe" filled="true" fillcolor="#e16026" stroked="false">
              <v:path arrowok="t"/>
              <v:fill type="solid"/>
            </v:shape>
            <v:shape style="position:absolute;left:9064;top:1127;width:1210;height:70" coordorigin="9065,1128" coordsize="1210,70" path="m10275,1128l9135,1128,9108,1133,9085,1148,9070,1171,9065,1198,10275,1198,10275,1128xe" filled="true" fillcolor="#f8983a" stroked="false">
              <v:path arrowok="t"/>
              <v:fill type="solid"/>
            </v:shape>
            <v:shape style="position:absolute;left:9064;top:1197;width:1210;height:70" coordorigin="9065,1198" coordsize="1210,70" path="m10275,1198l9065,1198,9070,1225,9085,1247,9108,1262,9135,1268,10275,1268,10275,1198xe" filled="true" fillcolor="#e77d25" stroked="false">
              <v:path arrowok="t"/>
              <v:fill type="solid"/>
            </v:shape>
            <v:shape style="position:absolute;left:9064;top:1185;width:1199;height:24" coordorigin="9065,1186" coordsize="1199,24" path="m10263,1186l9065,1186,9065,1194,9065,1194,9065,1198,9065,1202,9065,1202,9065,1210,10263,1210,10263,1202,10263,1198,10263,1194,10263,1186xe" filled="true" fillcolor="#e16026" stroked="false">
              <v:path arrowok="t"/>
              <v:fill type="solid"/>
            </v:shape>
            <v:shape style="position:absolute;left:10261;top:859;width:629;height:448" coordorigin="10262,860" coordsize="629,448" path="m10869,860l10865,863,10262,1276,10263,1285,10275,1303,10283,1308,10891,892,10889,882,10877,865,10869,860xe" filled="true" fillcolor="#c5c6c8" stroked="false">
              <v:path arrowok="t"/>
              <v:fill type="solid"/>
            </v:shape>
            <v:shape style="position:absolute;left:10264;top:865;width:619;height:429" coordorigin="10264,865" coordsize="619,429" path="m10875,865l10264,1283,10265,1287,10267,1290,10269,1294,10883,874,10880,870,10877,867,10875,865xe" filled="true" fillcolor="#ffffff" stroked="false">
              <v:path arrowok="t"/>
              <v:fill type="solid"/>
            </v:shape>
            <v:shape style="position:absolute;left:10272;top:877;width:617;height:427" coordorigin="10272,877" coordsize="617,427" path="m10885,877l10272,1297,10274,1300,10277,1302,10279,1304,10888,886,10888,883,10887,880,10885,877xe" filled="true" fillcolor="#8c8e90" stroked="false">
              <v:path arrowok="t"/>
              <v:fill type="solid"/>
            </v:shape>
            <v:shape style="position:absolute;left:9476;top:1066;width:811;height:224" coordorigin="9476,1066" coordsize="811,224" path="m10194,1066l9576,1066,9510,1087,9478,1142,9476,1277,9476,1284,9484,1289,9503,1289,9511,1284,9511,1159,9512,1148,9555,1102,9569,1101,10187,1101,10244,1129,10252,1284,10260,1289,10279,1289,10287,1284,10287,1159,10285,1142,10253,1087,10207,1067,10194,1066xe" filled="true" fillcolor="#c5c6c8" stroked="false">
              <v:path arrowok="t"/>
              <v:fill type="solid"/>
            </v:shape>
            <v:shape style="position:absolute;left:9482;top:1072;width:798;height:217" coordorigin="9483,1073" coordsize="798,217" path="m9571,1073l9509,1097,9483,1152,9483,1287,9486,1288,9489,1289,9493,1289,9493,1158,9495,1140,9538,1090,9565,1083,9573,1083,10182,1083,10243,1102,10269,1158,10269,1289,10273,1289,10277,1288,10280,1287,10280,1152,10254,1097,10202,1073,9571,1073xe" filled="true" fillcolor="#ffffff" stroked="false">
              <v:path arrowok="t"/>
              <v:fill type="solid"/>
            </v:shape>
            <v:shape style="position:absolute;left:9497;top:1087;width:769;height:202" coordorigin="9497,1087" coordsize="769,202" path="m10193,1087l9569,1087,9564,1088,9503,1129,9497,1289,9500,1288,9503,1287,9506,1286,9506,1153,9508,1141,9556,1097,9563,1096,10200,1096,10252,1130,10257,1286,10260,1287,10262,1288,10266,1289,10266,1160,10240,1104,10211,1089,10193,1087xe" filled="true" fillcolor="#8c8e90" stroked="false">
              <v:path arrowok="t"/>
              <v:fill type="solid"/>
            </v:shape>
            <v:shape style="position:absolute;left:9268;top:1934;width:1186;height:44" coordorigin="9268,1934" coordsize="1186,44" path="m10448,1934l10441,1934,9274,1934,9268,1944,9268,1967,9274,1977,10448,1977,10454,1967,10454,1944,10448,1934xe" filled="true" fillcolor="#c5c6c8" stroked="false">
              <v:path arrowok="t"/>
              <v:fill type="solid"/>
            </v:shape>
            <v:shape style="position:absolute;left:9269;top:1960;width:1185;height:10" coordorigin="9269,1961" coordsize="1185,10" path="m10453,1961l9269,1961,9269,1965,9270,1965,9270,1969,9272,1969,9272,1971,10451,1971,10451,1969,10452,1969,10452,1965,10453,1965,10453,1961xe" filled="true" fillcolor="#8c8e90" stroked="false">
              <v:path arrowok="t"/>
              <v:fill type="solid"/>
            </v:shape>
            <v:shape style="position:absolute;left:9231;top:1278;width:1258;height:701" coordorigin="9231,1278" coordsize="1258,701" path="m9253,1278l9243,1283,9231,1304,9233,1316,10467,1979,10478,1974,10489,1953,10487,1941,10480,1937,9253,1278xe" filled="true" fillcolor="#c5c6c8" stroked="false">
              <v:path arrowok="t"/>
              <v:fill type="solid"/>
            </v:shape>
            <v:shape style="position:absolute;left:9237;top:1284;width:1250;height:680" coordorigin="9237,1284" coordsize="1250,680" path="m9246,1284l9243,1286,9239,1290,9237,1294,10483,1964,10486,1959,10487,1955,10487,1950,9246,1284xe" filled="true" fillcolor="#ffffff" stroked="false">
              <v:path arrowok="t"/>
              <v:fill type="solid"/>
            </v:shape>
            <v:shape style="position:absolute;left:9233;top:1298;width:1248;height:677" coordorigin="9233,1298" coordsize="1248,677" path="m9235,1298l9234,1302,9233,1306,9234,1309,10472,1975,10475,1973,10478,1971,10481,1968,9235,1298xe" filled="true" fillcolor="#8c8e90" stroked="false">
              <v:path arrowok="t"/>
              <v:fill type="solid"/>
            </v:shape>
            <v:shape style="position:absolute;left:9023;top:1267;width:1937;height:44" coordorigin="9023,1268" coordsize="1937,44" path="m10950,1268l10939,1268,9033,1268,9023,1277,9023,1301,9033,1311,10950,1311,10960,1301,10960,1277,10950,1268xe" filled="true" fillcolor="#c5c6c8" stroked="false">
              <v:path arrowok="t"/>
              <v:fill type="solid"/>
            </v:shape>
            <v:shape style="position:absolute;left:9023;top:1276;width:1937;height:14" coordorigin="9023,1276" coordsize="1937,14" path="m10955,1276l9028,1276,9025,1280,9023,1284,9023,1289,10960,1289,10960,1284,10958,1280,10955,1276xe" filled="true" fillcolor="#ffffff" stroked="false">
              <v:path arrowok="t"/>
              <v:fill type="solid"/>
            </v:shape>
            <v:shape style="position:absolute;left:9024;top:1256;width:1935;height:64" coordorigin="9024,1256" coordsize="1935,64" path="m10959,1294l9521,1294,9521,1260,9517,1256,9470,1256,9466,1260,9466,1294,9024,1294,9024,1298,9026,1298,9026,1302,9028,1302,9028,1304,9466,1304,9466,1317,9470,1320,9512,1320,9517,1320,9521,1317,9521,1304,10955,1304,10955,1302,10957,1302,10957,1298,10959,1298,10959,1294xe" filled="true" fillcolor="#8c8e90" stroked="false">
              <v:path arrowok="t"/>
              <v:fill type="solid"/>
            </v:shape>
            <v:shape style="position:absolute;left:9469;top:1259;width:48;height:57" coordorigin="9470,1260" coordsize="48,57" path="m9515,1260l9472,1260,9470,1262,9470,1315,9472,1317,9475,1317,9515,1317,9517,1315,9517,1262,9515,1260xe" filled="true" fillcolor="#c5c6c8" stroked="false">
              <v:path arrowok="t"/>
              <v:fill type="solid"/>
            </v:shape>
            <v:shape style="position:absolute;left:9485;top:1265;width:17;height:17" coordorigin="9485,1266" coordsize="17,17" path="m9498,1266l9489,1266,9485,1269,9485,1278,9489,1282,9498,1282,9501,1278,9501,1274,9501,1269,9498,1266xe" filled="true" fillcolor="#8c8e90" stroked="false">
              <v:path arrowok="t"/>
              <v:fill type="solid"/>
            </v:shape>
            <v:shape style="position:absolute;left:9486;top:1266;width:15;height:15" coordorigin="9486,1267" coordsize="15,15" path="m9497,1267l9490,1267,9486,1270,9486,1278,9490,1281,9497,1281,9500,1278,9500,1274,9500,1270,9497,1267xe" filled="true" fillcolor="#dcddde" stroked="false">
              <v:path arrowok="t"/>
              <v:fill type="solid"/>
            </v:shape>
            <v:shape style="position:absolute;left:9487;top:1267;width:12;height:12" coordorigin="9487,1268" coordsize="12,12" path="m9496,1268l9490,1268,9487,1270,9487,1276,9489,1278,9490,1279,9490,1278,9489,1277,9489,1276,9489,1272,9492,1270,9497,1270,9498,1270,9499,1271,9497,1269,9496,1268xe" filled="true" fillcolor="#f8f8f9" stroked="false">
              <v:path arrowok="t"/>
              <v:fill type="solid"/>
            </v:shape>
            <v:shape style="position:absolute;left:9485;top:1294;width:17;height:17" coordorigin="9485,1295" coordsize="17,17" path="m9498,1295l9489,1295,9485,1299,9485,1307,9489,1311,9498,1311,9501,1307,9501,1303,9501,1299,9498,1295xe" filled="true" fillcolor="#8c8e90" stroked="false">
              <v:path arrowok="t"/>
              <v:fill type="solid"/>
            </v:shape>
            <v:shape style="position:absolute;left:9486;top:1295;width:15;height:15" coordorigin="9486,1296" coordsize="15,15" path="m9497,1296l9490,1296,9486,1299,9486,1307,9490,1310,9497,1310,9500,1307,9500,1303,9500,1299,9497,1296xe" filled="true" fillcolor="#dcddde" stroked="false">
              <v:path arrowok="t"/>
              <v:fill type="solid"/>
            </v:shape>
            <v:shape style="position:absolute;left:9487;top:1296;width:12;height:12" coordorigin="9487,1297" coordsize="12,12" path="m9496,1297l9490,1297,9487,1300,9487,1305,9489,1307,9490,1308,9490,1307,9489,1306,9489,1305,9489,1302,9492,1299,9497,1299,9498,1299,9499,1300,9497,1298,9496,1297xe" filled="true" fillcolor="#f8f8f9" stroked="false">
              <v:path arrowok="t"/>
              <v:fill type="solid"/>
            </v:shape>
            <v:shape style="position:absolute;left:9222;top:1254;width:92;height:69" coordorigin="9223,1254" coordsize="92,69" path="m9309,1254l9228,1254,9223,1259,9223,1317,9228,1323,9309,1323,9314,1317,9314,1266,9314,1259,9309,1254xe" filled="true" fillcolor="#8c8e90" stroked="false">
              <v:path arrowok="t"/>
              <v:fill type="solid"/>
            </v:shape>
            <v:shape style="position:absolute;left:9227;top:1258;width:82;height:59" coordorigin="9228,1259" coordsize="82,59" path="m9306,1259l9231,1259,9228,1262,9228,1315,9231,1318,9306,1318,9309,1315,9309,1311,9309,1262,9306,1259xe" filled="true" fillcolor="#c5c6c8" stroked="false">
              <v:path arrowok="t"/>
              <v:fill type="solid"/>
            </v:shape>
            <v:shape style="position:absolute;left:9235;top:1276;width:24;height:24" coordorigin="9236,1277" coordsize="24,24" path="m9254,1277l9241,1277,9236,1282,9236,1295,9241,1300,9248,1300,9254,1300,9259,1295,9259,1282,9254,1277xe" filled="true" fillcolor="#8c8e90" stroked="false">
              <v:path arrowok="t"/>
              <v:fill type="solid"/>
            </v:shape>
            <v:shape style="position:absolute;left:9237;top:1278;width:21;height:21" coordorigin="9237,1278" coordsize="21,21" path="m9253,1278l9242,1278,9237,1283,9237,1294,9242,1298,9248,1298,9253,1298,9258,1294,9258,1283,9253,1278xe" filled="true" fillcolor="#dcddde" stroked="false">
              <v:path arrowok="t"/>
              <v:fill type="solid"/>
            </v:shape>
            <v:shape style="position:absolute;left:9238;top:1279;width:17;height:17" coordorigin="9239,1280" coordsize="17,17" path="m9251,1280l9243,1280,9239,1284,9239,1292,9240,1294,9243,1296,9242,1294,9242,1293,9242,1286,9246,1283,9250,1283,9252,1283,9254,1283,9255,1284,9253,1281,9251,1280xe" filled="true" fillcolor="#f8f8f9" stroked="false">
              <v:path arrowok="t"/>
              <v:fill type="solid"/>
            </v:shape>
            <v:shape style="position:absolute;left:9277;top:1276;width:24;height:24" coordorigin="9278,1277" coordsize="24,24" path="m9296,1277l9283,1277,9278,1282,9278,1295,9283,1300,9289,1300,9296,1300,9301,1295,9301,1282,9296,1277xe" filled="true" fillcolor="#8c8e90" stroked="false">
              <v:path arrowok="t"/>
              <v:fill type="solid"/>
            </v:shape>
            <v:shape style="position:absolute;left:9279;top:1278;width:21;height:21" coordorigin="9279,1278" coordsize="21,21" path="m9295,1278l9284,1278,9279,1283,9279,1294,9284,1298,9289,1298,9295,1298,9300,1294,9300,1283,9295,1278xe" filled="true" fillcolor="#dcddde" stroked="false">
              <v:path arrowok="t"/>
              <v:fill type="solid"/>
            </v:shape>
            <v:shape style="position:absolute;left:9280;top:1279;width:17;height:17" coordorigin="9281,1280" coordsize="17,17" path="m9293,1280l9285,1280,9281,1284,9281,1292,9282,1294,9285,1296,9284,1294,9284,1293,9284,1286,9287,1283,9292,1283,9294,1283,9295,1283,9297,1284,9295,1281,9293,1280xe" filled="true" fillcolor="#f8f8f9" stroked="false">
              <v:path arrowok="t"/>
              <v:fill type="solid"/>
            </v:shape>
            <v:shape style="position:absolute;left:9242;top:1278;width:1249;height:697" coordorigin="9242,1278" coordsize="1249,697" path="m10469,1278l9251,1933,9244,1937,9242,1949,9253,1970,9264,1975,10490,1316,10491,1304,10480,1284,10469,1278xe" filled="true" fillcolor="#c5c6c8" stroked="false">
              <v:path arrowok="t"/>
              <v:fill type="solid"/>
            </v:shape>
            <v:shape style="position:absolute;left:9244;top:1284;width:1242;height:676" coordorigin="9244,1284" coordsize="1242,676" path="m10476,1284l9244,1946,9244,1950,9245,1955,9248,1959,10485,1294,10483,1290,10480,1286,10476,1284xe" filled="true" fillcolor="#ffffff" stroked="false">
              <v:path arrowok="t"/>
              <v:fill type="solid"/>
            </v:shape>
            <v:shape style="position:absolute;left:9250;top:1254;width:1250;height:717" coordorigin="9250,1254" coordsize="1250,717" path="m10500,1259l10495,1254,10414,1254,10408,1259,10408,1317,10414,1323,10442,1323,9250,1963,9253,1966,9256,1969,9259,1970,10464,1323,10495,1323,10500,1317,10500,1266,10500,1259xe" filled="true" fillcolor="#8c8e90" stroked="false">
              <v:path arrowok="t"/>
              <v:fill type="solid"/>
            </v:shape>
            <v:shape style="position:absolute;left:10413;top:1258;width:82;height:59" coordorigin="10413,1259" coordsize="82,59" path="m10492,1259l10416,1259,10413,1262,10413,1315,10416,1318,10492,1318,10495,1315,10495,1311,10495,1262,10492,1259xe" filled="true" fillcolor="#c5c6c8" stroked="false">
              <v:path arrowok="t"/>
              <v:fill type="solid"/>
            </v:shape>
            <v:shape style="position:absolute;left:10421;top:1276;width:24;height:24" coordorigin="10422,1277" coordsize="24,24" path="m10440,1277l10427,1277,10422,1282,10422,1295,10427,1300,10433,1300,10440,1300,10445,1295,10445,1282,10440,1277xe" filled="true" fillcolor="#8c8e90" stroked="false">
              <v:path arrowok="t"/>
              <v:fill type="solid"/>
            </v:shape>
            <v:shape style="position:absolute;left:10423;top:1278;width:21;height:21" coordorigin="10423,1278" coordsize="21,21" path="m10439,1278l10428,1278,10423,1283,10423,1294,10428,1298,10433,1298,10439,1298,10443,1294,10443,1283,10439,1278xe" filled="true" fillcolor="#dcddde" stroked="false">
              <v:path arrowok="t"/>
              <v:fill type="solid"/>
            </v:shape>
            <v:shape style="position:absolute;left:10424;top:1279;width:17;height:17" coordorigin="10424,1280" coordsize="17,17" path="m10436,1280l10428,1280,10424,1284,10424,1292,10426,1294,10429,1296,10428,1294,10427,1293,10427,1286,10431,1283,10436,1283,10438,1283,10439,1283,10441,1284,10439,1281,10436,1280xe" filled="true" fillcolor="#f8f8f9" stroked="false">
              <v:path arrowok="t"/>
              <v:fill type="solid"/>
            </v:shape>
            <v:shape style="position:absolute;left:10463;top:1276;width:24;height:24" coordorigin="10464,1277" coordsize="24,24" path="m10481,1277l10469,1277,10464,1282,10464,1295,10469,1300,10475,1300,10481,1300,10487,1295,10487,1282,10481,1277xe" filled="true" fillcolor="#8c8e90" stroked="false">
              <v:path arrowok="t"/>
              <v:fill type="solid"/>
            </v:shape>
            <v:shape style="position:absolute;left:10464;top:1278;width:21;height:21" coordorigin="10465,1278" coordsize="21,21" path="m10481,1278l10469,1278,10465,1283,10465,1294,10469,1298,10475,1298,10481,1298,10485,1294,10485,1283,10481,1278xe" filled="true" fillcolor="#dcddde" stroked="false">
              <v:path arrowok="t"/>
              <v:fill type="solid"/>
            </v:shape>
            <v:shape style="position:absolute;left:10466;top:1279;width:17;height:17" coordorigin="10466,1280" coordsize="17,17" path="m10478,1280l10470,1280,10466,1284,10466,1292,10468,1294,10470,1296,10470,1294,10469,1293,10469,1286,10473,1283,10478,1283,10480,1283,10481,1283,10482,1284,10481,1281,10478,1280xe" filled="true" fillcolor="#f8f8f9" stroked="false">
              <v:path arrowok="t"/>
              <v:fill type="solid"/>
            </v:shape>
            <v:shape style="position:absolute;left:10242;top:1256;width:55;height:64" coordorigin="10242,1256" coordsize="55,64" path="m10293,1256l10246,1256,10242,1260,10242,1317,10246,1320,10288,1320,10293,1320,10297,1317,10297,1260,10293,1256xe" filled="true" fillcolor="#8c8e90" stroked="false">
              <v:path arrowok="t"/>
              <v:fill type="solid"/>
            </v:shape>
            <v:shape style="position:absolute;left:10245;top:1259;width:48;height:57" coordorigin="10246,1260" coordsize="48,57" path="m10291,1260l10248,1260,10246,1262,10246,1315,10248,1317,10251,1317,10291,1317,10293,1315,10293,1262,10291,1260xe" filled="true" fillcolor="#c5c6c8" stroked="false">
              <v:path arrowok="t"/>
              <v:fill type="solid"/>
            </v:shape>
            <v:shape style="position:absolute;left:10261;top:1265;width:17;height:17" coordorigin="10261,1266" coordsize="17,17" path="m10274,1266l10265,1266,10261,1269,10261,1278,10265,1282,10274,1282,10278,1278,10278,1274,10278,1269,10274,1266xe" filled="true" fillcolor="#8c8e90" stroked="false">
              <v:path arrowok="t"/>
              <v:fill type="solid"/>
            </v:shape>
            <v:shape style="position:absolute;left:10262;top:1266;width:15;height:15" coordorigin="10262,1267" coordsize="15,15" path="m10273,1267l10266,1267,10262,1270,10262,1278,10266,1281,10273,1281,10277,1278,10277,1274,10277,1270,10273,1267xe" filled="true" fillcolor="#dcddde" stroked="false">
              <v:path arrowok="t"/>
              <v:fill type="solid"/>
            </v:shape>
            <v:shape style="position:absolute;left:10263;top:1267;width:12;height:12" coordorigin="10263,1268" coordsize="12,12" path="m10272,1268l10266,1268,10263,1270,10263,1276,10265,1278,10266,1279,10266,1278,10265,1277,10265,1276,10265,1272,10268,1270,10273,1270,10274,1270,10275,1271,10274,1269,10272,1268xe" filled="true" fillcolor="#f8f8f9" stroked="false">
              <v:path arrowok="t"/>
              <v:fill type="solid"/>
            </v:shape>
            <v:shape style="position:absolute;left:10261;top:1294;width:17;height:17" coordorigin="10261,1295" coordsize="17,17" path="m10274,1295l10265,1295,10261,1299,10261,1307,10265,1311,10274,1311,10278,1307,10278,1303,10278,1299,10274,1295xe" filled="true" fillcolor="#8c8e90" stroked="false">
              <v:path arrowok="t"/>
              <v:fill type="solid"/>
            </v:shape>
            <v:shape style="position:absolute;left:10262;top:1295;width:15;height:15" coordorigin="10262,1296" coordsize="15,15" path="m10273,1296l10266,1296,10262,1299,10262,1307,10266,1310,10273,1310,10277,1307,10277,1303,10277,1299,10273,1296xe" filled="true" fillcolor="#dcddde" stroked="false">
              <v:path arrowok="t"/>
              <v:fill type="solid"/>
            </v:shape>
            <v:shape style="position:absolute;left:10263;top:1296;width:12;height:12" coordorigin="10263,1297" coordsize="12,12" path="m10272,1297l10266,1297,10263,1300,10263,1305,10265,1307,10266,1308,10266,1307,10265,1306,10265,1305,10265,1302,10268,1299,10273,1299,10274,1299,10275,1300,10274,1298,10272,1297xe" filled="true" fillcolor="#f8f8f9" stroked="false">
              <v:path arrowok="t"/>
              <v:fill type="solid"/>
            </v:shape>
            <v:shape style="position:absolute;left:9345;top:1128;width:707;height:192" coordorigin="9345,1128" coordsize="707,192" path="m9395,1128l9345,1128,9345,1316,9347,1316,9347,1320,9393,1320,9393,1316,9395,1316,9395,1128xm10051,1128l10002,1128,10002,1316,10004,1316,10004,1320,10049,1320,10049,1316,10051,1316,10051,1128xe" filled="true" fillcolor="#f6b257" stroked="false">
              <v:path arrowok="t"/>
              <v:fill type="solid"/>
            </v:shape>
            <v:shape style="position:absolute;left:10503;top:914;width:148;height:185" type="#_x0000_t75" stroked="false">
              <v:imagedata r:id="rId16" o:title=""/>
            </v:shape>
            <v:shape style="position:absolute;left:9847;top:1615;width:28;height:28" coordorigin="9848,1616" coordsize="28,28" path="m9869,1616l9854,1616,9848,1622,9848,1637,9854,1643,9861,1643,9869,1643,9875,1637,9875,1622,9869,1616xe" filled="true" fillcolor="#77797b" stroked="false">
              <v:path arrowok="t"/>
              <v:fill type="solid"/>
            </v:shape>
            <v:shape style="position:absolute;left:9849;top:1617;width:24;height:24" coordorigin="9849,1617" coordsize="24,24" path="m9868,1617l9855,1617,9849,1623,9849,1636,9855,1641,9861,1641,9868,1641,9873,1636,9873,1623,9868,1617xe" filled="true" fillcolor="#dcddde" stroked="false">
              <v:path arrowok="t"/>
              <v:fill type="solid"/>
            </v:shape>
            <v:shape style="position:absolute;left:9851;top:1619;width:19;height:19" coordorigin="9851,1619" coordsize="19,19" path="m9865,1619l9856,1619,9851,1624,9851,1633,9853,1636,9856,1638,9855,1637,9854,1635,9854,1627,9859,1622,9865,1622,9867,1622,9868,1623,9870,1624,9868,1621,9865,1619xe" filled="true" fillcolor="#f8f8f9" stroked="false">
              <v:path arrowok="t"/>
              <v:fill type="solid"/>
            </v:shape>
            <v:shape style="position:absolute;left:9137;top:1921;width:188;height:287" type="#_x0000_t75" stroked="false">
              <v:imagedata r:id="rId17" o:title=""/>
            </v:shape>
            <v:shape style="position:absolute;left:10327;top:1921;width:188;height:287" type="#_x0000_t75" stroked="false">
              <v:imagedata r:id="rId18" o:title=""/>
            </v:shape>
            <v:shape style="position:absolute;left:6563;top:207;width:4397;height:2002" type="#_x0000_t202" filled="false" stroked="false">
              <v:textbox inset="0,0,0,0">
                <w:txbxContent>
                  <w:p>
                    <w:pPr>
                      <w:spacing w:before="199"/>
                      <w:ind w:left="242" w:right="0" w:firstLine="0"/>
                      <w:jc w:val="left"/>
                      <w:rPr>
                        <w:rFonts w:ascii="Lucida Sans"/>
                        <w:b/>
                        <w:sz w:val="22"/>
                      </w:rPr>
                    </w:pPr>
                    <w:r>
                      <w:rPr>
                        <w:rFonts w:ascii="Lucida Sans"/>
                        <w:b/>
                        <w:color w:val="B15651"/>
                        <w:spacing w:val="20"/>
                        <w:sz w:val="22"/>
                      </w:rPr>
                      <w:t>OPIOID-RELATED</w:t>
                    </w:r>
                    <w:r>
                      <w:rPr>
                        <w:rFonts w:ascii="Lucida Sans"/>
                        <w:b/>
                        <w:color w:val="B15651"/>
                        <w:spacing w:val="-47"/>
                        <w:sz w:val="22"/>
                      </w:rPr>
                      <w:t> </w:t>
                    </w:r>
                  </w:p>
                  <w:p>
                    <w:pPr>
                      <w:spacing w:line="368" w:lineRule="exact" w:before="3"/>
                      <w:ind w:left="242" w:right="0" w:firstLine="0"/>
                      <w:jc w:val="left"/>
                      <w:rPr>
                        <w:rFonts w:ascii="Lucida Sans"/>
                        <w:b/>
                        <w:sz w:val="32"/>
                      </w:rPr>
                    </w:pPr>
                    <w:r>
                      <w:rPr>
                        <w:rFonts w:ascii="Lucida Sans"/>
                        <w:b/>
                        <w:color w:val="B15651"/>
                        <w:spacing w:val="21"/>
                        <w:sz w:val="32"/>
                      </w:rPr>
                      <w:t>EMERGENCY</w:t>
                    </w:r>
                  </w:p>
                  <w:p>
                    <w:pPr>
                      <w:spacing w:line="339" w:lineRule="exact" w:before="0"/>
                      <w:ind w:left="242" w:right="0" w:firstLine="0"/>
                      <w:jc w:val="left"/>
                      <w:rPr>
                        <w:rFonts w:ascii="Lucida Sans"/>
                        <w:b/>
                        <w:sz w:val="30"/>
                      </w:rPr>
                    </w:pPr>
                    <w:r>
                      <w:rPr>
                        <w:rFonts w:ascii="Lucida Sans"/>
                        <w:b/>
                        <w:color w:val="B15651"/>
                        <w:spacing w:val="10"/>
                        <w:sz w:val="30"/>
                      </w:rPr>
                      <w:t>DEPARTMENT</w:t>
                    </w:r>
                  </w:p>
                  <w:p>
                    <w:pPr>
                      <w:spacing w:line="271" w:lineRule="auto" w:before="0"/>
                      <w:ind w:left="242" w:right="1964" w:firstLine="0"/>
                      <w:jc w:val="left"/>
                      <w:rPr>
                        <w:rFonts w:ascii="Tahoma"/>
                        <w:sz w:val="11"/>
                      </w:rPr>
                    </w:pPr>
                    <w:r>
                      <w:rPr>
                        <w:rFonts w:ascii="Tahoma"/>
                        <w:color w:val="B15651"/>
                        <w:w w:val="105"/>
                        <w:sz w:val="19"/>
                      </w:rPr>
                      <w:t>visits more than doubled from 2005 to 2016.</w:t>
                    </w:r>
                    <w:r>
                      <w:rPr>
                        <w:rFonts w:ascii="Tahoma"/>
                        <w:color w:val="B15651"/>
                        <w:w w:val="105"/>
                        <w:position w:val="6"/>
                        <w:sz w:val="11"/>
                      </w:rPr>
                      <w:t>4,5</w:t>
                    </w:r>
                  </w:p>
                </w:txbxContent>
              </v:textbox>
              <w10:wrap type="none"/>
            </v:shape>
            <v:shape style="position:absolute;left:9630;top:1540;width:631;height:394" type="#_x0000_t202" filled="false" stroked="false">
              <v:textbox inset="0,0,0,0">
                <w:txbxContent>
                  <w:p>
                    <w:pPr>
                      <w:spacing w:before="105"/>
                      <w:ind w:left="-363" w:right="-202" w:firstLine="0"/>
                      <w:jc w:val="left"/>
                      <w:rPr>
                        <w:rFonts w:ascii="Tahoma"/>
                        <w:sz w:val="11"/>
                      </w:rPr>
                    </w:pPr>
                    <w:r>
                      <w:rPr>
                        <w:rFonts w:ascii="Tahoma"/>
                        <w:color w:val="B15651"/>
                        <w:w w:val="63"/>
                        <w:sz w:val="11"/>
                        <w:u w:val="single" w:color="FFFFFF"/>
                      </w:rPr>
                      <w:t> </w:t>
                    </w:r>
                    <w:r>
                      <w:rPr>
                        <w:rFonts w:ascii="Tahoma"/>
                        <w:color w:val="B15651"/>
                        <w:sz w:val="11"/>
                        <w:u w:val="single" w:color="FFFFFF"/>
                      </w:rPr>
                      <w:t>                                 </w:t>
                    </w:r>
                    <w:r>
                      <w:rPr>
                        <w:rFonts w:ascii="Tahoma"/>
                        <w:color w:val="B15651"/>
                        <w:spacing w:val="-5"/>
                        <w:sz w:val="11"/>
                        <w:u w:val="single" w:color="FFFFFF"/>
                      </w:rPr>
                      <w:t> </w:t>
                    </w:r>
                  </w:p>
                </w:txbxContent>
              </v:textbox>
              <w10:wrap type="none"/>
            </v:shape>
            <w10:wrap type="topAndBottom"/>
          </v:group>
        </w:pict>
      </w:r>
    </w:p>
    <w:p>
      <w:pPr>
        <w:pStyle w:val="BodyText"/>
        <w:rPr>
          <w:sz w:val="33"/>
        </w:rPr>
      </w:pPr>
    </w:p>
    <w:p>
      <w:pPr>
        <w:pStyle w:val="BodyText"/>
        <w:spacing w:line="247" w:lineRule="auto"/>
        <w:ind w:left="137" w:right="233"/>
      </w:pPr>
      <w:r>
        <w:rPr>
          <w:color w:val="4D4D4F"/>
          <w:w w:val="110"/>
        </w:rPr>
        <w:t>for OUD should be accompanied by individually tailored medical management and psychosocial and recovery support services as needed and wanted by patients to support their remission and recovery.</w:t>
      </w:r>
    </w:p>
    <w:p>
      <w:pPr>
        <w:pStyle w:val="Heading7"/>
        <w:spacing w:line="235" w:lineRule="auto" w:before="185"/>
        <w:ind w:left="137" w:right="233"/>
      </w:pPr>
      <w:r>
        <w:rPr>
          <w:color w:val="4D4D4F"/>
          <w:w w:val="115"/>
        </w:rPr>
        <w:t>Medication supports the efforts of the individual to achieve lasting recovery.</w:t>
      </w:r>
    </w:p>
    <w:p>
      <w:pPr>
        <w:pStyle w:val="BodyText"/>
        <w:spacing w:line="247" w:lineRule="auto" w:before="183"/>
        <w:ind w:left="137" w:right="233"/>
      </w:pPr>
      <w:r>
        <w:rPr>
          <w:color w:val="4D4D4F"/>
          <w:w w:val="110"/>
        </w:rPr>
        <w:t>Exhibit 3.1 deﬁnes key terms in Part 3. For more deﬁnitions, see the glossary in Part 5 of this TIP.</w:t>
      </w:r>
    </w:p>
    <w:p>
      <w:pPr>
        <w:spacing w:after="0" w:line="247" w:lineRule="auto"/>
        <w:sectPr>
          <w:type w:val="continuous"/>
          <w:pgSz w:w="12240" w:h="15840"/>
          <w:pgMar w:top="540" w:bottom="280" w:left="940" w:right="920"/>
          <w:cols w:num="2" w:equalWidth="0">
            <w:col w:w="4984" w:space="209"/>
            <w:col w:w="5187"/>
          </w:cols>
        </w:sectPr>
      </w:pPr>
    </w:p>
    <w:p>
      <w:pPr>
        <w:pStyle w:val="BodyText"/>
        <w:spacing w:before="2"/>
      </w:pPr>
    </w:p>
    <w:p>
      <w:pPr>
        <w:spacing w:before="136"/>
        <w:ind w:left="435" w:right="0" w:firstLine="0"/>
        <w:jc w:val="left"/>
        <w:rPr>
          <w:rFonts w:ascii="Arial"/>
          <w:b/>
          <w:sz w:val="26"/>
        </w:rPr>
      </w:pPr>
      <w:r>
        <w:rPr/>
        <w:pict>
          <v:line style="position:absolute;mso-position-horizontal-relative:page;mso-position-vertical-relative:paragraph;z-index:15732736" from="54.380001pt,104.153655pt" to="54.380001pt,9.409655pt" stroked="true" strokeweight="1pt" strokecolor="#759eb4">
            <v:stroke dashstyle="solid"/>
            <w10:wrap type="none"/>
          </v:line>
        </w:pict>
      </w:r>
      <w:r>
        <w:rPr>
          <w:rFonts w:ascii="Arial"/>
          <w:b/>
          <w:color w:val="B15651"/>
          <w:w w:val="105"/>
          <w:sz w:val="26"/>
        </w:rPr>
        <w:t>NOTE TO HEALTHCARE PROFESSIONALS</w:t>
      </w:r>
    </w:p>
    <w:p>
      <w:pPr>
        <w:pStyle w:val="BodyText"/>
        <w:spacing w:line="247" w:lineRule="auto" w:before="126"/>
        <w:ind w:left="435" w:right="157"/>
        <w:rPr>
          <w:rFonts w:ascii="Arial Black" w:hAnsi="Arial Black"/>
        </w:rPr>
      </w:pPr>
      <w:r>
        <w:rPr>
          <w:rFonts w:ascii="Arial Black" w:hAnsi="Arial Black"/>
          <w:color w:val="414142"/>
          <w:w w:val="95"/>
        </w:rPr>
        <w:t>This</w:t>
      </w:r>
      <w:r>
        <w:rPr>
          <w:rFonts w:ascii="Arial Black" w:hAnsi="Arial Black"/>
          <w:color w:val="414142"/>
          <w:spacing w:val="-19"/>
          <w:w w:val="95"/>
        </w:rPr>
        <w:t> </w:t>
      </w:r>
      <w:r>
        <w:rPr>
          <w:rFonts w:ascii="Arial Black" w:hAnsi="Arial Black"/>
          <w:color w:val="414142"/>
          <w:w w:val="95"/>
        </w:rPr>
        <w:t>TIP</w:t>
      </w:r>
      <w:r>
        <w:rPr>
          <w:rFonts w:ascii="Arial Black" w:hAnsi="Arial Black"/>
          <w:color w:val="414142"/>
          <w:spacing w:val="-19"/>
          <w:w w:val="95"/>
        </w:rPr>
        <w:t> </w:t>
      </w:r>
      <w:r>
        <w:rPr>
          <w:rFonts w:ascii="Arial Black" w:hAnsi="Arial Black"/>
          <w:color w:val="414142"/>
          <w:w w:val="95"/>
        </w:rPr>
        <w:t>cannot</w:t>
      </w:r>
      <w:r>
        <w:rPr>
          <w:rFonts w:ascii="Arial Black" w:hAnsi="Arial Black"/>
          <w:color w:val="414142"/>
          <w:spacing w:val="-18"/>
          <w:w w:val="95"/>
        </w:rPr>
        <w:t> </w:t>
      </w:r>
      <w:r>
        <w:rPr>
          <w:rFonts w:ascii="Arial Black" w:hAnsi="Arial Black"/>
          <w:color w:val="414142"/>
          <w:w w:val="95"/>
        </w:rPr>
        <w:t>replace</w:t>
      </w:r>
      <w:r>
        <w:rPr>
          <w:rFonts w:ascii="Arial Black" w:hAnsi="Arial Black"/>
          <w:color w:val="414142"/>
          <w:spacing w:val="-19"/>
          <w:w w:val="95"/>
        </w:rPr>
        <w:t> </w:t>
      </w:r>
      <w:r>
        <w:rPr>
          <w:rFonts w:ascii="Arial Black" w:hAnsi="Arial Black"/>
          <w:color w:val="414142"/>
          <w:w w:val="95"/>
        </w:rPr>
        <w:t>sound</w:t>
      </w:r>
      <w:r>
        <w:rPr>
          <w:rFonts w:ascii="Arial Black" w:hAnsi="Arial Black"/>
          <w:color w:val="414142"/>
          <w:spacing w:val="-18"/>
          <w:w w:val="95"/>
        </w:rPr>
        <w:t> </w:t>
      </w:r>
      <w:r>
        <w:rPr>
          <w:rFonts w:ascii="Arial Black" w:hAnsi="Arial Black"/>
          <w:color w:val="414142"/>
          <w:w w:val="95"/>
        </w:rPr>
        <w:t>clinical</w:t>
      </w:r>
      <w:r>
        <w:rPr>
          <w:rFonts w:ascii="Arial Black" w:hAnsi="Arial Black"/>
          <w:color w:val="414142"/>
          <w:spacing w:val="-19"/>
          <w:w w:val="95"/>
        </w:rPr>
        <w:t> </w:t>
      </w:r>
      <w:r>
        <w:rPr>
          <w:rFonts w:ascii="Arial Black" w:hAnsi="Arial Black"/>
          <w:color w:val="414142"/>
          <w:w w:val="95"/>
        </w:rPr>
        <w:t>judgment</w:t>
      </w:r>
      <w:r>
        <w:rPr>
          <w:rFonts w:ascii="Arial Black" w:hAnsi="Arial Black"/>
          <w:color w:val="414142"/>
          <w:spacing w:val="-19"/>
          <w:w w:val="95"/>
        </w:rPr>
        <w:t> </w:t>
      </w:r>
      <w:r>
        <w:rPr>
          <w:rFonts w:ascii="Arial Black" w:hAnsi="Arial Black"/>
          <w:color w:val="414142"/>
          <w:w w:val="95"/>
        </w:rPr>
        <w:t>and</w:t>
      </w:r>
      <w:r>
        <w:rPr>
          <w:rFonts w:ascii="Arial Black" w:hAnsi="Arial Black"/>
          <w:color w:val="414142"/>
          <w:spacing w:val="-18"/>
          <w:w w:val="95"/>
        </w:rPr>
        <w:t> </w:t>
      </w:r>
      <w:r>
        <w:rPr>
          <w:rFonts w:ascii="Arial Black" w:hAnsi="Arial Black"/>
          <w:color w:val="414142"/>
          <w:w w:val="95"/>
        </w:rPr>
        <w:t>shared</w:t>
      </w:r>
      <w:r>
        <w:rPr>
          <w:rFonts w:ascii="Arial Black" w:hAnsi="Arial Black"/>
          <w:color w:val="414142"/>
          <w:spacing w:val="-19"/>
          <w:w w:val="95"/>
        </w:rPr>
        <w:t> </w:t>
      </w:r>
      <w:r>
        <w:rPr>
          <w:rFonts w:ascii="Arial Black" w:hAnsi="Arial Black"/>
          <w:color w:val="414142"/>
          <w:w w:val="95"/>
        </w:rPr>
        <w:t>decision</w:t>
      </w:r>
      <w:r>
        <w:rPr>
          <w:rFonts w:ascii="Arial Black" w:hAnsi="Arial Black"/>
          <w:color w:val="414142"/>
          <w:spacing w:val="-18"/>
          <w:w w:val="95"/>
        </w:rPr>
        <w:t> </w:t>
      </w:r>
      <w:r>
        <w:rPr>
          <w:rFonts w:ascii="Arial Black" w:hAnsi="Arial Black"/>
          <w:color w:val="414142"/>
          <w:w w:val="95"/>
        </w:rPr>
        <w:t>making</w:t>
      </w:r>
      <w:r>
        <w:rPr>
          <w:rFonts w:ascii="Arial Black" w:hAnsi="Arial Black"/>
          <w:color w:val="414142"/>
          <w:spacing w:val="-19"/>
          <w:w w:val="95"/>
        </w:rPr>
        <w:t> </w:t>
      </w:r>
      <w:r>
        <w:rPr>
          <w:rFonts w:ascii="Arial Black" w:hAnsi="Arial Black"/>
          <w:color w:val="414142"/>
          <w:w w:val="95"/>
        </w:rPr>
        <w:t>based</w:t>
      </w:r>
      <w:r>
        <w:rPr>
          <w:rFonts w:ascii="Arial Black" w:hAnsi="Arial Black"/>
          <w:color w:val="414142"/>
          <w:spacing w:val="-19"/>
          <w:w w:val="95"/>
        </w:rPr>
        <w:t> </w:t>
      </w:r>
      <w:r>
        <w:rPr>
          <w:rFonts w:ascii="Arial Black" w:hAnsi="Arial Black"/>
          <w:color w:val="414142"/>
          <w:w w:val="95"/>
        </w:rPr>
        <w:t>on careful</w:t>
      </w:r>
      <w:r>
        <w:rPr>
          <w:rFonts w:ascii="Arial Black" w:hAnsi="Arial Black"/>
          <w:color w:val="414142"/>
          <w:spacing w:val="-28"/>
          <w:w w:val="95"/>
        </w:rPr>
        <w:t> </w:t>
      </w:r>
      <w:r>
        <w:rPr>
          <w:rFonts w:ascii="Arial Black" w:hAnsi="Arial Black"/>
          <w:color w:val="414142"/>
          <w:w w:val="95"/>
        </w:rPr>
        <w:t>patient</w:t>
      </w:r>
      <w:r>
        <w:rPr>
          <w:rFonts w:ascii="Arial Black" w:hAnsi="Arial Black"/>
          <w:color w:val="414142"/>
          <w:spacing w:val="-28"/>
          <w:w w:val="95"/>
        </w:rPr>
        <w:t> </w:t>
      </w:r>
      <w:r>
        <w:rPr>
          <w:rFonts w:ascii="Arial Black" w:hAnsi="Arial Black"/>
          <w:color w:val="414142"/>
          <w:w w:val="95"/>
        </w:rPr>
        <w:t>assessment.</w:t>
      </w:r>
      <w:r>
        <w:rPr>
          <w:rFonts w:ascii="Arial Black" w:hAnsi="Arial Black"/>
          <w:color w:val="414142"/>
          <w:spacing w:val="-28"/>
          <w:w w:val="95"/>
        </w:rPr>
        <w:t> </w:t>
      </w:r>
      <w:r>
        <w:rPr>
          <w:rFonts w:ascii="Arial Black" w:hAnsi="Arial Black"/>
          <w:color w:val="414142"/>
          <w:w w:val="95"/>
        </w:rPr>
        <w:t>Providers</w:t>
      </w:r>
      <w:r>
        <w:rPr>
          <w:rFonts w:ascii="Arial Black" w:hAnsi="Arial Black"/>
          <w:color w:val="414142"/>
          <w:spacing w:val="-27"/>
          <w:w w:val="95"/>
        </w:rPr>
        <w:t> </w:t>
      </w:r>
      <w:r>
        <w:rPr>
          <w:rFonts w:ascii="Arial Black" w:hAnsi="Arial Black"/>
          <w:color w:val="414142"/>
          <w:w w:val="95"/>
        </w:rPr>
        <w:t>should</w:t>
      </w:r>
      <w:r>
        <w:rPr>
          <w:rFonts w:ascii="Arial Black" w:hAnsi="Arial Black"/>
          <w:color w:val="414142"/>
          <w:spacing w:val="-28"/>
          <w:w w:val="95"/>
        </w:rPr>
        <w:t> </w:t>
      </w:r>
      <w:r>
        <w:rPr>
          <w:rFonts w:ascii="Arial Black" w:hAnsi="Arial Black"/>
          <w:color w:val="414142"/>
          <w:w w:val="95"/>
        </w:rPr>
        <w:t>familiarize</w:t>
      </w:r>
      <w:r>
        <w:rPr>
          <w:rFonts w:ascii="Arial Black" w:hAnsi="Arial Black"/>
          <w:color w:val="414142"/>
          <w:spacing w:val="-28"/>
          <w:w w:val="95"/>
        </w:rPr>
        <w:t> </w:t>
      </w:r>
      <w:r>
        <w:rPr>
          <w:rFonts w:ascii="Arial Black" w:hAnsi="Arial Black"/>
          <w:color w:val="414142"/>
          <w:w w:val="95"/>
        </w:rPr>
        <w:t>themselves</w:t>
      </w:r>
      <w:r>
        <w:rPr>
          <w:rFonts w:ascii="Arial Black" w:hAnsi="Arial Black"/>
          <w:color w:val="414142"/>
          <w:spacing w:val="-28"/>
          <w:w w:val="95"/>
        </w:rPr>
        <w:t> </w:t>
      </w:r>
      <w:r>
        <w:rPr>
          <w:rFonts w:ascii="Arial Black" w:hAnsi="Arial Black"/>
          <w:color w:val="414142"/>
          <w:w w:val="95"/>
        </w:rPr>
        <w:t>with</w:t>
      </w:r>
      <w:r>
        <w:rPr>
          <w:rFonts w:ascii="Arial Black" w:hAnsi="Arial Black"/>
          <w:color w:val="414142"/>
          <w:spacing w:val="-27"/>
          <w:w w:val="95"/>
        </w:rPr>
        <w:t> </w:t>
      </w:r>
      <w:r>
        <w:rPr>
          <w:rFonts w:ascii="Arial Black" w:hAnsi="Arial Black"/>
          <w:color w:val="414142"/>
          <w:w w:val="95"/>
        </w:rPr>
        <w:t>FDA</w:t>
      </w:r>
      <w:r>
        <w:rPr>
          <w:rFonts w:ascii="Arial Black" w:hAnsi="Arial Black"/>
          <w:color w:val="414142"/>
          <w:spacing w:val="-28"/>
          <w:w w:val="95"/>
        </w:rPr>
        <w:t> </w:t>
      </w:r>
      <w:r>
        <w:rPr>
          <w:rFonts w:ascii="Arial Black" w:hAnsi="Arial Black"/>
          <w:color w:val="414142"/>
          <w:w w:val="95"/>
        </w:rPr>
        <w:t>labeling </w:t>
      </w:r>
      <w:r>
        <w:rPr>
          <w:rFonts w:ascii="Arial Black" w:hAnsi="Arial Black"/>
          <w:color w:val="414142"/>
        </w:rPr>
        <w:t>of</w:t>
      </w:r>
      <w:r>
        <w:rPr>
          <w:rFonts w:ascii="Arial Black" w:hAnsi="Arial Black"/>
          <w:color w:val="414142"/>
          <w:spacing w:val="-45"/>
        </w:rPr>
        <w:t> </w:t>
      </w:r>
      <w:r>
        <w:rPr>
          <w:rFonts w:ascii="Arial Black" w:hAnsi="Arial Black"/>
          <w:color w:val="414142"/>
        </w:rPr>
        <w:t>all</w:t>
      </w:r>
      <w:r>
        <w:rPr>
          <w:rFonts w:ascii="Arial Black" w:hAnsi="Arial Black"/>
          <w:color w:val="414142"/>
          <w:spacing w:val="-44"/>
        </w:rPr>
        <w:t> </w:t>
      </w:r>
      <w:r>
        <w:rPr>
          <w:rFonts w:ascii="Arial Black" w:hAnsi="Arial Black"/>
          <w:color w:val="414142"/>
        </w:rPr>
        <w:t>OUD</w:t>
      </w:r>
      <w:r>
        <w:rPr>
          <w:rFonts w:ascii="Arial Black" w:hAnsi="Arial Black"/>
          <w:color w:val="414142"/>
          <w:spacing w:val="-44"/>
        </w:rPr>
        <w:t> </w:t>
      </w:r>
      <w:r>
        <w:rPr>
          <w:rFonts w:ascii="Arial Black" w:hAnsi="Arial Black"/>
          <w:color w:val="414142"/>
        </w:rPr>
        <w:t>medications</w:t>
      </w:r>
      <w:r>
        <w:rPr>
          <w:rFonts w:ascii="Arial Black" w:hAnsi="Arial Black"/>
          <w:color w:val="414142"/>
          <w:spacing w:val="-44"/>
        </w:rPr>
        <w:t> </w:t>
      </w:r>
      <w:r>
        <w:rPr>
          <w:rFonts w:ascii="Arial Black" w:hAnsi="Arial Black"/>
          <w:color w:val="414142"/>
        </w:rPr>
        <w:t>and</w:t>
      </w:r>
      <w:r>
        <w:rPr>
          <w:rFonts w:ascii="Arial Black" w:hAnsi="Arial Black"/>
          <w:color w:val="414142"/>
          <w:spacing w:val="-44"/>
        </w:rPr>
        <w:t> </w:t>
      </w:r>
      <w:r>
        <w:rPr>
          <w:rFonts w:ascii="Arial Black" w:hAnsi="Arial Black"/>
          <w:color w:val="414142"/>
        </w:rPr>
        <w:t>current</w:t>
      </w:r>
      <w:r>
        <w:rPr>
          <w:rFonts w:ascii="Arial Black" w:hAnsi="Arial Black"/>
          <w:color w:val="414142"/>
          <w:spacing w:val="-44"/>
        </w:rPr>
        <w:t> </w:t>
      </w:r>
      <w:r>
        <w:rPr>
          <w:rFonts w:ascii="Arial Black" w:hAnsi="Arial Black"/>
          <w:color w:val="414142"/>
        </w:rPr>
        <w:t>practices</w:t>
      </w:r>
      <w:r>
        <w:rPr>
          <w:rFonts w:ascii="Arial Black" w:hAnsi="Arial Black"/>
          <w:color w:val="414142"/>
          <w:spacing w:val="-45"/>
        </w:rPr>
        <w:t> </w:t>
      </w:r>
      <w:r>
        <w:rPr>
          <w:rFonts w:ascii="Arial Black" w:hAnsi="Arial Black"/>
          <w:color w:val="414142"/>
        </w:rPr>
        <w:t>standards</w:t>
      </w:r>
      <w:r>
        <w:rPr>
          <w:rFonts w:ascii="Arial Black" w:hAnsi="Arial Black"/>
          <w:color w:val="414142"/>
          <w:spacing w:val="-44"/>
        </w:rPr>
        <w:t> </w:t>
      </w:r>
      <w:r>
        <w:rPr>
          <w:rFonts w:ascii="Arial Black" w:hAnsi="Arial Black"/>
          <w:color w:val="414142"/>
        </w:rPr>
        <w:t>described</w:t>
      </w:r>
      <w:r>
        <w:rPr>
          <w:rFonts w:ascii="Arial Black" w:hAnsi="Arial Black"/>
          <w:color w:val="414142"/>
          <w:spacing w:val="-44"/>
        </w:rPr>
        <w:t> </w:t>
      </w:r>
      <w:r>
        <w:rPr>
          <w:rFonts w:ascii="Arial Black" w:hAnsi="Arial Black"/>
          <w:color w:val="414142"/>
        </w:rPr>
        <w:t>here</w:t>
      </w:r>
      <w:r>
        <w:rPr>
          <w:rFonts w:ascii="Arial Black" w:hAnsi="Arial Black"/>
          <w:color w:val="414142"/>
          <w:spacing w:val="-44"/>
        </w:rPr>
        <w:t> </w:t>
      </w:r>
      <w:r>
        <w:rPr>
          <w:rFonts w:ascii="Arial Black" w:hAnsi="Arial Black"/>
          <w:color w:val="414142"/>
        </w:rPr>
        <w:t>and</w:t>
      </w:r>
      <w:r>
        <w:rPr>
          <w:rFonts w:ascii="Arial Black" w:hAnsi="Arial Black"/>
          <w:color w:val="414142"/>
          <w:spacing w:val="-44"/>
        </w:rPr>
        <w:t> </w:t>
      </w:r>
      <w:r>
        <w:rPr>
          <w:rFonts w:ascii="Arial Black" w:hAnsi="Arial Black"/>
          <w:color w:val="414142"/>
        </w:rPr>
        <w:t>in</w:t>
      </w:r>
      <w:r>
        <w:rPr>
          <w:rFonts w:ascii="Arial Black" w:hAnsi="Arial Black"/>
          <w:color w:val="414142"/>
          <w:spacing w:val="-44"/>
        </w:rPr>
        <w:t> </w:t>
      </w:r>
      <w:r>
        <w:rPr>
          <w:rFonts w:ascii="Arial Black" w:hAnsi="Arial Black"/>
          <w:color w:val="414142"/>
        </w:rPr>
        <w:t>other </w:t>
      </w:r>
      <w:r>
        <w:rPr>
          <w:rFonts w:ascii="Arial Black" w:hAnsi="Arial Black"/>
          <w:color w:val="414142"/>
          <w:w w:val="95"/>
        </w:rPr>
        <w:t>resources</w:t>
      </w:r>
      <w:r>
        <w:rPr>
          <w:rFonts w:ascii="Arial Black" w:hAnsi="Arial Black"/>
          <w:color w:val="414142"/>
          <w:spacing w:val="-40"/>
          <w:w w:val="95"/>
        </w:rPr>
        <w:t> </w:t>
      </w:r>
      <w:r>
        <w:rPr>
          <w:rFonts w:ascii="Arial Black" w:hAnsi="Arial Black"/>
          <w:color w:val="414142"/>
          <w:w w:val="95"/>
        </w:rPr>
        <w:t>such</w:t>
      </w:r>
      <w:r>
        <w:rPr>
          <w:rFonts w:ascii="Arial Black" w:hAnsi="Arial Black"/>
          <w:color w:val="414142"/>
          <w:spacing w:val="-39"/>
          <w:w w:val="95"/>
        </w:rPr>
        <w:t> </w:t>
      </w:r>
      <w:r>
        <w:rPr>
          <w:rFonts w:ascii="Arial Black" w:hAnsi="Arial Black"/>
          <w:color w:val="414142"/>
          <w:w w:val="95"/>
        </w:rPr>
        <w:t>as</w:t>
      </w:r>
      <w:r>
        <w:rPr>
          <w:rFonts w:ascii="Arial Black" w:hAnsi="Arial Black"/>
          <w:color w:val="414142"/>
          <w:spacing w:val="-39"/>
          <w:w w:val="95"/>
        </w:rPr>
        <w:t> </w:t>
      </w:r>
      <w:r>
        <w:rPr>
          <w:rFonts w:ascii="Arial Black" w:hAnsi="Arial Black"/>
          <w:color w:val="414142"/>
          <w:w w:val="95"/>
        </w:rPr>
        <w:t>the</w:t>
      </w:r>
      <w:r>
        <w:rPr>
          <w:rFonts w:ascii="Arial Black" w:hAnsi="Arial Black"/>
          <w:color w:val="414142"/>
          <w:spacing w:val="-39"/>
          <w:w w:val="95"/>
        </w:rPr>
        <w:t> </w:t>
      </w:r>
      <w:r>
        <w:rPr>
          <w:rFonts w:ascii="Arial Black" w:hAnsi="Arial Black"/>
          <w:color w:val="414142"/>
          <w:w w:val="95"/>
        </w:rPr>
        <w:t>Providers’</w:t>
      </w:r>
      <w:r>
        <w:rPr>
          <w:rFonts w:ascii="Arial Black" w:hAnsi="Arial Black"/>
          <w:color w:val="414142"/>
          <w:spacing w:val="-39"/>
          <w:w w:val="95"/>
        </w:rPr>
        <w:t> </w:t>
      </w:r>
      <w:r>
        <w:rPr>
          <w:rFonts w:ascii="Arial Black" w:hAnsi="Arial Black"/>
          <w:color w:val="414142"/>
          <w:w w:val="95"/>
        </w:rPr>
        <w:t>Clinical</w:t>
      </w:r>
      <w:r>
        <w:rPr>
          <w:rFonts w:ascii="Arial Black" w:hAnsi="Arial Black"/>
          <w:color w:val="414142"/>
          <w:spacing w:val="-39"/>
          <w:w w:val="95"/>
        </w:rPr>
        <w:t> </w:t>
      </w:r>
      <w:r>
        <w:rPr>
          <w:rFonts w:ascii="Arial Black" w:hAnsi="Arial Black"/>
          <w:color w:val="414142"/>
          <w:w w:val="95"/>
        </w:rPr>
        <w:t>Support</w:t>
      </w:r>
      <w:r>
        <w:rPr>
          <w:rFonts w:ascii="Arial Black" w:hAnsi="Arial Black"/>
          <w:color w:val="414142"/>
          <w:spacing w:val="-40"/>
          <w:w w:val="95"/>
        </w:rPr>
        <w:t> </w:t>
      </w:r>
      <w:r>
        <w:rPr>
          <w:rFonts w:ascii="Arial Black" w:hAnsi="Arial Black"/>
          <w:color w:val="414142"/>
          <w:w w:val="95"/>
        </w:rPr>
        <w:t>System</w:t>
      </w:r>
      <w:r>
        <w:rPr>
          <w:rFonts w:ascii="Arial Black" w:hAnsi="Arial Black"/>
          <w:color w:val="414142"/>
          <w:spacing w:val="-39"/>
          <w:w w:val="95"/>
        </w:rPr>
        <w:t> </w:t>
      </w:r>
      <w:r>
        <w:rPr>
          <w:rFonts w:ascii="Arial Black" w:hAnsi="Arial Black"/>
          <w:color w:val="414142"/>
          <w:spacing w:val="-3"/>
          <w:w w:val="95"/>
        </w:rPr>
        <w:t>(</w:t>
      </w:r>
      <w:r>
        <w:rPr>
          <w:rFonts w:ascii="Arial Black" w:hAnsi="Arial Black"/>
          <w:color w:val="3B68A6"/>
          <w:spacing w:val="-3"/>
          <w:w w:val="95"/>
          <w:u w:val="single" w:color="3B68A6"/>
        </w:rPr>
        <w:t>https://pcssnow.org/resources/</w:t>
      </w:r>
      <w:r>
        <w:rPr>
          <w:rFonts w:ascii="Arial Black" w:hAnsi="Arial Black"/>
          <w:color w:val="3B68A6"/>
          <w:spacing w:val="-3"/>
          <w:w w:val="95"/>
        </w:rPr>
        <w:t> </w:t>
      </w:r>
      <w:r>
        <w:rPr>
          <w:rFonts w:ascii="Arial Black" w:hAnsi="Arial Black"/>
          <w:color w:val="3B68A6"/>
          <w:u w:val="single" w:color="3B68A6"/>
        </w:rPr>
        <w:t>resource-category/clinical-resources/</w:t>
      </w:r>
      <w:r>
        <w:rPr>
          <w:rFonts w:ascii="Arial Black" w:hAnsi="Arial Black"/>
          <w:color w:val="414142"/>
        </w:rPr>
        <w:t>).</w:t>
      </w:r>
    </w:p>
    <w:p>
      <w:pPr>
        <w:spacing w:after="0" w:line="247" w:lineRule="auto"/>
        <w:rPr>
          <w:rFonts w:ascii="Arial Black" w:hAnsi="Arial Black"/>
        </w:rPr>
        <w:sectPr>
          <w:type w:val="continuous"/>
          <w:pgSz w:w="12240" w:h="15840"/>
          <w:pgMar w:top="540" w:bottom="280" w:left="940" w:right="920"/>
        </w:sectPr>
      </w:pPr>
    </w:p>
    <w:p>
      <w:pPr>
        <w:pStyle w:val="BodyText"/>
        <w:rPr>
          <w:rFonts w:ascii="Arial Black"/>
          <w:sz w:val="20"/>
        </w:rPr>
      </w:pPr>
      <w:r>
        <w:rPr/>
        <w:pict>
          <v:group style="position:absolute;margin-left:53.5pt;margin-top:90pt;width:504.55pt;height:622.1pt;mso-position-horizontal-relative:page;mso-position-vertical-relative:page;z-index:-19582976" coordorigin="1070,1800" coordsize="10091,12442">
            <v:rect style="position:absolute;left:1075;top:1805;width:10081;height:12432" filled="true" fillcolor="#fff7f2" stroked="false">
              <v:fill type="solid"/>
            </v:rect>
            <v:rect style="position:absolute;left:1075;top:1805;width:10081;height:12432" filled="false" stroked="true" strokeweight=".5pt" strokecolor="#88aabd">
              <v:stroke dashstyle="solid"/>
            </v:rect>
            <v:line style="position:absolute" from="1350,2442" to="10880,2442" stroked="true" strokeweight="2pt" strokecolor="#598ea7">
              <v:stroke dashstyle="solid"/>
            </v:line>
            <w10:wrap type="none"/>
          </v:group>
        </w:pict>
      </w:r>
    </w:p>
    <w:p>
      <w:pPr>
        <w:pStyle w:val="BodyText"/>
        <w:spacing w:before="11"/>
        <w:rPr>
          <w:rFonts w:ascii="Arial Black"/>
          <w:sz w:val="18"/>
        </w:rPr>
      </w:pPr>
    </w:p>
    <w:p>
      <w:pPr>
        <w:pStyle w:val="Heading3"/>
        <w:spacing w:before="136"/>
        <w:ind w:left="410"/>
        <w:rPr>
          <w:rFonts w:ascii="Arial"/>
        </w:rPr>
      </w:pPr>
      <w:r>
        <w:rPr>
          <w:rFonts w:ascii="Arial"/>
          <w:color w:val="137692"/>
          <w:w w:val="105"/>
        </w:rPr>
        <w:t>EXHIBIT 3.1. Key Terms</w:t>
      </w:r>
    </w:p>
    <w:p>
      <w:pPr>
        <w:pStyle w:val="BodyText"/>
        <w:spacing w:before="7"/>
        <w:rPr>
          <w:rFonts w:ascii="Arial"/>
          <w:b/>
          <w:sz w:val="28"/>
        </w:rPr>
      </w:pPr>
    </w:p>
    <w:p>
      <w:pPr>
        <w:spacing w:line="259" w:lineRule="auto" w:before="0"/>
        <w:ind w:left="410" w:right="738" w:hanging="1"/>
        <w:jc w:val="left"/>
        <w:rPr>
          <w:rFonts w:ascii="Century Gothic" w:hAnsi="Century Gothic"/>
          <w:i/>
          <w:sz w:val="18"/>
        </w:rPr>
      </w:pPr>
      <w:r>
        <w:rPr>
          <w:rFonts w:ascii="Arial" w:hAnsi="Arial"/>
          <w:b/>
          <w:color w:val="137692"/>
          <w:w w:val="120"/>
          <w:sz w:val="22"/>
        </w:rPr>
        <w:t>Addiction: </w:t>
      </w:r>
      <w:r>
        <w:rPr>
          <w:rFonts w:ascii="Calibri" w:hAnsi="Calibri"/>
          <w:color w:val="414142"/>
          <w:w w:val="120"/>
          <w:sz w:val="18"/>
        </w:rPr>
        <w:t>As deﬁned by the American Society of Addiction Medicine,</w:t>
      </w:r>
      <w:r>
        <w:rPr>
          <w:rFonts w:ascii="Calibri" w:hAnsi="Calibri"/>
          <w:color w:val="414142"/>
          <w:w w:val="120"/>
          <w:position w:val="6"/>
          <w:sz w:val="10"/>
        </w:rPr>
        <w:t>6 </w:t>
      </w:r>
      <w:r>
        <w:rPr>
          <w:rFonts w:ascii="Calibri" w:hAnsi="Calibri"/>
          <w:color w:val="414142"/>
          <w:w w:val="120"/>
          <w:sz w:val="18"/>
        </w:rPr>
        <w:t>“a primary, chronic disease of brain reward, motivation, memory, and related circuitry.” It is characterized by inability to consistently abstain, impairment in behavioral control,  craving,  diminished  recognition  of  signiﬁcant  problems with one’s behaviors and interpersonal relationships, and a dysfunctional emotional response. Like  other</w:t>
      </w:r>
      <w:r>
        <w:rPr>
          <w:rFonts w:ascii="Calibri" w:hAnsi="Calibri"/>
          <w:color w:val="414142"/>
          <w:spacing w:val="-17"/>
          <w:w w:val="120"/>
          <w:sz w:val="18"/>
        </w:rPr>
        <w:t> </w:t>
      </w:r>
      <w:r>
        <w:rPr>
          <w:rFonts w:ascii="Calibri" w:hAnsi="Calibri"/>
          <w:color w:val="414142"/>
          <w:w w:val="120"/>
          <w:sz w:val="18"/>
        </w:rPr>
        <w:t>chronic</w:t>
      </w:r>
      <w:r>
        <w:rPr>
          <w:rFonts w:ascii="Calibri" w:hAnsi="Calibri"/>
          <w:color w:val="414142"/>
          <w:spacing w:val="-16"/>
          <w:w w:val="120"/>
          <w:sz w:val="18"/>
        </w:rPr>
        <w:t> </w:t>
      </w:r>
      <w:r>
        <w:rPr>
          <w:rFonts w:ascii="Calibri" w:hAnsi="Calibri"/>
          <w:color w:val="414142"/>
          <w:w w:val="120"/>
          <w:sz w:val="18"/>
        </w:rPr>
        <w:t>diseases,</w:t>
      </w:r>
      <w:r>
        <w:rPr>
          <w:rFonts w:ascii="Calibri" w:hAnsi="Calibri"/>
          <w:color w:val="414142"/>
          <w:spacing w:val="-16"/>
          <w:w w:val="120"/>
          <w:sz w:val="18"/>
        </w:rPr>
        <w:t> </w:t>
      </w:r>
      <w:r>
        <w:rPr>
          <w:rFonts w:ascii="Calibri" w:hAnsi="Calibri"/>
          <w:color w:val="414142"/>
          <w:w w:val="120"/>
          <w:sz w:val="18"/>
        </w:rPr>
        <w:t>addiction</w:t>
      </w:r>
      <w:r>
        <w:rPr>
          <w:rFonts w:ascii="Calibri" w:hAnsi="Calibri"/>
          <w:color w:val="414142"/>
          <w:spacing w:val="-16"/>
          <w:w w:val="120"/>
          <w:sz w:val="18"/>
        </w:rPr>
        <w:t> </w:t>
      </w:r>
      <w:r>
        <w:rPr>
          <w:rFonts w:ascii="Calibri" w:hAnsi="Calibri"/>
          <w:color w:val="414142"/>
          <w:w w:val="120"/>
          <w:sz w:val="18"/>
        </w:rPr>
        <w:t>often</w:t>
      </w:r>
      <w:r>
        <w:rPr>
          <w:rFonts w:ascii="Calibri" w:hAnsi="Calibri"/>
          <w:color w:val="414142"/>
          <w:spacing w:val="-17"/>
          <w:w w:val="120"/>
          <w:sz w:val="18"/>
        </w:rPr>
        <w:t> </w:t>
      </w:r>
      <w:r>
        <w:rPr>
          <w:rFonts w:ascii="Calibri" w:hAnsi="Calibri"/>
          <w:color w:val="414142"/>
          <w:w w:val="120"/>
          <w:sz w:val="18"/>
        </w:rPr>
        <w:t>involves</w:t>
      </w:r>
      <w:r>
        <w:rPr>
          <w:rFonts w:ascii="Calibri" w:hAnsi="Calibri"/>
          <w:color w:val="414142"/>
          <w:spacing w:val="-16"/>
          <w:w w:val="120"/>
          <w:sz w:val="18"/>
        </w:rPr>
        <w:t> </w:t>
      </w:r>
      <w:r>
        <w:rPr>
          <w:rFonts w:ascii="Calibri" w:hAnsi="Calibri"/>
          <w:color w:val="414142"/>
          <w:w w:val="120"/>
          <w:sz w:val="18"/>
        </w:rPr>
        <w:t>cycles</w:t>
      </w:r>
      <w:r>
        <w:rPr>
          <w:rFonts w:ascii="Calibri" w:hAnsi="Calibri"/>
          <w:color w:val="414142"/>
          <w:spacing w:val="-16"/>
          <w:w w:val="120"/>
          <w:sz w:val="18"/>
        </w:rPr>
        <w:t> </w:t>
      </w:r>
      <w:r>
        <w:rPr>
          <w:rFonts w:ascii="Calibri" w:hAnsi="Calibri"/>
          <w:color w:val="414142"/>
          <w:w w:val="120"/>
          <w:sz w:val="18"/>
        </w:rPr>
        <w:t>of</w:t>
      </w:r>
      <w:r>
        <w:rPr>
          <w:rFonts w:ascii="Calibri" w:hAnsi="Calibri"/>
          <w:color w:val="414142"/>
          <w:spacing w:val="-16"/>
          <w:w w:val="120"/>
          <w:sz w:val="18"/>
        </w:rPr>
        <w:t> </w:t>
      </w:r>
      <w:r>
        <w:rPr>
          <w:rFonts w:ascii="Arial" w:hAnsi="Arial"/>
          <w:b/>
          <w:color w:val="414142"/>
          <w:w w:val="120"/>
          <w:sz w:val="18"/>
        </w:rPr>
        <w:t>relapse</w:t>
      </w:r>
      <w:r>
        <w:rPr>
          <w:rFonts w:ascii="Arial" w:hAnsi="Arial"/>
          <w:b/>
          <w:color w:val="414142"/>
          <w:spacing w:val="-28"/>
          <w:w w:val="120"/>
          <w:sz w:val="18"/>
        </w:rPr>
        <w:t> </w:t>
      </w:r>
      <w:r>
        <w:rPr>
          <w:rFonts w:ascii="Calibri" w:hAnsi="Calibri"/>
          <w:color w:val="414142"/>
          <w:w w:val="120"/>
          <w:sz w:val="18"/>
        </w:rPr>
        <w:t>and</w:t>
      </w:r>
      <w:r>
        <w:rPr>
          <w:rFonts w:ascii="Calibri" w:hAnsi="Calibri"/>
          <w:color w:val="414142"/>
          <w:spacing w:val="-16"/>
          <w:w w:val="120"/>
          <w:sz w:val="18"/>
        </w:rPr>
        <w:t> </w:t>
      </w:r>
      <w:r>
        <w:rPr>
          <w:rFonts w:ascii="Arial" w:hAnsi="Arial"/>
          <w:b/>
          <w:color w:val="414142"/>
          <w:w w:val="120"/>
          <w:sz w:val="18"/>
        </w:rPr>
        <w:t>remission.</w:t>
      </w:r>
      <w:r>
        <w:rPr>
          <w:rFonts w:ascii="Arial" w:hAnsi="Arial"/>
          <w:b/>
          <w:color w:val="414142"/>
          <w:spacing w:val="-27"/>
          <w:w w:val="120"/>
          <w:sz w:val="18"/>
        </w:rPr>
        <w:t> </w:t>
      </w:r>
      <w:r>
        <w:rPr>
          <w:rFonts w:ascii="Calibri" w:hAnsi="Calibri"/>
          <w:color w:val="414142"/>
          <w:w w:val="120"/>
          <w:sz w:val="18"/>
        </w:rPr>
        <w:t>The</w:t>
      </w:r>
      <w:r>
        <w:rPr>
          <w:rFonts w:ascii="Calibri" w:hAnsi="Calibri"/>
          <w:color w:val="414142"/>
          <w:spacing w:val="-16"/>
          <w:w w:val="120"/>
          <w:sz w:val="18"/>
        </w:rPr>
        <w:t> </w:t>
      </w:r>
      <w:r>
        <w:rPr>
          <w:rFonts w:ascii="Century Gothic" w:hAnsi="Century Gothic"/>
          <w:i/>
          <w:color w:val="414142"/>
          <w:w w:val="120"/>
          <w:sz w:val="18"/>
        </w:rPr>
        <w:t>Diagnostic</w:t>
      </w:r>
      <w:r>
        <w:rPr>
          <w:rFonts w:ascii="Century Gothic" w:hAnsi="Century Gothic"/>
          <w:i/>
          <w:color w:val="414142"/>
          <w:spacing w:val="-27"/>
          <w:w w:val="120"/>
          <w:sz w:val="18"/>
        </w:rPr>
        <w:t> </w:t>
      </w:r>
      <w:r>
        <w:rPr>
          <w:rFonts w:ascii="Century Gothic" w:hAnsi="Century Gothic"/>
          <w:i/>
          <w:color w:val="414142"/>
          <w:w w:val="120"/>
          <w:sz w:val="18"/>
        </w:rPr>
        <w:t>and</w:t>
      </w:r>
    </w:p>
    <w:p>
      <w:pPr>
        <w:spacing w:line="261" w:lineRule="auto" w:before="0"/>
        <w:ind w:left="410" w:right="595" w:firstLine="0"/>
        <w:jc w:val="left"/>
        <w:rPr>
          <w:rFonts w:ascii="Calibri"/>
          <w:sz w:val="18"/>
        </w:rPr>
      </w:pPr>
      <w:r>
        <w:rPr>
          <w:rFonts w:ascii="Century Gothic"/>
          <w:i/>
          <w:color w:val="414142"/>
          <w:w w:val="120"/>
          <w:sz w:val="18"/>
        </w:rPr>
        <w:t>Statistical</w:t>
      </w:r>
      <w:r>
        <w:rPr>
          <w:rFonts w:ascii="Century Gothic"/>
          <w:i/>
          <w:color w:val="414142"/>
          <w:spacing w:val="-30"/>
          <w:w w:val="120"/>
          <w:sz w:val="18"/>
        </w:rPr>
        <w:t> </w:t>
      </w:r>
      <w:r>
        <w:rPr>
          <w:rFonts w:ascii="Century Gothic"/>
          <w:i/>
          <w:color w:val="414142"/>
          <w:w w:val="120"/>
          <w:sz w:val="18"/>
        </w:rPr>
        <w:t>Manual</w:t>
      </w:r>
      <w:r>
        <w:rPr>
          <w:rFonts w:ascii="Century Gothic"/>
          <w:i/>
          <w:color w:val="414142"/>
          <w:spacing w:val="-30"/>
          <w:w w:val="120"/>
          <w:sz w:val="18"/>
        </w:rPr>
        <w:t> </w:t>
      </w:r>
      <w:r>
        <w:rPr>
          <w:rFonts w:ascii="Century Gothic"/>
          <w:i/>
          <w:color w:val="414142"/>
          <w:w w:val="120"/>
          <w:sz w:val="18"/>
        </w:rPr>
        <w:t>of</w:t>
      </w:r>
      <w:r>
        <w:rPr>
          <w:rFonts w:ascii="Century Gothic"/>
          <w:i/>
          <w:color w:val="414142"/>
          <w:spacing w:val="-30"/>
          <w:w w:val="120"/>
          <w:sz w:val="18"/>
        </w:rPr>
        <w:t> </w:t>
      </w:r>
      <w:r>
        <w:rPr>
          <w:rFonts w:ascii="Century Gothic"/>
          <w:i/>
          <w:color w:val="414142"/>
          <w:w w:val="120"/>
          <w:sz w:val="18"/>
        </w:rPr>
        <w:t>Mental</w:t>
      </w:r>
      <w:r>
        <w:rPr>
          <w:rFonts w:ascii="Century Gothic"/>
          <w:i/>
          <w:color w:val="414142"/>
          <w:spacing w:val="-29"/>
          <w:w w:val="120"/>
          <w:sz w:val="18"/>
        </w:rPr>
        <w:t> </w:t>
      </w:r>
      <w:r>
        <w:rPr>
          <w:rFonts w:ascii="Century Gothic"/>
          <w:i/>
          <w:color w:val="414142"/>
          <w:w w:val="120"/>
          <w:sz w:val="18"/>
        </w:rPr>
        <w:t>Disorders,</w:t>
      </w:r>
      <w:r>
        <w:rPr>
          <w:rFonts w:ascii="Century Gothic"/>
          <w:i/>
          <w:color w:val="414142"/>
          <w:spacing w:val="-30"/>
          <w:w w:val="120"/>
          <w:sz w:val="18"/>
        </w:rPr>
        <w:t> </w:t>
      </w:r>
      <w:r>
        <w:rPr>
          <w:rFonts w:ascii="Calibri"/>
          <w:color w:val="414142"/>
          <w:w w:val="120"/>
          <w:sz w:val="18"/>
        </w:rPr>
        <w:t>Fifth</w:t>
      </w:r>
      <w:r>
        <w:rPr>
          <w:rFonts w:ascii="Calibri"/>
          <w:color w:val="414142"/>
          <w:spacing w:val="-19"/>
          <w:w w:val="120"/>
          <w:sz w:val="18"/>
        </w:rPr>
        <w:t> </w:t>
      </w:r>
      <w:r>
        <w:rPr>
          <w:rFonts w:ascii="Calibri"/>
          <w:color w:val="414142"/>
          <w:w w:val="120"/>
          <w:sz w:val="18"/>
        </w:rPr>
        <w:t>Edition,</w:t>
      </w:r>
      <w:r>
        <w:rPr>
          <w:rFonts w:ascii="Calibri"/>
          <w:color w:val="414142"/>
          <w:w w:val="120"/>
          <w:position w:val="6"/>
          <w:sz w:val="10"/>
        </w:rPr>
        <w:t>7</w:t>
      </w:r>
      <w:r>
        <w:rPr>
          <w:rFonts w:ascii="Calibri"/>
          <w:color w:val="414142"/>
          <w:spacing w:val="3"/>
          <w:w w:val="120"/>
          <w:position w:val="6"/>
          <w:sz w:val="10"/>
        </w:rPr>
        <w:t> </w:t>
      </w:r>
      <w:r>
        <w:rPr>
          <w:rFonts w:ascii="Calibri"/>
          <w:color w:val="414142"/>
          <w:w w:val="120"/>
          <w:sz w:val="18"/>
        </w:rPr>
        <w:t>does</w:t>
      </w:r>
      <w:r>
        <w:rPr>
          <w:rFonts w:ascii="Calibri"/>
          <w:color w:val="414142"/>
          <w:spacing w:val="-19"/>
          <w:w w:val="120"/>
          <w:sz w:val="18"/>
        </w:rPr>
        <w:t> </w:t>
      </w:r>
      <w:r>
        <w:rPr>
          <w:rFonts w:ascii="Calibri"/>
          <w:color w:val="414142"/>
          <w:w w:val="120"/>
          <w:sz w:val="18"/>
        </w:rPr>
        <w:t>not</w:t>
      </w:r>
      <w:r>
        <w:rPr>
          <w:rFonts w:ascii="Calibri"/>
          <w:color w:val="414142"/>
          <w:spacing w:val="-19"/>
          <w:w w:val="120"/>
          <w:sz w:val="18"/>
        </w:rPr>
        <w:t> </w:t>
      </w:r>
      <w:r>
        <w:rPr>
          <w:rFonts w:ascii="Calibri"/>
          <w:color w:val="414142"/>
          <w:w w:val="120"/>
          <w:sz w:val="18"/>
        </w:rPr>
        <w:t>use</w:t>
      </w:r>
      <w:r>
        <w:rPr>
          <w:rFonts w:ascii="Calibri"/>
          <w:color w:val="414142"/>
          <w:spacing w:val="-19"/>
          <w:w w:val="120"/>
          <w:sz w:val="18"/>
        </w:rPr>
        <w:t> </w:t>
      </w:r>
      <w:r>
        <w:rPr>
          <w:rFonts w:ascii="Calibri"/>
          <w:color w:val="414142"/>
          <w:w w:val="120"/>
          <w:sz w:val="18"/>
        </w:rPr>
        <w:t>the</w:t>
      </w:r>
      <w:r>
        <w:rPr>
          <w:rFonts w:ascii="Calibri"/>
          <w:color w:val="414142"/>
          <w:spacing w:val="-18"/>
          <w:w w:val="120"/>
          <w:sz w:val="18"/>
        </w:rPr>
        <w:t> </w:t>
      </w:r>
      <w:r>
        <w:rPr>
          <w:rFonts w:ascii="Calibri"/>
          <w:color w:val="414142"/>
          <w:w w:val="120"/>
          <w:sz w:val="18"/>
        </w:rPr>
        <w:t>term</w:t>
      </w:r>
      <w:r>
        <w:rPr>
          <w:rFonts w:ascii="Calibri"/>
          <w:color w:val="414142"/>
          <w:spacing w:val="-19"/>
          <w:w w:val="120"/>
          <w:sz w:val="18"/>
        </w:rPr>
        <w:t> </w:t>
      </w:r>
      <w:r>
        <w:rPr>
          <w:rFonts w:ascii="Calibri"/>
          <w:color w:val="414142"/>
          <w:w w:val="120"/>
          <w:sz w:val="18"/>
        </w:rPr>
        <w:t>for</w:t>
      </w:r>
      <w:r>
        <w:rPr>
          <w:rFonts w:ascii="Calibri"/>
          <w:color w:val="414142"/>
          <w:spacing w:val="-19"/>
          <w:w w:val="120"/>
          <w:sz w:val="18"/>
        </w:rPr>
        <w:t> </w:t>
      </w:r>
      <w:r>
        <w:rPr>
          <w:rFonts w:ascii="Calibri"/>
          <w:color w:val="414142"/>
          <w:w w:val="120"/>
          <w:sz w:val="18"/>
        </w:rPr>
        <w:t>diagnostic</w:t>
      </w:r>
      <w:r>
        <w:rPr>
          <w:rFonts w:ascii="Calibri"/>
          <w:color w:val="414142"/>
          <w:spacing w:val="-19"/>
          <w:w w:val="120"/>
          <w:sz w:val="18"/>
        </w:rPr>
        <w:t> </w:t>
      </w:r>
      <w:r>
        <w:rPr>
          <w:rFonts w:ascii="Calibri"/>
          <w:color w:val="414142"/>
          <w:w w:val="120"/>
          <w:sz w:val="18"/>
        </w:rPr>
        <w:t>purposes,</w:t>
      </w:r>
      <w:r>
        <w:rPr>
          <w:rFonts w:ascii="Calibri"/>
          <w:color w:val="414142"/>
          <w:spacing w:val="-19"/>
          <w:w w:val="120"/>
          <w:sz w:val="18"/>
        </w:rPr>
        <w:t> </w:t>
      </w:r>
      <w:r>
        <w:rPr>
          <w:rFonts w:ascii="Calibri"/>
          <w:color w:val="414142"/>
          <w:w w:val="120"/>
          <w:sz w:val="18"/>
        </w:rPr>
        <w:t>but it commonly describes the more severe forms of</w:t>
      </w:r>
      <w:r>
        <w:rPr>
          <w:rFonts w:ascii="Calibri"/>
          <w:color w:val="414142"/>
          <w:spacing w:val="-9"/>
          <w:w w:val="120"/>
          <w:sz w:val="18"/>
        </w:rPr>
        <w:t> </w:t>
      </w:r>
      <w:r>
        <w:rPr>
          <w:rFonts w:ascii="Calibri"/>
          <w:color w:val="414142"/>
          <w:w w:val="120"/>
          <w:sz w:val="18"/>
        </w:rPr>
        <w:t>OUD.</w:t>
      </w:r>
    </w:p>
    <w:p>
      <w:pPr>
        <w:spacing w:line="259" w:lineRule="auto" w:before="67"/>
        <w:ind w:left="410" w:right="487" w:hanging="1"/>
        <w:jc w:val="left"/>
        <w:rPr>
          <w:rFonts w:ascii="Calibri"/>
          <w:sz w:val="18"/>
        </w:rPr>
      </w:pPr>
      <w:r>
        <w:rPr>
          <w:rFonts w:ascii="Arial"/>
          <w:b/>
          <w:color w:val="137692"/>
          <w:w w:val="120"/>
          <w:sz w:val="22"/>
        </w:rPr>
        <w:t>Induction: </w:t>
      </w:r>
      <w:r>
        <w:rPr>
          <w:rFonts w:ascii="Calibri"/>
          <w:color w:val="414142"/>
          <w:w w:val="120"/>
          <w:sz w:val="18"/>
        </w:rPr>
        <w:t>Process of initial dosing with medication for OUD treatment until the patient reaches a state of stability; also called initiation.</w:t>
      </w:r>
    </w:p>
    <w:p>
      <w:pPr>
        <w:spacing w:line="261" w:lineRule="auto" w:before="78"/>
        <w:ind w:left="410" w:right="678" w:hanging="1"/>
        <w:jc w:val="both"/>
        <w:rPr>
          <w:rFonts w:ascii="Calibri" w:hAnsi="Calibri"/>
          <w:sz w:val="18"/>
        </w:rPr>
      </w:pPr>
      <w:r>
        <w:rPr>
          <w:rFonts w:ascii="Arial" w:hAnsi="Arial"/>
          <w:b/>
          <w:color w:val="137692"/>
          <w:w w:val="125"/>
          <w:sz w:val="22"/>
        </w:rPr>
        <w:t>Maintenance</w:t>
      </w:r>
      <w:r>
        <w:rPr>
          <w:rFonts w:ascii="Arial" w:hAnsi="Arial"/>
          <w:b/>
          <w:color w:val="137692"/>
          <w:spacing w:val="-47"/>
          <w:w w:val="125"/>
          <w:sz w:val="22"/>
        </w:rPr>
        <w:t> </w:t>
      </w:r>
      <w:r>
        <w:rPr>
          <w:rFonts w:ascii="Arial" w:hAnsi="Arial"/>
          <w:b/>
          <w:color w:val="137692"/>
          <w:w w:val="125"/>
          <w:sz w:val="22"/>
        </w:rPr>
        <w:t>treatment:</w:t>
      </w:r>
      <w:r>
        <w:rPr>
          <w:rFonts w:ascii="Arial" w:hAnsi="Arial"/>
          <w:b/>
          <w:color w:val="137692"/>
          <w:spacing w:val="-53"/>
          <w:w w:val="125"/>
          <w:sz w:val="22"/>
        </w:rPr>
        <w:t> </w:t>
      </w:r>
      <w:r>
        <w:rPr>
          <w:rFonts w:ascii="Calibri" w:hAnsi="Calibri"/>
          <w:color w:val="414142"/>
          <w:w w:val="125"/>
          <w:sz w:val="18"/>
        </w:rPr>
        <w:t>Providing</w:t>
      </w:r>
      <w:r>
        <w:rPr>
          <w:rFonts w:ascii="Calibri" w:hAnsi="Calibri"/>
          <w:color w:val="414142"/>
          <w:spacing w:val="-29"/>
          <w:w w:val="125"/>
          <w:sz w:val="18"/>
        </w:rPr>
        <w:t> </w:t>
      </w:r>
      <w:r>
        <w:rPr>
          <w:rFonts w:ascii="Calibri" w:hAnsi="Calibri"/>
          <w:color w:val="414142"/>
          <w:w w:val="125"/>
          <w:sz w:val="18"/>
        </w:rPr>
        <w:t>medications</w:t>
      </w:r>
      <w:r>
        <w:rPr>
          <w:rFonts w:ascii="Calibri" w:hAnsi="Calibri"/>
          <w:color w:val="414142"/>
          <w:spacing w:val="-28"/>
          <w:w w:val="125"/>
          <w:sz w:val="18"/>
        </w:rPr>
        <w:t> </w:t>
      </w:r>
      <w:r>
        <w:rPr>
          <w:rFonts w:ascii="Calibri" w:hAnsi="Calibri"/>
          <w:color w:val="414142"/>
          <w:w w:val="125"/>
          <w:sz w:val="18"/>
        </w:rPr>
        <w:t>to</w:t>
      </w:r>
      <w:r>
        <w:rPr>
          <w:rFonts w:ascii="Calibri" w:hAnsi="Calibri"/>
          <w:color w:val="414142"/>
          <w:spacing w:val="-28"/>
          <w:w w:val="125"/>
          <w:sz w:val="18"/>
        </w:rPr>
        <w:t> </w:t>
      </w:r>
      <w:r>
        <w:rPr>
          <w:rFonts w:ascii="Calibri" w:hAnsi="Calibri"/>
          <w:color w:val="414142"/>
          <w:w w:val="125"/>
          <w:sz w:val="18"/>
        </w:rPr>
        <w:t>achieve</w:t>
      </w:r>
      <w:r>
        <w:rPr>
          <w:rFonts w:ascii="Calibri" w:hAnsi="Calibri"/>
          <w:color w:val="414142"/>
          <w:spacing w:val="-28"/>
          <w:w w:val="125"/>
          <w:sz w:val="18"/>
        </w:rPr>
        <w:t> </w:t>
      </w:r>
      <w:r>
        <w:rPr>
          <w:rFonts w:ascii="Calibri" w:hAnsi="Calibri"/>
          <w:color w:val="414142"/>
          <w:w w:val="125"/>
          <w:sz w:val="18"/>
        </w:rPr>
        <w:t>and</w:t>
      </w:r>
      <w:r>
        <w:rPr>
          <w:rFonts w:ascii="Calibri" w:hAnsi="Calibri"/>
          <w:color w:val="414142"/>
          <w:spacing w:val="-29"/>
          <w:w w:val="125"/>
          <w:sz w:val="18"/>
        </w:rPr>
        <w:t> </w:t>
      </w:r>
      <w:r>
        <w:rPr>
          <w:rFonts w:ascii="Calibri" w:hAnsi="Calibri"/>
          <w:color w:val="414142"/>
          <w:w w:val="125"/>
          <w:sz w:val="18"/>
        </w:rPr>
        <w:t>sustain</w:t>
      </w:r>
      <w:r>
        <w:rPr>
          <w:rFonts w:ascii="Calibri" w:hAnsi="Calibri"/>
          <w:color w:val="414142"/>
          <w:spacing w:val="-28"/>
          <w:w w:val="125"/>
          <w:sz w:val="18"/>
        </w:rPr>
        <w:t> </w:t>
      </w:r>
      <w:r>
        <w:rPr>
          <w:rFonts w:ascii="Calibri" w:hAnsi="Calibri"/>
          <w:color w:val="414142"/>
          <w:w w:val="125"/>
          <w:sz w:val="18"/>
        </w:rPr>
        <w:t>clinical</w:t>
      </w:r>
      <w:r>
        <w:rPr>
          <w:rFonts w:ascii="Calibri" w:hAnsi="Calibri"/>
          <w:color w:val="414142"/>
          <w:spacing w:val="-28"/>
          <w:w w:val="125"/>
          <w:sz w:val="18"/>
        </w:rPr>
        <w:t> </w:t>
      </w:r>
      <w:r>
        <w:rPr>
          <w:rFonts w:ascii="Calibri" w:hAnsi="Calibri"/>
          <w:color w:val="414142"/>
          <w:w w:val="125"/>
          <w:sz w:val="18"/>
        </w:rPr>
        <w:t>remission</w:t>
      </w:r>
      <w:r>
        <w:rPr>
          <w:rFonts w:ascii="Calibri" w:hAnsi="Calibri"/>
          <w:color w:val="414142"/>
          <w:spacing w:val="-29"/>
          <w:w w:val="125"/>
          <w:sz w:val="18"/>
        </w:rPr>
        <w:t> </w:t>
      </w:r>
      <w:r>
        <w:rPr>
          <w:rFonts w:ascii="Calibri" w:hAnsi="Calibri"/>
          <w:color w:val="414142"/>
          <w:w w:val="125"/>
          <w:sz w:val="18"/>
        </w:rPr>
        <w:t>of</w:t>
      </w:r>
      <w:r>
        <w:rPr>
          <w:rFonts w:ascii="Calibri" w:hAnsi="Calibri"/>
          <w:color w:val="414142"/>
          <w:spacing w:val="-28"/>
          <w:w w:val="125"/>
          <w:sz w:val="18"/>
        </w:rPr>
        <w:t> </w:t>
      </w:r>
      <w:r>
        <w:rPr>
          <w:rFonts w:ascii="Calibri" w:hAnsi="Calibri"/>
          <w:color w:val="414142"/>
          <w:w w:val="125"/>
          <w:sz w:val="18"/>
        </w:rPr>
        <w:t>signs and</w:t>
      </w:r>
      <w:r>
        <w:rPr>
          <w:rFonts w:ascii="Calibri" w:hAnsi="Calibri"/>
          <w:color w:val="414142"/>
          <w:spacing w:val="-8"/>
          <w:w w:val="125"/>
          <w:sz w:val="18"/>
        </w:rPr>
        <w:t> </w:t>
      </w:r>
      <w:r>
        <w:rPr>
          <w:rFonts w:ascii="Calibri" w:hAnsi="Calibri"/>
          <w:color w:val="414142"/>
          <w:w w:val="125"/>
          <w:sz w:val="18"/>
        </w:rPr>
        <w:t>symptoms</w:t>
      </w:r>
      <w:r>
        <w:rPr>
          <w:rFonts w:ascii="Calibri" w:hAnsi="Calibri"/>
          <w:color w:val="414142"/>
          <w:spacing w:val="-8"/>
          <w:w w:val="125"/>
          <w:sz w:val="18"/>
        </w:rPr>
        <w:t> </w:t>
      </w:r>
      <w:r>
        <w:rPr>
          <w:rFonts w:ascii="Calibri" w:hAnsi="Calibri"/>
          <w:color w:val="414142"/>
          <w:w w:val="125"/>
          <w:sz w:val="18"/>
        </w:rPr>
        <w:t>of</w:t>
      </w:r>
      <w:r>
        <w:rPr>
          <w:rFonts w:ascii="Calibri" w:hAnsi="Calibri"/>
          <w:color w:val="414142"/>
          <w:spacing w:val="-8"/>
          <w:w w:val="125"/>
          <w:sz w:val="18"/>
        </w:rPr>
        <w:t> </w:t>
      </w:r>
      <w:r>
        <w:rPr>
          <w:rFonts w:ascii="Calibri" w:hAnsi="Calibri"/>
          <w:color w:val="414142"/>
          <w:w w:val="125"/>
          <w:sz w:val="18"/>
        </w:rPr>
        <w:t>OUD</w:t>
      </w:r>
      <w:r>
        <w:rPr>
          <w:rFonts w:ascii="Calibri" w:hAnsi="Calibri"/>
          <w:color w:val="414142"/>
          <w:spacing w:val="-8"/>
          <w:w w:val="125"/>
          <w:sz w:val="18"/>
        </w:rPr>
        <w:t> </w:t>
      </w:r>
      <w:r>
        <w:rPr>
          <w:rFonts w:ascii="Calibri" w:hAnsi="Calibri"/>
          <w:color w:val="414142"/>
          <w:w w:val="125"/>
          <w:sz w:val="18"/>
        </w:rPr>
        <w:t>and</w:t>
      </w:r>
      <w:r>
        <w:rPr>
          <w:rFonts w:ascii="Calibri" w:hAnsi="Calibri"/>
          <w:color w:val="414142"/>
          <w:spacing w:val="-8"/>
          <w:w w:val="125"/>
          <w:sz w:val="18"/>
        </w:rPr>
        <w:t> </w:t>
      </w:r>
      <w:r>
        <w:rPr>
          <w:rFonts w:ascii="Calibri" w:hAnsi="Calibri"/>
          <w:color w:val="414142"/>
          <w:w w:val="125"/>
          <w:sz w:val="18"/>
        </w:rPr>
        <w:t>support</w:t>
      </w:r>
      <w:r>
        <w:rPr>
          <w:rFonts w:ascii="Calibri" w:hAnsi="Calibri"/>
          <w:color w:val="414142"/>
          <w:spacing w:val="-8"/>
          <w:w w:val="125"/>
          <w:sz w:val="18"/>
        </w:rPr>
        <w:t> </w:t>
      </w:r>
      <w:r>
        <w:rPr>
          <w:rFonts w:ascii="Calibri" w:hAnsi="Calibri"/>
          <w:color w:val="414142"/>
          <w:w w:val="125"/>
          <w:sz w:val="18"/>
        </w:rPr>
        <w:t>the</w:t>
      </w:r>
      <w:r>
        <w:rPr>
          <w:rFonts w:ascii="Calibri" w:hAnsi="Calibri"/>
          <w:color w:val="414142"/>
          <w:spacing w:val="-8"/>
          <w:w w:val="125"/>
          <w:sz w:val="18"/>
        </w:rPr>
        <w:t> </w:t>
      </w:r>
      <w:r>
        <w:rPr>
          <w:rFonts w:ascii="Calibri" w:hAnsi="Calibri"/>
          <w:color w:val="414142"/>
          <w:w w:val="125"/>
          <w:sz w:val="18"/>
        </w:rPr>
        <w:t>individual</w:t>
      </w:r>
      <w:r>
        <w:rPr>
          <w:rFonts w:ascii="Calibri" w:hAnsi="Calibri"/>
          <w:color w:val="414142"/>
          <w:spacing w:val="-8"/>
          <w:w w:val="125"/>
          <w:sz w:val="18"/>
        </w:rPr>
        <w:t> </w:t>
      </w:r>
      <w:r>
        <w:rPr>
          <w:rFonts w:ascii="Calibri" w:hAnsi="Calibri"/>
          <w:color w:val="414142"/>
          <w:w w:val="125"/>
          <w:sz w:val="18"/>
        </w:rPr>
        <w:t>process</w:t>
      </w:r>
      <w:r>
        <w:rPr>
          <w:rFonts w:ascii="Calibri" w:hAnsi="Calibri"/>
          <w:color w:val="414142"/>
          <w:spacing w:val="-7"/>
          <w:w w:val="125"/>
          <w:sz w:val="18"/>
        </w:rPr>
        <w:t> </w:t>
      </w:r>
      <w:r>
        <w:rPr>
          <w:rFonts w:ascii="Calibri" w:hAnsi="Calibri"/>
          <w:color w:val="414142"/>
          <w:w w:val="125"/>
          <w:sz w:val="18"/>
        </w:rPr>
        <w:t>of</w:t>
      </w:r>
      <w:r>
        <w:rPr>
          <w:rFonts w:ascii="Calibri" w:hAnsi="Calibri"/>
          <w:color w:val="414142"/>
          <w:spacing w:val="-8"/>
          <w:w w:val="125"/>
          <w:sz w:val="18"/>
        </w:rPr>
        <w:t> </w:t>
      </w:r>
      <w:r>
        <w:rPr>
          <w:rFonts w:ascii="Calibri" w:hAnsi="Calibri"/>
          <w:color w:val="414142"/>
          <w:w w:val="125"/>
          <w:sz w:val="18"/>
        </w:rPr>
        <w:t>recovery</w:t>
      </w:r>
      <w:r>
        <w:rPr>
          <w:rFonts w:ascii="Calibri" w:hAnsi="Calibri"/>
          <w:color w:val="414142"/>
          <w:spacing w:val="-8"/>
          <w:w w:val="125"/>
          <w:sz w:val="18"/>
        </w:rPr>
        <w:t> </w:t>
      </w:r>
      <w:r>
        <w:rPr>
          <w:rFonts w:ascii="Calibri" w:hAnsi="Calibri"/>
          <w:color w:val="414142"/>
          <w:w w:val="125"/>
          <w:sz w:val="18"/>
        </w:rPr>
        <w:t>without</w:t>
      </w:r>
      <w:r>
        <w:rPr>
          <w:rFonts w:ascii="Calibri" w:hAnsi="Calibri"/>
          <w:color w:val="414142"/>
          <w:spacing w:val="-8"/>
          <w:w w:val="125"/>
          <w:sz w:val="18"/>
        </w:rPr>
        <w:t> </w:t>
      </w:r>
      <w:r>
        <w:rPr>
          <w:rFonts w:ascii="Calibri" w:hAnsi="Calibri"/>
          <w:color w:val="414142"/>
          <w:w w:val="125"/>
          <w:sz w:val="18"/>
        </w:rPr>
        <w:t>a</w:t>
      </w:r>
      <w:r>
        <w:rPr>
          <w:rFonts w:ascii="Calibri" w:hAnsi="Calibri"/>
          <w:color w:val="414142"/>
          <w:spacing w:val="-8"/>
          <w:w w:val="125"/>
          <w:sz w:val="18"/>
        </w:rPr>
        <w:t> </w:t>
      </w:r>
      <w:r>
        <w:rPr>
          <w:rFonts w:ascii="Calibri" w:hAnsi="Calibri"/>
          <w:color w:val="414142"/>
          <w:w w:val="125"/>
          <w:sz w:val="18"/>
        </w:rPr>
        <w:t>speciﬁc</w:t>
      </w:r>
      <w:r>
        <w:rPr>
          <w:rFonts w:ascii="Calibri" w:hAnsi="Calibri"/>
          <w:color w:val="414142"/>
          <w:spacing w:val="-8"/>
          <w:w w:val="125"/>
          <w:sz w:val="18"/>
        </w:rPr>
        <w:t> </w:t>
      </w:r>
      <w:r>
        <w:rPr>
          <w:rFonts w:ascii="Calibri" w:hAnsi="Calibri"/>
          <w:color w:val="414142"/>
          <w:w w:val="125"/>
          <w:sz w:val="18"/>
        </w:rPr>
        <w:t>endpoint</w:t>
      </w:r>
      <w:r>
        <w:rPr>
          <w:rFonts w:ascii="Calibri" w:hAnsi="Calibri"/>
          <w:color w:val="414142"/>
          <w:spacing w:val="-8"/>
          <w:w w:val="125"/>
          <w:sz w:val="18"/>
        </w:rPr>
        <w:t> </w:t>
      </w:r>
      <w:r>
        <w:rPr>
          <w:rFonts w:ascii="Calibri" w:hAnsi="Calibri"/>
          <w:color w:val="414142"/>
          <w:w w:val="125"/>
          <w:sz w:val="18"/>
        </w:rPr>
        <w:t>(as</w:t>
      </w:r>
      <w:r>
        <w:rPr>
          <w:rFonts w:ascii="Calibri" w:hAnsi="Calibri"/>
          <w:color w:val="414142"/>
          <w:spacing w:val="-8"/>
          <w:w w:val="125"/>
          <w:sz w:val="18"/>
        </w:rPr>
        <w:t> </w:t>
      </w:r>
      <w:r>
        <w:rPr>
          <w:rFonts w:ascii="Calibri" w:hAnsi="Calibri"/>
          <w:color w:val="414142"/>
          <w:w w:val="125"/>
          <w:sz w:val="18"/>
        </w:rPr>
        <w:t>is the</w:t>
      </w:r>
      <w:r>
        <w:rPr>
          <w:rFonts w:ascii="Calibri" w:hAnsi="Calibri"/>
          <w:color w:val="414142"/>
          <w:spacing w:val="-8"/>
          <w:w w:val="125"/>
          <w:sz w:val="18"/>
        </w:rPr>
        <w:t> </w:t>
      </w:r>
      <w:r>
        <w:rPr>
          <w:rFonts w:ascii="Calibri" w:hAnsi="Calibri"/>
          <w:color w:val="414142"/>
          <w:w w:val="125"/>
          <w:sz w:val="18"/>
        </w:rPr>
        <w:t>typical</w:t>
      </w:r>
      <w:r>
        <w:rPr>
          <w:rFonts w:ascii="Calibri" w:hAnsi="Calibri"/>
          <w:color w:val="414142"/>
          <w:spacing w:val="-7"/>
          <w:w w:val="125"/>
          <w:sz w:val="18"/>
        </w:rPr>
        <w:t> </w:t>
      </w:r>
      <w:r>
        <w:rPr>
          <w:rFonts w:ascii="Calibri" w:hAnsi="Calibri"/>
          <w:color w:val="414142"/>
          <w:w w:val="125"/>
          <w:sz w:val="18"/>
        </w:rPr>
        <w:t>standard</w:t>
      </w:r>
      <w:r>
        <w:rPr>
          <w:rFonts w:ascii="Calibri" w:hAnsi="Calibri"/>
          <w:color w:val="414142"/>
          <w:spacing w:val="-7"/>
          <w:w w:val="125"/>
          <w:sz w:val="18"/>
        </w:rPr>
        <w:t> </w:t>
      </w:r>
      <w:r>
        <w:rPr>
          <w:rFonts w:ascii="Calibri" w:hAnsi="Calibri"/>
          <w:color w:val="414142"/>
          <w:w w:val="125"/>
          <w:sz w:val="18"/>
        </w:rPr>
        <w:t>of</w:t>
      </w:r>
      <w:r>
        <w:rPr>
          <w:rFonts w:ascii="Calibri" w:hAnsi="Calibri"/>
          <w:color w:val="414142"/>
          <w:spacing w:val="-7"/>
          <w:w w:val="125"/>
          <w:sz w:val="18"/>
        </w:rPr>
        <w:t> </w:t>
      </w:r>
      <w:r>
        <w:rPr>
          <w:rFonts w:ascii="Calibri" w:hAnsi="Calibri"/>
          <w:color w:val="414142"/>
          <w:w w:val="125"/>
          <w:sz w:val="18"/>
        </w:rPr>
        <w:t>care</w:t>
      </w:r>
      <w:r>
        <w:rPr>
          <w:rFonts w:ascii="Calibri" w:hAnsi="Calibri"/>
          <w:color w:val="414142"/>
          <w:spacing w:val="-7"/>
          <w:w w:val="125"/>
          <w:sz w:val="18"/>
        </w:rPr>
        <w:t> </w:t>
      </w:r>
      <w:r>
        <w:rPr>
          <w:rFonts w:ascii="Calibri" w:hAnsi="Calibri"/>
          <w:color w:val="414142"/>
          <w:w w:val="125"/>
          <w:sz w:val="18"/>
        </w:rPr>
        <w:t>in</w:t>
      </w:r>
      <w:r>
        <w:rPr>
          <w:rFonts w:ascii="Calibri" w:hAnsi="Calibri"/>
          <w:color w:val="414142"/>
          <w:spacing w:val="-7"/>
          <w:w w:val="125"/>
          <w:sz w:val="18"/>
        </w:rPr>
        <w:t> </w:t>
      </w:r>
      <w:r>
        <w:rPr>
          <w:rFonts w:ascii="Calibri" w:hAnsi="Calibri"/>
          <w:color w:val="414142"/>
          <w:w w:val="125"/>
          <w:sz w:val="18"/>
        </w:rPr>
        <w:t>medical</w:t>
      </w:r>
      <w:r>
        <w:rPr>
          <w:rFonts w:ascii="Calibri" w:hAnsi="Calibri"/>
          <w:color w:val="414142"/>
          <w:spacing w:val="-7"/>
          <w:w w:val="125"/>
          <w:sz w:val="18"/>
        </w:rPr>
        <w:t> </w:t>
      </w:r>
      <w:r>
        <w:rPr>
          <w:rFonts w:ascii="Calibri" w:hAnsi="Calibri"/>
          <w:color w:val="414142"/>
          <w:w w:val="125"/>
          <w:sz w:val="18"/>
        </w:rPr>
        <w:t>and</w:t>
      </w:r>
      <w:r>
        <w:rPr>
          <w:rFonts w:ascii="Calibri" w:hAnsi="Calibri"/>
          <w:color w:val="414142"/>
          <w:spacing w:val="-7"/>
          <w:w w:val="125"/>
          <w:sz w:val="18"/>
        </w:rPr>
        <w:t> </w:t>
      </w:r>
      <w:r>
        <w:rPr>
          <w:rFonts w:ascii="Calibri" w:hAnsi="Calibri"/>
          <w:color w:val="414142"/>
          <w:w w:val="125"/>
          <w:sz w:val="18"/>
        </w:rPr>
        <w:t>psychiatric</w:t>
      </w:r>
      <w:r>
        <w:rPr>
          <w:rFonts w:ascii="Calibri" w:hAnsi="Calibri"/>
          <w:color w:val="414142"/>
          <w:spacing w:val="-7"/>
          <w:w w:val="125"/>
          <w:sz w:val="18"/>
        </w:rPr>
        <w:t> </w:t>
      </w:r>
      <w:r>
        <w:rPr>
          <w:rFonts w:ascii="Calibri" w:hAnsi="Calibri"/>
          <w:color w:val="414142"/>
          <w:w w:val="125"/>
          <w:sz w:val="18"/>
        </w:rPr>
        <w:t>treatment</w:t>
      </w:r>
      <w:r>
        <w:rPr>
          <w:rFonts w:ascii="Calibri" w:hAnsi="Calibri"/>
          <w:color w:val="414142"/>
          <w:spacing w:val="-8"/>
          <w:w w:val="125"/>
          <w:sz w:val="18"/>
        </w:rPr>
        <w:t> </w:t>
      </w:r>
      <w:r>
        <w:rPr>
          <w:rFonts w:ascii="Calibri" w:hAnsi="Calibri"/>
          <w:color w:val="414142"/>
          <w:w w:val="125"/>
          <w:sz w:val="18"/>
        </w:rPr>
        <w:t>of</w:t>
      </w:r>
      <w:r>
        <w:rPr>
          <w:rFonts w:ascii="Calibri" w:hAnsi="Calibri"/>
          <w:color w:val="414142"/>
          <w:spacing w:val="-7"/>
          <w:w w:val="125"/>
          <w:sz w:val="18"/>
        </w:rPr>
        <w:t> </w:t>
      </w:r>
      <w:r>
        <w:rPr>
          <w:rFonts w:ascii="Calibri" w:hAnsi="Calibri"/>
          <w:color w:val="414142"/>
          <w:w w:val="125"/>
          <w:sz w:val="18"/>
        </w:rPr>
        <w:t>other</w:t>
      </w:r>
      <w:r>
        <w:rPr>
          <w:rFonts w:ascii="Calibri" w:hAnsi="Calibri"/>
          <w:color w:val="414142"/>
          <w:spacing w:val="-7"/>
          <w:w w:val="125"/>
          <w:sz w:val="18"/>
        </w:rPr>
        <w:t> </w:t>
      </w:r>
      <w:r>
        <w:rPr>
          <w:rFonts w:ascii="Calibri" w:hAnsi="Calibri"/>
          <w:color w:val="414142"/>
          <w:w w:val="125"/>
          <w:sz w:val="18"/>
        </w:rPr>
        <w:t>chronic</w:t>
      </w:r>
      <w:r>
        <w:rPr>
          <w:rFonts w:ascii="Calibri" w:hAnsi="Calibri"/>
          <w:color w:val="414142"/>
          <w:spacing w:val="-7"/>
          <w:w w:val="125"/>
          <w:sz w:val="18"/>
        </w:rPr>
        <w:t> </w:t>
      </w:r>
      <w:r>
        <w:rPr>
          <w:rFonts w:ascii="Calibri" w:hAnsi="Calibri"/>
          <w:color w:val="414142"/>
          <w:w w:val="125"/>
          <w:sz w:val="18"/>
        </w:rPr>
        <w:t>illnesses).</w:t>
      </w:r>
    </w:p>
    <w:p>
      <w:pPr>
        <w:spacing w:line="261" w:lineRule="auto" w:before="73"/>
        <w:ind w:left="409" w:right="595" w:firstLine="0"/>
        <w:jc w:val="left"/>
        <w:rPr>
          <w:rFonts w:ascii="Calibri" w:hAnsi="Calibri"/>
          <w:sz w:val="18"/>
        </w:rPr>
      </w:pPr>
      <w:r>
        <w:rPr>
          <w:rFonts w:ascii="Arial" w:hAnsi="Arial"/>
          <w:b/>
          <w:color w:val="137692"/>
          <w:w w:val="120"/>
          <w:sz w:val="22"/>
        </w:rPr>
        <w:t>Medically</w:t>
      </w:r>
      <w:r>
        <w:rPr>
          <w:rFonts w:ascii="Arial" w:hAnsi="Arial"/>
          <w:b/>
          <w:color w:val="137692"/>
          <w:spacing w:val="-30"/>
          <w:w w:val="120"/>
          <w:sz w:val="22"/>
        </w:rPr>
        <w:t> </w:t>
      </w:r>
      <w:r>
        <w:rPr>
          <w:rFonts w:ascii="Arial" w:hAnsi="Arial"/>
          <w:b/>
          <w:color w:val="137692"/>
          <w:w w:val="120"/>
          <w:sz w:val="22"/>
        </w:rPr>
        <w:t>supervised</w:t>
      </w:r>
      <w:r>
        <w:rPr>
          <w:rFonts w:ascii="Arial" w:hAnsi="Arial"/>
          <w:b/>
          <w:color w:val="137692"/>
          <w:spacing w:val="-30"/>
          <w:w w:val="120"/>
          <w:sz w:val="22"/>
        </w:rPr>
        <w:t> </w:t>
      </w:r>
      <w:r>
        <w:rPr>
          <w:rFonts w:ascii="Arial" w:hAnsi="Arial"/>
          <w:b/>
          <w:color w:val="137692"/>
          <w:w w:val="120"/>
          <w:sz w:val="22"/>
        </w:rPr>
        <w:t>withdrawal</w:t>
      </w:r>
      <w:r>
        <w:rPr>
          <w:rFonts w:ascii="Arial" w:hAnsi="Arial"/>
          <w:b/>
          <w:color w:val="137692"/>
          <w:spacing w:val="-41"/>
          <w:w w:val="120"/>
          <w:sz w:val="22"/>
        </w:rPr>
        <w:t> </w:t>
      </w:r>
      <w:r>
        <w:rPr>
          <w:rFonts w:ascii="Calibri" w:hAnsi="Calibri"/>
          <w:color w:val="414142"/>
          <w:w w:val="120"/>
          <w:sz w:val="18"/>
        </w:rPr>
        <w:t>(formerly</w:t>
      </w:r>
      <w:r>
        <w:rPr>
          <w:rFonts w:ascii="Calibri" w:hAnsi="Calibri"/>
          <w:color w:val="414142"/>
          <w:spacing w:val="-16"/>
          <w:w w:val="120"/>
          <w:sz w:val="18"/>
        </w:rPr>
        <w:t> </w:t>
      </w:r>
      <w:r>
        <w:rPr>
          <w:rFonts w:ascii="Calibri" w:hAnsi="Calibri"/>
          <w:color w:val="414142"/>
          <w:w w:val="120"/>
          <w:sz w:val="18"/>
        </w:rPr>
        <w:t>called</w:t>
      </w:r>
      <w:r>
        <w:rPr>
          <w:rFonts w:ascii="Calibri" w:hAnsi="Calibri"/>
          <w:color w:val="414142"/>
          <w:spacing w:val="-16"/>
          <w:w w:val="120"/>
          <w:sz w:val="18"/>
        </w:rPr>
        <w:t> </w:t>
      </w:r>
      <w:r>
        <w:rPr>
          <w:rFonts w:ascii="Calibri" w:hAnsi="Calibri"/>
          <w:color w:val="414142"/>
          <w:w w:val="120"/>
          <w:sz w:val="18"/>
        </w:rPr>
        <w:t>detoxiﬁcation):</w:t>
      </w:r>
      <w:r>
        <w:rPr>
          <w:rFonts w:ascii="Calibri" w:hAnsi="Calibri"/>
          <w:color w:val="414142"/>
          <w:spacing w:val="-16"/>
          <w:w w:val="120"/>
          <w:sz w:val="18"/>
        </w:rPr>
        <w:t> </w:t>
      </w:r>
      <w:r>
        <w:rPr>
          <w:rFonts w:ascii="Calibri" w:hAnsi="Calibri"/>
          <w:color w:val="414142"/>
          <w:w w:val="120"/>
          <w:sz w:val="18"/>
        </w:rPr>
        <w:t>Using</w:t>
      </w:r>
      <w:r>
        <w:rPr>
          <w:rFonts w:ascii="Calibri" w:hAnsi="Calibri"/>
          <w:color w:val="414142"/>
          <w:spacing w:val="-17"/>
          <w:w w:val="120"/>
          <w:sz w:val="18"/>
        </w:rPr>
        <w:t> </w:t>
      </w:r>
      <w:r>
        <w:rPr>
          <w:rFonts w:ascii="Calibri" w:hAnsi="Calibri"/>
          <w:color w:val="414142"/>
          <w:w w:val="120"/>
          <w:sz w:val="18"/>
        </w:rPr>
        <w:t>an</w:t>
      </w:r>
      <w:r>
        <w:rPr>
          <w:rFonts w:ascii="Calibri" w:hAnsi="Calibri"/>
          <w:color w:val="414142"/>
          <w:spacing w:val="-16"/>
          <w:w w:val="120"/>
          <w:sz w:val="18"/>
        </w:rPr>
        <w:t> </w:t>
      </w:r>
      <w:r>
        <w:rPr>
          <w:rFonts w:ascii="Calibri" w:hAnsi="Calibri"/>
          <w:color w:val="414142"/>
          <w:w w:val="120"/>
          <w:sz w:val="18"/>
        </w:rPr>
        <w:t>opioid</w:t>
      </w:r>
      <w:r>
        <w:rPr>
          <w:rFonts w:ascii="Calibri" w:hAnsi="Calibri"/>
          <w:color w:val="414142"/>
          <w:spacing w:val="-16"/>
          <w:w w:val="120"/>
          <w:sz w:val="18"/>
        </w:rPr>
        <w:t> </w:t>
      </w:r>
      <w:r>
        <w:rPr>
          <w:rFonts w:ascii="Calibri" w:hAnsi="Calibri"/>
          <w:color w:val="414142"/>
          <w:w w:val="120"/>
          <w:sz w:val="18"/>
        </w:rPr>
        <w:t>agonist</w:t>
      </w:r>
      <w:r>
        <w:rPr>
          <w:rFonts w:ascii="Calibri" w:hAnsi="Calibri"/>
          <w:color w:val="414142"/>
          <w:spacing w:val="-16"/>
          <w:w w:val="120"/>
          <w:sz w:val="18"/>
        </w:rPr>
        <w:t> </w:t>
      </w:r>
      <w:r>
        <w:rPr>
          <w:rFonts w:ascii="Calibri" w:hAnsi="Calibri"/>
          <w:color w:val="414142"/>
          <w:w w:val="120"/>
          <w:sz w:val="18"/>
        </w:rPr>
        <w:t>(or</w:t>
      </w:r>
      <w:r>
        <w:rPr>
          <w:rFonts w:ascii="Calibri" w:hAnsi="Calibri"/>
          <w:color w:val="414142"/>
          <w:spacing w:val="-17"/>
          <w:w w:val="120"/>
          <w:sz w:val="18"/>
        </w:rPr>
        <w:t> </w:t>
      </w:r>
      <w:r>
        <w:rPr>
          <w:rFonts w:ascii="Calibri" w:hAnsi="Calibri"/>
          <w:color w:val="414142"/>
          <w:w w:val="120"/>
          <w:sz w:val="18"/>
        </w:rPr>
        <w:t>an alpha-2 adrenergic agonist if opioid agonist is not available) in tapering doses or other medications to   help a patient discontinue illicit or prescription</w:t>
      </w:r>
      <w:r>
        <w:rPr>
          <w:rFonts w:ascii="Calibri" w:hAnsi="Calibri"/>
          <w:color w:val="414142"/>
          <w:spacing w:val="-8"/>
          <w:w w:val="120"/>
          <w:sz w:val="18"/>
        </w:rPr>
        <w:t> </w:t>
      </w:r>
      <w:r>
        <w:rPr>
          <w:rFonts w:ascii="Calibri" w:hAnsi="Calibri"/>
          <w:color w:val="414142"/>
          <w:w w:val="120"/>
          <w:sz w:val="18"/>
        </w:rPr>
        <w:t>opioids.</w:t>
      </w:r>
    </w:p>
    <w:p>
      <w:pPr>
        <w:spacing w:line="261" w:lineRule="auto" w:before="74"/>
        <w:ind w:left="410" w:right="498" w:hanging="1"/>
        <w:jc w:val="left"/>
        <w:rPr>
          <w:rFonts w:ascii="Calibri" w:hAnsi="Calibri"/>
          <w:sz w:val="18"/>
        </w:rPr>
      </w:pPr>
      <w:r>
        <w:rPr>
          <w:rFonts w:ascii="Arial" w:hAnsi="Arial"/>
          <w:b/>
          <w:color w:val="137692"/>
          <w:w w:val="125"/>
          <w:sz w:val="22"/>
        </w:rPr>
        <w:t>Medical</w:t>
      </w:r>
      <w:r>
        <w:rPr>
          <w:rFonts w:ascii="Arial" w:hAnsi="Arial"/>
          <w:b/>
          <w:color w:val="137692"/>
          <w:spacing w:val="-49"/>
          <w:w w:val="125"/>
          <w:sz w:val="22"/>
        </w:rPr>
        <w:t> </w:t>
      </w:r>
      <w:r>
        <w:rPr>
          <w:rFonts w:ascii="Arial" w:hAnsi="Arial"/>
          <w:b/>
          <w:color w:val="137692"/>
          <w:w w:val="125"/>
          <w:sz w:val="22"/>
        </w:rPr>
        <w:t>management:</w:t>
      </w:r>
      <w:r>
        <w:rPr>
          <w:rFonts w:ascii="Arial" w:hAnsi="Arial"/>
          <w:b/>
          <w:color w:val="137692"/>
          <w:spacing w:val="-55"/>
          <w:w w:val="125"/>
          <w:sz w:val="22"/>
        </w:rPr>
        <w:t> </w:t>
      </w:r>
      <w:r>
        <w:rPr>
          <w:rFonts w:ascii="Calibri" w:hAnsi="Calibri"/>
          <w:color w:val="414142"/>
          <w:w w:val="125"/>
          <w:sz w:val="18"/>
        </w:rPr>
        <w:t>Process</w:t>
      </w:r>
      <w:r>
        <w:rPr>
          <w:rFonts w:ascii="Calibri" w:hAnsi="Calibri"/>
          <w:color w:val="414142"/>
          <w:spacing w:val="-30"/>
          <w:w w:val="125"/>
          <w:sz w:val="18"/>
        </w:rPr>
        <w:t> </w:t>
      </w:r>
      <w:r>
        <w:rPr>
          <w:rFonts w:ascii="Calibri" w:hAnsi="Calibri"/>
          <w:color w:val="414142"/>
          <w:w w:val="125"/>
          <w:sz w:val="18"/>
        </w:rPr>
        <w:t>whereby</w:t>
      </w:r>
      <w:r>
        <w:rPr>
          <w:rFonts w:ascii="Calibri" w:hAnsi="Calibri"/>
          <w:color w:val="414142"/>
          <w:spacing w:val="-30"/>
          <w:w w:val="125"/>
          <w:sz w:val="18"/>
        </w:rPr>
        <w:t> </w:t>
      </w:r>
      <w:r>
        <w:rPr>
          <w:rFonts w:ascii="Calibri" w:hAnsi="Calibri"/>
          <w:color w:val="414142"/>
          <w:w w:val="125"/>
          <w:sz w:val="18"/>
        </w:rPr>
        <w:t>healthcare</w:t>
      </w:r>
      <w:r>
        <w:rPr>
          <w:rFonts w:ascii="Calibri" w:hAnsi="Calibri"/>
          <w:color w:val="414142"/>
          <w:spacing w:val="-30"/>
          <w:w w:val="125"/>
          <w:sz w:val="18"/>
        </w:rPr>
        <w:t> </w:t>
      </w:r>
      <w:r>
        <w:rPr>
          <w:rFonts w:ascii="Calibri" w:hAnsi="Calibri"/>
          <w:color w:val="414142"/>
          <w:w w:val="125"/>
          <w:sz w:val="18"/>
        </w:rPr>
        <w:t>professionals</w:t>
      </w:r>
      <w:r>
        <w:rPr>
          <w:rFonts w:ascii="Calibri" w:hAnsi="Calibri"/>
          <w:color w:val="414142"/>
          <w:spacing w:val="-30"/>
          <w:w w:val="125"/>
          <w:sz w:val="18"/>
        </w:rPr>
        <w:t> </w:t>
      </w:r>
      <w:r>
        <w:rPr>
          <w:rFonts w:ascii="Calibri" w:hAnsi="Calibri"/>
          <w:color w:val="414142"/>
          <w:w w:val="125"/>
          <w:sz w:val="18"/>
        </w:rPr>
        <w:t>provide</w:t>
      </w:r>
      <w:r>
        <w:rPr>
          <w:rFonts w:ascii="Calibri" w:hAnsi="Calibri"/>
          <w:color w:val="414142"/>
          <w:spacing w:val="-30"/>
          <w:w w:val="125"/>
          <w:sz w:val="18"/>
        </w:rPr>
        <w:t> </w:t>
      </w:r>
      <w:r>
        <w:rPr>
          <w:rFonts w:ascii="Calibri" w:hAnsi="Calibri"/>
          <w:color w:val="414142"/>
          <w:w w:val="125"/>
          <w:sz w:val="18"/>
        </w:rPr>
        <w:t>medication,</w:t>
      </w:r>
      <w:r>
        <w:rPr>
          <w:rFonts w:ascii="Calibri" w:hAnsi="Calibri"/>
          <w:color w:val="414142"/>
          <w:spacing w:val="-30"/>
          <w:w w:val="125"/>
          <w:sz w:val="18"/>
        </w:rPr>
        <w:t> </w:t>
      </w:r>
      <w:r>
        <w:rPr>
          <w:rFonts w:ascii="Calibri" w:hAnsi="Calibri"/>
          <w:color w:val="414142"/>
          <w:w w:val="125"/>
          <w:sz w:val="18"/>
        </w:rPr>
        <w:t>basic</w:t>
      </w:r>
      <w:r>
        <w:rPr>
          <w:rFonts w:ascii="Calibri" w:hAnsi="Calibri"/>
          <w:color w:val="414142"/>
          <w:spacing w:val="-30"/>
          <w:w w:val="125"/>
          <w:sz w:val="18"/>
        </w:rPr>
        <w:t> </w:t>
      </w:r>
      <w:r>
        <w:rPr>
          <w:rFonts w:ascii="Calibri" w:hAnsi="Calibri"/>
          <w:color w:val="414142"/>
          <w:w w:val="125"/>
          <w:sz w:val="18"/>
        </w:rPr>
        <w:t>brief supportive</w:t>
      </w:r>
      <w:r>
        <w:rPr>
          <w:rFonts w:ascii="Calibri" w:hAnsi="Calibri"/>
          <w:color w:val="414142"/>
          <w:spacing w:val="-14"/>
          <w:w w:val="125"/>
          <w:sz w:val="18"/>
        </w:rPr>
        <w:t> </w:t>
      </w:r>
      <w:r>
        <w:rPr>
          <w:rFonts w:ascii="Calibri" w:hAnsi="Calibri"/>
          <w:color w:val="414142"/>
          <w:w w:val="125"/>
          <w:sz w:val="18"/>
        </w:rPr>
        <w:t>counseling,</w:t>
      </w:r>
      <w:r>
        <w:rPr>
          <w:rFonts w:ascii="Calibri" w:hAnsi="Calibri"/>
          <w:color w:val="414142"/>
          <w:spacing w:val="-13"/>
          <w:w w:val="125"/>
          <w:sz w:val="18"/>
        </w:rPr>
        <w:t> </w:t>
      </w:r>
      <w:r>
        <w:rPr>
          <w:rFonts w:ascii="Calibri" w:hAnsi="Calibri"/>
          <w:color w:val="414142"/>
          <w:w w:val="125"/>
          <w:sz w:val="18"/>
        </w:rPr>
        <w:t>monitoring</w:t>
      </w:r>
      <w:r>
        <w:rPr>
          <w:rFonts w:ascii="Calibri" w:hAnsi="Calibri"/>
          <w:color w:val="414142"/>
          <w:spacing w:val="-13"/>
          <w:w w:val="125"/>
          <w:sz w:val="18"/>
        </w:rPr>
        <w:t> </w:t>
      </w:r>
      <w:r>
        <w:rPr>
          <w:rFonts w:ascii="Calibri" w:hAnsi="Calibri"/>
          <w:color w:val="414142"/>
          <w:w w:val="125"/>
          <w:sz w:val="18"/>
        </w:rPr>
        <w:t>of</w:t>
      </w:r>
      <w:r>
        <w:rPr>
          <w:rFonts w:ascii="Calibri" w:hAnsi="Calibri"/>
          <w:color w:val="414142"/>
          <w:spacing w:val="-13"/>
          <w:w w:val="125"/>
          <w:sz w:val="18"/>
        </w:rPr>
        <w:t> </w:t>
      </w:r>
      <w:r>
        <w:rPr>
          <w:rFonts w:ascii="Calibri" w:hAnsi="Calibri"/>
          <w:color w:val="414142"/>
          <w:w w:val="125"/>
          <w:sz w:val="18"/>
        </w:rPr>
        <w:t>drug</w:t>
      </w:r>
      <w:r>
        <w:rPr>
          <w:rFonts w:ascii="Calibri" w:hAnsi="Calibri"/>
          <w:color w:val="414142"/>
          <w:spacing w:val="-13"/>
          <w:w w:val="125"/>
          <w:sz w:val="18"/>
        </w:rPr>
        <w:t> </w:t>
      </w:r>
      <w:r>
        <w:rPr>
          <w:rFonts w:ascii="Calibri" w:hAnsi="Calibri"/>
          <w:color w:val="414142"/>
          <w:w w:val="125"/>
          <w:sz w:val="18"/>
        </w:rPr>
        <w:t>use</w:t>
      </w:r>
      <w:r>
        <w:rPr>
          <w:rFonts w:ascii="Calibri" w:hAnsi="Calibri"/>
          <w:color w:val="414142"/>
          <w:spacing w:val="-13"/>
          <w:w w:val="125"/>
          <w:sz w:val="18"/>
        </w:rPr>
        <w:t> </w:t>
      </w:r>
      <w:r>
        <w:rPr>
          <w:rFonts w:ascii="Calibri" w:hAnsi="Calibri"/>
          <w:color w:val="414142"/>
          <w:w w:val="125"/>
          <w:sz w:val="18"/>
        </w:rPr>
        <w:t>and</w:t>
      </w:r>
      <w:r>
        <w:rPr>
          <w:rFonts w:ascii="Calibri" w:hAnsi="Calibri"/>
          <w:color w:val="414142"/>
          <w:spacing w:val="-14"/>
          <w:w w:val="125"/>
          <w:sz w:val="18"/>
        </w:rPr>
        <w:t> </w:t>
      </w:r>
      <w:r>
        <w:rPr>
          <w:rFonts w:ascii="Calibri" w:hAnsi="Calibri"/>
          <w:color w:val="414142"/>
          <w:w w:val="125"/>
          <w:sz w:val="18"/>
        </w:rPr>
        <w:t>medication</w:t>
      </w:r>
      <w:r>
        <w:rPr>
          <w:rFonts w:ascii="Calibri" w:hAnsi="Calibri"/>
          <w:color w:val="414142"/>
          <w:spacing w:val="-13"/>
          <w:w w:val="125"/>
          <w:sz w:val="18"/>
        </w:rPr>
        <w:t> </w:t>
      </w:r>
      <w:r>
        <w:rPr>
          <w:rFonts w:ascii="Calibri" w:hAnsi="Calibri"/>
          <w:color w:val="414142"/>
          <w:w w:val="125"/>
          <w:sz w:val="18"/>
        </w:rPr>
        <w:t>adherence,</w:t>
      </w:r>
      <w:r>
        <w:rPr>
          <w:rFonts w:ascii="Calibri" w:hAnsi="Calibri"/>
          <w:color w:val="414142"/>
          <w:spacing w:val="-13"/>
          <w:w w:val="125"/>
          <w:sz w:val="18"/>
        </w:rPr>
        <w:t> </w:t>
      </w:r>
      <w:r>
        <w:rPr>
          <w:rFonts w:ascii="Calibri" w:hAnsi="Calibri"/>
          <w:color w:val="414142"/>
          <w:w w:val="125"/>
          <w:sz w:val="18"/>
        </w:rPr>
        <w:t>and</w:t>
      </w:r>
      <w:r>
        <w:rPr>
          <w:rFonts w:ascii="Calibri" w:hAnsi="Calibri"/>
          <w:color w:val="414142"/>
          <w:spacing w:val="-13"/>
          <w:w w:val="125"/>
          <w:sz w:val="18"/>
        </w:rPr>
        <w:t> </w:t>
      </w:r>
      <w:r>
        <w:rPr>
          <w:rFonts w:ascii="Calibri" w:hAnsi="Calibri"/>
          <w:color w:val="414142"/>
          <w:w w:val="125"/>
          <w:sz w:val="18"/>
        </w:rPr>
        <w:t>referrals,</w:t>
      </w:r>
      <w:r>
        <w:rPr>
          <w:rFonts w:ascii="Calibri" w:hAnsi="Calibri"/>
          <w:color w:val="414142"/>
          <w:spacing w:val="-13"/>
          <w:w w:val="125"/>
          <w:sz w:val="18"/>
        </w:rPr>
        <w:t> </w:t>
      </w:r>
      <w:r>
        <w:rPr>
          <w:rFonts w:ascii="Calibri" w:hAnsi="Calibri"/>
          <w:color w:val="414142"/>
          <w:w w:val="125"/>
          <w:sz w:val="18"/>
        </w:rPr>
        <w:t>when</w:t>
      </w:r>
      <w:r>
        <w:rPr>
          <w:rFonts w:ascii="Calibri" w:hAnsi="Calibri"/>
          <w:color w:val="414142"/>
          <w:spacing w:val="-13"/>
          <w:w w:val="125"/>
          <w:sz w:val="18"/>
        </w:rPr>
        <w:t> </w:t>
      </w:r>
      <w:r>
        <w:rPr>
          <w:rFonts w:ascii="Calibri" w:hAnsi="Calibri"/>
          <w:color w:val="414142"/>
          <w:w w:val="125"/>
          <w:sz w:val="18"/>
        </w:rPr>
        <w:t>necessary, to addiction counseling and other services to address the patient’s medical, mental health, comorbid addiction, and psychosocial</w:t>
      </w:r>
      <w:r>
        <w:rPr>
          <w:rFonts w:ascii="Calibri" w:hAnsi="Calibri"/>
          <w:color w:val="414142"/>
          <w:spacing w:val="-14"/>
          <w:w w:val="125"/>
          <w:sz w:val="18"/>
        </w:rPr>
        <w:t> </w:t>
      </w:r>
      <w:r>
        <w:rPr>
          <w:rFonts w:ascii="Calibri" w:hAnsi="Calibri"/>
          <w:color w:val="414142"/>
          <w:w w:val="125"/>
          <w:sz w:val="18"/>
        </w:rPr>
        <w:t>needs.</w:t>
      </w:r>
    </w:p>
    <w:p>
      <w:pPr>
        <w:spacing w:line="259" w:lineRule="auto" w:before="74"/>
        <w:ind w:left="410" w:right="613" w:hanging="1"/>
        <w:jc w:val="left"/>
        <w:rPr>
          <w:rFonts w:ascii="Calibri" w:hAnsi="Calibri"/>
          <w:sz w:val="18"/>
        </w:rPr>
      </w:pPr>
      <w:r>
        <w:rPr>
          <w:rFonts w:ascii="Arial" w:hAnsi="Arial"/>
          <w:b/>
          <w:color w:val="137692"/>
          <w:w w:val="120"/>
          <w:sz w:val="22"/>
        </w:rPr>
        <w:t>Ofﬁce-based</w:t>
      </w:r>
      <w:r>
        <w:rPr>
          <w:rFonts w:ascii="Arial" w:hAnsi="Arial"/>
          <w:b/>
          <w:color w:val="137692"/>
          <w:spacing w:val="-16"/>
          <w:w w:val="120"/>
          <w:sz w:val="22"/>
        </w:rPr>
        <w:t> </w:t>
      </w:r>
      <w:r>
        <w:rPr>
          <w:rFonts w:ascii="Arial" w:hAnsi="Arial"/>
          <w:b/>
          <w:color w:val="137692"/>
          <w:w w:val="120"/>
          <w:sz w:val="22"/>
        </w:rPr>
        <w:t>opioid</w:t>
      </w:r>
      <w:r>
        <w:rPr>
          <w:rFonts w:ascii="Arial" w:hAnsi="Arial"/>
          <w:b/>
          <w:color w:val="137692"/>
          <w:spacing w:val="-16"/>
          <w:w w:val="120"/>
          <w:sz w:val="22"/>
        </w:rPr>
        <w:t> </w:t>
      </w:r>
      <w:r>
        <w:rPr>
          <w:rFonts w:ascii="Arial" w:hAnsi="Arial"/>
          <w:b/>
          <w:color w:val="137692"/>
          <w:w w:val="120"/>
          <w:sz w:val="22"/>
        </w:rPr>
        <w:t>treatment:</w:t>
      </w:r>
      <w:r>
        <w:rPr>
          <w:rFonts w:ascii="Arial" w:hAnsi="Arial"/>
          <w:b/>
          <w:color w:val="137692"/>
          <w:spacing w:val="-29"/>
          <w:w w:val="120"/>
          <w:sz w:val="22"/>
        </w:rPr>
        <w:t> </w:t>
      </w:r>
      <w:r>
        <w:rPr>
          <w:rFonts w:ascii="Calibri" w:hAnsi="Calibri"/>
          <w:color w:val="414142"/>
          <w:w w:val="120"/>
          <w:sz w:val="18"/>
        </w:rPr>
        <w:t>Providing</w:t>
      </w:r>
      <w:r>
        <w:rPr>
          <w:rFonts w:ascii="Calibri" w:hAnsi="Calibri"/>
          <w:color w:val="414142"/>
          <w:spacing w:val="-6"/>
          <w:w w:val="120"/>
          <w:sz w:val="18"/>
        </w:rPr>
        <w:t> </w:t>
      </w:r>
      <w:r>
        <w:rPr>
          <w:rFonts w:ascii="Calibri" w:hAnsi="Calibri"/>
          <w:color w:val="414142"/>
          <w:w w:val="120"/>
          <w:sz w:val="18"/>
        </w:rPr>
        <w:t>medication</w:t>
      </w:r>
      <w:r>
        <w:rPr>
          <w:rFonts w:ascii="Calibri" w:hAnsi="Calibri"/>
          <w:color w:val="414142"/>
          <w:spacing w:val="-5"/>
          <w:w w:val="120"/>
          <w:sz w:val="18"/>
        </w:rPr>
        <w:t> </w:t>
      </w:r>
      <w:r>
        <w:rPr>
          <w:rFonts w:ascii="Calibri" w:hAnsi="Calibri"/>
          <w:color w:val="414142"/>
          <w:w w:val="120"/>
          <w:sz w:val="18"/>
        </w:rPr>
        <w:t>for</w:t>
      </w:r>
      <w:r>
        <w:rPr>
          <w:rFonts w:ascii="Calibri" w:hAnsi="Calibri"/>
          <w:color w:val="414142"/>
          <w:spacing w:val="-5"/>
          <w:w w:val="120"/>
          <w:sz w:val="18"/>
        </w:rPr>
        <w:t> </w:t>
      </w:r>
      <w:r>
        <w:rPr>
          <w:rFonts w:ascii="Calibri" w:hAnsi="Calibri"/>
          <w:color w:val="414142"/>
          <w:w w:val="120"/>
          <w:sz w:val="18"/>
        </w:rPr>
        <w:t>OUD</w:t>
      </w:r>
      <w:r>
        <w:rPr>
          <w:rFonts w:ascii="Calibri" w:hAnsi="Calibri"/>
          <w:color w:val="414142"/>
          <w:spacing w:val="-6"/>
          <w:w w:val="120"/>
          <w:sz w:val="18"/>
        </w:rPr>
        <w:t> </w:t>
      </w:r>
      <w:r>
        <w:rPr>
          <w:rFonts w:ascii="Calibri" w:hAnsi="Calibri"/>
          <w:color w:val="414142"/>
          <w:w w:val="120"/>
          <w:sz w:val="18"/>
        </w:rPr>
        <w:t>in</w:t>
      </w:r>
      <w:r>
        <w:rPr>
          <w:rFonts w:ascii="Calibri" w:hAnsi="Calibri"/>
          <w:color w:val="414142"/>
          <w:spacing w:val="-5"/>
          <w:w w:val="120"/>
          <w:sz w:val="18"/>
        </w:rPr>
        <w:t> </w:t>
      </w:r>
      <w:r>
        <w:rPr>
          <w:rFonts w:ascii="Calibri" w:hAnsi="Calibri"/>
          <w:color w:val="414142"/>
          <w:w w:val="120"/>
          <w:sz w:val="18"/>
        </w:rPr>
        <w:t>outpatient</w:t>
      </w:r>
      <w:r>
        <w:rPr>
          <w:rFonts w:ascii="Calibri" w:hAnsi="Calibri"/>
          <w:color w:val="414142"/>
          <w:spacing w:val="-6"/>
          <w:w w:val="120"/>
          <w:sz w:val="18"/>
        </w:rPr>
        <w:t> </w:t>
      </w:r>
      <w:r>
        <w:rPr>
          <w:rFonts w:ascii="Calibri" w:hAnsi="Calibri"/>
          <w:color w:val="414142"/>
          <w:w w:val="120"/>
          <w:sz w:val="18"/>
        </w:rPr>
        <w:t>settings</w:t>
      </w:r>
      <w:r>
        <w:rPr>
          <w:rFonts w:ascii="Calibri" w:hAnsi="Calibri"/>
          <w:color w:val="414142"/>
          <w:spacing w:val="-5"/>
          <w:w w:val="120"/>
          <w:sz w:val="18"/>
        </w:rPr>
        <w:t> </w:t>
      </w:r>
      <w:r>
        <w:rPr>
          <w:rFonts w:ascii="Calibri" w:hAnsi="Calibri"/>
          <w:color w:val="414142"/>
          <w:w w:val="120"/>
          <w:sz w:val="18"/>
        </w:rPr>
        <w:t>other</w:t>
      </w:r>
      <w:r>
        <w:rPr>
          <w:rFonts w:ascii="Calibri" w:hAnsi="Calibri"/>
          <w:color w:val="414142"/>
          <w:spacing w:val="-5"/>
          <w:w w:val="120"/>
          <w:sz w:val="18"/>
        </w:rPr>
        <w:t> </w:t>
      </w:r>
      <w:r>
        <w:rPr>
          <w:rFonts w:ascii="Calibri" w:hAnsi="Calibri"/>
          <w:color w:val="414142"/>
          <w:w w:val="120"/>
          <w:sz w:val="18"/>
        </w:rPr>
        <w:t>than certiﬁed</w:t>
      </w:r>
      <w:r>
        <w:rPr>
          <w:rFonts w:ascii="Calibri" w:hAnsi="Calibri"/>
          <w:color w:val="414142"/>
          <w:spacing w:val="-2"/>
          <w:w w:val="120"/>
          <w:sz w:val="18"/>
        </w:rPr>
        <w:t> </w:t>
      </w:r>
      <w:r>
        <w:rPr>
          <w:rFonts w:ascii="Calibri" w:hAnsi="Calibri"/>
          <w:color w:val="414142"/>
          <w:w w:val="120"/>
          <w:sz w:val="18"/>
        </w:rPr>
        <w:t>OTPs.</w:t>
      </w:r>
    </w:p>
    <w:p>
      <w:pPr>
        <w:spacing w:line="261" w:lineRule="auto" w:before="78"/>
        <w:ind w:left="410" w:right="487" w:hanging="1"/>
        <w:jc w:val="left"/>
        <w:rPr>
          <w:rFonts w:ascii="Calibri" w:hAnsi="Calibri"/>
          <w:sz w:val="10"/>
        </w:rPr>
      </w:pPr>
      <w:r>
        <w:rPr>
          <w:rFonts w:ascii="Arial" w:hAnsi="Arial"/>
          <w:b/>
          <w:color w:val="137692"/>
          <w:w w:val="120"/>
          <w:sz w:val="22"/>
        </w:rPr>
        <w:t>Opioid</w:t>
      </w:r>
      <w:r>
        <w:rPr>
          <w:rFonts w:ascii="Arial" w:hAnsi="Arial"/>
          <w:b/>
          <w:color w:val="137692"/>
          <w:spacing w:val="-19"/>
          <w:w w:val="120"/>
          <w:sz w:val="22"/>
        </w:rPr>
        <w:t> </w:t>
      </w:r>
      <w:r>
        <w:rPr>
          <w:rFonts w:ascii="Arial" w:hAnsi="Arial"/>
          <w:b/>
          <w:color w:val="137692"/>
          <w:w w:val="120"/>
          <w:sz w:val="22"/>
        </w:rPr>
        <w:t>treatment</w:t>
      </w:r>
      <w:r>
        <w:rPr>
          <w:rFonts w:ascii="Arial" w:hAnsi="Arial"/>
          <w:b/>
          <w:color w:val="137692"/>
          <w:spacing w:val="-19"/>
          <w:w w:val="120"/>
          <w:sz w:val="22"/>
        </w:rPr>
        <w:t> </w:t>
      </w:r>
      <w:r>
        <w:rPr>
          <w:rFonts w:ascii="Arial" w:hAnsi="Arial"/>
          <w:b/>
          <w:color w:val="137692"/>
          <w:w w:val="120"/>
          <w:sz w:val="22"/>
        </w:rPr>
        <w:t>program</w:t>
      </w:r>
      <w:r>
        <w:rPr>
          <w:rFonts w:ascii="Arial" w:hAnsi="Arial"/>
          <w:b/>
          <w:color w:val="137692"/>
          <w:spacing w:val="-19"/>
          <w:w w:val="120"/>
          <w:sz w:val="22"/>
        </w:rPr>
        <w:t> </w:t>
      </w:r>
      <w:r>
        <w:rPr>
          <w:rFonts w:ascii="Arial" w:hAnsi="Arial"/>
          <w:b/>
          <w:color w:val="137692"/>
          <w:w w:val="120"/>
          <w:sz w:val="22"/>
        </w:rPr>
        <w:t>(OTP):</w:t>
      </w:r>
      <w:r>
        <w:rPr>
          <w:rFonts w:ascii="Arial" w:hAnsi="Arial"/>
          <w:b/>
          <w:color w:val="137692"/>
          <w:spacing w:val="-33"/>
          <w:w w:val="120"/>
          <w:sz w:val="22"/>
        </w:rPr>
        <w:t> </w:t>
      </w:r>
      <w:r>
        <w:rPr>
          <w:rFonts w:ascii="Calibri" w:hAnsi="Calibri"/>
          <w:color w:val="414142"/>
          <w:w w:val="120"/>
          <w:sz w:val="18"/>
        </w:rPr>
        <w:t>An</w:t>
      </w:r>
      <w:r>
        <w:rPr>
          <w:rFonts w:ascii="Calibri" w:hAnsi="Calibri"/>
          <w:color w:val="414142"/>
          <w:spacing w:val="-8"/>
          <w:w w:val="120"/>
          <w:sz w:val="18"/>
        </w:rPr>
        <w:t> </w:t>
      </w:r>
      <w:r>
        <w:rPr>
          <w:rFonts w:ascii="Calibri" w:hAnsi="Calibri"/>
          <w:color w:val="414142"/>
          <w:w w:val="120"/>
          <w:sz w:val="18"/>
        </w:rPr>
        <w:t>accredited</w:t>
      </w:r>
      <w:r>
        <w:rPr>
          <w:rFonts w:ascii="Calibri" w:hAnsi="Calibri"/>
          <w:color w:val="414142"/>
          <w:spacing w:val="-8"/>
          <w:w w:val="120"/>
          <w:sz w:val="18"/>
        </w:rPr>
        <w:t> </w:t>
      </w:r>
      <w:r>
        <w:rPr>
          <w:rFonts w:ascii="Calibri" w:hAnsi="Calibri"/>
          <w:color w:val="414142"/>
          <w:w w:val="120"/>
          <w:sz w:val="18"/>
        </w:rPr>
        <w:t>treatment</w:t>
      </w:r>
      <w:r>
        <w:rPr>
          <w:rFonts w:ascii="Calibri" w:hAnsi="Calibri"/>
          <w:color w:val="414142"/>
          <w:spacing w:val="-8"/>
          <w:w w:val="120"/>
          <w:sz w:val="18"/>
        </w:rPr>
        <w:t> </w:t>
      </w:r>
      <w:r>
        <w:rPr>
          <w:rFonts w:ascii="Calibri" w:hAnsi="Calibri"/>
          <w:color w:val="414142"/>
          <w:w w:val="120"/>
          <w:sz w:val="18"/>
        </w:rPr>
        <w:t>program</w:t>
      </w:r>
      <w:r>
        <w:rPr>
          <w:rFonts w:ascii="Calibri" w:hAnsi="Calibri"/>
          <w:color w:val="414142"/>
          <w:spacing w:val="-8"/>
          <w:w w:val="120"/>
          <w:sz w:val="18"/>
        </w:rPr>
        <w:t> </w:t>
      </w:r>
      <w:r>
        <w:rPr>
          <w:rFonts w:ascii="Calibri" w:hAnsi="Calibri"/>
          <w:color w:val="414142"/>
          <w:w w:val="120"/>
          <w:sz w:val="18"/>
        </w:rPr>
        <w:t>with</w:t>
      </w:r>
      <w:r>
        <w:rPr>
          <w:rFonts w:ascii="Calibri" w:hAnsi="Calibri"/>
          <w:color w:val="414142"/>
          <w:spacing w:val="-8"/>
          <w:w w:val="120"/>
          <w:sz w:val="18"/>
        </w:rPr>
        <w:t> </w:t>
      </w:r>
      <w:r>
        <w:rPr>
          <w:rFonts w:ascii="Calibri" w:hAnsi="Calibri"/>
          <w:color w:val="414142"/>
          <w:w w:val="120"/>
          <w:sz w:val="18"/>
        </w:rPr>
        <w:t>Substance</w:t>
      </w:r>
      <w:r>
        <w:rPr>
          <w:rFonts w:ascii="Calibri" w:hAnsi="Calibri"/>
          <w:color w:val="414142"/>
          <w:spacing w:val="-8"/>
          <w:w w:val="120"/>
          <w:sz w:val="18"/>
        </w:rPr>
        <w:t> </w:t>
      </w:r>
      <w:r>
        <w:rPr>
          <w:rFonts w:ascii="Calibri" w:hAnsi="Calibri"/>
          <w:color w:val="414142"/>
          <w:w w:val="120"/>
          <w:sz w:val="18"/>
        </w:rPr>
        <w:t>Abuse</w:t>
      </w:r>
      <w:r>
        <w:rPr>
          <w:rFonts w:ascii="Calibri" w:hAnsi="Calibri"/>
          <w:color w:val="414142"/>
          <w:spacing w:val="-8"/>
          <w:w w:val="120"/>
          <w:sz w:val="18"/>
        </w:rPr>
        <w:t> </w:t>
      </w:r>
      <w:r>
        <w:rPr>
          <w:rFonts w:ascii="Calibri" w:hAnsi="Calibri"/>
          <w:color w:val="414142"/>
          <w:w w:val="120"/>
          <w:sz w:val="18"/>
        </w:rPr>
        <w:t>and </w:t>
      </w:r>
      <w:r>
        <w:rPr>
          <w:rFonts w:ascii="Calibri" w:hAnsi="Calibri"/>
          <w:color w:val="414142"/>
          <w:w w:val="125"/>
          <w:sz w:val="18"/>
        </w:rPr>
        <w:t>Mental</w:t>
      </w:r>
      <w:r>
        <w:rPr>
          <w:rFonts w:ascii="Calibri" w:hAnsi="Calibri"/>
          <w:color w:val="414142"/>
          <w:spacing w:val="-11"/>
          <w:w w:val="125"/>
          <w:sz w:val="18"/>
        </w:rPr>
        <w:t> </w:t>
      </w:r>
      <w:r>
        <w:rPr>
          <w:rFonts w:ascii="Calibri" w:hAnsi="Calibri"/>
          <w:color w:val="414142"/>
          <w:w w:val="125"/>
          <w:sz w:val="18"/>
        </w:rPr>
        <w:t>Health</w:t>
      </w:r>
      <w:r>
        <w:rPr>
          <w:rFonts w:ascii="Calibri" w:hAnsi="Calibri"/>
          <w:color w:val="414142"/>
          <w:spacing w:val="-10"/>
          <w:w w:val="125"/>
          <w:sz w:val="18"/>
        </w:rPr>
        <w:t> </w:t>
      </w:r>
      <w:r>
        <w:rPr>
          <w:rFonts w:ascii="Calibri" w:hAnsi="Calibri"/>
          <w:color w:val="414142"/>
          <w:w w:val="125"/>
          <w:sz w:val="18"/>
        </w:rPr>
        <w:t>Services</w:t>
      </w:r>
      <w:r>
        <w:rPr>
          <w:rFonts w:ascii="Calibri" w:hAnsi="Calibri"/>
          <w:color w:val="414142"/>
          <w:spacing w:val="-10"/>
          <w:w w:val="125"/>
          <w:sz w:val="18"/>
        </w:rPr>
        <w:t> </w:t>
      </w:r>
      <w:r>
        <w:rPr>
          <w:rFonts w:ascii="Calibri" w:hAnsi="Calibri"/>
          <w:color w:val="414142"/>
          <w:w w:val="125"/>
          <w:sz w:val="18"/>
        </w:rPr>
        <w:t>Administration</w:t>
      </w:r>
      <w:r>
        <w:rPr>
          <w:rFonts w:ascii="Calibri" w:hAnsi="Calibri"/>
          <w:color w:val="414142"/>
          <w:spacing w:val="-10"/>
          <w:w w:val="125"/>
          <w:sz w:val="18"/>
        </w:rPr>
        <w:t> </w:t>
      </w:r>
      <w:r>
        <w:rPr>
          <w:rFonts w:ascii="Calibri" w:hAnsi="Calibri"/>
          <w:color w:val="414142"/>
          <w:w w:val="125"/>
          <w:sz w:val="18"/>
        </w:rPr>
        <w:t>certiﬁcation</w:t>
      </w:r>
      <w:r>
        <w:rPr>
          <w:rFonts w:ascii="Calibri" w:hAnsi="Calibri"/>
          <w:color w:val="414142"/>
          <w:spacing w:val="-10"/>
          <w:w w:val="125"/>
          <w:sz w:val="18"/>
        </w:rPr>
        <w:t> </w:t>
      </w:r>
      <w:r>
        <w:rPr>
          <w:rFonts w:ascii="Calibri" w:hAnsi="Calibri"/>
          <w:color w:val="414142"/>
          <w:w w:val="125"/>
          <w:sz w:val="18"/>
        </w:rPr>
        <w:t>and</w:t>
      </w:r>
      <w:r>
        <w:rPr>
          <w:rFonts w:ascii="Calibri" w:hAnsi="Calibri"/>
          <w:color w:val="414142"/>
          <w:spacing w:val="-10"/>
          <w:w w:val="125"/>
          <w:sz w:val="18"/>
        </w:rPr>
        <w:t> </w:t>
      </w:r>
      <w:r>
        <w:rPr>
          <w:rFonts w:ascii="Calibri" w:hAnsi="Calibri"/>
          <w:color w:val="414142"/>
          <w:w w:val="125"/>
          <w:sz w:val="18"/>
        </w:rPr>
        <w:t>Drug</w:t>
      </w:r>
      <w:r>
        <w:rPr>
          <w:rFonts w:ascii="Calibri" w:hAnsi="Calibri"/>
          <w:color w:val="414142"/>
          <w:spacing w:val="-10"/>
          <w:w w:val="125"/>
          <w:sz w:val="18"/>
        </w:rPr>
        <w:t> </w:t>
      </w:r>
      <w:r>
        <w:rPr>
          <w:rFonts w:ascii="Calibri" w:hAnsi="Calibri"/>
          <w:color w:val="414142"/>
          <w:w w:val="125"/>
          <w:sz w:val="18"/>
        </w:rPr>
        <w:t>Enforcement</w:t>
      </w:r>
      <w:r>
        <w:rPr>
          <w:rFonts w:ascii="Calibri" w:hAnsi="Calibri"/>
          <w:color w:val="414142"/>
          <w:spacing w:val="-10"/>
          <w:w w:val="125"/>
          <w:sz w:val="18"/>
        </w:rPr>
        <w:t> </w:t>
      </w:r>
      <w:r>
        <w:rPr>
          <w:rFonts w:ascii="Calibri" w:hAnsi="Calibri"/>
          <w:color w:val="414142"/>
          <w:w w:val="125"/>
          <w:sz w:val="18"/>
        </w:rPr>
        <w:t>Administration</w:t>
      </w:r>
      <w:r>
        <w:rPr>
          <w:rFonts w:ascii="Calibri" w:hAnsi="Calibri"/>
          <w:color w:val="414142"/>
          <w:spacing w:val="-11"/>
          <w:w w:val="125"/>
          <w:sz w:val="18"/>
        </w:rPr>
        <w:t> </w:t>
      </w:r>
      <w:r>
        <w:rPr>
          <w:rFonts w:ascii="Calibri" w:hAnsi="Calibri"/>
          <w:color w:val="414142"/>
          <w:w w:val="125"/>
          <w:sz w:val="18"/>
        </w:rPr>
        <w:t>registration</w:t>
      </w:r>
      <w:r>
        <w:rPr>
          <w:rFonts w:ascii="Calibri" w:hAnsi="Calibri"/>
          <w:color w:val="414142"/>
          <w:spacing w:val="-10"/>
          <w:w w:val="125"/>
          <w:sz w:val="18"/>
        </w:rPr>
        <w:t> </w:t>
      </w:r>
      <w:r>
        <w:rPr>
          <w:rFonts w:ascii="Calibri" w:hAnsi="Calibri"/>
          <w:color w:val="414142"/>
          <w:w w:val="125"/>
          <w:sz w:val="18"/>
        </w:rPr>
        <w:t>to administer</w:t>
      </w:r>
      <w:r>
        <w:rPr>
          <w:rFonts w:ascii="Calibri" w:hAnsi="Calibri"/>
          <w:color w:val="414142"/>
          <w:spacing w:val="-9"/>
          <w:w w:val="125"/>
          <w:sz w:val="18"/>
        </w:rPr>
        <w:t> </w:t>
      </w:r>
      <w:r>
        <w:rPr>
          <w:rFonts w:ascii="Calibri" w:hAnsi="Calibri"/>
          <w:color w:val="414142"/>
          <w:w w:val="125"/>
          <w:sz w:val="18"/>
        </w:rPr>
        <w:t>and</w:t>
      </w:r>
      <w:r>
        <w:rPr>
          <w:rFonts w:ascii="Calibri" w:hAnsi="Calibri"/>
          <w:color w:val="414142"/>
          <w:spacing w:val="-9"/>
          <w:w w:val="125"/>
          <w:sz w:val="18"/>
        </w:rPr>
        <w:t> </w:t>
      </w:r>
      <w:r>
        <w:rPr>
          <w:rFonts w:ascii="Calibri" w:hAnsi="Calibri"/>
          <w:color w:val="414142"/>
          <w:w w:val="125"/>
          <w:sz w:val="18"/>
        </w:rPr>
        <w:t>dispense</w:t>
      </w:r>
      <w:r>
        <w:rPr>
          <w:rFonts w:ascii="Calibri" w:hAnsi="Calibri"/>
          <w:color w:val="414142"/>
          <w:spacing w:val="-8"/>
          <w:w w:val="125"/>
          <w:sz w:val="18"/>
        </w:rPr>
        <w:t> </w:t>
      </w:r>
      <w:r>
        <w:rPr>
          <w:rFonts w:ascii="Calibri" w:hAnsi="Calibri"/>
          <w:color w:val="414142"/>
          <w:w w:val="125"/>
          <w:sz w:val="18"/>
        </w:rPr>
        <w:t>opioid</w:t>
      </w:r>
      <w:r>
        <w:rPr>
          <w:rFonts w:ascii="Calibri" w:hAnsi="Calibri"/>
          <w:color w:val="414142"/>
          <w:spacing w:val="-9"/>
          <w:w w:val="125"/>
          <w:sz w:val="18"/>
        </w:rPr>
        <w:t> </w:t>
      </w:r>
      <w:r>
        <w:rPr>
          <w:rFonts w:ascii="Calibri" w:hAnsi="Calibri"/>
          <w:color w:val="414142"/>
          <w:w w:val="125"/>
          <w:sz w:val="18"/>
        </w:rPr>
        <w:t>agonist</w:t>
      </w:r>
      <w:r>
        <w:rPr>
          <w:rFonts w:ascii="Calibri" w:hAnsi="Calibri"/>
          <w:color w:val="414142"/>
          <w:spacing w:val="-9"/>
          <w:w w:val="125"/>
          <w:sz w:val="18"/>
        </w:rPr>
        <w:t> </w:t>
      </w:r>
      <w:r>
        <w:rPr>
          <w:rFonts w:ascii="Calibri" w:hAnsi="Calibri"/>
          <w:color w:val="414142"/>
          <w:w w:val="125"/>
          <w:sz w:val="18"/>
        </w:rPr>
        <w:t>medications</w:t>
      </w:r>
      <w:r>
        <w:rPr>
          <w:rFonts w:ascii="Calibri" w:hAnsi="Calibri"/>
          <w:color w:val="414142"/>
          <w:spacing w:val="-8"/>
          <w:w w:val="125"/>
          <w:sz w:val="18"/>
        </w:rPr>
        <w:t> </w:t>
      </w:r>
      <w:r>
        <w:rPr>
          <w:rFonts w:ascii="Calibri" w:hAnsi="Calibri"/>
          <w:color w:val="414142"/>
          <w:w w:val="125"/>
          <w:sz w:val="18"/>
        </w:rPr>
        <w:t>that</w:t>
      </w:r>
      <w:r>
        <w:rPr>
          <w:rFonts w:ascii="Calibri" w:hAnsi="Calibri"/>
          <w:color w:val="414142"/>
          <w:spacing w:val="-9"/>
          <w:w w:val="125"/>
          <w:sz w:val="18"/>
        </w:rPr>
        <w:t> </w:t>
      </w:r>
      <w:r>
        <w:rPr>
          <w:rFonts w:ascii="Calibri" w:hAnsi="Calibri"/>
          <w:color w:val="414142"/>
          <w:w w:val="125"/>
          <w:sz w:val="18"/>
        </w:rPr>
        <w:t>are</w:t>
      </w:r>
      <w:r>
        <w:rPr>
          <w:rFonts w:ascii="Calibri" w:hAnsi="Calibri"/>
          <w:color w:val="414142"/>
          <w:spacing w:val="-8"/>
          <w:w w:val="125"/>
          <w:sz w:val="18"/>
        </w:rPr>
        <w:t> </w:t>
      </w:r>
      <w:r>
        <w:rPr>
          <w:rFonts w:ascii="Calibri" w:hAnsi="Calibri"/>
          <w:color w:val="414142"/>
          <w:w w:val="125"/>
          <w:sz w:val="18"/>
        </w:rPr>
        <w:t>approved</w:t>
      </w:r>
      <w:r>
        <w:rPr>
          <w:rFonts w:ascii="Calibri" w:hAnsi="Calibri"/>
          <w:color w:val="414142"/>
          <w:spacing w:val="-9"/>
          <w:w w:val="125"/>
          <w:sz w:val="18"/>
        </w:rPr>
        <w:t> </w:t>
      </w:r>
      <w:r>
        <w:rPr>
          <w:rFonts w:ascii="Calibri" w:hAnsi="Calibri"/>
          <w:color w:val="414142"/>
          <w:w w:val="125"/>
          <w:sz w:val="18"/>
        </w:rPr>
        <w:t>by</w:t>
      </w:r>
      <w:r>
        <w:rPr>
          <w:rFonts w:ascii="Calibri" w:hAnsi="Calibri"/>
          <w:color w:val="414142"/>
          <w:spacing w:val="-9"/>
          <w:w w:val="125"/>
          <w:sz w:val="18"/>
        </w:rPr>
        <w:t> </w:t>
      </w:r>
      <w:r>
        <w:rPr>
          <w:rFonts w:ascii="Calibri" w:hAnsi="Calibri"/>
          <w:color w:val="414142"/>
          <w:w w:val="125"/>
          <w:sz w:val="18"/>
        </w:rPr>
        <w:t>FDA</w:t>
      </w:r>
      <w:r>
        <w:rPr>
          <w:rFonts w:ascii="Calibri" w:hAnsi="Calibri"/>
          <w:color w:val="414142"/>
          <w:spacing w:val="-8"/>
          <w:w w:val="125"/>
          <w:sz w:val="18"/>
        </w:rPr>
        <w:t> </w:t>
      </w:r>
      <w:r>
        <w:rPr>
          <w:rFonts w:ascii="Calibri" w:hAnsi="Calibri"/>
          <w:color w:val="414142"/>
          <w:w w:val="125"/>
          <w:sz w:val="18"/>
        </w:rPr>
        <w:t>to</w:t>
      </w:r>
      <w:r>
        <w:rPr>
          <w:rFonts w:ascii="Calibri" w:hAnsi="Calibri"/>
          <w:color w:val="414142"/>
          <w:spacing w:val="-9"/>
          <w:w w:val="125"/>
          <w:sz w:val="18"/>
        </w:rPr>
        <w:t> </w:t>
      </w:r>
      <w:r>
        <w:rPr>
          <w:rFonts w:ascii="Calibri" w:hAnsi="Calibri"/>
          <w:color w:val="414142"/>
          <w:w w:val="125"/>
          <w:sz w:val="18"/>
        </w:rPr>
        <w:t>treat</w:t>
      </w:r>
      <w:r>
        <w:rPr>
          <w:rFonts w:ascii="Calibri" w:hAnsi="Calibri"/>
          <w:color w:val="414142"/>
          <w:spacing w:val="-8"/>
          <w:w w:val="125"/>
          <w:sz w:val="18"/>
        </w:rPr>
        <w:t> </w:t>
      </w:r>
      <w:r>
        <w:rPr>
          <w:rFonts w:ascii="Calibri" w:hAnsi="Calibri"/>
          <w:color w:val="414142"/>
          <w:w w:val="125"/>
          <w:sz w:val="18"/>
        </w:rPr>
        <w:t>opioid</w:t>
      </w:r>
      <w:r>
        <w:rPr>
          <w:rFonts w:ascii="Calibri" w:hAnsi="Calibri"/>
          <w:color w:val="414142"/>
          <w:spacing w:val="-9"/>
          <w:w w:val="125"/>
          <w:sz w:val="18"/>
        </w:rPr>
        <w:t> </w:t>
      </w:r>
      <w:r>
        <w:rPr>
          <w:rFonts w:ascii="Calibri" w:hAnsi="Calibri"/>
          <w:color w:val="414142"/>
          <w:w w:val="125"/>
          <w:sz w:val="18"/>
        </w:rPr>
        <w:t>addiction. Currently, these include methadone and buprenorphine products. Other pharmacotherapies, such as naltrexone, may be provided but are not subject to these regulations. OTPs must provide adequate medical,</w:t>
      </w:r>
      <w:r>
        <w:rPr>
          <w:rFonts w:ascii="Calibri" w:hAnsi="Calibri"/>
          <w:color w:val="414142"/>
          <w:spacing w:val="-14"/>
          <w:w w:val="125"/>
          <w:sz w:val="18"/>
        </w:rPr>
        <w:t> </w:t>
      </w:r>
      <w:r>
        <w:rPr>
          <w:rFonts w:ascii="Calibri" w:hAnsi="Calibri"/>
          <w:color w:val="414142"/>
          <w:w w:val="125"/>
          <w:sz w:val="18"/>
        </w:rPr>
        <w:t>counseling,</w:t>
      </w:r>
      <w:r>
        <w:rPr>
          <w:rFonts w:ascii="Calibri" w:hAnsi="Calibri"/>
          <w:color w:val="414142"/>
          <w:spacing w:val="-13"/>
          <w:w w:val="125"/>
          <w:sz w:val="18"/>
        </w:rPr>
        <w:t> </w:t>
      </w:r>
      <w:r>
        <w:rPr>
          <w:rFonts w:ascii="Calibri" w:hAnsi="Calibri"/>
          <w:color w:val="414142"/>
          <w:w w:val="125"/>
          <w:sz w:val="18"/>
        </w:rPr>
        <w:t>vocational,</w:t>
      </w:r>
      <w:r>
        <w:rPr>
          <w:rFonts w:ascii="Calibri" w:hAnsi="Calibri"/>
          <w:color w:val="414142"/>
          <w:spacing w:val="-13"/>
          <w:w w:val="125"/>
          <w:sz w:val="18"/>
        </w:rPr>
        <w:t> </w:t>
      </w:r>
      <w:r>
        <w:rPr>
          <w:rFonts w:ascii="Calibri" w:hAnsi="Calibri"/>
          <w:color w:val="414142"/>
          <w:w w:val="125"/>
          <w:sz w:val="18"/>
        </w:rPr>
        <w:t>educational,</w:t>
      </w:r>
      <w:r>
        <w:rPr>
          <w:rFonts w:ascii="Calibri" w:hAnsi="Calibri"/>
          <w:color w:val="414142"/>
          <w:spacing w:val="-13"/>
          <w:w w:val="125"/>
          <w:sz w:val="18"/>
        </w:rPr>
        <w:t> </w:t>
      </w:r>
      <w:r>
        <w:rPr>
          <w:rFonts w:ascii="Calibri" w:hAnsi="Calibri"/>
          <w:color w:val="414142"/>
          <w:w w:val="125"/>
          <w:sz w:val="18"/>
        </w:rPr>
        <w:t>and</w:t>
      </w:r>
      <w:r>
        <w:rPr>
          <w:rFonts w:ascii="Calibri" w:hAnsi="Calibri"/>
          <w:color w:val="414142"/>
          <w:spacing w:val="-13"/>
          <w:w w:val="125"/>
          <w:sz w:val="18"/>
        </w:rPr>
        <w:t> </w:t>
      </w:r>
      <w:r>
        <w:rPr>
          <w:rFonts w:ascii="Calibri" w:hAnsi="Calibri"/>
          <w:color w:val="414142"/>
          <w:w w:val="125"/>
          <w:sz w:val="18"/>
        </w:rPr>
        <w:t>other</w:t>
      </w:r>
      <w:r>
        <w:rPr>
          <w:rFonts w:ascii="Calibri" w:hAnsi="Calibri"/>
          <w:color w:val="414142"/>
          <w:spacing w:val="-14"/>
          <w:w w:val="125"/>
          <w:sz w:val="18"/>
        </w:rPr>
        <w:t> </w:t>
      </w:r>
      <w:r>
        <w:rPr>
          <w:rFonts w:ascii="Calibri" w:hAnsi="Calibri"/>
          <w:color w:val="414142"/>
          <w:w w:val="125"/>
          <w:sz w:val="18"/>
        </w:rPr>
        <w:t>assessment</w:t>
      </w:r>
      <w:r>
        <w:rPr>
          <w:rFonts w:ascii="Calibri" w:hAnsi="Calibri"/>
          <w:color w:val="414142"/>
          <w:spacing w:val="-13"/>
          <w:w w:val="125"/>
          <w:sz w:val="18"/>
        </w:rPr>
        <w:t> </w:t>
      </w:r>
      <w:r>
        <w:rPr>
          <w:rFonts w:ascii="Calibri" w:hAnsi="Calibri"/>
          <w:color w:val="414142"/>
          <w:w w:val="125"/>
          <w:sz w:val="18"/>
        </w:rPr>
        <w:t>and</w:t>
      </w:r>
      <w:r>
        <w:rPr>
          <w:rFonts w:ascii="Calibri" w:hAnsi="Calibri"/>
          <w:color w:val="414142"/>
          <w:spacing w:val="-13"/>
          <w:w w:val="125"/>
          <w:sz w:val="18"/>
        </w:rPr>
        <w:t> </w:t>
      </w:r>
      <w:r>
        <w:rPr>
          <w:rFonts w:ascii="Calibri" w:hAnsi="Calibri"/>
          <w:color w:val="414142"/>
          <w:w w:val="125"/>
          <w:sz w:val="18"/>
        </w:rPr>
        <w:t>treatment</w:t>
      </w:r>
      <w:r>
        <w:rPr>
          <w:rFonts w:ascii="Calibri" w:hAnsi="Calibri"/>
          <w:color w:val="414142"/>
          <w:spacing w:val="-13"/>
          <w:w w:val="125"/>
          <w:sz w:val="18"/>
        </w:rPr>
        <w:t> </w:t>
      </w:r>
      <w:r>
        <w:rPr>
          <w:rFonts w:ascii="Calibri" w:hAnsi="Calibri"/>
          <w:color w:val="414142"/>
          <w:w w:val="125"/>
          <w:sz w:val="18"/>
        </w:rPr>
        <w:t>services</w:t>
      </w:r>
      <w:r>
        <w:rPr>
          <w:rFonts w:ascii="Calibri" w:hAnsi="Calibri"/>
          <w:color w:val="414142"/>
          <w:spacing w:val="-13"/>
          <w:w w:val="125"/>
          <w:sz w:val="18"/>
        </w:rPr>
        <w:t> </w:t>
      </w:r>
      <w:r>
        <w:rPr>
          <w:rFonts w:ascii="Calibri" w:hAnsi="Calibri"/>
          <w:color w:val="414142"/>
          <w:w w:val="125"/>
          <w:sz w:val="18"/>
        </w:rPr>
        <w:t>either</w:t>
      </w:r>
      <w:r>
        <w:rPr>
          <w:rFonts w:ascii="Calibri" w:hAnsi="Calibri"/>
          <w:color w:val="414142"/>
          <w:spacing w:val="-14"/>
          <w:w w:val="125"/>
          <w:sz w:val="18"/>
        </w:rPr>
        <w:t> </w:t>
      </w:r>
      <w:r>
        <w:rPr>
          <w:rFonts w:ascii="Calibri" w:hAnsi="Calibri"/>
          <w:color w:val="414142"/>
          <w:w w:val="125"/>
          <w:sz w:val="18"/>
        </w:rPr>
        <w:t>onsite or</w:t>
      </w:r>
      <w:r>
        <w:rPr>
          <w:rFonts w:ascii="Calibri" w:hAnsi="Calibri"/>
          <w:color w:val="414142"/>
          <w:spacing w:val="-6"/>
          <w:w w:val="125"/>
          <w:sz w:val="18"/>
        </w:rPr>
        <w:t> </w:t>
      </w:r>
      <w:r>
        <w:rPr>
          <w:rFonts w:ascii="Calibri" w:hAnsi="Calibri"/>
          <w:color w:val="414142"/>
          <w:w w:val="125"/>
          <w:sz w:val="18"/>
        </w:rPr>
        <w:t>by</w:t>
      </w:r>
      <w:r>
        <w:rPr>
          <w:rFonts w:ascii="Calibri" w:hAnsi="Calibri"/>
          <w:color w:val="414142"/>
          <w:spacing w:val="-6"/>
          <w:w w:val="125"/>
          <w:sz w:val="18"/>
        </w:rPr>
        <w:t> </w:t>
      </w:r>
      <w:r>
        <w:rPr>
          <w:rFonts w:ascii="Calibri" w:hAnsi="Calibri"/>
          <w:color w:val="414142"/>
          <w:w w:val="125"/>
          <w:sz w:val="18"/>
        </w:rPr>
        <w:t>referral</w:t>
      </w:r>
      <w:r>
        <w:rPr>
          <w:rFonts w:ascii="Calibri" w:hAnsi="Calibri"/>
          <w:color w:val="414142"/>
          <w:spacing w:val="-6"/>
          <w:w w:val="125"/>
          <w:sz w:val="18"/>
        </w:rPr>
        <w:t> </w:t>
      </w:r>
      <w:r>
        <w:rPr>
          <w:rFonts w:ascii="Calibri" w:hAnsi="Calibri"/>
          <w:color w:val="414142"/>
          <w:w w:val="125"/>
          <w:sz w:val="18"/>
        </w:rPr>
        <w:t>to</w:t>
      </w:r>
      <w:r>
        <w:rPr>
          <w:rFonts w:ascii="Calibri" w:hAnsi="Calibri"/>
          <w:color w:val="414142"/>
          <w:spacing w:val="-6"/>
          <w:w w:val="125"/>
          <w:sz w:val="18"/>
        </w:rPr>
        <w:t> </w:t>
      </w:r>
      <w:r>
        <w:rPr>
          <w:rFonts w:ascii="Calibri" w:hAnsi="Calibri"/>
          <w:color w:val="414142"/>
          <w:w w:val="125"/>
          <w:sz w:val="18"/>
        </w:rPr>
        <w:t>an</w:t>
      </w:r>
      <w:r>
        <w:rPr>
          <w:rFonts w:ascii="Calibri" w:hAnsi="Calibri"/>
          <w:color w:val="414142"/>
          <w:spacing w:val="-6"/>
          <w:w w:val="125"/>
          <w:sz w:val="18"/>
        </w:rPr>
        <w:t> </w:t>
      </w:r>
      <w:r>
        <w:rPr>
          <w:rFonts w:ascii="Calibri" w:hAnsi="Calibri"/>
          <w:color w:val="414142"/>
          <w:w w:val="125"/>
          <w:sz w:val="18"/>
        </w:rPr>
        <w:t>outside</w:t>
      </w:r>
      <w:r>
        <w:rPr>
          <w:rFonts w:ascii="Calibri" w:hAnsi="Calibri"/>
          <w:color w:val="414142"/>
          <w:spacing w:val="-6"/>
          <w:w w:val="125"/>
          <w:sz w:val="18"/>
        </w:rPr>
        <w:t> </w:t>
      </w:r>
      <w:r>
        <w:rPr>
          <w:rFonts w:ascii="Calibri" w:hAnsi="Calibri"/>
          <w:color w:val="414142"/>
          <w:w w:val="125"/>
          <w:sz w:val="18"/>
        </w:rPr>
        <w:t>agency</w:t>
      </w:r>
      <w:r>
        <w:rPr>
          <w:rFonts w:ascii="Calibri" w:hAnsi="Calibri"/>
          <w:color w:val="414142"/>
          <w:spacing w:val="-6"/>
          <w:w w:val="125"/>
          <w:sz w:val="18"/>
        </w:rPr>
        <w:t> </w:t>
      </w:r>
      <w:r>
        <w:rPr>
          <w:rFonts w:ascii="Calibri" w:hAnsi="Calibri"/>
          <w:color w:val="414142"/>
          <w:w w:val="125"/>
          <w:sz w:val="18"/>
        </w:rPr>
        <w:t>or</w:t>
      </w:r>
      <w:r>
        <w:rPr>
          <w:rFonts w:ascii="Calibri" w:hAnsi="Calibri"/>
          <w:color w:val="414142"/>
          <w:spacing w:val="-6"/>
          <w:w w:val="125"/>
          <w:sz w:val="18"/>
        </w:rPr>
        <w:t> </w:t>
      </w:r>
      <w:r>
        <w:rPr>
          <w:rFonts w:ascii="Calibri" w:hAnsi="Calibri"/>
          <w:color w:val="414142"/>
          <w:w w:val="125"/>
          <w:sz w:val="18"/>
        </w:rPr>
        <w:t>practitioner</w:t>
      </w:r>
      <w:r>
        <w:rPr>
          <w:rFonts w:ascii="Calibri" w:hAnsi="Calibri"/>
          <w:color w:val="414142"/>
          <w:spacing w:val="-6"/>
          <w:w w:val="125"/>
          <w:sz w:val="18"/>
        </w:rPr>
        <w:t> </w:t>
      </w:r>
      <w:r>
        <w:rPr>
          <w:rFonts w:ascii="Calibri" w:hAnsi="Calibri"/>
          <w:color w:val="414142"/>
          <w:w w:val="125"/>
          <w:sz w:val="18"/>
        </w:rPr>
        <w:t>through</w:t>
      </w:r>
      <w:r>
        <w:rPr>
          <w:rFonts w:ascii="Calibri" w:hAnsi="Calibri"/>
          <w:color w:val="414142"/>
          <w:spacing w:val="-6"/>
          <w:w w:val="125"/>
          <w:sz w:val="18"/>
        </w:rPr>
        <w:t> </w:t>
      </w:r>
      <w:r>
        <w:rPr>
          <w:rFonts w:ascii="Calibri" w:hAnsi="Calibri"/>
          <w:color w:val="414142"/>
          <w:w w:val="125"/>
          <w:sz w:val="18"/>
        </w:rPr>
        <w:t>a</w:t>
      </w:r>
      <w:r>
        <w:rPr>
          <w:rFonts w:ascii="Calibri" w:hAnsi="Calibri"/>
          <w:color w:val="414142"/>
          <w:spacing w:val="-6"/>
          <w:w w:val="125"/>
          <w:sz w:val="18"/>
        </w:rPr>
        <w:t> </w:t>
      </w:r>
      <w:r>
        <w:rPr>
          <w:rFonts w:ascii="Calibri" w:hAnsi="Calibri"/>
          <w:color w:val="414142"/>
          <w:w w:val="125"/>
          <w:sz w:val="18"/>
        </w:rPr>
        <w:t>formal</w:t>
      </w:r>
      <w:r>
        <w:rPr>
          <w:rFonts w:ascii="Calibri" w:hAnsi="Calibri"/>
          <w:color w:val="414142"/>
          <w:spacing w:val="-5"/>
          <w:w w:val="125"/>
          <w:sz w:val="18"/>
        </w:rPr>
        <w:t> </w:t>
      </w:r>
      <w:r>
        <w:rPr>
          <w:rFonts w:ascii="Calibri" w:hAnsi="Calibri"/>
          <w:color w:val="414142"/>
          <w:w w:val="125"/>
          <w:sz w:val="18"/>
        </w:rPr>
        <w:t>agreement.</w:t>
      </w:r>
      <w:r>
        <w:rPr>
          <w:rFonts w:ascii="Calibri" w:hAnsi="Calibri"/>
          <w:color w:val="414142"/>
          <w:w w:val="125"/>
          <w:position w:val="6"/>
          <w:sz w:val="10"/>
        </w:rPr>
        <w:t>8</w:t>
      </w:r>
    </w:p>
    <w:p>
      <w:pPr>
        <w:pStyle w:val="BodyText"/>
        <w:spacing w:before="11"/>
        <w:rPr>
          <w:rFonts w:ascii="Calibri"/>
          <w:sz w:val="20"/>
        </w:rPr>
      </w:pPr>
    </w:p>
    <w:p>
      <w:pPr>
        <w:pStyle w:val="Heading7"/>
        <w:ind w:left="410"/>
        <w:jc w:val="both"/>
        <w:rPr>
          <w:rFonts w:ascii="Arial"/>
        </w:rPr>
      </w:pPr>
      <w:r>
        <w:rPr>
          <w:rFonts w:ascii="Arial"/>
          <w:color w:val="137692"/>
          <w:w w:val="110"/>
        </w:rPr>
        <w:t>Key Terms Related to OUD Medication Pharmacology</w:t>
      </w:r>
    </w:p>
    <w:p>
      <w:pPr>
        <w:spacing w:line="261" w:lineRule="auto" w:before="97"/>
        <w:ind w:left="409" w:right="1117" w:firstLine="0"/>
        <w:jc w:val="both"/>
        <w:rPr>
          <w:rFonts w:ascii="Calibri" w:hAnsi="Calibri"/>
          <w:sz w:val="18"/>
        </w:rPr>
      </w:pPr>
      <w:r>
        <w:rPr>
          <w:rFonts w:ascii="Arial" w:hAnsi="Arial"/>
          <w:b/>
          <w:color w:val="137692"/>
          <w:w w:val="120"/>
          <w:sz w:val="22"/>
        </w:rPr>
        <w:t>Abuse liability:</w:t>
      </w:r>
      <w:r>
        <w:rPr>
          <w:rFonts w:ascii="Arial" w:hAnsi="Arial"/>
          <w:b/>
          <w:color w:val="137692"/>
          <w:spacing w:val="-54"/>
          <w:w w:val="120"/>
          <w:sz w:val="22"/>
        </w:rPr>
        <w:t> </w:t>
      </w:r>
      <w:r>
        <w:rPr>
          <w:rFonts w:ascii="Calibri" w:hAnsi="Calibri"/>
          <w:color w:val="414142"/>
          <w:w w:val="120"/>
          <w:sz w:val="18"/>
        </w:rPr>
        <w:t>The likelihood that a medication with central nervous system activity will cause desirable psychological effects, such as euphoria or mood changes, that promote the medication’s misuse.</w:t>
      </w:r>
    </w:p>
    <w:p>
      <w:pPr>
        <w:spacing w:before="74"/>
        <w:ind w:left="410" w:right="0" w:firstLine="0"/>
        <w:jc w:val="both"/>
        <w:rPr>
          <w:rFonts w:ascii="Calibri"/>
          <w:sz w:val="18"/>
        </w:rPr>
      </w:pPr>
      <w:r>
        <w:rPr>
          <w:rFonts w:ascii="Arial"/>
          <w:b/>
          <w:color w:val="137692"/>
          <w:w w:val="120"/>
          <w:sz w:val="22"/>
        </w:rPr>
        <w:t>Bioavailability: </w:t>
      </w:r>
      <w:r>
        <w:rPr>
          <w:rFonts w:ascii="Calibri"/>
          <w:color w:val="414142"/>
          <w:w w:val="120"/>
          <w:sz w:val="18"/>
        </w:rPr>
        <w:t>Proportion of medication administered that reaches the bloodstream.</w:t>
      </w:r>
    </w:p>
    <w:p>
      <w:pPr>
        <w:spacing w:line="259" w:lineRule="auto" w:before="95"/>
        <w:ind w:left="410" w:right="875" w:hanging="1"/>
        <w:jc w:val="left"/>
        <w:rPr>
          <w:rFonts w:ascii="Calibri"/>
          <w:sz w:val="18"/>
        </w:rPr>
      </w:pPr>
      <w:r>
        <w:rPr>
          <w:rFonts w:ascii="Arial"/>
          <w:b/>
          <w:color w:val="137692"/>
          <w:w w:val="120"/>
          <w:sz w:val="22"/>
        </w:rPr>
        <w:t>Cross-tolerance:</w:t>
      </w:r>
      <w:r>
        <w:rPr>
          <w:rFonts w:ascii="Arial"/>
          <w:b/>
          <w:color w:val="137692"/>
          <w:spacing w:val="-40"/>
          <w:w w:val="120"/>
          <w:sz w:val="22"/>
        </w:rPr>
        <w:t> </w:t>
      </w:r>
      <w:r>
        <w:rPr>
          <w:rFonts w:ascii="Calibri"/>
          <w:color w:val="414142"/>
          <w:w w:val="120"/>
          <w:sz w:val="18"/>
        </w:rPr>
        <w:t>Potential</w:t>
      </w:r>
      <w:r>
        <w:rPr>
          <w:rFonts w:ascii="Calibri"/>
          <w:color w:val="414142"/>
          <w:spacing w:val="-16"/>
          <w:w w:val="120"/>
          <w:sz w:val="18"/>
        </w:rPr>
        <w:t> </w:t>
      </w:r>
      <w:r>
        <w:rPr>
          <w:rFonts w:ascii="Calibri"/>
          <w:color w:val="414142"/>
          <w:w w:val="120"/>
          <w:sz w:val="18"/>
        </w:rPr>
        <w:t>for</w:t>
      </w:r>
      <w:r>
        <w:rPr>
          <w:rFonts w:ascii="Calibri"/>
          <w:color w:val="414142"/>
          <w:spacing w:val="-16"/>
          <w:w w:val="120"/>
          <w:sz w:val="18"/>
        </w:rPr>
        <w:t> </w:t>
      </w:r>
      <w:r>
        <w:rPr>
          <w:rFonts w:ascii="Calibri"/>
          <w:color w:val="414142"/>
          <w:w w:val="120"/>
          <w:sz w:val="18"/>
        </w:rPr>
        <w:t>people</w:t>
      </w:r>
      <w:r>
        <w:rPr>
          <w:rFonts w:ascii="Calibri"/>
          <w:color w:val="414142"/>
          <w:spacing w:val="-16"/>
          <w:w w:val="120"/>
          <w:sz w:val="18"/>
        </w:rPr>
        <w:t> </w:t>
      </w:r>
      <w:r>
        <w:rPr>
          <w:rFonts w:ascii="Calibri"/>
          <w:color w:val="414142"/>
          <w:w w:val="120"/>
          <w:sz w:val="18"/>
        </w:rPr>
        <w:t>tolerant</w:t>
      </w:r>
      <w:r>
        <w:rPr>
          <w:rFonts w:ascii="Calibri"/>
          <w:color w:val="414142"/>
          <w:spacing w:val="-15"/>
          <w:w w:val="120"/>
          <w:sz w:val="18"/>
        </w:rPr>
        <w:t> </w:t>
      </w:r>
      <w:r>
        <w:rPr>
          <w:rFonts w:ascii="Calibri"/>
          <w:color w:val="414142"/>
          <w:w w:val="120"/>
          <w:sz w:val="18"/>
        </w:rPr>
        <w:t>to</w:t>
      </w:r>
      <w:r>
        <w:rPr>
          <w:rFonts w:ascii="Calibri"/>
          <w:color w:val="414142"/>
          <w:spacing w:val="-16"/>
          <w:w w:val="120"/>
          <w:sz w:val="18"/>
        </w:rPr>
        <w:t> </w:t>
      </w:r>
      <w:r>
        <w:rPr>
          <w:rFonts w:ascii="Calibri"/>
          <w:color w:val="414142"/>
          <w:w w:val="120"/>
          <w:sz w:val="18"/>
        </w:rPr>
        <w:t>one</w:t>
      </w:r>
      <w:r>
        <w:rPr>
          <w:rFonts w:ascii="Calibri"/>
          <w:color w:val="414142"/>
          <w:spacing w:val="-16"/>
          <w:w w:val="120"/>
          <w:sz w:val="18"/>
        </w:rPr>
        <w:t> </w:t>
      </w:r>
      <w:r>
        <w:rPr>
          <w:rFonts w:ascii="Calibri"/>
          <w:color w:val="414142"/>
          <w:w w:val="120"/>
          <w:sz w:val="18"/>
        </w:rPr>
        <w:t>opioid</w:t>
      </w:r>
      <w:r>
        <w:rPr>
          <w:rFonts w:ascii="Calibri"/>
          <w:color w:val="414142"/>
          <w:spacing w:val="-16"/>
          <w:w w:val="120"/>
          <w:sz w:val="18"/>
        </w:rPr>
        <w:t> </w:t>
      </w:r>
      <w:r>
        <w:rPr>
          <w:rFonts w:ascii="Calibri"/>
          <w:color w:val="414142"/>
          <w:w w:val="120"/>
          <w:sz w:val="18"/>
        </w:rPr>
        <w:t>(e.g.,</w:t>
      </w:r>
      <w:r>
        <w:rPr>
          <w:rFonts w:ascii="Calibri"/>
          <w:color w:val="414142"/>
          <w:spacing w:val="-15"/>
          <w:w w:val="120"/>
          <w:sz w:val="18"/>
        </w:rPr>
        <w:t> </w:t>
      </w:r>
      <w:r>
        <w:rPr>
          <w:rFonts w:ascii="Calibri"/>
          <w:color w:val="414142"/>
          <w:w w:val="120"/>
          <w:sz w:val="18"/>
        </w:rPr>
        <w:t>heroin)</w:t>
      </w:r>
      <w:r>
        <w:rPr>
          <w:rFonts w:ascii="Calibri"/>
          <w:color w:val="414142"/>
          <w:spacing w:val="-16"/>
          <w:w w:val="120"/>
          <w:sz w:val="18"/>
        </w:rPr>
        <w:t> </w:t>
      </w:r>
      <w:r>
        <w:rPr>
          <w:rFonts w:ascii="Calibri"/>
          <w:color w:val="414142"/>
          <w:w w:val="120"/>
          <w:sz w:val="18"/>
        </w:rPr>
        <w:t>to</w:t>
      </w:r>
      <w:r>
        <w:rPr>
          <w:rFonts w:ascii="Calibri"/>
          <w:color w:val="414142"/>
          <w:spacing w:val="-16"/>
          <w:w w:val="120"/>
          <w:sz w:val="18"/>
        </w:rPr>
        <w:t> </w:t>
      </w:r>
      <w:r>
        <w:rPr>
          <w:rFonts w:ascii="Calibri"/>
          <w:color w:val="414142"/>
          <w:w w:val="120"/>
          <w:sz w:val="18"/>
        </w:rPr>
        <w:t>be</w:t>
      </w:r>
      <w:r>
        <w:rPr>
          <w:rFonts w:ascii="Calibri"/>
          <w:color w:val="414142"/>
          <w:spacing w:val="-15"/>
          <w:w w:val="120"/>
          <w:sz w:val="18"/>
        </w:rPr>
        <w:t> </w:t>
      </w:r>
      <w:r>
        <w:rPr>
          <w:rFonts w:ascii="Calibri"/>
          <w:color w:val="414142"/>
          <w:w w:val="120"/>
          <w:sz w:val="18"/>
        </w:rPr>
        <w:t>tolerant</w:t>
      </w:r>
      <w:r>
        <w:rPr>
          <w:rFonts w:ascii="Calibri"/>
          <w:color w:val="414142"/>
          <w:spacing w:val="-16"/>
          <w:w w:val="120"/>
          <w:sz w:val="18"/>
        </w:rPr>
        <w:t> </w:t>
      </w:r>
      <w:r>
        <w:rPr>
          <w:rFonts w:ascii="Calibri"/>
          <w:color w:val="414142"/>
          <w:w w:val="120"/>
          <w:sz w:val="18"/>
        </w:rPr>
        <w:t>to</w:t>
      </w:r>
      <w:r>
        <w:rPr>
          <w:rFonts w:ascii="Calibri"/>
          <w:color w:val="414142"/>
          <w:spacing w:val="-16"/>
          <w:w w:val="120"/>
          <w:sz w:val="18"/>
        </w:rPr>
        <w:t> </w:t>
      </w:r>
      <w:r>
        <w:rPr>
          <w:rFonts w:ascii="Calibri"/>
          <w:color w:val="414142"/>
          <w:w w:val="120"/>
          <w:sz w:val="18"/>
        </w:rPr>
        <w:t>another (e.g.,</w:t>
      </w:r>
      <w:r>
        <w:rPr>
          <w:rFonts w:ascii="Calibri"/>
          <w:color w:val="414142"/>
          <w:spacing w:val="-3"/>
          <w:w w:val="120"/>
          <w:sz w:val="18"/>
        </w:rPr>
        <w:t> </w:t>
      </w:r>
      <w:r>
        <w:rPr>
          <w:rFonts w:ascii="Calibri"/>
          <w:color w:val="414142"/>
          <w:w w:val="120"/>
          <w:sz w:val="18"/>
        </w:rPr>
        <w:t>methadone).</w:t>
      </w:r>
    </w:p>
    <w:p>
      <w:pPr>
        <w:spacing w:line="259" w:lineRule="auto" w:before="78"/>
        <w:ind w:left="410" w:right="453" w:hanging="1"/>
        <w:jc w:val="left"/>
        <w:rPr>
          <w:rFonts w:ascii="Calibri"/>
          <w:sz w:val="18"/>
        </w:rPr>
      </w:pPr>
      <w:r>
        <w:rPr>
          <w:rFonts w:ascii="Arial"/>
          <w:b/>
          <w:color w:val="137692"/>
          <w:w w:val="125"/>
          <w:sz w:val="22"/>
        </w:rPr>
        <w:t>Dissociation:</w:t>
      </w:r>
      <w:r>
        <w:rPr>
          <w:rFonts w:ascii="Arial"/>
          <w:b/>
          <w:color w:val="137692"/>
          <w:spacing w:val="-49"/>
          <w:w w:val="125"/>
          <w:sz w:val="22"/>
        </w:rPr>
        <w:t> </w:t>
      </w:r>
      <w:r>
        <w:rPr>
          <w:rFonts w:ascii="Calibri"/>
          <w:color w:val="414142"/>
          <w:w w:val="125"/>
          <w:sz w:val="18"/>
        </w:rPr>
        <w:t>Rate</w:t>
      </w:r>
      <w:r>
        <w:rPr>
          <w:rFonts w:ascii="Calibri"/>
          <w:color w:val="414142"/>
          <w:spacing w:val="-22"/>
          <w:w w:val="125"/>
          <w:sz w:val="18"/>
        </w:rPr>
        <w:t> </w:t>
      </w:r>
      <w:r>
        <w:rPr>
          <w:rFonts w:ascii="Calibri"/>
          <w:color w:val="414142"/>
          <w:w w:val="125"/>
          <w:sz w:val="18"/>
        </w:rPr>
        <w:t>at</w:t>
      </w:r>
      <w:r>
        <w:rPr>
          <w:rFonts w:ascii="Calibri"/>
          <w:color w:val="414142"/>
          <w:spacing w:val="-23"/>
          <w:w w:val="125"/>
          <w:sz w:val="18"/>
        </w:rPr>
        <w:t> </w:t>
      </w:r>
      <w:r>
        <w:rPr>
          <w:rFonts w:ascii="Calibri"/>
          <w:color w:val="414142"/>
          <w:w w:val="125"/>
          <w:sz w:val="18"/>
        </w:rPr>
        <w:t>which</w:t>
      </w:r>
      <w:r>
        <w:rPr>
          <w:rFonts w:ascii="Calibri"/>
          <w:color w:val="414142"/>
          <w:spacing w:val="-23"/>
          <w:w w:val="125"/>
          <w:sz w:val="18"/>
        </w:rPr>
        <w:t> </w:t>
      </w:r>
      <w:r>
        <w:rPr>
          <w:rFonts w:ascii="Calibri"/>
          <w:color w:val="414142"/>
          <w:w w:val="125"/>
          <w:sz w:val="18"/>
        </w:rPr>
        <w:t>a</w:t>
      </w:r>
      <w:r>
        <w:rPr>
          <w:rFonts w:ascii="Calibri"/>
          <w:color w:val="414142"/>
          <w:spacing w:val="-23"/>
          <w:w w:val="125"/>
          <w:sz w:val="18"/>
        </w:rPr>
        <w:t> </w:t>
      </w:r>
      <w:r>
        <w:rPr>
          <w:rFonts w:ascii="Calibri"/>
          <w:color w:val="414142"/>
          <w:w w:val="125"/>
          <w:sz w:val="18"/>
        </w:rPr>
        <w:t>drug</w:t>
      </w:r>
      <w:r>
        <w:rPr>
          <w:rFonts w:ascii="Calibri"/>
          <w:color w:val="414142"/>
          <w:spacing w:val="-22"/>
          <w:w w:val="125"/>
          <w:sz w:val="18"/>
        </w:rPr>
        <w:t> </w:t>
      </w:r>
      <w:r>
        <w:rPr>
          <w:rFonts w:ascii="Calibri"/>
          <w:color w:val="414142"/>
          <w:w w:val="125"/>
          <w:sz w:val="18"/>
        </w:rPr>
        <w:t>uncouples</w:t>
      </w:r>
      <w:r>
        <w:rPr>
          <w:rFonts w:ascii="Calibri"/>
          <w:color w:val="414142"/>
          <w:spacing w:val="-23"/>
          <w:w w:val="125"/>
          <w:sz w:val="18"/>
        </w:rPr>
        <w:t> </w:t>
      </w:r>
      <w:r>
        <w:rPr>
          <w:rFonts w:ascii="Calibri"/>
          <w:color w:val="414142"/>
          <w:spacing w:val="2"/>
          <w:w w:val="125"/>
          <w:sz w:val="18"/>
        </w:rPr>
        <w:t>from</w:t>
      </w:r>
      <w:r>
        <w:rPr>
          <w:rFonts w:ascii="Calibri"/>
          <w:color w:val="414142"/>
          <w:spacing w:val="-23"/>
          <w:w w:val="125"/>
          <w:sz w:val="18"/>
        </w:rPr>
        <w:t> </w:t>
      </w:r>
      <w:r>
        <w:rPr>
          <w:rFonts w:ascii="Calibri"/>
          <w:color w:val="414142"/>
          <w:w w:val="125"/>
          <w:sz w:val="18"/>
        </w:rPr>
        <w:t>the</w:t>
      </w:r>
      <w:r>
        <w:rPr>
          <w:rFonts w:ascii="Calibri"/>
          <w:color w:val="414142"/>
          <w:spacing w:val="-23"/>
          <w:w w:val="125"/>
          <w:sz w:val="18"/>
        </w:rPr>
        <w:t> </w:t>
      </w:r>
      <w:r>
        <w:rPr>
          <w:rFonts w:ascii="Calibri"/>
          <w:color w:val="414142"/>
          <w:w w:val="125"/>
          <w:sz w:val="18"/>
        </w:rPr>
        <w:t>receptor.</w:t>
      </w:r>
      <w:r>
        <w:rPr>
          <w:rFonts w:ascii="Calibri"/>
          <w:color w:val="414142"/>
          <w:spacing w:val="-23"/>
          <w:w w:val="125"/>
          <w:sz w:val="18"/>
        </w:rPr>
        <w:t> </w:t>
      </w:r>
      <w:r>
        <w:rPr>
          <w:rFonts w:ascii="Calibri"/>
          <w:color w:val="414142"/>
          <w:w w:val="125"/>
          <w:sz w:val="18"/>
        </w:rPr>
        <w:t>A</w:t>
      </w:r>
      <w:r>
        <w:rPr>
          <w:rFonts w:ascii="Calibri"/>
          <w:color w:val="414142"/>
          <w:spacing w:val="-22"/>
          <w:w w:val="125"/>
          <w:sz w:val="18"/>
        </w:rPr>
        <w:t> </w:t>
      </w:r>
      <w:r>
        <w:rPr>
          <w:rFonts w:ascii="Calibri"/>
          <w:color w:val="414142"/>
          <w:w w:val="125"/>
          <w:sz w:val="18"/>
        </w:rPr>
        <w:t>drug</w:t>
      </w:r>
      <w:r>
        <w:rPr>
          <w:rFonts w:ascii="Calibri"/>
          <w:color w:val="414142"/>
          <w:spacing w:val="-23"/>
          <w:w w:val="125"/>
          <w:sz w:val="18"/>
        </w:rPr>
        <w:t> </w:t>
      </w:r>
      <w:r>
        <w:rPr>
          <w:rFonts w:ascii="Calibri"/>
          <w:color w:val="414142"/>
          <w:w w:val="125"/>
          <w:sz w:val="18"/>
        </w:rPr>
        <w:t>with</w:t>
      </w:r>
      <w:r>
        <w:rPr>
          <w:rFonts w:ascii="Calibri"/>
          <w:color w:val="414142"/>
          <w:spacing w:val="-23"/>
          <w:w w:val="125"/>
          <w:sz w:val="18"/>
        </w:rPr>
        <w:t> </w:t>
      </w:r>
      <w:r>
        <w:rPr>
          <w:rFonts w:ascii="Calibri"/>
          <w:color w:val="414142"/>
          <w:w w:val="125"/>
          <w:sz w:val="18"/>
        </w:rPr>
        <w:t>a</w:t>
      </w:r>
      <w:r>
        <w:rPr>
          <w:rFonts w:ascii="Calibri"/>
          <w:color w:val="414142"/>
          <w:spacing w:val="-23"/>
          <w:w w:val="125"/>
          <w:sz w:val="18"/>
        </w:rPr>
        <w:t> </w:t>
      </w:r>
      <w:r>
        <w:rPr>
          <w:rFonts w:ascii="Calibri"/>
          <w:color w:val="414142"/>
          <w:w w:val="125"/>
          <w:sz w:val="18"/>
        </w:rPr>
        <w:t>longer</w:t>
      </w:r>
      <w:r>
        <w:rPr>
          <w:rFonts w:ascii="Calibri"/>
          <w:color w:val="414142"/>
          <w:spacing w:val="-22"/>
          <w:w w:val="125"/>
          <w:sz w:val="18"/>
        </w:rPr>
        <w:t> </w:t>
      </w:r>
      <w:r>
        <w:rPr>
          <w:rFonts w:ascii="Calibri"/>
          <w:color w:val="414142"/>
          <w:w w:val="125"/>
          <w:sz w:val="18"/>
        </w:rPr>
        <w:t>dissociation</w:t>
      </w:r>
      <w:r>
        <w:rPr>
          <w:rFonts w:ascii="Calibri"/>
          <w:color w:val="414142"/>
          <w:spacing w:val="-23"/>
          <w:w w:val="125"/>
          <w:sz w:val="18"/>
        </w:rPr>
        <w:t> </w:t>
      </w:r>
      <w:r>
        <w:rPr>
          <w:rFonts w:ascii="Calibri"/>
          <w:color w:val="414142"/>
          <w:w w:val="125"/>
          <w:sz w:val="18"/>
        </w:rPr>
        <w:t>rate will</w:t>
      </w:r>
      <w:r>
        <w:rPr>
          <w:rFonts w:ascii="Calibri"/>
          <w:color w:val="414142"/>
          <w:spacing w:val="-6"/>
          <w:w w:val="125"/>
          <w:sz w:val="18"/>
        </w:rPr>
        <w:t> </w:t>
      </w:r>
      <w:r>
        <w:rPr>
          <w:rFonts w:ascii="Calibri"/>
          <w:color w:val="414142"/>
          <w:w w:val="125"/>
          <w:sz w:val="18"/>
        </w:rPr>
        <w:t>have</w:t>
      </w:r>
      <w:r>
        <w:rPr>
          <w:rFonts w:ascii="Calibri"/>
          <w:color w:val="414142"/>
          <w:spacing w:val="-6"/>
          <w:w w:val="125"/>
          <w:sz w:val="18"/>
        </w:rPr>
        <w:t> </w:t>
      </w:r>
      <w:r>
        <w:rPr>
          <w:rFonts w:ascii="Calibri"/>
          <w:color w:val="414142"/>
          <w:w w:val="125"/>
          <w:sz w:val="18"/>
        </w:rPr>
        <w:t>a</w:t>
      </w:r>
      <w:r>
        <w:rPr>
          <w:rFonts w:ascii="Calibri"/>
          <w:color w:val="414142"/>
          <w:spacing w:val="-6"/>
          <w:w w:val="125"/>
          <w:sz w:val="18"/>
        </w:rPr>
        <w:t> </w:t>
      </w:r>
      <w:r>
        <w:rPr>
          <w:rFonts w:ascii="Calibri"/>
          <w:color w:val="414142"/>
          <w:w w:val="125"/>
          <w:sz w:val="18"/>
        </w:rPr>
        <w:t>longer</w:t>
      </w:r>
      <w:r>
        <w:rPr>
          <w:rFonts w:ascii="Calibri"/>
          <w:color w:val="414142"/>
          <w:spacing w:val="-6"/>
          <w:w w:val="125"/>
          <w:sz w:val="18"/>
        </w:rPr>
        <w:t> </w:t>
      </w:r>
      <w:r>
        <w:rPr>
          <w:rFonts w:ascii="Calibri"/>
          <w:color w:val="414142"/>
          <w:w w:val="125"/>
          <w:sz w:val="18"/>
        </w:rPr>
        <w:t>duration</w:t>
      </w:r>
      <w:r>
        <w:rPr>
          <w:rFonts w:ascii="Calibri"/>
          <w:color w:val="414142"/>
          <w:spacing w:val="-6"/>
          <w:w w:val="125"/>
          <w:sz w:val="18"/>
        </w:rPr>
        <w:t> </w:t>
      </w:r>
      <w:r>
        <w:rPr>
          <w:rFonts w:ascii="Calibri"/>
          <w:color w:val="414142"/>
          <w:w w:val="125"/>
          <w:sz w:val="18"/>
        </w:rPr>
        <w:t>of</w:t>
      </w:r>
      <w:r>
        <w:rPr>
          <w:rFonts w:ascii="Calibri"/>
          <w:color w:val="414142"/>
          <w:spacing w:val="-5"/>
          <w:w w:val="125"/>
          <w:sz w:val="18"/>
        </w:rPr>
        <w:t> </w:t>
      </w:r>
      <w:r>
        <w:rPr>
          <w:rFonts w:ascii="Calibri"/>
          <w:color w:val="414142"/>
          <w:w w:val="125"/>
          <w:sz w:val="18"/>
        </w:rPr>
        <w:t>action</w:t>
      </w:r>
      <w:r>
        <w:rPr>
          <w:rFonts w:ascii="Calibri"/>
          <w:color w:val="414142"/>
          <w:spacing w:val="-6"/>
          <w:w w:val="125"/>
          <w:sz w:val="18"/>
        </w:rPr>
        <w:t> </w:t>
      </w:r>
      <w:r>
        <w:rPr>
          <w:rFonts w:ascii="Calibri"/>
          <w:color w:val="414142"/>
          <w:w w:val="125"/>
          <w:sz w:val="18"/>
        </w:rPr>
        <w:t>than</w:t>
      </w:r>
      <w:r>
        <w:rPr>
          <w:rFonts w:ascii="Calibri"/>
          <w:color w:val="414142"/>
          <w:spacing w:val="-6"/>
          <w:w w:val="125"/>
          <w:sz w:val="18"/>
        </w:rPr>
        <w:t> </w:t>
      </w:r>
      <w:r>
        <w:rPr>
          <w:rFonts w:ascii="Calibri"/>
          <w:color w:val="414142"/>
          <w:w w:val="125"/>
          <w:sz w:val="18"/>
        </w:rPr>
        <w:t>a</w:t>
      </w:r>
      <w:r>
        <w:rPr>
          <w:rFonts w:ascii="Calibri"/>
          <w:color w:val="414142"/>
          <w:spacing w:val="-6"/>
          <w:w w:val="125"/>
          <w:sz w:val="18"/>
        </w:rPr>
        <w:t> </w:t>
      </w:r>
      <w:r>
        <w:rPr>
          <w:rFonts w:ascii="Calibri"/>
          <w:color w:val="414142"/>
          <w:w w:val="125"/>
          <w:sz w:val="18"/>
        </w:rPr>
        <w:t>drug</w:t>
      </w:r>
      <w:r>
        <w:rPr>
          <w:rFonts w:ascii="Calibri"/>
          <w:color w:val="414142"/>
          <w:spacing w:val="-6"/>
          <w:w w:val="125"/>
          <w:sz w:val="18"/>
        </w:rPr>
        <w:t> </w:t>
      </w:r>
      <w:r>
        <w:rPr>
          <w:rFonts w:ascii="Calibri"/>
          <w:color w:val="414142"/>
          <w:w w:val="125"/>
          <w:sz w:val="18"/>
        </w:rPr>
        <w:t>with</w:t>
      </w:r>
      <w:r>
        <w:rPr>
          <w:rFonts w:ascii="Calibri"/>
          <w:color w:val="414142"/>
          <w:spacing w:val="-6"/>
          <w:w w:val="125"/>
          <w:sz w:val="18"/>
        </w:rPr>
        <w:t> </w:t>
      </w:r>
      <w:r>
        <w:rPr>
          <w:rFonts w:ascii="Calibri"/>
          <w:color w:val="414142"/>
          <w:w w:val="125"/>
          <w:sz w:val="18"/>
        </w:rPr>
        <w:t>a</w:t>
      </w:r>
      <w:r>
        <w:rPr>
          <w:rFonts w:ascii="Calibri"/>
          <w:color w:val="414142"/>
          <w:spacing w:val="-5"/>
          <w:w w:val="125"/>
          <w:sz w:val="18"/>
        </w:rPr>
        <w:t> </w:t>
      </w:r>
      <w:r>
        <w:rPr>
          <w:rFonts w:ascii="Calibri"/>
          <w:color w:val="414142"/>
          <w:w w:val="125"/>
          <w:sz w:val="18"/>
        </w:rPr>
        <w:t>shorter</w:t>
      </w:r>
      <w:r>
        <w:rPr>
          <w:rFonts w:ascii="Calibri"/>
          <w:color w:val="414142"/>
          <w:spacing w:val="-6"/>
          <w:w w:val="125"/>
          <w:sz w:val="18"/>
        </w:rPr>
        <w:t> </w:t>
      </w:r>
      <w:r>
        <w:rPr>
          <w:rFonts w:ascii="Calibri"/>
          <w:color w:val="414142"/>
          <w:w w:val="125"/>
          <w:sz w:val="18"/>
        </w:rPr>
        <w:t>dissociation</w:t>
      </w:r>
      <w:r>
        <w:rPr>
          <w:rFonts w:ascii="Calibri"/>
          <w:color w:val="414142"/>
          <w:spacing w:val="-6"/>
          <w:w w:val="125"/>
          <w:sz w:val="18"/>
        </w:rPr>
        <w:t> </w:t>
      </w:r>
      <w:r>
        <w:rPr>
          <w:rFonts w:ascii="Calibri"/>
          <w:color w:val="414142"/>
          <w:w w:val="125"/>
          <w:sz w:val="18"/>
        </w:rPr>
        <w:t>rate.</w:t>
      </w:r>
    </w:p>
    <w:p>
      <w:pPr>
        <w:spacing w:line="261" w:lineRule="auto" w:before="77"/>
        <w:ind w:left="409" w:right="831" w:firstLine="0"/>
        <w:jc w:val="left"/>
        <w:rPr>
          <w:rFonts w:ascii="Calibri" w:hAnsi="Calibri"/>
          <w:sz w:val="18"/>
        </w:rPr>
      </w:pPr>
      <w:r>
        <w:rPr>
          <w:rFonts w:ascii="Arial" w:hAnsi="Arial"/>
          <w:b/>
          <w:color w:val="137692"/>
          <w:w w:val="125"/>
          <w:sz w:val="22"/>
        </w:rPr>
        <w:t>Half-life: </w:t>
      </w:r>
      <w:r>
        <w:rPr>
          <w:rFonts w:ascii="Calibri" w:hAnsi="Calibri"/>
          <w:color w:val="414142"/>
          <w:w w:val="125"/>
          <w:sz w:val="18"/>
        </w:rPr>
        <w:t>Rate of removal of a drug </w:t>
      </w:r>
      <w:r>
        <w:rPr>
          <w:rFonts w:ascii="Calibri" w:hAnsi="Calibri"/>
          <w:color w:val="414142"/>
          <w:spacing w:val="2"/>
          <w:w w:val="125"/>
          <w:sz w:val="18"/>
        </w:rPr>
        <w:t>from </w:t>
      </w:r>
      <w:r>
        <w:rPr>
          <w:rFonts w:ascii="Calibri" w:hAnsi="Calibri"/>
          <w:color w:val="414142"/>
          <w:w w:val="125"/>
          <w:sz w:val="18"/>
        </w:rPr>
        <w:t>the body. One half-life removes 50 percent </w:t>
      </w:r>
      <w:r>
        <w:rPr>
          <w:rFonts w:ascii="Calibri" w:hAnsi="Calibri"/>
          <w:color w:val="414142"/>
          <w:spacing w:val="2"/>
          <w:w w:val="125"/>
          <w:sz w:val="18"/>
        </w:rPr>
        <w:t>from </w:t>
      </w:r>
      <w:r>
        <w:rPr>
          <w:rFonts w:ascii="Calibri" w:hAnsi="Calibri"/>
          <w:color w:val="414142"/>
          <w:w w:val="125"/>
          <w:sz w:val="18"/>
        </w:rPr>
        <w:t>the plasma.</w:t>
      </w:r>
      <w:r>
        <w:rPr>
          <w:rFonts w:ascii="Calibri" w:hAnsi="Calibri"/>
          <w:color w:val="414142"/>
          <w:spacing w:val="-13"/>
          <w:w w:val="125"/>
          <w:sz w:val="18"/>
        </w:rPr>
        <w:t> </w:t>
      </w:r>
      <w:r>
        <w:rPr>
          <w:rFonts w:ascii="Calibri" w:hAnsi="Calibri"/>
          <w:color w:val="414142"/>
          <w:w w:val="125"/>
          <w:sz w:val="18"/>
        </w:rPr>
        <w:t>After</w:t>
      </w:r>
      <w:r>
        <w:rPr>
          <w:rFonts w:ascii="Calibri" w:hAnsi="Calibri"/>
          <w:color w:val="414142"/>
          <w:spacing w:val="-13"/>
          <w:w w:val="125"/>
          <w:sz w:val="18"/>
        </w:rPr>
        <w:t> </w:t>
      </w:r>
      <w:r>
        <w:rPr>
          <w:rFonts w:ascii="Calibri" w:hAnsi="Calibri"/>
          <w:color w:val="414142"/>
          <w:w w:val="125"/>
          <w:sz w:val="18"/>
        </w:rPr>
        <w:t>a</w:t>
      </w:r>
      <w:r>
        <w:rPr>
          <w:rFonts w:ascii="Calibri" w:hAnsi="Calibri"/>
          <w:color w:val="414142"/>
          <w:spacing w:val="-13"/>
          <w:w w:val="125"/>
          <w:sz w:val="18"/>
        </w:rPr>
        <w:t> </w:t>
      </w:r>
      <w:r>
        <w:rPr>
          <w:rFonts w:ascii="Calibri" w:hAnsi="Calibri"/>
          <w:color w:val="414142"/>
          <w:w w:val="125"/>
          <w:sz w:val="18"/>
        </w:rPr>
        <w:t>drug</w:t>
      </w:r>
      <w:r>
        <w:rPr>
          <w:rFonts w:ascii="Calibri" w:hAnsi="Calibri"/>
          <w:color w:val="414142"/>
          <w:spacing w:val="-13"/>
          <w:w w:val="125"/>
          <w:sz w:val="18"/>
        </w:rPr>
        <w:t> </w:t>
      </w:r>
      <w:r>
        <w:rPr>
          <w:rFonts w:ascii="Calibri" w:hAnsi="Calibri"/>
          <w:color w:val="414142"/>
          <w:w w:val="125"/>
          <w:sz w:val="18"/>
        </w:rPr>
        <w:t>is</w:t>
      </w:r>
      <w:r>
        <w:rPr>
          <w:rFonts w:ascii="Calibri" w:hAnsi="Calibri"/>
          <w:color w:val="414142"/>
          <w:spacing w:val="-13"/>
          <w:w w:val="125"/>
          <w:sz w:val="18"/>
        </w:rPr>
        <w:t> </w:t>
      </w:r>
      <w:r>
        <w:rPr>
          <w:rFonts w:ascii="Calibri" w:hAnsi="Calibri"/>
          <w:color w:val="414142"/>
          <w:w w:val="125"/>
          <w:sz w:val="18"/>
        </w:rPr>
        <w:t>stopped,</w:t>
      </w:r>
      <w:r>
        <w:rPr>
          <w:rFonts w:ascii="Calibri" w:hAnsi="Calibri"/>
          <w:color w:val="414142"/>
          <w:spacing w:val="-12"/>
          <w:w w:val="125"/>
          <w:sz w:val="18"/>
        </w:rPr>
        <w:t> </w:t>
      </w:r>
      <w:r>
        <w:rPr>
          <w:rFonts w:ascii="Calibri" w:hAnsi="Calibri"/>
          <w:color w:val="414142"/>
          <w:w w:val="125"/>
          <w:sz w:val="18"/>
        </w:rPr>
        <w:t>it</w:t>
      </w:r>
      <w:r>
        <w:rPr>
          <w:rFonts w:ascii="Calibri" w:hAnsi="Calibri"/>
          <w:color w:val="414142"/>
          <w:spacing w:val="-13"/>
          <w:w w:val="125"/>
          <w:sz w:val="18"/>
        </w:rPr>
        <w:t> </w:t>
      </w:r>
      <w:r>
        <w:rPr>
          <w:rFonts w:ascii="Calibri" w:hAnsi="Calibri"/>
          <w:color w:val="414142"/>
          <w:w w:val="125"/>
          <w:sz w:val="18"/>
        </w:rPr>
        <w:t>takes</w:t>
      </w:r>
      <w:r>
        <w:rPr>
          <w:rFonts w:ascii="Calibri" w:hAnsi="Calibri"/>
          <w:color w:val="414142"/>
          <w:spacing w:val="-13"/>
          <w:w w:val="125"/>
          <w:sz w:val="18"/>
        </w:rPr>
        <w:t> </w:t>
      </w:r>
      <w:r>
        <w:rPr>
          <w:rFonts w:ascii="Calibri" w:hAnsi="Calibri"/>
          <w:color w:val="414142"/>
          <w:w w:val="125"/>
          <w:sz w:val="18"/>
        </w:rPr>
        <w:t>ﬁve</w:t>
      </w:r>
      <w:r>
        <w:rPr>
          <w:rFonts w:ascii="Calibri" w:hAnsi="Calibri"/>
          <w:color w:val="414142"/>
          <w:spacing w:val="-13"/>
          <w:w w:val="125"/>
          <w:sz w:val="18"/>
        </w:rPr>
        <w:t> </w:t>
      </w:r>
      <w:r>
        <w:rPr>
          <w:rFonts w:ascii="Calibri" w:hAnsi="Calibri"/>
          <w:color w:val="414142"/>
          <w:w w:val="125"/>
          <w:sz w:val="18"/>
        </w:rPr>
        <w:t>half-lives</w:t>
      </w:r>
      <w:r>
        <w:rPr>
          <w:rFonts w:ascii="Calibri" w:hAnsi="Calibri"/>
          <w:color w:val="414142"/>
          <w:spacing w:val="-13"/>
          <w:w w:val="125"/>
          <w:sz w:val="18"/>
        </w:rPr>
        <w:t> </w:t>
      </w:r>
      <w:r>
        <w:rPr>
          <w:rFonts w:ascii="Calibri" w:hAnsi="Calibri"/>
          <w:color w:val="414142"/>
          <w:w w:val="125"/>
          <w:sz w:val="18"/>
        </w:rPr>
        <w:t>to</w:t>
      </w:r>
      <w:r>
        <w:rPr>
          <w:rFonts w:ascii="Calibri" w:hAnsi="Calibri"/>
          <w:color w:val="414142"/>
          <w:spacing w:val="-12"/>
          <w:w w:val="125"/>
          <w:sz w:val="18"/>
        </w:rPr>
        <w:t> </w:t>
      </w:r>
      <w:r>
        <w:rPr>
          <w:rFonts w:ascii="Calibri" w:hAnsi="Calibri"/>
          <w:color w:val="414142"/>
          <w:w w:val="125"/>
          <w:sz w:val="18"/>
        </w:rPr>
        <w:t>remove</w:t>
      </w:r>
      <w:r>
        <w:rPr>
          <w:rFonts w:ascii="Calibri" w:hAnsi="Calibri"/>
          <w:color w:val="414142"/>
          <w:spacing w:val="-13"/>
          <w:w w:val="125"/>
          <w:sz w:val="18"/>
        </w:rPr>
        <w:t> </w:t>
      </w:r>
      <w:r>
        <w:rPr>
          <w:rFonts w:ascii="Calibri" w:hAnsi="Calibri"/>
          <w:color w:val="414142"/>
          <w:w w:val="125"/>
          <w:sz w:val="18"/>
        </w:rPr>
        <w:t>about</w:t>
      </w:r>
      <w:r>
        <w:rPr>
          <w:rFonts w:ascii="Calibri" w:hAnsi="Calibri"/>
          <w:color w:val="414142"/>
          <w:spacing w:val="-13"/>
          <w:w w:val="125"/>
          <w:sz w:val="18"/>
        </w:rPr>
        <w:t> </w:t>
      </w:r>
      <w:r>
        <w:rPr>
          <w:rFonts w:ascii="Calibri" w:hAnsi="Calibri"/>
          <w:color w:val="414142"/>
          <w:w w:val="125"/>
          <w:sz w:val="18"/>
        </w:rPr>
        <w:t>95</w:t>
      </w:r>
      <w:r>
        <w:rPr>
          <w:rFonts w:ascii="Calibri" w:hAnsi="Calibri"/>
          <w:color w:val="414142"/>
          <w:spacing w:val="-13"/>
          <w:w w:val="125"/>
          <w:sz w:val="18"/>
        </w:rPr>
        <w:t> </w:t>
      </w:r>
      <w:r>
        <w:rPr>
          <w:rFonts w:ascii="Calibri" w:hAnsi="Calibri"/>
          <w:color w:val="414142"/>
          <w:w w:val="125"/>
          <w:sz w:val="18"/>
        </w:rPr>
        <w:t>percent</w:t>
      </w:r>
      <w:r>
        <w:rPr>
          <w:rFonts w:ascii="Calibri" w:hAnsi="Calibri"/>
          <w:color w:val="414142"/>
          <w:spacing w:val="-13"/>
          <w:w w:val="125"/>
          <w:sz w:val="18"/>
        </w:rPr>
        <w:t> </w:t>
      </w:r>
      <w:r>
        <w:rPr>
          <w:rFonts w:ascii="Calibri" w:hAnsi="Calibri"/>
          <w:color w:val="414142"/>
          <w:spacing w:val="2"/>
          <w:w w:val="125"/>
          <w:sz w:val="18"/>
        </w:rPr>
        <w:t>from</w:t>
      </w:r>
      <w:r>
        <w:rPr>
          <w:rFonts w:ascii="Calibri" w:hAnsi="Calibri"/>
          <w:color w:val="414142"/>
          <w:spacing w:val="-13"/>
          <w:w w:val="125"/>
          <w:sz w:val="18"/>
        </w:rPr>
        <w:t> </w:t>
      </w:r>
      <w:r>
        <w:rPr>
          <w:rFonts w:ascii="Calibri" w:hAnsi="Calibri"/>
          <w:color w:val="414142"/>
          <w:w w:val="125"/>
          <w:sz w:val="18"/>
        </w:rPr>
        <w:t>the</w:t>
      </w:r>
      <w:r>
        <w:rPr>
          <w:rFonts w:ascii="Calibri" w:hAnsi="Calibri"/>
          <w:color w:val="414142"/>
          <w:spacing w:val="-12"/>
          <w:w w:val="125"/>
          <w:sz w:val="18"/>
        </w:rPr>
        <w:t> </w:t>
      </w:r>
      <w:r>
        <w:rPr>
          <w:rFonts w:ascii="Calibri" w:hAnsi="Calibri"/>
          <w:color w:val="414142"/>
          <w:w w:val="125"/>
          <w:sz w:val="18"/>
        </w:rPr>
        <w:t>plasma.</w:t>
      </w:r>
      <w:r>
        <w:rPr>
          <w:rFonts w:ascii="Calibri" w:hAnsi="Calibri"/>
          <w:color w:val="414142"/>
          <w:spacing w:val="-13"/>
          <w:w w:val="125"/>
          <w:sz w:val="18"/>
        </w:rPr>
        <w:t> </w:t>
      </w:r>
      <w:r>
        <w:rPr>
          <w:rFonts w:ascii="Calibri" w:hAnsi="Calibri"/>
          <w:color w:val="414142"/>
          <w:w w:val="125"/>
          <w:sz w:val="18"/>
        </w:rPr>
        <w:t>If a</w:t>
      </w:r>
      <w:r>
        <w:rPr>
          <w:rFonts w:ascii="Calibri" w:hAnsi="Calibri"/>
          <w:color w:val="414142"/>
          <w:spacing w:val="-11"/>
          <w:w w:val="125"/>
          <w:sz w:val="18"/>
        </w:rPr>
        <w:t> </w:t>
      </w:r>
      <w:r>
        <w:rPr>
          <w:rFonts w:ascii="Calibri" w:hAnsi="Calibri"/>
          <w:color w:val="414142"/>
          <w:w w:val="125"/>
          <w:sz w:val="18"/>
        </w:rPr>
        <w:t>drug</w:t>
      </w:r>
      <w:r>
        <w:rPr>
          <w:rFonts w:ascii="Calibri" w:hAnsi="Calibri"/>
          <w:color w:val="414142"/>
          <w:spacing w:val="-10"/>
          <w:w w:val="125"/>
          <w:sz w:val="18"/>
        </w:rPr>
        <w:t> </w:t>
      </w:r>
      <w:r>
        <w:rPr>
          <w:rFonts w:ascii="Calibri" w:hAnsi="Calibri"/>
          <w:color w:val="414142"/>
          <w:w w:val="125"/>
          <w:sz w:val="18"/>
        </w:rPr>
        <w:t>is</w:t>
      </w:r>
      <w:r>
        <w:rPr>
          <w:rFonts w:ascii="Calibri" w:hAnsi="Calibri"/>
          <w:color w:val="414142"/>
          <w:spacing w:val="-11"/>
          <w:w w:val="125"/>
          <w:sz w:val="18"/>
        </w:rPr>
        <w:t> </w:t>
      </w:r>
      <w:r>
        <w:rPr>
          <w:rFonts w:ascii="Calibri" w:hAnsi="Calibri"/>
          <w:color w:val="414142"/>
          <w:w w:val="125"/>
          <w:sz w:val="18"/>
        </w:rPr>
        <w:t>continued</w:t>
      </w:r>
      <w:r>
        <w:rPr>
          <w:rFonts w:ascii="Calibri" w:hAnsi="Calibri"/>
          <w:color w:val="414142"/>
          <w:spacing w:val="-10"/>
          <w:w w:val="125"/>
          <w:sz w:val="18"/>
        </w:rPr>
        <w:t> </w:t>
      </w:r>
      <w:r>
        <w:rPr>
          <w:rFonts w:ascii="Calibri" w:hAnsi="Calibri"/>
          <w:color w:val="414142"/>
          <w:w w:val="125"/>
          <w:sz w:val="18"/>
        </w:rPr>
        <w:t>at</w:t>
      </w:r>
      <w:r>
        <w:rPr>
          <w:rFonts w:ascii="Calibri" w:hAnsi="Calibri"/>
          <w:color w:val="414142"/>
          <w:spacing w:val="-10"/>
          <w:w w:val="125"/>
          <w:sz w:val="18"/>
        </w:rPr>
        <w:t> </w:t>
      </w:r>
      <w:r>
        <w:rPr>
          <w:rFonts w:ascii="Calibri" w:hAnsi="Calibri"/>
          <w:color w:val="414142"/>
          <w:w w:val="125"/>
          <w:sz w:val="18"/>
        </w:rPr>
        <w:t>the</w:t>
      </w:r>
      <w:r>
        <w:rPr>
          <w:rFonts w:ascii="Calibri" w:hAnsi="Calibri"/>
          <w:color w:val="414142"/>
          <w:spacing w:val="-11"/>
          <w:w w:val="125"/>
          <w:sz w:val="18"/>
        </w:rPr>
        <w:t> </w:t>
      </w:r>
      <w:r>
        <w:rPr>
          <w:rFonts w:ascii="Calibri" w:hAnsi="Calibri"/>
          <w:color w:val="414142"/>
          <w:w w:val="125"/>
          <w:sz w:val="18"/>
        </w:rPr>
        <w:t>same</w:t>
      </w:r>
      <w:r>
        <w:rPr>
          <w:rFonts w:ascii="Calibri" w:hAnsi="Calibri"/>
          <w:color w:val="414142"/>
          <w:spacing w:val="-10"/>
          <w:w w:val="125"/>
          <w:sz w:val="18"/>
        </w:rPr>
        <w:t> </w:t>
      </w:r>
      <w:r>
        <w:rPr>
          <w:rFonts w:ascii="Calibri" w:hAnsi="Calibri"/>
          <w:color w:val="414142"/>
          <w:w w:val="125"/>
          <w:sz w:val="18"/>
        </w:rPr>
        <w:t>dose,</w:t>
      </w:r>
      <w:r>
        <w:rPr>
          <w:rFonts w:ascii="Calibri" w:hAnsi="Calibri"/>
          <w:color w:val="414142"/>
          <w:spacing w:val="-11"/>
          <w:w w:val="125"/>
          <w:sz w:val="18"/>
        </w:rPr>
        <w:t> </w:t>
      </w:r>
      <w:r>
        <w:rPr>
          <w:rFonts w:ascii="Calibri" w:hAnsi="Calibri"/>
          <w:color w:val="414142"/>
          <w:w w:val="125"/>
          <w:sz w:val="18"/>
        </w:rPr>
        <w:t>its</w:t>
      </w:r>
      <w:r>
        <w:rPr>
          <w:rFonts w:ascii="Calibri" w:hAnsi="Calibri"/>
          <w:color w:val="414142"/>
          <w:spacing w:val="-10"/>
          <w:w w:val="125"/>
          <w:sz w:val="18"/>
        </w:rPr>
        <w:t> </w:t>
      </w:r>
      <w:r>
        <w:rPr>
          <w:rFonts w:ascii="Calibri" w:hAnsi="Calibri"/>
          <w:color w:val="414142"/>
          <w:w w:val="125"/>
          <w:sz w:val="18"/>
        </w:rPr>
        <w:t>plasma</w:t>
      </w:r>
      <w:r>
        <w:rPr>
          <w:rFonts w:ascii="Calibri" w:hAnsi="Calibri"/>
          <w:color w:val="414142"/>
          <w:spacing w:val="-10"/>
          <w:w w:val="125"/>
          <w:sz w:val="18"/>
        </w:rPr>
        <w:t> </w:t>
      </w:r>
      <w:r>
        <w:rPr>
          <w:rFonts w:ascii="Calibri" w:hAnsi="Calibri"/>
          <w:color w:val="414142"/>
          <w:w w:val="125"/>
          <w:sz w:val="18"/>
        </w:rPr>
        <w:t>level</w:t>
      </w:r>
      <w:r>
        <w:rPr>
          <w:rFonts w:ascii="Calibri" w:hAnsi="Calibri"/>
          <w:color w:val="414142"/>
          <w:spacing w:val="-11"/>
          <w:w w:val="125"/>
          <w:sz w:val="18"/>
        </w:rPr>
        <w:t> </w:t>
      </w:r>
      <w:r>
        <w:rPr>
          <w:rFonts w:ascii="Calibri" w:hAnsi="Calibri"/>
          <w:color w:val="414142"/>
          <w:w w:val="125"/>
          <w:sz w:val="18"/>
        </w:rPr>
        <w:t>will</w:t>
      </w:r>
      <w:r>
        <w:rPr>
          <w:rFonts w:ascii="Calibri" w:hAnsi="Calibri"/>
          <w:color w:val="414142"/>
          <w:spacing w:val="-10"/>
          <w:w w:val="125"/>
          <w:sz w:val="18"/>
        </w:rPr>
        <w:t> </w:t>
      </w:r>
      <w:r>
        <w:rPr>
          <w:rFonts w:ascii="Calibri" w:hAnsi="Calibri"/>
          <w:color w:val="414142"/>
          <w:w w:val="125"/>
          <w:sz w:val="18"/>
        </w:rPr>
        <w:t>continue</w:t>
      </w:r>
      <w:r>
        <w:rPr>
          <w:rFonts w:ascii="Calibri" w:hAnsi="Calibri"/>
          <w:color w:val="414142"/>
          <w:spacing w:val="-10"/>
          <w:w w:val="125"/>
          <w:sz w:val="18"/>
        </w:rPr>
        <w:t> </w:t>
      </w:r>
      <w:r>
        <w:rPr>
          <w:rFonts w:ascii="Calibri" w:hAnsi="Calibri"/>
          <w:color w:val="414142"/>
          <w:w w:val="125"/>
          <w:sz w:val="18"/>
        </w:rPr>
        <w:t>to</w:t>
      </w:r>
      <w:r>
        <w:rPr>
          <w:rFonts w:ascii="Calibri" w:hAnsi="Calibri"/>
          <w:color w:val="414142"/>
          <w:spacing w:val="-11"/>
          <w:w w:val="125"/>
          <w:sz w:val="18"/>
        </w:rPr>
        <w:t> </w:t>
      </w:r>
      <w:r>
        <w:rPr>
          <w:rFonts w:ascii="Calibri" w:hAnsi="Calibri"/>
          <w:color w:val="414142"/>
          <w:w w:val="125"/>
          <w:sz w:val="18"/>
        </w:rPr>
        <w:t>rise</w:t>
      </w:r>
      <w:r>
        <w:rPr>
          <w:rFonts w:ascii="Calibri" w:hAnsi="Calibri"/>
          <w:color w:val="414142"/>
          <w:spacing w:val="-10"/>
          <w:w w:val="125"/>
          <w:sz w:val="18"/>
        </w:rPr>
        <w:t> </w:t>
      </w:r>
      <w:r>
        <w:rPr>
          <w:rFonts w:ascii="Calibri" w:hAnsi="Calibri"/>
          <w:color w:val="414142"/>
          <w:w w:val="125"/>
          <w:sz w:val="18"/>
        </w:rPr>
        <w:t>until</w:t>
      </w:r>
      <w:r>
        <w:rPr>
          <w:rFonts w:ascii="Calibri" w:hAnsi="Calibri"/>
          <w:color w:val="414142"/>
          <w:spacing w:val="-11"/>
          <w:w w:val="125"/>
          <w:sz w:val="18"/>
        </w:rPr>
        <w:t> </w:t>
      </w:r>
      <w:r>
        <w:rPr>
          <w:rFonts w:ascii="Calibri" w:hAnsi="Calibri"/>
          <w:color w:val="414142"/>
          <w:w w:val="125"/>
          <w:sz w:val="18"/>
        </w:rPr>
        <w:t>it</w:t>
      </w:r>
      <w:r>
        <w:rPr>
          <w:rFonts w:ascii="Calibri" w:hAnsi="Calibri"/>
          <w:color w:val="414142"/>
          <w:spacing w:val="-10"/>
          <w:w w:val="125"/>
          <w:sz w:val="18"/>
        </w:rPr>
        <w:t> </w:t>
      </w:r>
      <w:r>
        <w:rPr>
          <w:rFonts w:ascii="Calibri" w:hAnsi="Calibri"/>
          <w:color w:val="414142"/>
          <w:w w:val="125"/>
          <w:sz w:val="18"/>
        </w:rPr>
        <w:t>reaches</w:t>
      </w:r>
      <w:r>
        <w:rPr>
          <w:rFonts w:ascii="Calibri" w:hAnsi="Calibri"/>
          <w:color w:val="414142"/>
          <w:spacing w:val="-10"/>
          <w:w w:val="125"/>
          <w:sz w:val="18"/>
        </w:rPr>
        <w:t> </w:t>
      </w:r>
      <w:r>
        <w:rPr>
          <w:rFonts w:ascii="Calibri" w:hAnsi="Calibri"/>
          <w:color w:val="414142"/>
          <w:w w:val="125"/>
          <w:sz w:val="18"/>
        </w:rPr>
        <w:t>steady-state concentrations after about ﬁve</w:t>
      </w:r>
      <w:r>
        <w:rPr>
          <w:rFonts w:ascii="Calibri" w:hAnsi="Calibri"/>
          <w:color w:val="414142"/>
          <w:spacing w:val="-20"/>
          <w:w w:val="125"/>
          <w:sz w:val="18"/>
        </w:rPr>
        <w:t> </w:t>
      </w:r>
      <w:r>
        <w:rPr>
          <w:rFonts w:ascii="Calibri" w:hAnsi="Calibri"/>
          <w:color w:val="414142"/>
          <w:w w:val="125"/>
          <w:sz w:val="18"/>
        </w:rPr>
        <w:t>half-lives.</w:t>
      </w:r>
    </w:p>
    <w:p>
      <w:pPr>
        <w:spacing w:after="0" w:line="261" w:lineRule="auto"/>
        <w:jc w:val="left"/>
        <w:rPr>
          <w:rFonts w:ascii="Calibri" w:hAnsi="Calibri"/>
          <w:sz w:val="18"/>
        </w:rPr>
        <w:sectPr>
          <w:headerReference w:type="even" r:id="rId19"/>
          <w:headerReference w:type="default" r:id="rId20"/>
          <w:pgSz w:w="12240" w:h="15840"/>
          <w:pgMar w:header="576" w:footer="677" w:top="1340" w:bottom="860" w:left="940" w:right="920"/>
        </w:sectPr>
      </w:pPr>
    </w:p>
    <w:p>
      <w:pPr>
        <w:pStyle w:val="BodyText"/>
        <w:rPr>
          <w:rFonts w:ascii="Calibri"/>
          <w:sz w:val="20"/>
        </w:rPr>
      </w:pPr>
    </w:p>
    <w:p>
      <w:pPr>
        <w:pStyle w:val="BodyText"/>
        <w:spacing w:before="10"/>
        <w:rPr>
          <w:rFonts w:ascii="Calibri"/>
          <w:sz w:val="24"/>
        </w:rPr>
      </w:pPr>
    </w:p>
    <w:p>
      <w:pPr>
        <w:spacing w:before="136"/>
        <w:ind w:left="410" w:right="0" w:firstLine="0"/>
        <w:jc w:val="left"/>
        <w:rPr>
          <w:rFonts w:ascii="Arial"/>
          <w:b/>
          <w:sz w:val="20"/>
        </w:rPr>
      </w:pPr>
      <w:r>
        <w:rPr/>
        <w:pict>
          <v:group style="position:absolute;margin-left:53.5pt;margin-top:-4.590381pt;width:504.55pt;height:352.1pt;mso-position-horizontal-relative:page;mso-position-vertical-relative:paragraph;z-index:-19582464" coordorigin="1070,-92" coordsize="10091,7042">
            <v:rect style="position:absolute;left:1075;top:-87;width:10081;height:7032" filled="true" fillcolor="#fff7f2" stroked="false">
              <v:fill type="solid"/>
            </v:rect>
            <v:rect style="position:absolute;left:1075;top:-87;width:10081;height:7032" filled="false" stroked="true" strokeweight=".5pt" strokecolor="#88aabd">
              <v:stroke dashstyle="solid"/>
            </v:rect>
            <v:line style="position:absolute" from="1350,550" to="10880,550" stroked="true" strokeweight="2pt" strokecolor="#598ea7">
              <v:stroke dashstyle="solid"/>
            </v:line>
            <w10:wrap type="none"/>
          </v:group>
        </w:pict>
      </w:r>
      <w:r>
        <w:rPr>
          <w:rFonts w:ascii="Arial"/>
          <w:b/>
          <w:color w:val="137692"/>
          <w:w w:val="105"/>
          <w:sz w:val="26"/>
        </w:rPr>
        <w:t>EXHIBIT 3.1. Key Terms </w:t>
      </w:r>
      <w:r>
        <w:rPr>
          <w:rFonts w:ascii="Arial"/>
          <w:b/>
          <w:color w:val="137692"/>
          <w:w w:val="105"/>
          <w:sz w:val="20"/>
        </w:rPr>
        <w:t>(continued)</w:t>
      </w:r>
    </w:p>
    <w:p>
      <w:pPr>
        <w:pStyle w:val="BodyText"/>
        <w:spacing w:before="6"/>
        <w:rPr>
          <w:rFonts w:ascii="Arial"/>
          <w:b/>
          <w:sz w:val="28"/>
        </w:rPr>
      </w:pPr>
    </w:p>
    <w:p>
      <w:pPr>
        <w:spacing w:line="259" w:lineRule="auto" w:before="0"/>
        <w:ind w:left="409" w:right="516" w:firstLine="0"/>
        <w:jc w:val="left"/>
        <w:rPr>
          <w:rFonts w:ascii="Calibri"/>
          <w:sz w:val="18"/>
        </w:rPr>
      </w:pPr>
      <w:r>
        <w:rPr>
          <w:rFonts w:ascii="Arial"/>
          <w:b/>
          <w:color w:val="137692"/>
          <w:w w:val="120"/>
          <w:sz w:val="22"/>
        </w:rPr>
        <w:t>Intrinsic</w:t>
      </w:r>
      <w:r>
        <w:rPr>
          <w:rFonts w:ascii="Arial"/>
          <w:b/>
          <w:color w:val="137692"/>
          <w:spacing w:val="-28"/>
          <w:w w:val="120"/>
          <w:sz w:val="22"/>
        </w:rPr>
        <w:t> </w:t>
      </w:r>
      <w:r>
        <w:rPr>
          <w:rFonts w:ascii="Arial"/>
          <w:b/>
          <w:color w:val="137692"/>
          <w:w w:val="120"/>
          <w:sz w:val="22"/>
        </w:rPr>
        <w:t>activity:</w:t>
      </w:r>
      <w:r>
        <w:rPr>
          <w:rFonts w:ascii="Arial"/>
          <w:b/>
          <w:color w:val="137692"/>
          <w:spacing w:val="-40"/>
          <w:w w:val="120"/>
          <w:sz w:val="22"/>
        </w:rPr>
        <w:t> </w:t>
      </w:r>
      <w:r>
        <w:rPr>
          <w:rFonts w:ascii="Calibri"/>
          <w:color w:val="414142"/>
          <w:w w:val="120"/>
          <w:sz w:val="18"/>
        </w:rPr>
        <w:t>The</w:t>
      </w:r>
      <w:r>
        <w:rPr>
          <w:rFonts w:ascii="Calibri"/>
          <w:color w:val="414142"/>
          <w:spacing w:val="-14"/>
          <w:w w:val="120"/>
          <w:sz w:val="18"/>
        </w:rPr>
        <w:t> </w:t>
      </w:r>
      <w:r>
        <w:rPr>
          <w:rFonts w:ascii="Calibri"/>
          <w:color w:val="414142"/>
          <w:w w:val="120"/>
          <w:sz w:val="18"/>
        </w:rPr>
        <w:t>degree</w:t>
      </w:r>
      <w:r>
        <w:rPr>
          <w:rFonts w:ascii="Calibri"/>
          <w:color w:val="414142"/>
          <w:spacing w:val="-15"/>
          <w:w w:val="120"/>
          <w:sz w:val="18"/>
        </w:rPr>
        <w:t> </w:t>
      </w:r>
      <w:r>
        <w:rPr>
          <w:rFonts w:ascii="Calibri"/>
          <w:color w:val="414142"/>
          <w:w w:val="120"/>
          <w:sz w:val="18"/>
        </w:rPr>
        <w:t>of</w:t>
      </w:r>
      <w:r>
        <w:rPr>
          <w:rFonts w:ascii="Calibri"/>
          <w:color w:val="414142"/>
          <w:spacing w:val="-14"/>
          <w:w w:val="120"/>
          <w:sz w:val="18"/>
        </w:rPr>
        <w:t> </w:t>
      </w:r>
      <w:r>
        <w:rPr>
          <w:rFonts w:ascii="Calibri"/>
          <w:color w:val="414142"/>
          <w:w w:val="120"/>
          <w:sz w:val="18"/>
        </w:rPr>
        <w:t>receptor</w:t>
      </w:r>
      <w:r>
        <w:rPr>
          <w:rFonts w:ascii="Calibri"/>
          <w:color w:val="414142"/>
          <w:spacing w:val="-15"/>
          <w:w w:val="120"/>
          <w:sz w:val="18"/>
        </w:rPr>
        <w:t> </w:t>
      </w:r>
      <w:r>
        <w:rPr>
          <w:rFonts w:ascii="Calibri"/>
          <w:color w:val="414142"/>
          <w:w w:val="120"/>
          <w:sz w:val="18"/>
        </w:rPr>
        <w:t>activation</w:t>
      </w:r>
      <w:r>
        <w:rPr>
          <w:rFonts w:ascii="Calibri"/>
          <w:color w:val="414142"/>
          <w:spacing w:val="-14"/>
          <w:w w:val="120"/>
          <w:sz w:val="18"/>
        </w:rPr>
        <w:t> </w:t>
      </w:r>
      <w:r>
        <w:rPr>
          <w:rFonts w:ascii="Calibri"/>
          <w:color w:val="414142"/>
          <w:w w:val="120"/>
          <w:sz w:val="18"/>
        </w:rPr>
        <w:t>attributable</w:t>
      </w:r>
      <w:r>
        <w:rPr>
          <w:rFonts w:ascii="Calibri"/>
          <w:color w:val="414142"/>
          <w:spacing w:val="-15"/>
          <w:w w:val="120"/>
          <w:sz w:val="18"/>
        </w:rPr>
        <w:t> </w:t>
      </w:r>
      <w:r>
        <w:rPr>
          <w:rFonts w:ascii="Calibri"/>
          <w:color w:val="414142"/>
          <w:w w:val="120"/>
          <w:sz w:val="18"/>
        </w:rPr>
        <w:t>to</w:t>
      </w:r>
      <w:r>
        <w:rPr>
          <w:rFonts w:ascii="Calibri"/>
          <w:color w:val="414142"/>
          <w:spacing w:val="-14"/>
          <w:w w:val="120"/>
          <w:sz w:val="18"/>
        </w:rPr>
        <w:t> </w:t>
      </w:r>
      <w:r>
        <w:rPr>
          <w:rFonts w:ascii="Calibri"/>
          <w:color w:val="414142"/>
          <w:w w:val="120"/>
          <w:sz w:val="18"/>
        </w:rPr>
        <w:t>drug</w:t>
      </w:r>
      <w:r>
        <w:rPr>
          <w:rFonts w:ascii="Calibri"/>
          <w:color w:val="414142"/>
          <w:spacing w:val="-15"/>
          <w:w w:val="120"/>
          <w:sz w:val="18"/>
        </w:rPr>
        <w:t> </w:t>
      </w:r>
      <w:r>
        <w:rPr>
          <w:rFonts w:ascii="Calibri"/>
          <w:color w:val="414142"/>
          <w:w w:val="120"/>
          <w:sz w:val="18"/>
        </w:rPr>
        <w:t>binding.</w:t>
      </w:r>
      <w:r>
        <w:rPr>
          <w:rFonts w:ascii="Calibri"/>
          <w:color w:val="414142"/>
          <w:spacing w:val="-14"/>
          <w:w w:val="120"/>
          <w:sz w:val="18"/>
        </w:rPr>
        <w:t> </w:t>
      </w:r>
      <w:r>
        <w:rPr>
          <w:rFonts w:ascii="Arial"/>
          <w:b/>
          <w:color w:val="414142"/>
          <w:w w:val="120"/>
          <w:sz w:val="18"/>
        </w:rPr>
        <w:t>Full</w:t>
      </w:r>
      <w:r>
        <w:rPr>
          <w:rFonts w:ascii="Arial"/>
          <w:b/>
          <w:color w:val="414142"/>
          <w:spacing w:val="-24"/>
          <w:w w:val="120"/>
          <w:sz w:val="18"/>
        </w:rPr>
        <w:t> </w:t>
      </w:r>
      <w:r>
        <w:rPr>
          <w:rFonts w:ascii="Arial"/>
          <w:b/>
          <w:color w:val="414142"/>
          <w:w w:val="120"/>
          <w:sz w:val="18"/>
        </w:rPr>
        <w:t>agonist,</w:t>
      </w:r>
      <w:r>
        <w:rPr>
          <w:rFonts w:ascii="Arial"/>
          <w:b/>
          <w:color w:val="414142"/>
          <w:spacing w:val="-23"/>
          <w:w w:val="120"/>
          <w:sz w:val="18"/>
        </w:rPr>
        <w:t> </w:t>
      </w:r>
      <w:r>
        <w:rPr>
          <w:rFonts w:ascii="Arial"/>
          <w:b/>
          <w:color w:val="414142"/>
          <w:w w:val="120"/>
          <w:sz w:val="18"/>
        </w:rPr>
        <w:t>partial agonist,</w:t>
      </w:r>
      <w:r>
        <w:rPr>
          <w:rFonts w:ascii="Arial"/>
          <w:b/>
          <w:color w:val="414142"/>
          <w:spacing w:val="-14"/>
          <w:w w:val="120"/>
          <w:sz w:val="18"/>
        </w:rPr>
        <w:t> </w:t>
      </w:r>
      <w:r>
        <w:rPr>
          <w:rFonts w:ascii="Calibri"/>
          <w:color w:val="414142"/>
          <w:w w:val="120"/>
          <w:sz w:val="18"/>
        </w:rPr>
        <w:t>and</w:t>
      </w:r>
      <w:r>
        <w:rPr>
          <w:rFonts w:ascii="Calibri"/>
          <w:color w:val="414142"/>
          <w:spacing w:val="-2"/>
          <w:w w:val="120"/>
          <w:sz w:val="18"/>
        </w:rPr>
        <w:t> </w:t>
      </w:r>
      <w:r>
        <w:rPr>
          <w:rFonts w:ascii="Arial"/>
          <w:b/>
          <w:color w:val="414142"/>
          <w:w w:val="120"/>
          <w:sz w:val="18"/>
        </w:rPr>
        <w:t>antagonist</w:t>
      </w:r>
      <w:r>
        <w:rPr>
          <w:rFonts w:ascii="Arial"/>
          <w:b/>
          <w:color w:val="414142"/>
          <w:spacing w:val="-13"/>
          <w:w w:val="120"/>
          <w:sz w:val="18"/>
        </w:rPr>
        <w:t> </w:t>
      </w:r>
      <w:r>
        <w:rPr>
          <w:rFonts w:ascii="Calibri"/>
          <w:color w:val="414142"/>
          <w:w w:val="120"/>
          <w:sz w:val="18"/>
        </w:rPr>
        <w:t>are</w:t>
      </w:r>
      <w:r>
        <w:rPr>
          <w:rFonts w:ascii="Calibri"/>
          <w:color w:val="414142"/>
          <w:spacing w:val="-2"/>
          <w:w w:val="120"/>
          <w:sz w:val="18"/>
        </w:rPr>
        <w:t> </w:t>
      </w:r>
      <w:r>
        <w:rPr>
          <w:rFonts w:ascii="Calibri"/>
          <w:color w:val="414142"/>
          <w:w w:val="120"/>
          <w:sz w:val="18"/>
        </w:rPr>
        <w:t>terms</w:t>
      </w:r>
      <w:r>
        <w:rPr>
          <w:rFonts w:ascii="Calibri"/>
          <w:color w:val="414142"/>
          <w:spacing w:val="-3"/>
          <w:w w:val="120"/>
          <w:sz w:val="18"/>
        </w:rPr>
        <w:t> </w:t>
      </w:r>
      <w:r>
        <w:rPr>
          <w:rFonts w:ascii="Calibri"/>
          <w:color w:val="414142"/>
          <w:w w:val="120"/>
          <w:sz w:val="18"/>
        </w:rPr>
        <w:t>that</w:t>
      </w:r>
      <w:r>
        <w:rPr>
          <w:rFonts w:ascii="Calibri"/>
          <w:color w:val="414142"/>
          <w:spacing w:val="-2"/>
          <w:w w:val="120"/>
          <w:sz w:val="18"/>
        </w:rPr>
        <w:t> </w:t>
      </w:r>
      <w:r>
        <w:rPr>
          <w:rFonts w:ascii="Calibri"/>
          <w:color w:val="414142"/>
          <w:w w:val="120"/>
          <w:sz w:val="18"/>
        </w:rPr>
        <w:t>describe</w:t>
      </w:r>
      <w:r>
        <w:rPr>
          <w:rFonts w:ascii="Calibri"/>
          <w:color w:val="414142"/>
          <w:spacing w:val="-2"/>
          <w:w w:val="120"/>
          <w:sz w:val="18"/>
        </w:rPr>
        <w:t> </w:t>
      </w:r>
      <w:r>
        <w:rPr>
          <w:rFonts w:ascii="Calibri"/>
          <w:color w:val="414142"/>
          <w:w w:val="120"/>
          <w:sz w:val="18"/>
        </w:rPr>
        <w:t>the</w:t>
      </w:r>
      <w:r>
        <w:rPr>
          <w:rFonts w:ascii="Calibri"/>
          <w:color w:val="414142"/>
          <w:spacing w:val="-3"/>
          <w:w w:val="120"/>
          <w:sz w:val="18"/>
        </w:rPr>
        <w:t> </w:t>
      </w:r>
      <w:r>
        <w:rPr>
          <w:rFonts w:ascii="Calibri"/>
          <w:color w:val="414142"/>
          <w:w w:val="120"/>
          <w:sz w:val="18"/>
        </w:rPr>
        <w:t>intrinsic</w:t>
      </w:r>
      <w:r>
        <w:rPr>
          <w:rFonts w:ascii="Calibri"/>
          <w:color w:val="414142"/>
          <w:spacing w:val="-2"/>
          <w:w w:val="120"/>
          <w:sz w:val="18"/>
        </w:rPr>
        <w:t> </w:t>
      </w:r>
      <w:r>
        <w:rPr>
          <w:rFonts w:ascii="Calibri"/>
          <w:color w:val="414142"/>
          <w:w w:val="120"/>
          <w:sz w:val="18"/>
        </w:rPr>
        <w:t>activity</w:t>
      </w:r>
      <w:r>
        <w:rPr>
          <w:rFonts w:ascii="Calibri"/>
          <w:color w:val="414142"/>
          <w:spacing w:val="-2"/>
          <w:w w:val="120"/>
          <w:sz w:val="18"/>
        </w:rPr>
        <w:t> </w:t>
      </w:r>
      <w:r>
        <w:rPr>
          <w:rFonts w:ascii="Calibri"/>
          <w:color w:val="414142"/>
          <w:w w:val="120"/>
          <w:sz w:val="18"/>
        </w:rPr>
        <w:t>of</w:t>
      </w:r>
      <w:r>
        <w:rPr>
          <w:rFonts w:ascii="Calibri"/>
          <w:color w:val="414142"/>
          <w:spacing w:val="-3"/>
          <w:w w:val="120"/>
          <w:sz w:val="18"/>
        </w:rPr>
        <w:t> </w:t>
      </w:r>
      <w:r>
        <w:rPr>
          <w:rFonts w:ascii="Calibri"/>
          <w:color w:val="414142"/>
          <w:w w:val="120"/>
          <w:sz w:val="18"/>
        </w:rPr>
        <w:t>a</w:t>
      </w:r>
      <w:r>
        <w:rPr>
          <w:rFonts w:ascii="Calibri"/>
          <w:color w:val="414142"/>
          <w:spacing w:val="-2"/>
          <w:w w:val="120"/>
          <w:sz w:val="18"/>
        </w:rPr>
        <w:t> </w:t>
      </w:r>
      <w:r>
        <w:rPr>
          <w:rFonts w:ascii="Calibri"/>
          <w:color w:val="414142"/>
          <w:w w:val="120"/>
          <w:sz w:val="18"/>
        </w:rPr>
        <w:t>drug.</w:t>
      </w:r>
    </w:p>
    <w:p>
      <w:pPr>
        <w:spacing w:before="78"/>
        <w:ind w:left="410" w:right="0" w:firstLine="0"/>
        <w:jc w:val="left"/>
        <w:rPr>
          <w:rFonts w:ascii="Calibri"/>
          <w:sz w:val="18"/>
        </w:rPr>
      </w:pPr>
      <w:r>
        <w:rPr>
          <w:rFonts w:ascii="Arial"/>
          <w:b/>
          <w:color w:val="137692"/>
          <w:w w:val="120"/>
          <w:sz w:val="22"/>
        </w:rPr>
        <w:t>Opiates: </w:t>
      </w:r>
      <w:r>
        <w:rPr>
          <w:rFonts w:ascii="Calibri"/>
          <w:color w:val="414142"/>
          <w:w w:val="120"/>
          <w:sz w:val="18"/>
        </w:rPr>
        <w:t>A subclass of opioids derived from opium (e.g., morphine, codeine, thebaine).</w:t>
      </w:r>
    </w:p>
    <w:p>
      <w:pPr>
        <w:spacing w:line="259" w:lineRule="auto" w:before="96"/>
        <w:ind w:left="410" w:right="707" w:hanging="1"/>
        <w:jc w:val="left"/>
        <w:rPr>
          <w:rFonts w:ascii="Calibri"/>
          <w:sz w:val="18"/>
        </w:rPr>
      </w:pPr>
      <w:r>
        <w:rPr>
          <w:rFonts w:ascii="Arial"/>
          <w:b/>
          <w:color w:val="137692"/>
          <w:w w:val="125"/>
          <w:sz w:val="22"/>
        </w:rPr>
        <w:t>Opioid</w:t>
      </w:r>
      <w:r>
        <w:rPr>
          <w:rFonts w:ascii="Arial"/>
          <w:b/>
          <w:color w:val="137692"/>
          <w:spacing w:val="-44"/>
          <w:w w:val="125"/>
          <w:sz w:val="22"/>
        </w:rPr>
        <w:t> </w:t>
      </w:r>
      <w:r>
        <w:rPr>
          <w:rFonts w:ascii="Arial"/>
          <w:b/>
          <w:color w:val="137692"/>
          <w:w w:val="125"/>
          <w:sz w:val="22"/>
        </w:rPr>
        <w:t>blockade:</w:t>
      </w:r>
      <w:r>
        <w:rPr>
          <w:rFonts w:ascii="Arial"/>
          <w:b/>
          <w:color w:val="137692"/>
          <w:spacing w:val="-51"/>
          <w:w w:val="125"/>
          <w:sz w:val="22"/>
        </w:rPr>
        <w:t> </w:t>
      </w:r>
      <w:r>
        <w:rPr>
          <w:rFonts w:ascii="Calibri"/>
          <w:color w:val="414142"/>
          <w:w w:val="125"/>
          <w:sz w:val="18"/>
        </w:rPr>
        <w:t>Blunting</w:t>
      </w:r>
      <w:r>
        <w:rPr>
          <w:rFonts w:ascii="Calibri"/>
          <w:color w:val="414142"/>
          <w:spacing w:val="-26"/>
          <w:w w:val="125"/>
          <w:sz w:val="18"/>
        </w:rPr>
        <w:t> </w:t>
      </w:r>
      <w:r>
        <w:rPr>
          <w:rFonts w:ascii="Calibri"/>
          <w:color w:val="414142"/>
          <w:w w:val="125"/>
          <w:sz w:val="18"/>
        </w:rPr>
        <w:t>or</w:t>
      </w:r>
      <w:r>
        <w:rPr>
          <w:rFonts w:ascii="Calibri"/>
          <w:color w:val="414142"/>
          <w:spacing w:val="-26"/>
          <w:w w:val="125"/>
          <w:sz w:val="18"/>
        </w:rPr>
        <w:t> </w:t>
      </w:r>
      <w:r>
        <w:rPr>
          <w:rFonts w:ascii="Calibri"/>
          <w:color w:val="414142"/>
          <w:w w:val="125"/>
          <w:sz w:val="18"/>
        </w:rPr>
        <w:t>blocking</w:t>
      </w:r>
      <w:r>
        <w:rPr>
          <w:rFonts w:ascii="Calibri"/>
          <w:color w:val="414142"/>
          <w:spacing w:val="-26"/>
          <w:w w:val="125"/>
          <w:sz w:val="18"/>
        </w:rPr>
        <w:t> </w:t>
      </w:r>
      <w:r>
        <w:rPr>
          <w:rFonts w:ascii="Calibri"/>
          <w:color w:val="414142"/>
          <w:w w:val="125"/>
          <w:sz w:val="18"/>
        </w:rPr>
        <w:t>of</w:t>
      </w:r>
      <w:r>
        <w:rPr>
          <w:rFonts w:ascii="Calibri"/>
          <w:color w:val="414142"/>
          <w:spacing w:val="-26"/>
          <w:w w:val="125"/>
          <w:sz w:val="18"/>
        </w:rPr>
        <w:t> </w:t>
      </w:r>
      <w:r>
        <w:rPr>
          <w:rFonts w:ascii="Calibri"/>
          <w:color w:val="414142"/>
          <w:w w:val="125"/>
          <w:sz w:val="18"/>
        </w:rPr>
        <w:t>the</w:t>
      </w:r>
      <w:r>
        <w:rPr>
          <w:rFonts w:ascii="Calibri"/>
          <w:color w:val="414142"/>
          <w:spacing w:val="-26"/>
          <w:w w:val="125"/>
          <w:sz w:val="18"/>
        </w:rPr>
        <w:t> </w:t>
      </w:r>
      <w:r>
        <w:rPr>
          <w:rFonts w:ascii="Calibri"/>
          <w:color w:val="414142"/>
          <w:w w:val="125"/>
          <w:sz w:val="18"/>
        </w:rPr>
        <w:t>euphoric</w:t>
      </w:r>
      <w:r>
        <w:rPr>
          <w:rFonts w:ascii="Calibri"/>
          <w:color w:val="414142"/>
          <w:spacing w:val="-26"/>
          <w:w w:val="125"/>
          <w:sz w:val="18"/>
        </w:rPr>
        <w:t> </w:t>
      </w:r>
      <w:r>
        <w:rPr>
          <w:rFonts w:ascii="Calibri"/>
          <w:color w:val="414142"/>
          <w:w w:val="125"/>
          <w:sz w:val="18"/>
        </w:rPr>
        <w:t>effects</w:t>
      </w:r>
      <w:r>
        <w:rPr>
          <w:rFonts w:ascii="Calibri"/>
          <w:color w:val="414142"/>
          <w:spacing w:val="-26"/>
          <w:w w:val="125"/>
          <w:sz w:val="18"/>
        </w:rPr>
        <w:t> </w:t>
      </w:r>
      <w:r>
        <w:rPr>
          <w:rFonts w:ascii="Calibri"/>
          <w:color w:val="414142"/>
          <w:w w:val="125"/>
          <w:sz w:val="18"/>
        </w:rPr>
        <w:t>of</w:t>
      </w:r>
      <w:r>
        <w:rPr>
          <w:rFonts w:ascii="Calibri"/>
          <w:color w:val="414142"/>
          <w:spacing w:val="-26"/>
          <w:w w:val="125"/>
          <w:sz w:val="18"/>
        </w:rPr>
        <w:t> </w:t>
      </w:r>
      <w:r>
        <w:rPr>
          <w:rFonts w:ascii="Calibri"/>
          <w:color w:val="414142"/>
          <w:w w:val="125"/>
          <w:sz w:val="18"/>
        </w:rPr>
        <w:t>an</w:t>
      </w:r>
      <w:r>
        <w:rPr>
          <w:rFonts w:ascii="Calibri"/>
          <w:color w:val="414142"/>
          <w:spacing w:val="-26"/>
          <w:w w:val="125"/>
          <w:sz w:val="18"/>
        </w:rPr>
        <w:t> </w:t>
      </w:r>
      <w:r>
        <w:rPr>
          <w:rFonts w:ascii="Calibri"/>
          <w:color w:val="414142"/>
          <w:w w:val="125"/>
          <w:sz w:val="18"/>
        </w:rPr>
        <w:t>opioid</w:t>
      </w:r>
      <w:r>
        <w:rPr>
          <w:rFonts w:ascii="Calibri"/>
          <w:color w:val="414142"/>
          <w:spacing w:val="-26"/>
          <w:w w:val="125"/>
          <w:sz w:val="18"/>
        </w:rPr>
        <w:t> </w:t>
      </w:r>
      <w:r>
        <w:rPr>
          <w:rFonts w:ascii="Calibri"/>
          <w:color w:val="414142"/>
          <w:w w:val="125"/>
          <w:sz w:val="18"/>
        </w:rPr>
        <w:t>through</w:t>
      </w:r>
      <w:r>
        <w:rPr>
          <w:rFonts w:ascii="Calibri"/>
          <w:color w:val="414142"/>
          <w:spacing w:val="-25"/>
          <w:w w:val="125"/>
          <w:sz w:val="18"/>
        </w:rPr>
        <w:t> </w:t>
      </w:r>
      <w:r>
        <w:rPr>
          <w:rFonts w:ascii="Calibri"/>
          <w:color w:val="414142"/>
          <w:w w:val="125"/>
          <w:sz w:val="18"/>
        </w:rPr>
        <w:t>opioid</w:t>
      </w:r>
      <w:r>
        <w:rPr>
          <w:rFonts w:ascii="Calibri"/>
          <w:color w:val="414142"/>
          <w:spacing w:val="-26"/>
          <w:w w:val="125"/>
          <w:sz w:val="18"/>
        </w:rPr>
        <w:t> </w:t>
      </w:r>
      <w:r>
        <w:rPr>
          <w:rFonts w:ascii="Calibri"/>
          <w:color w:val="414142"/>
          <w:w w:val="125"/>
          <w:sz w:val="18"/>
        </w:rPr>
        <w:t>receptor occupancy</w:t>
      </w:r>
      <w:r>
        <w:rPr>
          <w:rFonts w:ascii="Calibri"/>
          <w:color w:val="414142"/>
          <w:spacing w:val="-13"/>
          <w:w w:val="125"/>
          <w:sz w:val="18"/>
        </w:rPr>
        <w:t> </w:t>
      </w:r>
      <w:r>
        <w:rPr>
          <w:rFonts w:ascii="Calibri"/>
          <w:color w:val="414142"/>
          <w:w w:val="125"/>
          <w:sz w:val="18"/>
        </w:rPr>
        <w:t>by</w:t>
      </w:r>
      <w:r>
        <w:rPr>
          <w:rFonts w:ascii="Calibri"/>
          <w:color w:val="414142"/>
          <w:spacing w:val="-13"/>
          <w:w w:val="125"/>
          <w:sz w:val="18"/>
        </w:rPr>
        <w:t> </w:t>
      </w:r>
      <w:r>
        <w:rPr>
          <w:rFonts w:ascii="Calibri"/>
          <w:color w:val="414142"/>
          <w:w w:val="125"/>
          <w:sz w:val="18"/>
        </w:rPr>
        <w:t>an</w:t>
      </w:r>
      <w:r>
        <w:rPr>
          <w:rFonts w:ascii="Calibri"/>
          <w:color w:val="414142"/>
          <w:spacing w:val="-12"/>
          <w:w w:val="125"/>
          <w:sz w:val="18"/>
        </w:rPr>
        <w:t> </w:t>
      </w:r>
      <w:r>
        <w:rPr>
          <w:rFonts w:ascii="Calibri"/>
          <w:color w:val="414142"/>
          <w:w w:val="125"/>
          <w:sz w:val="18"/>
        </w:rPr>
        <w:t>opioid</w:t>
      </w:r>
      <w:r>
        <w:rPr>
          <w:rFonts w:ascii="Calibri"/>
          <w:color w:val="414142"/>
          <w:spacing w:val="-13"/>
          <w:w w:val="125"/>
          <w:sz w:val="18"/>
        </w:rPr>
        <w:t> </w:t>
      </w:r>
      <w:r>
        <w:rPr>
          <w:rFonts w:ascii="Calibri"/>
          <w:color w:val="414142"/>
          <w:w w:val="125"/>
          <w:sz w:val="18"/>
        </w:rPr>
        <w:t>agonist</w:t>
      </w:r>
      <w:r>
        <w:rPr>
          <w:rFonts w:ascii="Calibri"/>
          <w:color w:val="414142"/>
          <w:spacing w:val="-12"/>
          <w:w w:val="125"/>
          <w:sz w:val="18"/>
        </w:rPr>
        <w:t> </w:t>
      </w:r>
      <w:r>
        <w:rPr>
          <w:rFonts w:ascii="Calibri"/>
          <w:color w:val="414142"/>
          <w:w w:val="125"/>
          <w:sz w:val="18"/>
        </w:rPr>
        <w:t>(e.g.,</w:t>
      </w:r>
      <w:r>
        <w:rPr>
          <w:rFonts w:ascii="Calibri"/>
          <w:color w:val="414142"/>
          <w:spacing w:val="-13"/>
          <w:w w:val="125"/>
          <w:sz w:val="18"/>
        </w:rPr>
        <w:t> </w:t>
      </w:r>
      <w:r>
        <w:rPr>
          <w:rFonts w:ascii="Calibri"/>
          <w:color w:val="414142"/>
          <w:w w:val="125"/>
          <w:sz w:val="18"/>
        </w:rPr>
        <w:t>methadone,</w:t>
      </w:r>
      <w:r>
        <w:rPr>
          <w:rFonts w:ascii="Calibri"/>
          <w:color w:val="414142"/>
          <w:spacing w:val="-12"/>
          <w:w w:val="125"/>
          <w:sz w:val="18"/>
        </w:rPr>
        <w:t> </w:t>
      </w:r>
      <w:r>
        <w:rPr>
          <w:rFonts w:ascii="Calibri"/>
          <w:color w:val="414142"/>
          <w:w w:val="125"/>
          <w:sz w:val="18"/>
        </w:rPr>
        <w:t>buprenorphine)</w:t>
      </w:r>
      <w:r>
        <w:rPr>
          <w:rFonts w:ascii="Calibri"/>
          <w:color w:val="414142"/>
          <w:spacing w:val="-13"/>
          <w:w w:val="125"/>
          <w:sz w:val="18"/>
        </w:rPr>
        <w:t> </w:t>
      </w:r>
      <w:r>
        <w:rPr>
          <w:rFonts w:ascii="Calibri"/>
          <w:color w:val="414142"/>
          <w:w w:val="125"/>
          <w:sz w:val="18"/>
        </w:rPr>
        <w:t>or</w:t>
      </w:r>
      <w:r>
        <w:rPr>
          <w:rFonts w:ascii="Calibri"/>
          <w:color w:val="414142"/>
          <w:spacing w:val="-13"/>
          <w:w w:val="125"/>
          <w:sz w:val="18"/>
        </w:rPr>
        <w:t> </w:t>
      </w:r>
      <w:r>
        <w:rPr>
          <w:rFonts w:ascii="Calibri"/>
          <w:color w:val="414142"/>
          <w:w w:val="125"/>
          <w:sz w:val="18"/>
        </w:rPr>
        <w:t>antagonist</w:t>
      </w:r>
      <w:r>
        <w:rPr>
          <w:rFonts w:ascii="Calibri"/>
          <w:color w:val="414142"/>
          <w:spacing w:val="-12"/>
          <w:w w:val="125"/>
          <w:sz w:val="18"/>
        </w:rPr>
        <w:t> </w:t>
      </w:r>
      <w:r>
        <w:rPr>
          <w:rFonts w:ascii="Calibri"/>
          <w:color w:val="414142"/>
          <w:w w:val="125"/>
          <w:sz w:val="18"/>
        </w:rPr>
        <w:t>(e.g.,</w:t>
      </w:r>
      <w:r>
        <w:rPr>
          <w:rFonts w:ascii="Calibri"/>
          <w:color w:val="414142"/>
          <w:spacing w:val="-13"/>
          <w:w w:val="125"/>
          <w:sz w:val="18"/>
        </w:rPr>
        <w:t> </w:t>
      </w:r>
      <w:r>
        <w:rPr>
          <w:rFonts w:ascii="Calibri"/>
          <w:color w:val="414142"/>
          <w:w w:val="125"/>
          <w:sz w:val="18"/>
        </w:rPr>
        <w:t>naltrexone).</w:t>
      </w:r>
    </w:p>
    <w:p>
      <w:pPr>
        <w:spacing w:line="259" w:lineRule="auto" w:before="77"/>
        <w:ind w:left="410" w:right="662" w:hanging="1"/>
        <w:jc w:val="left"/>
        <w:rPr>
          <w:rFonts w:ascii="Arial" w:hAnsi="Arial"/>
          <w:b/>
          <w:sz w:val="18"/>
        </w:rPr>
      </w:pPr>
      <w:r>
        <w:rPr>
          <w:rFonts w:ascii="Arial" w:hAnsi="Arial"/>
          <w:b/>
          <w:color w:val="137692"/>
          <w:w w:val="125"/>
          <w:sz w:val="22"/>
        </w:rPr>
        <w:t>Opioid</w:t>
      </w:r>
      <w:r>
        <w:rPr>
          <w:rFonts w:ascii="Arial" w:hAnsi="Arial"/>
          <w:b/>
          <w:color w:val="137692"/>
          <w:spacing w:val="-54"/>
          <w:w w:val="125"/>
          <w:sz w:val="22"/>
        </w:rPr>
        <w:t> </w:t>
      </w:r>
      <w:r>
        <w:rPr>
          <w:rFonts w:ascii="Arial" w:hAnsi="Arial"/>
          <w:b/>
          <w:color w:val="137692"/>
          <w:w w:val="125"/>
          <w:sz w:val="22"/>
        </w:rPr>
        <w:t>receptor</w:t>
      </w:r>
      <w:r>
        <w:rPr>
          <w:rFonts w:ascii="Arial" w:hAnsi="Arial"/>
          <w:b/>
          <w:color w:val="137692"/>
          <w:spacing w:val="-53"/>
          <w:w w:val="125"/>
          <w:sz w:val="22"/>
        </w:rPr>
        <w:t> </w:t>
      </w:r>
      <w:r>
        <w:rPr>
          <w:rFonts w:ascii="Arial" w:hAnsi="Arial"/>
          <w:b/>
          <w:color w:val="137692"/>
          <w:w w:val="125"/>
          <w:sz w:val="22"/>
        </w:rPr>
        <w:t>agonist:</w:t>
      </w:r>
      <w:r>
        <w:rPr>
          <w:rFonts w:ascii="Arial" w:hAnsi="Arial"/>
          <w:b/>
          <w:color w:val="137692"/>
          <w:spacing w:val="-58"/>
          <w:w w:val="125"/>
          <w:sz w:val="22"/>
        </w:rPr>
        <w:t> </w:t>
      </w:r>
      <w:r>
        <w:rPr>
          <w:rFonts w:ascii="Calibri" w:hAnsi="Calibri"/>
          <w:color w:val="414142"/>
          <w:w w:val="125"/>
          <w:sz w:val="18"/>
        </w:rPr>
        <w:t>A</w:t>
      </w:r>
      <w:r>
        <w:rPr>
          <w:rFonts w:ascii="Calibri" w:hAnsi="Calibri"/>
          <w:color w:val="414142"/>
          <w:spacing w:val="-34"/>
          <w:w w:val="125"/>
          <w:sz w:val="18"/>
        </w:rPr>
        <w:t> </w:t>
      </w:r>
      <w:r>
        <w:rPr>
          <w:rFonts w:ascii="Calibri" w:hAnsi="Calibri"/>
          <w:color w:val="414142"/>
          <w:w w:val="125"/>
          <w:sz w:val="18"/>
        </w:rPr>
        <w:t>substance</w:t>
      </w:r>
      <w:r>
        <w:rPr>
          <w:rFonts w:ascii="Calibri" w:hAnsi="Calibri"/>
          <w:color w:val="414142"/>
          <w:spacing w:val="-33"/>
          <w:w w:val="125"/>
          <w:sz w:val="18"/>
        </w:rPr>
        <w:t> </w:t>
      </w:r>
      <w:r>
        <w:rPr>
          <w:rFonts w:ascii="Calibri" w:hAnsi="Calibri"/>
          <w:color w:val="414142"/>
          <w:w w:val="125"/>
          <w:sz w:val="18"/>
        </w:rPr>
        <w:t>that</w:t>
      </w:r>
      <w:r>
        <w:rPr>
          <w:rFonts w:ascii="Calibri" w:hAnsi="Calibri"/>
          <w:color w:val="414142"/>
          <w:spacing w:val="-33"/>
          <w:w w:val="125"/>
          <w:sz w:val="18"/>
        </w:rPr>
        <w:t> </w:t>
      </w:r>
      <w:r>
        <w:rPr>
          <w:rFonts w:ascii="Calibri" w:hAnsi="Calibri"/>
          <w:color w:val="414142"/>
          <w:w w:val="125"/>
          <w:sz w:val="18"/>
        </w:rPr>
        <w:t>has</w:t>
      </w:r>
      <w:r>
        <w:rPr>
          <w:rFonts w:ascii="Calibri" w:hAnsi="Calibri"/>
          <w:color w:val="414142"/>
          <w:spacing w:val="-33"/>
          <w:w w:val="125"/>
          <w:sz w:val="18"/>
        </w:rPr>
        <w:t> </w:t>
      </w:r>
      <w:r>
        <w:rPr>
          <w:rFonts w:ascii="Calibri" w:hAnsi="Calibri"/>
          <w:color w:val="414142"/>
          <w:w w:val="125"/>
          <w:sz w:val="18"/>
        </w:rPr>
        <w:t>an</w:t>
      </w:r>
      <w:r>
        <w:rPr>
          <w:rFonts w:ascii="Calibri" w:hAnsi="Calibri"/>
          <w:color w:val="414142"/>
          <w:spacing w:val="-34"/>
          <w:w w:val="125"/>
          <w:sz w:val="18"/>
        </w:rPr>
        <w:t> </w:t>
      </w:r>
      <w:r>
        <w:rPr>
          <w:rFonts w:ascii="Calibri" w:hAnsi="Calibri"/>
          <w:color w:val="414142"/>
          <w:w w:val="125"/>
          <w:sz w:val="18"/>
        </w:rPr>
        <w:t>afﬁnity</w:t>
      </w:r>
      <w:r>
        <w:rPr>
          <w:rFonts w:ascii="Calibri" w:hAnsi="Calibri"/>
          <w:color w:val="414142"/>
          <w:spacing w:val="-33"/>
          <w:w w:val="125"/>
          <w:sz w:val="18"/>
        </w:rPr>
        <w:t> </w:t>
      </w:r>
      <w:r>
        <w:rPr>
          <w:rFonts w:ascii="Calibri" w:hAnsi="Calibri"/>
          <w:color w:val="414142"/>
          <w:w w:val="125"/>
          <w:sz w:val="18"/>
        </w:rPr>
        <w:t>for</w:t>
      </w:r>
      <w:r>
        <w:rPr>
          <w:rFonts w:ascii="Calibri" w:hAnsi="Calibri"/>
          <w:color w:val="414142"/>
          <w:spacing w:val="-33"/>
          <w:w w:val="125"/>
          <w:sz w:val="18"/>
        </w:rPr>
        <w:t> </w:t>
      </w:r>
      <w:r>
        <w:rPr>
          <w:rFonts w:ascii="Calibri" w:hAnsi="Calibri"/>
          <w:color w:val="414142"/>
          <w:w w:val="125"/>
          <w:sz w:val="18"/>
        </w:rPr>
        <w:t>and</w:t>
      </w:r>
      <w:r>
        <w:rPr>
          <w:rFonts w:ascii="Calibri" w:hAnsi="Calibri"/>
          <w:color w:val="414142"/>
          <w:spacing w:val="-34"/>
          <w:w w:val="125"/>
          <w:sz w:val="18"/>
        </w:rPr>
        <w:t> </w:t>
      </w:r>
      <w:r>
        <w:rPr>
          <w:rFonts w:ascii="Calibri" w:hAnsi="Calibri"/>
          <w:color w:val="414142"/>
          <w:w w:val="125"/>
          <w:sz w:val="18"/>
        </w:rPr>
        <w:t>stimulates</w:t>
      </w:r>
      <w:r>
        <w:rPr>
          <w:rFonts w:ascii="Calibri" w:hAnsi="Calibri"/>
          <w:color w:val="414142"/>
          <w:spacing w:val="-33"/>
          <w:w w:val="125"/>
          <w:sz w:val="18"/>
        </w:rPr>
        <w:t> </w:t>
      </w:r>
      <w:r>
        <w:rPr>
          <w:rFonts w:ascii="Calibri" w:hAnsi="Calibri"/>
          <w:color w:val="414142"/>
          <w:w w:val="125"/>
          <w:sz w:val="18"/>
        </w:rPr>
        <w:t>physiological</w:t>
      </w:r>
      <w:r>
        <w:rPr>
          <w:rFonts w:ascii="Calibri" w:hAnsi="Calibri"/>
          <w:color w:val="414142"/>
          <w:spacing w:val="-33"/>
          <w:w w:val="125"/>
          <w:sz w:val="18"/>
        </w:rPr>
        <w:t> </w:t>
      </w:r>
      <w:r>
        <w:rPr>
          <w:rFonts w:ascii="Calibri" w:hAnsi="Calibri"/>
          <w:color w:val="414142"/>
          <w:w w:val="125"/>
          <w:sz w:val="18"/>
        </w:rPr>
        <w:t>activity at</w:t>
      </w:r>
      <w:r>
        <w:rPr>
          <w:rFonts w:ascii="Calibri" w:hAnsi="Calibri"/>
          <w:color w:val="414142"/>
          <w:spacing w:val="-28"/>
          <w:w w:val="125"/>
          <w:sz w:val="18"/>
        </w:rPr>
        <w:t> </w:t>
      </w:r>
      <w:r>
        <w:rPr>
          <w:rFonts w:ascii="Calibri" w:hAnsi="Calibri"/>
          <w:color w:val="414142"/>
          <w:w w:val="125"/>
          <w:sz w:val="18"/>
        </w:rPr>
        <w:t>cell</w:t>
      </w:r>
      <w:r>
        <w:rPr>
          <w:rFonts w:ascii="Calibri" w:hAnsi="Calibri"/>
          <w:color w:val="414142"/>
          <w:spacing w:val="-28"/>
          <w:w w:val="125"/>
          <w:sz w:val="18"/>
        </w:rPr>
        <w:t> </w:t>
      </w:r>
      <w:r>
        <w:rPr>
          <w:rFonts w:ascii="Calibri" w:hAnsi="Calibri"/>
          <w:color w:val="414142"/>
          <w:w w:val="125"/>
          <w:sz w:val="18"/>
        </w:rPr>
        <w:t>receptors</w:t>
      </w:r>
      <w:r>
        <w:rPr>
          <w:rFonts w:ascii="Calibri" w:hAnsi="Calibri"/>
          <w:color w:val="414142"/>
          <w:spacing w:val="-28"/>
          <w:w w:val="125"/>
          <w:sz w:val="18"/>
        </w:rPr>
        <w:t> </w:t>
      </w:r>
      <w:r>
        <w:rPr>
          <w:rFonts w:ascii="Calibri" w:hAnsi="Calibri"/>
          <w:color w:val="414142"/>
          <w:w w:val="125"/>
          <w:sz w:val="18"/>
        </w:rPr>
        <w:t>in</w:t>
      </w:r>
      <w:r>
        <w:rPr>
          <w:rFonts w:ascii="Calibri" w:hAnsi="Calibri"/>
          <w:color w:val="414142"/>
          <w:spacing w:val="-28"/>
          <w:w w:val="125"/>
          <w:sz w:val="18"/>
        </w:rPr>
        <w:t> </w:t>
      </w:r>
      <w:r>
        <w:rPr>
          <w:rFonts w:ascii="Calibri" w:hAnsi="Calibri"/>
          <w:color w:val="414142"/>
          <w:w w:val="125"/>
          <w:sz w:val="18"/>
        </w:rPr>
        <w:t>the</w:t>
      </w:r>
      <w:r>
        <w:rPr>
          <w:rFonts w:ascii="Calibri" w:hAnsi="Calibri"/>
          <w:color w:val="414142"/>
          <w:spacing w:val="-28"/>
          <w:w w:val="125"/>
          <w:sz w:val="18"/>
        </w:rPr>
        <w:t> </w:t>
      </w:r>
      <w:r>
        <w:rPr>
          <w:rFonts w:ascii="Calibri" w:hAnsi="Calibri"/>
          <w:color w:val="414142"/>
          <w:w w:val="125"/>
          <w:sz w:val="18"/>
        </w:rPr>
        <w:t>nervous</w:t>
      </w:r>
      <w:r>
        <w:rPr>
          <w:rFonts w:ascii="Calibri" w:hAnsi="Calibri"/>
          <w:color w:val="414142"/>
          <w:spacing w:val="-28"/>
          <w:w w:val="125"/>
          <w:sz w:val="18"/>
        </w:rPr>
        <w:t> </w:t>
      </w:r>
      <w:r>
        <w:rPr>
          <w:rFonts w:ascii="Calibri" w:hAnsi="Calibri"/>
          <w:color w:val="414142"/>
          <w:w w:val="125"/>
          <w:sz w:val="18"/>
        </w:rPr>
        <w:t>system</w:t>
      </w:r>
      <w:r>
        <w:rPr>
          <w:rFonts w:ascii="Calibri" w:hAnsi="Calibri"/>
          <w:color w:val="414142"/>
          <w:spacing w:val="-28"/>
          <w:w w:val="125"/>
          <w:sz w:val="18"/>
        </w:rPr>
        <w:t> </w:t>
      </w:r>
      <w:r>
        <w:rPr>
          <w:rFonts w:ascii="Calibri" w:hAnsi="Calibri"/>
          <w:color w:val="414142"/>
          <w:w w:val="125"/>
          <w:sz w:val="18"/>
        </w:rPr>
        <w:t>that</w:t>
      </w:r>
      <w:r>
        <w:rPr>
          <w:rFonts w:ascii="Calibri" w:hAnsi="Calibri"/>
          <w:color w:val="414142"/>
          <w:spacing w:val="-28"/>
          <w:w w:val="125"/>
          <w:sz w:val="18"/>
        </w:rPr>
        <w:t> </w:t>
      </w:r>
      <w:r>
        <w:rPr>
          <w:rFonts w:ascii="Calibri" w:hAnsi="Calibri"/>
          <w:color w:val="414142"/>
          <w:w w:val="125"/>
          <w:sz w:val="18"/>
        </w:rPr>
        <w:t>are</w:t>
      </w:r>
      <w:r>
        <w:rPr>
          <w:rFonts w:ascii="Calibri" w:hAnsi="Calibri"/>
          <w:color w:val="414142"/>
          <w:spacing w:val="-28"/>
          <w:w w:val="125"/>
          <w:sz w:val="18"/>
        </w:rPr>
        <w:t> </w:t>
      </w:r>
      <w:r>
        <w:rPr>
          <w:rFonts w:ascii="Calibri" w:hAnsi="Calibri"/>
          <w:color w:val="414142"/>
          <w:w w:val="125"/>
          <w:sz w:val="18"/>
        </w:rPr>
        <w:t>normally</w:t>
      </w:r>
      <w:r>
        <w:rPr>
          <w:rFonts w:ascii="Calibri" w:hAnsi="Calibri"/>
          <w:color w:val="414142"/>
          <w:spacing w:val="-28"/>
          <w:w w:val="125"/>
          <w:sz w:val="18"/>
        </w:rPr>
        <w:t> </w:t>
      </w:r>
      <w:r>
        <w:rPr>
          <w:rFonts w:ascii="Calibri" w:hAnsi="Calibri"/>
          <w:color w:val="414142"/>
          <w:w w:val="125"/>
          <w:sz w:val="18"/>
        </w:rPr>
        <w:t>stimulated</w:t>
      </w:r>
      <w:r>
        <w:rPr>
          <w:rFonts w:ascii="Calibri" w:hAnsi="Calibri"/>
          <w:color w:val="414142"/>
          <w:spacing w:val="-28"/>
          <w:w w:val="125"/>
          <w:sz w:val="18"/>
        </w:rPr>
        <w:t> </w:t>
      </w:r>
      <w:r>
        <w:rPr>
          <w:rFonts w:ascii="Calibri" w:hAnsi="Calibri"/>
          <w:color w:val="414142"/>
          <w:w w:val="125"/>
          <w:sz w:val="18"/>
        </w:rPr>
        <w:t>by</w:t>
      </w:r>
      <w:r>
        <w:rPr>
          <w:rFonts w:ascii="Calibri" w:hAnsi="Calibri"/>
          <w:color w:val="414142"/>
          <w:spacing w:val="-28"/>
          <w:w w:val="125"/>
          <w:sz w:val="18"/>
        </w:rPr>
        <w:t> </w:t>
      </w:r>
      <w:r>
        <w:rPr>
          <w:rFonts w:ascii="Calibri" w:hAnsi="Calibri"/>
          <w:color w:val="414142"/>
          <w:w w:val="125"/>
          <w:sz w:val="18"/>
        </w:rPr>
        <w:t>opioids.</w:t>
      </w:r>
      <w:r>
        <w:rPr>
          <w:rFonts w:ascii="Calibri" w:hAnsi="Calibri"/>
          <w:color w:val="414142"/>
          <w:spacing w:val="-28"/>
          <w:w w:val="125"/>
          <w:sz w:val="18"/>
        </w:rPr>
        <w:t> </w:t>
      </w:r>
      <w:r>
        <w:rPr>
          <w:rFonts w:ascii="Arial" w:hAnsi="Arial"/>
          <w:b/>
          <w:color w:val="414142"/>
          <w:w w:val="125"/>
          <w:sz w:val="18"/>
        </w:rPr>
        <w:t>Mu-opioid</w:t>
      </w:r>
      <w:r>
        <w:rPr>
          <w:rFonts w:ascii="Arial" w:hAnsi="Arial"/>
          <w:b/>
          <w:color w:val="414142"/>
          <w:spacing w:val="-38"/>
          <w:w w:val="125"/>
          <w:sz w:val="18"/>
        </w:rPr>
        <w:t> </w:t>
      </w:r>
      <w:r>
        <w:rPr>
          <w:rFonts w:ascii="Arial" w:hAnsi="Arial"/>
          <w:b/>
          <w:color w:val="414142"/>
          <w:w w:val="125"/>
          <w:sz w:val="18"/>
        </w:rPr>
        <w:t>receptor</w:t>
      </w:r>
      <w:r>
        <w:rPr>
          <w:rFonts w:ascii="Arial" w:hAnsi="Arial"/>
          <w:b/>
          <w:color w:val="414142"/>
          <w:spacing w:val="-37"/>
          <w:w w:val="125"/>
          <w:sz w:val="18"/>
        </w:rPr>
        <w:t> </w:t>
      </w:r>
      <w:r>
        <w:rPr>
          <w:rFonts w:ascii="Arial" w:hAnsi="Arial"/>
          <w:b/>
          <w:color w:val="414142"/>
          <w:w w:val="125"/>
          <w:sz w:val="18"/>
        </w:rPr>
        <w:t>full</w:t>
      </w:r>
    </w:p>
    <w:p>
      <w:pPr>
        <w:spacing w:line="261" w:lineRule="auto" w:before="3"/>
        <w:ind w:left="410" w:right="435" w:firstLine="0"/>
        <w:jc w:val="left"/>
        <w:rPr>
          <w:rFonts w:ascii="Calibri"/>
          <w:sz w:val="18"/>
        </w:rPr>
      </w:pPr>
      <w:r>
        <w:rPr>
          <w:rFonts w:ascii="Arial"/>
          <w:b/>
          <w:color w:val="414142"/>
          <w:w w:val="125"/>
          <w:sz w:val="18"/>
        </w:rPr>
        <w:t>agonists</w:t>
      </w:r>
      <w:r>
        <w:rPr>
          <w:rFonts w:ascii="Arial"/>
          <w:b/>
          <w:color w:val="414142"/>
          <w:spacing w:val="-33"/>
          <w:w w:val="125"/>
          <w:sz w:val="18"/>
        </w:rPr>
        <w:t> </w:t>
      </w:r>
      <w:r>
        <w:rPr>
          <w:rFonts w:ascii="Calibri"/>
          <w:color w:val="414142"/>
          <w:w w:val="125"/>
          <w:sz w:val="18"/>
        </w:rPr>
        <w:t>(e.g.,</w:t>
      </w:r>
      <w:r>
        <w:rPr>
          <w:rFonts w:ascii="Calibri"/>
          <w:color w:val="414142"/>
          <w:spacing w:val="-21"/>
          <w:w w:val="125"/>
          <w:sz w:val="18"/>
        </w:rPr>
        <w:t> </w:t>
      </w:r>
      <w:r>
        <w:rPr>
          <w:rFonts w:ascii="Calibri"/>
          <w:color w:val="414142"/>
          <w:w w:val="125"/>
          <w:sz w:val="18"/>
        </w:rPr>
        <w:t>methadone)</w:t>
      </w:r>
      <w:r>
        <w:rPr>
          <w:rFonts w:ascii="Calibri"/>
          <w:color w:val="414142"/>
          <w:spacing w:val="-21"/>
          <w:w w:val="125"/>
          <w:sz w:val="18"/>
        </w:rPr>
        <w:t> </w:t>
      </w:r>
      <w:r>
        <w:rPr>
          <w:rFonts w:ascii="Calibri"/>
          <w:color w:val="414142"/>
          <w:w w:val="125"/>
          <w:sz w:val="18"/>
        </w:rPr>
        <w:t>bind</w:t>
      </w:r>
      <w:r>
        <w:rPr>
          <w:rFonts w:ascii="Calibri"/>
          <w:color w:val="414142"/>
          <w:spacing w:val="-21"/>
          <w:w w:val="125"/>
          <w:sz w:val="18"/>
        </w:rPr>
        <w:t> </w:t>
      </w:r>
      <w:r>
        <w:rPr>
          <w:rFonts w:ascii="Calibri"/>
          <w:color w:val="414142"/>
          <w:w w:val="125"/>
          <w:sz w:val="18"/>
        </w:rPr>
        <w:t>to</w:t>
      </w:r>
      <w:r>
        <w:rPr>
          <w:rFonts w:ascii="Calibri"/>
          <w:color w:val="414142"/>
          <w:spacing w:val="-21"/>
          <w:w w:val="125"/>
          <w:sz w:val="18"/>
        </w:rPr>
        <w:t> </w:t>
      </w:r>
      <w:r>
        <w:rPr>
          <w:rFonts w:ascii="Calibri"/>
          <w:color w:val="414142"/>
          <w:w w:val="125"/>
          <w:sz w:val="18"/>
        </w:rPr>
        <w:t>the</w:t>
      </w:r>
      <w:r>
        <w:rPr>
          <w:rFonts w:ascii="Calibri"/>
          <w:color w:val="414142"/>
          <w:spacing w:val="-21"/>
          <w:w w:val="125"/>
          <w:sz w:val="18"/>
        </w:rPr>
        <w:t> </w:t>
      </w:r>
      <w:r>
        <w:rPr>
          <w:rFonts w:ascii="Calibri"/>
          <w:color w:val="414142"/>
          <w:w w:val="125"/>
          <w:sz w:val="18"/>
        </w:rPr>
        <w:t>mu-opioid</w:t>
      </w:r>
      <w:r>
        <w:rPr>
          <w:rFonts w:ascii="Calibri"/>
          <w:color w:val="414142"/>
          <w:spacing w:val="-21"/>
          <w:w w:val="125"/>
          <w:sz w:val="18"/>
        </w:rPr>
        <w:t> </w:t>
      </w:r>
      <w:r>
        <w:rPr>
          <w:rFonts w:ascii="Calibri"/>
          <w:color w:val="414142"/>
          <w:w w:val="125"/>
          <w:sz w:val="18"/>
        </w:rPr>
        <w:t>receptor</w:t>
      </w:r>
      <w:r>
        <w:rPr>
          <w:rFonts w:ascii="Calibri"/>
          <w:color w:val="414142"/>
          <w:spacing w:val="-21"/>
          <w:w w:val="125"/>
          <w:sz w:val="18"/>
        </w:rPr>
        <w:t> </w:t>
      </w:r>
      <w:r>
        <w:rPr>
          <w:rFonts w:ascii="Calibri"/>
          <w:color w:val="414142"/>
          <w:w w:val="125"/>
          <w:sz w:val="18"/>
        </w:rPr>
        <w:t>and</w:t>
      </w:r>
      <w:r>
        <w:rPr>
          <w:rFonts w:ascii="Calibri"/>
          <w:color w:val="414142"/>
          <w:spacing w:val="-21"/>
          <w:w w:val="125"/>
          <w:sz w:val="18"/>
        </w:rPr>
        <w:t> </w:t>
      </w:r>
      <w:r>
        <w:rPr>
          <w:rFonts w:ascii="Calibri"/>
          <w:color w:val="414142"/>
          <w:w w:val="125"/>
          <w:sz w:val="18"/>
        </w:rPr>
        <w:t>produce</w:t>
      </w:r>
      <w:r>
        <w:rPr>
          <w:rFonts w:ascii="Calibri"/>
          <w:color w:val="414142"/>
          <w:spacing w:val="-21"/>
          <w:w w:val="125"/>
          <w:sz w:val="18"/>
        </w:rPr>
        <w:t> </w:t>
      </w:r>
      <w:r>
        <w:rPr>
          <w:rFonts w:ascii="Calibri"/>
          <w:color w:val="414142"/>
          <w:w w:val="125"/>
          <w:sz w:val="18"/>
        </w:rPr>
        <w:t>actions</w:t>
      </w:r>
      <w:r>
        <w:rPr>
          <w:rFonts w:ascii="Calibri"/>
          <w:color w:val="414142"/>
          <w:spacing w:val="-21"/>
          <w:w w:val="125"/>
          <w:sz w:val="18"/>
        </w:rPr>
        <w:t> </w:t>
      </w:r>
      <w:r>
        <w:rPr>
          <w:rFonts w:ascii="Calibri"/>
          <w:color w:val="414142"/>
          <w:w w:val="125"/>
          <w:sz w:val="18"/>
        </w:rPr>
        <w:t>similar</w:t>
      </w:r>
      <w:r>
        <w:rPr>
          <w:rFonts w:ascii="Calibri"/>
          <w:color w:val="414142"/>
          <w:spacing w:val="-21"/>
          <w:w w:val="125"/>
          <w:sz w:val="18"/>
        </w:rPr>
        <w:t> </w:t>
      </w:r>
      <w:r>
        <w:rPr>
          <w:rFonts w:ascii="Calibri"/>
          <w:color w:val="414142"/>
          <w:w w:val="125"/>
          <w:sz w:val="18"/>
        </w:rPr>
        <w:t>to</w:t>
      </w:r>
      <w:r>
        <w:rPr>
          <w:rFonts w:ascii="Calibri"/>
          <w:color w:val="414142"/>
          <w:spacing w:val="-21"/>
          <w:w w:val="125"/>
          <w:sz w:val="18"/>
        </w:rPr>
        <w:t> </w:t>
      </w:r>
      <w:r>
        <w:rPr>
          <w:rFonts w:ascii="Calibri"/>
          <w:color w:val="414142"/>
          <w:w w:val="125"/>
          <w:sz w:val="18"/>
        </w:rPr>
        <w:t>those</w:t>
      </w:r>
      <w:r>
        <w:rPr>
          <w:rFonts w:ascii="Calibri"/>
          <w:color w:val="414142"/>
          <w:spacing w:val="-21"/>
          <w:w w:val="125"/>
          <w:sz w:val="18"/>
        </w:rPr>
        <w:t> </w:t>
      </w:r>
      <w:r>
        <w:rPr>
          <w:rFonts w:ascii="Calibri"/>
          <w:color w:val="414142"/>
          <w:w w:val="125"/>
          <w:sz w:val="18"/>
        </w:rPr>
        <w:t>produced by</w:t>
      </w:r>
      <w:r>
        <w:rPr>
          <w:rFonts w:ascii="Calibri"/>
          <w:color w:val="414142"/>
          <w:spacing w:val="-24"/>
          <w:w w:val="125"/>
          <w:sz w:val="18"/>
        </w:rPr>
        <w:t> </w:t>
      </w:r>
      <w:r>
        <w:rPr>
          <w:rFonts w:ascii="Calibri"/>
          <w:color w:val="414142"/>
          <w:w w:val="125"/>
          <w:sz w:val="18"/>
        </w:rPr>
        <w:t>the</w:t>
      </w:r>
      <w:r>
        <w:rPr>
          <w:rFonts w:ascii="Calibri"/>
          <w:color w:val="414142"/>
          <w:spacing w:val="-23"/>
          <w:w w:val="125"/>
          <w:sz w:val="18"/>
        </w:rPr>
        <w:t> </w:t>
      </w:r>
      <w:r>
        <w:rPr>
          <w:rFonts w:ascii="Calibri"/>
          <w:color w:val="414142"/>
          <w:w w:val="125"/>
          <w:sz w:val="18"/>
        </w:rPr>
        <w:t>endogenous</w:t>
      </w:r>
      <w:r>
        <w:rPr>
          <w:rFonts w:ascii="Calibri"/>
          <w:color w:val="414142"/>
          <w:spacing w:val="-24"/>
          <w:w w:val="125"/>
          <w:sz w:val="18"/>
        </w:rPr>
        <w:t> </w:t>
      </w:r>
      <w:r>
        <w:rPr>
          <w:rFonts w:ascii="Calibri"/>
          <w:color w:val="414142"/>
          <w:w w:val="125"/>
          <w:sz w:val="18"/>
        </w:rPr>
        <w:t>opioid</w:t>
      </w:r>
      <w:r>
        <w:rPr>
          <w:rFonts w:ascii="Calibri"/>
          <w:color w:val="414142"/>
          <w:spacing w:val="-23"/>
          <w:w w:val="125"/>
          <w:sz w:val="18"/>
        </w:rPr>
        <w:t> </w:t>
      </w:r>
      <w:r>
        <w:rPr>
          <w:rFonts w:ascii="Calibri"/>
          <w:color w:val="414142"/>
          <w:w w:val="125"/>
          <w:sz w:val="18"/>
        </w:rPr>
        <w:t>beta-endorphin.</w:t>
      </w:r>
      <w:r>
        <w:rPr>
          <w:rFonts w:ascii="Calibri"/>
          <w:color w:val="414142"/>
          <w:spacing w:val="-24"/>
          <w:w w:val="125"/>
          <w:sz w:val="18"/>
        </w:rPr>
        <w:t> </w:t>
      </w:r>
      <w:r>
        <w:rPr>
          <w:rFonts w:ascii="Calibri"/>
          <w:color w:val="414142"/>
          <w:w w:val="125"/>
          <w:sz w:val="18"/>
        </w:rPr>
        <w:t>Increasing</w:t>
      </w:r>
      <w:r>
        <w:rPr>
          <w:rFonts w:ascii="Calibri"/>
          <w:color w:val="414142"/>
          <w:spacing w:val="-23"/>
          <w:w w:val="125"/>
          <w:sz w:val="18"/>
        </w:rPr>
        <w:t> </w:t>
      </w:r>
      <w:r>
        <w:rPr>
          <w:rFonts w:ascii="Calibri"/>
          <w:color w:val="414142"/>
          <w:w w:val="125"/>
          <w:sz w:val="18"/>
        </w:rPr>
        <w:t>the</w:t>
      </w:r>
      <w:r>
        <w:rPr>
          <w:rFonts w:ascii="Calibri"/>
          <w:color w:val="414142"/>
          <w:spacing w:val="-23"/>
          <w:w w:val="125"/>
          <w:sz w:val="18"/>
        </w:rPr>
        <w:t> </w:t>
      </w:r>
      <w:r>
        <w:rPr>
          <w:rFonts w:ascii="Calibri"/>
          <w:color w:val="414142"/>
          <w:w w:val="125"/>
          <w:sz w:val="18"/>
        </w:rPr>
        <w:t>dose</w:t>
      </w:r>
      <w:r>
        <w:rPr>
          <w:rFonts w:ascii="Calibri"/>
          <w:color w:val="414142"/>
          <w:spacing w:val="-24"/>
          <w:w w:val="125"/>
          <w:sz w:val="18"/>
        </w:rPr>
        <w:t> </w:t>
      </w:r>
      <w:r>
        <w:rPr>
          <w:rFonts w:ascii="Calibri"/>
          <w:color w:val="414142"/>
          <w:w w:val="125"/>
          <w:sz w:val="18"/>
        </w:rPr>
        <w:t>increases</w:t>
      </w:r>
      <w:r>
        <w:rPr>
          <w:rFonts w:ascii="Calibri"/>
          <w:color w:val="414142"/>
          <w:spacing w:val="-23"/>
          <w:w w:val="125"/>
          <w:sz w:val="18"/>
        </w:rPr>
        <w:t> </w:t>
      </w:r>
      <w:r>
        <w:rPr>
          <w:rFonts w:ascii="Calibri"/>
          <w:color w:val="414142"/>
          <w:w w:val="125"/>
          <w:sz w:val="18"/>
        </w:rPr>
        <w:t>the</w:t>
      </w:r>
      <w:r>
        <w:rPr>
          <w:rFonts w:ascii="Calibri"/>
          <w:color w:val="414142"/>
          <w:spacing w:val="-24"/>
          <w:w w:val="125"/>
          <w:sz w:val="18"/>
        </w:rPr>
        <w:t> </w:t>
      </w:r>
      <w:r>
        <w:rPr>
          <w:rFonts w:ascii="Calibri"/>
          <w:color w:val="414142"/>
          <w:w w:val="125"/>
          <w:sz w:val="18"/>
        </w:rPr>
        <w:t>effect.</w:t>
      </w:r>
      <w:r>
        <w:rPr>
          <w:rFonts w:ascii="Calibri"/>
          <w:color w:val="414142"/>
          <w:spacing w:val="-22"/>
          <w:w w:val="125"/>
          <w:sz w:val="18"/>
        </w:rPr>
        <w:t> </w:t>
      </w:r>
      <w:r>
        <w:rPr>
          <w:rFonts w:ascii="Arial"/>
          <w:b/>
          <w:color w:val="414142"/>
          <w:w w:val="125"/>
          <w:sz w:val="18"/>
        </w:rPr>
        <w:t>Mu-opioid</w:t>
      </w:r>
      <w:r>
        <w:rPr>
          <w:rFonts w:ascii="Arial"/>
          <w:b/>
          <w:color w:val="414142"/>
          <w:spacing w:val="-34"/>
          <w:w w:val="125"/>
          <w:sz w:val="18"/>
        </w:rPr>
        <w:t> </w:t>
      </w:r>
      <w:r>
        <w:rPr>
          <w:rFonts w:ascii="Arial"/>
          <w:b/>
          <w:color w:val="414142"/>
          <w:w w:val="125"/>
          <w:sz w:val="18"/>
        </w:rPr>
        <w:t>receptor partial</w:t>
      </w:r>
      <w:r>
        <w:rPr>
          <w:rFonts w:ascii="Arial"/>
          <w:b/>
          <w:color w:val="414142"/>
          <w:spacing w:val="-38"/>
          <w:w w:val="125"/>
          <w:sz w:val="18"/>
        </w:rPr>
        <w:t> </w:t>
      </w:r>
      <w:r>
        <w:rPr>
          <w:rFonts w:ascii="Arial"/>
          <w:b/>
          <w:color w:val="414142"/>
          <w:w w:val="125"/>
          <w:sz w:val="18"/>
        </w:rPr>
        <w:t>agonists</w:t>
      </w:r>
      <w:r>
        <w:rPr>
          <w:rFonts w:ascii="Arial"/>
          <w:b/>
          <w:color w:val="414142"/>
          <w:spacing w:val="-40"/>
          <w:w w:val="125"/>
          <w:sz w:val="18"/>
        </w:rPr>
        <w:t> </w:t>
      </w:r>
      <w:r>
        <w:rPr>
          <w:rFonts w:ascii="Calibri"/>
          <w:color w:val="414142"/>
          <w:w w:val="125"/>
          <w:sz w:val="18"/>
        </w:rPr>
        <w:t>(e.g.,</w:t>
      </w:r>
      <w:r>
        <w:rPr>
          <w:rFonts w:ascii="Calibri"/>
          <w:color w:val="414142"/>
          <w:spacing w:val="-27"/>
          <w:w w:val="125"/>
          <w:sz w:val="18"/>
        </w:rPr>
        <w:t> </w:t>
      </w:r>
      <w:r>
        <w:rPr>
          <w:rFonts w:ascii="Calibri"/>
          <w:color w:val="414142"/>
          <w:w w:val="125"/>
          <w:sz w:val="18"/>
        </w:rPr>
        <w:t>buprenorphine)</w:t>
      </w:r>
      <w:r>
        <w:rPr>
          <w:rFonts w:ascii="Calibri"/>
          <w:color w:val="414142"/>
          <w:spacing w:val="-28"/>
          <w:w w:val="125"/>
          <w:sz w:val="18"/>
        </w:rPr>
        <w:t> </w:t>
      </w:r>
      <w:r>
        <w:rPr>
          <w:rFonts w:ascii="Calibri"/>
          <w:color w:val="414142"/>
          <w:w w:val="125"/>
          <w:sz w:val="18"/>
        </w:rPr>
        <w:t>bind</w:t>
      </w:r>
      <w:r>
        <w:rPr>
          <w:rFonts w:ascii="Calibri"/>
          <w:color w:val="414142"/>
          <w:spacing w:val="-28"/>
          <w:w w:val="125"/>
          <w:sz w:val="18"/>
        </w:rPr>
        <w:t> </w:t>
      </w:r>
      <w:r>
        <w:rPr>
          <w:rFonts w:ascii="Calibri"/>
          <w:color w:val="414142"/>
          <w:w w:val="125"/>
          <w:sz w:val="18"/>
        </w:rPr>
        <w:t>to</w:t>
      </w:r>
      <w:r>
        <w:rPr>
          <w:rFonts w:ascii="Calibri"/>
          <w:color w:val="414142"/>
          <w:spacing w:val="-28"/>
          <w:w w:val="125"/>
          <w:sz w:val="18"/>
        </w:rPr>
        <w:t> </w:t>
      </w:r>
      <w:r>
        <w:rPr>
          <w:rFonts w:ascii="Calibri"/>
          <w:color w:val="414142"/>
          <w:w w:val="125"/>
          <w:sz w:val="18"/>
        </w:rPr>
        <w:t>the</w:t>
      </w:r>
      <w:r>
        <w:rPr>
          <w:rFonts w:ascii="Calibri"/>
          <w:color w:val="414142"/>
          <w:spacing w:val="-27"/>
          <w:w w:val="125"/>
          <w:sz w:val="18"/>
        </w:rPr>
        <w:t> </w:t>
      </w:r>
      <w:r>
        <w:rPr>
          <w:rFonts w:ascii="Calibri"/>
          <w:color w:val="414142"/>
          <w:w w:val="125"/>
          <w:sz w:val="18"/>
        </w:rPr>
        <w:t>mu-opioid</w:t>
      </w:r>
      <w:r>
        <w:rPr>
          <w:rFonts w:ascii="Calibri"/>
          <w:color w:val="414142"/>
          <w:spacing w:val="-28"/>
          <w:w w:val="125"/>
          <w:sz w:val="18"/>
        </w:rPr>
        <w:t> </w:t>
      </w:r>
      <w:r>
        <w:rPr>
          <w:rFonts w:ascii="Calibri"/>
          <w:color w:val="414142"/>
          <w:w w:val="125"/>
          <w:sz w:val="18"/>
        </w:rPr>
        <w:t>receptor.</w:t>
      </w:r>
      <w:r>
        <w:rPr>
          <w:rFonts w:ascii="Calibri"/>
          <w:color w:val="414142"/>
          <w:spacing w:val="-28"/>
          <w:w w:val="125"/>
          <w:sz w:val="18"/>
        </w:rPr>
        <w:t> </w:t>
      </w:r>
      <w:r>
        <w:rPr>
          <w:rFonts w:ascii="Calibri"/>
          <w:color w:val="414142"/>
          <w:w w:val="125"/>
          <w:sz w:val="18"/>
        </w:rPr>
        <w:t>Unlike</w:t>
      </w:r>
      <w:r>
        <w:rPr>
          <w:rFonts w:ascii="Calibri"/>
          <w:color w:val="414142"/>
          <w:spacing w:val="-28"/>
          <w:w w:val="125"/>
          <w:sz w:val="18"/>
        </w:rPr>
        <w:t> </w:t>
      </w:r>
      <w:r>
        <w:rPr>
          <w:rFonts w:ascii="Calibri"/>
          <w:color w:val="414142"/>
          <w:w w:val="125"/>
          <w:sz w:val="18"/>
        </w:rPr>
        <w:t>with</w:t>
      </w:r>
      <w:r>
        <w:rPr>
          <w:rFonts w:ascii="Calibri"/>
          <w:color w:val="414142"/>
          <w:spacing w:val="-28"/>
          <w:w w:val="125"/>
          <w:sz w:val="18"/>
        </w:rPr>
        <w:t> </w:t>
      </w:r>
      <w:r>
        <w:rPr>
          <w:rFonts w:ascii="Calibri"/>
          <w:color w:val="414142"/>
          <w:w w:val="125"/>
          <w:sz w:val="18"/>
        </w:rPr>
        <w:t>full</w:t>
      </w:r>
      <w:r>
        <w:rPr>
          <w:rFonts w:ascii="Calibri"/>
          <w:color w:val="414142"/>
          <w:spacing w:val="-27"/>
          <w:w w:val="125"/>
          <w:sz w:val="18"/>
        </w:rPr>
        <w:t> </w:t>
      </w:r>
      <w:r>
        <w:rPr>
          <w:rFonts w:ascii="Calibri"/>
          <w:color w:val="414142"/>
          <w:w w:val="125"/>
          <w:sz w:val="18"/>
        </w:rPr>
        <w:t>agonists,</w:t>
      </w:r>
      <w:r>
        <w:rPr>
          <w:rFonts w:ascii="Calibri"/>
          <w:color w:val="414142"/>
          <w:spacing w:val="-28"/>
          <w:w w:val="125"/>
          <w:sz w:val="18"/>
        </w:rPr>
        <w:t> </w:t>
      </w:r>
      <w:r>
        <w:rPr>
          <w:rFonts w:ascii="Calibri"/>
          <w:color w:val="414142"/>
          <w:w w:val="125"/>
          <w:sz w:val="18"/>
        </w:rPr>
        <w:t>increasing their dose in an opioid-tolerant individual may not produce additional effects once they have reached their</w:t>
      </w:r>
      <w:r>
        <w:rPr>
          <w:rFonts w:ascii="Calibri"/>
          <w:color w:val="414142"/>
          <w:spacing w:val="-12"/>
          <w:w w:val="125"/>
          <w:sz w:val="18"/>
        </w:rPr>
        <w:t> </w:t>
      </w:r>
      <w:r>
        <w:rPr>
          <w:rFonts w:ascii="Calibri"/>
          <w:color w:val="414142"/>
          <w:w w:val="125"/>
          <w:sz w:val="18"/>
        </w:rPr>
        <w:t>maximal</w:t>
      </w:r>
      <w:r>
        <w:rPr>
          <w:rFonts w:ascii="Calibri"/>
          <w:color w:val="414142"/>
          <w:spacing w:val="-11"/>
          <w:w w:val="125"/>
          <w:sz w:val="18"/>
        </w:rPr>
        <w:t> </w:t>
      </w:r>
      <w:r>
        <w:rPr>
          <w:rFonts w:ascii="Calibri"/>
          <w:color w:val="414142"/>
          <w:w w:val="125"/>
          <w:sz w:val="18"/>
        </w:rPr>
        <w:t>effect.</w:t>
      </w:r>
      <w:r>
        <w:rPr>
          <w:rFonts w:ascii="Calibri"/>
          <w:color w:val="414142"/>
          <w:spacing w:val="-11"/>
          <w:w w:val="125"/>
          <w:sz w:val="18"/>
        </w:rPr>
        <w:t> </w:t>
      </w:r>
      <w:r>
        <w:rPr>
          <w:rFonts w:ascii="Calibri"/>
          <w:color w:val="414142"/>
          <w:w w:val="125"/>
          <w:sz w:val="18"/>
        </w:rPr>
        <w:t>At</w:t>
      </w:r>
      <w:r>
        <w:rPr>
          <w:rFonts w:ascii="Calibri"/>
          <w:color w:val="414142"/>
          <w:spacing w:val="-12"/>
          <w:w w:val="125"/>
          <w:sz w:val="18"/>
        </w:rPr>
        <w:t> </w:t>
      </w:r>
      <w:r>
        <w:rPr>
          <w:rFonts w:ascii="Calibri"/>
          <w:color w:val="414142"/>
          <w:w w:val="125"/>
          <w:sz w:val="18"/>
        </w:rPr>
        <w:t>low</w:t>
      </w:r>
      <w:r>
        <w:rPr>
          <w:rFonts w:ascii="Calibri"/>
          <w:color w:val="414142"/>
          <w:spacing w:val="-11"/>
          <w:w w:val="125"/>
          <w:sz w:val="18"/>
        </w:rPr>
        <w:t> </w:t>
      </w:r>
      <w:r>
        <w:rPr>
          <w:rFonts w:ascii="Calibri"/>
          <w:color w:val="414142"/>
          <w:w w:val="125"/>
          <w:sz w:val="18"/>
        </w:rPr>
        <w:t>doses,</w:t>
      </w:r>
      <w:r>
        <w:rPr>
          <w:rFonts w:ascii="Calibri"/>
          <w:color w:val="414142"/>
          <w:spacing w:val="-11"/>
          <w:w w:val="125"/>
          <w:sz w:val="18"/>
        </w:rPr>
        <w:t> </w:t>
      </w:r>
      <w:r>
        <w:rPr>
          <w:rFonts w:ascii="Calibri"/>
          <w:color w:val="414142"/>
          <w:w w:val="125"/>
          <w:sz w:val="18"/>
        </w:rPr>
        <w:t>partial</w:t>
      </w:r>
      <w:r>
        <w:rPr>
          <w:rFonts w:ascii="Calibri"/>
          <w:color w:val="414142"/>
          <w:spacing w:val="-11"/>
          <w:w w:val="125"/>
          <w:sz w:val="18"/>
        </w:rPr>
        <w:t> </w:t>
      </w:r>
      <w:r>
        <w:rPr>
          <w:rFonts w:ascii="Calibri"/>
          <w:color w:val="414142"/>
          <w:w w:val="125"/>
          <w:sz w:val="18"/>
        </w:rPr>
        <w:t>agonists</w:t>
      </w:r>
      <w:r>
        <w:rPr>
          <w:rFonts w:ascii="Calibri"/>
          <w:color w:val="414142"/>
          <w:spacing w:val="-12"/>
          <w:w w:val="125"/>
          <w:sz w:val="18"/>
        </w:rPr>
        <w:t> </w:t>
      </w:r>
      <w:r>
        <w:rPr>
          <w:rFonts w:ascii="Calibri"/>
          <w:color w:val="414142"/>
          <w:w w:val="125"/>
          <w:sz w:val="18"/>
        </w:rPr>
        <w:t>may</w:t>
      </w:r>
      <w:r>
        <w:rPr>
          <w:rFonts w:ascii="Calibri"/>
          <w:color w:val="414142"/>
          <w:spacing w:val="-11"/>
          <w:w w:val="125"/>
          <w:sz w:val="18"/>
        </w:rPr>
        <w:t> </w:t>
      </w:r>
      <w:r>
        <w:rPr>
          <w:rFonts w:ascii="Calibri"/>
          <w:color w:val="414142"/>
          <w:w w:val="125"/>
          <w:sz w:val="18"/>
        </w:rPr>
        <w:t>produce</w:t>
      </w:r>
      <w:r>
        <w:rPr>
          <w:rFonts w:ascii="Calibri"/>
          <w:color w:val="414142"/>
          <w:spacing w:val="-11"/>
          <w:w w:val="125"/>
          <w:sz w:val="18"/>
        </w:rPr>
        <w:t> </w:t>
      </w:r>
      <w:r>
        <w:rPr>
          <w:rFonts w:ascii="Calibri"/>
          <w:color w:val="414142"/>
          <w:w w:val="125"/>
          <w:sz w:val="18"/>
        </w:rPr>
        <w:t>effects</w:t>
      </w:r>
      <w:r>
        <w:rPr>
          <w:rFonts w:ascii="Calibri"/>
          <w:color w:val="414142"/>
          <w:spacing w:val="-12"/>
          <w:w w:val="125"/>
          <w:sz w:val="18"/>
        </w:rPr>
        <w:t> </w:t>
      </w:r>
      <w:r>
        <w:rPr>
          <w:rFonts w:ascii="Calibri"/>
          <w:color w:val="414142"/>
          <w:w w:val="125"/>
          <w:sz w:val="18"/>
        </w:rPr>
        <w:t>similar</w:t>
      </w:r>
      <w:r>
        <w:rPr>
          <w:rFonts w:ascii="Calibri"/>
          <w:color w:val="414142"/>
          <w:spacing w:val="-11"/>
          <w:w w:val="125"/>
          <w:sz w:val="18"/>
        </w:rPr>
        <w:t> </w:t>
      </w:r>
      <w:r>
        <w:rPr>
          <w:rFonts w:ascii="Calibri"/>
          <w:color w:val="414142"/>
          <w:w w:val="125"/>
          <w:sz w:val="18"/>
        </w:rPr>
        <w:t>to</w:t>
      </w:r>
      <w:r>
        <w:rPr>
          <w:rFonts w:ascii="Calibri"/>
          <w:color w:val="414142"/>
          <w:spacing w:val="-11"/>
          <w:w w:val="125"/>
          <w:sz w:val="18"/>
        </w:rPr>
        <w:t> </w:t>
      </w:r>
      <w:r>
        <w:rPr>
          <w:rFonts w:ascii="Calibri"/>
          <w:color w:val="414142"/>
          <w:w w:val="125"/>
          <w:sz w:val="18"/>
        </w:rPr>
        <w:t>those</w:t>
      </w:r>
      <w:r>
        <w:rPr>
          <w:rFonts w:ascii="Calibri"/>
          <w:color w:val="414142"/>
          <w:spacing w:val="-11"/>
          <w:w w:val="125"/>
          <w:sz w:val="18"/>
        </w:rPr>
        <w:t> </w:t>
      </w:r>
      <w:r>
        <w:rPr>
          <w:rFonts w:ascii="Calibri"/>
          <w:color w:val="414142"/>
          <w:w w:val="125"/>
          <w:sz w:val="18"/>
        </w:rPr>
        <w:t>of</w:t>
      </w:r>
      <w:r>
        <w:rPr>
          <w:rFonts w:ascii="Calibri"/>
          <w:color w:val="414142"/>
          <w:spacing w:val="-12"/>
          <w:w w:val="125"/>
          <w:sz w:val="18"/>
        </w:rPr>
        <w:t> </w:t>
      </w:r>
      <w:r>
        <w:rPr>
          <w:rFonts w:ascii="Calibri"/>
          <w:color w:val="414142"/>
          <w:w w:val="125"/>
          <w:sz w:val="18"/>
        </w:rPr>
        <w:t>full</w:t>
      </w:r>
      <w:r>
        <w:rPr>
          <w:rFonts w:ascii="Calibri"/>
          <w:color w:val="414142"/>
          <w:spacing w:val="-11"/>
          <w:w w:val="125"/>
          <w:sz w:val="18"/>
        </w:rPr>
        <w:t> </w:t>
      </w:r>
      <w:r>
        <w:rPr>
          <w:rFonts w:ascii="Calibri"/>
          <w:color w:val="414142"/>
          <w:w w:val="125"/>
          <w:sz w:val="18"/>
        </w:rPr>
        <w:t>agonists.</w:t>
      </w:r>
    </w:p>
    <w:p>
      <w:pPr>
        <w:spacing w:before="2"/>
        <w:ind w:left="410" w:right="0" w:firstLine="0"/>
        <w:jc w:val="left"/>
        <w:rPr>
          <w:rFonts w:ascii="Calibri"/>
          <w:sz w:val="18"/>
        </w:rPr>
      </w:pPr>
      <w:r>
        <w:rPr>
          <w:rFonts w:ascii="Calibri"/>
          <w:color w:val="414142"/>
          <w:w w:val="125"/>
          <w:sz w:val="18"/>
        </w:rPr>
        <w:t>Methadone and buprenorphine can blunt or block the effects of exogenously administered opioids.</w:t>
      </w:r>
    </w:p>
    <w:p>
      <w:pPr>
        <w:spacing w:line="261" w:lineRule="auto" w:before="96"/>
        <w:ind w:left="410" w:right="841" w:hanging="1"/>
        <w:jc w:val="left"/>
        <w:rPr>
          <w:rFonts w:ascii="Calibri" w:hAnsi="Calibri"/>
          <w:sz w:val="18"/>
        </w:rPr>
      </w:pPr>
      <w:r>
        <w:rPr>
          <w:rFonts w:ascii="Arial" w:hAnsi="Arial"/>
          <w:b/>
          <w:color w:val="137692"/>
          <w:w w:val="120"/>
          <w:sz w:val="22"/>
        </w:rPr>
        <w:t>Opioid</w:t>
      </w:r>
      <w:r>
        <w:rPr>
          <w:rFonts w:ascii="Arial" w:hAnsi="Arial"/>
          <w:b/>
          <w:color w:val="137692"/>
          <w:spacing w:val="-22"/>
          <w:w w:val="120"/>
          <w:sz w:val="22"/>
        </w:rPr>
        <w:t> </w:t>
      </w:r>
      <w:r>
        <w:rPr>
          <w:rFonts w:ascii="Arial" w:hAnsi="Arial"/>
          <w:b/>
          <w:color w:val="137692"/>
          <w:w w:val="120"/>
          <w:sz w:val="22"/>
        </w:rPr>
        <w:t>receptor</w:t>
      </w:r>
      <w:r>
        <w:rPr>
          <w:rFonts w:ascii="Arial" w:hAnsi="Arial"/>
          <w:b/>
          <w:color w:val="137692"/>
          <w:spacing w:val="-22"/>
          <w:w w:val="120"/>
          <w:sz w:val="22"/>
        </w:rPr>
        <w:t> </w:t>
      </w:r>
      <w:r>
        <w:rPr>
          <w:rFonts w:ascii="Arial" w:hAnsi="Arial"/>
          <w:b/>
          <w:color w:val="137692"/>
          <w:w w:val="120"/>
          <w:sz w:val="22"/>
        </w:rPr>
        <w:t>antagonist:</w:t>
      </w:r>
      <w:r>
        <w:rPr>
          <w:rFonts w:ascii="Arial" w:hAnsi="Arial"/>
          <w:b/>
          <w:color w:val="137692"/>
          <w:spacing w:val="-34"/>
          <w:w w:val="120"/>
          <w:sz w:val="22"/>
        </w:rPr>
        <w:t> </w:t>
      </w:r>
      <w:r>
        <w:rPr>
          <w:rFonts w:ascii="Calibri" w:hAnsi="Calibri"/>
          <w:color w:val="414142"/>
          <w:w w:val="120"/>
          <w:sz w:val="18"/>
        </w:rPr>
        <w:t>A</w:t>
      </w:r>
      <w:r>
        <w:rPr>
          <w:rFonts w:ascii="Calibri" w:hAnsi="Calibri"/>
          <w:color w:val="414142"/>
          <w:spacing w:val="-10"/>
          <w:w w:val="120"/>
          <w:sz w:val="18"/>
        </w:rPr>
        <w:t> </w:t>
      </w:r>
      <w:r>
        <w:rPr>
          <w:rFonts w:ascii="Calibri" w:hAnsi="Calibri"/>
          <w:color w:val="414142"/>
          <w:w w:val="120"/>
          <w:sz w:val="18"/>
        </w:rPr>
        <w:t>substance</w:t>
      </w:r>
      <w:r>
        <w:rPr>
          <w:rFonts w:ascii="Calibri" w:hAnsi="Calibri"/>
          <w:color w:val="414142"/>
          <w:spacing w:val="-10"/>
          <w:w w:val="120"/>
          <w:sz w:val="18"/>
        </w:rPr>
        <w:t> </w:t>
      </w:r>
      <w:r>
        <w:rPr>
          <w:rFonts w:ascii="Calibri" w:hAnsi="Calibri"/>
          <w:color w:val="414142"/>
          <w:w w:val="120"/>
          <w:sz w:val="18"/>
        </w:rPr>
        <w:t>that</w:t>
      </w:r>
      <w:r>
        <w:rPr>
          <w:rFonts w:ascii="Calibri" w:hAnsi="Calibri"/>
          <w:color w:val="414142"/>
          <w:spacing w:val="-10"/>
          <w:w w:val="120"/>
          <w:sz w:val="18"/>
        </w:rPr>
        <w:t> </w:t>
      </w:r>
      <w:r>
        <w:rPr>
          <w:rFonts w:ascii="Calibri" w:hAnsi="Calibri"/>
          <w:color w:val="414142"/>
          <w:w w:val="120"/>
          <w:sz w:val="18"/>
        </w:rPr>
        <w:t>has</w:t>
      </w:r>
      <w:r>
        <w:rPr>
          <w:rFonts w:ascii="Calibri" w:hAnsi="Calibri"/>
          <w:color w:val="414142"/>
          <w:spacing w:val="-10"/>
          <w:w w:val="120"/>
          <w:sz w:val="18"/>
        </w:rPr>
        <w:t> </w:t>
      </w:r>
      <w:r>
        <w:rPr>
          <w:rFonts w:ascii="Calibri" w:hAnsi="Calibri"/>
          <w:color w:val="414142"/>
          <w:w w:val="120"/>
          <w:sz w:val="18"/>
        </w:rPr>
        <w:t>an</w:t>
      </w:r>
      <w:r>
        <w:rPr>
          <w:rFonts w:ascii="Calibri" w:hAnsi="Calibri"/>
          <w:color w:val="414142"/>
          <w:spacing w:val="-10"/>
          <w:w w:val="120"/>
          <w:sz w:val="18"/>
        </w:rPr>
        <w:t> </w:t>
      </w:r>
      <w:r>
        <w:rPr>
          <w:rFonts w:ascii="Calibri" w:hAnsi="Calibri"/>
          <w:color w:val="414142"/>
          <w:w w:val="120"/>
          <w:sz w:val="18"/>
        </w:rPr>
        <w:t>afﬁnity</w:t>
      </w:r>
      <w:r>
        <w:rPr>
          <w:rFonts w:ascii="Calibri" w:hAnsi="Calibri"/>
          <w:color w:val="414142"/>
          <w:spacing w:val="-10"/>
          <w:w w:val="120"/>
          <w:sz w:val="18"/>
        </w:rPr>
        <w:t> </w:t>
      </w:r>
      <w:r>
        <w:rPr>
          <w:rFonts w:ascii="Calibri" w:hAnsi="Calibri"/>
          <w:color w:val="414142"/>
          <w:w w:val="120"/>
          <w:sz w:val="18"/>
        </w:rPr>
        <w:t>for</w:t>
      </w:r>
      <w:r>
        <w:rPr>
          <w:rFonts w:ascii="Calibri" w:hAnsi="Calibri"/>
          <w:color w:val="414142"/>
          <w:spacing w:val="-10"/>
          <w:w w:val="120"/>
          <w:sz w:val="18"/>
        </w:rPr>
        <w:t> </w:t>
      </w:r>
      <w:r>
        <w:rPr>
          <w:rFonts w:ascii="Calibri" w:hAnsi="Calibri"/>
          <w:color w:val="414142"/>
          <w:w w:val="120"/>
          <w:sz w:val="18"/>
        </w:rPr>
        <w:t>opioid</w:t>
      </w:r>
      <w:r>
        <w:rPr>
          <w:rFonts w:ascii="Calibri" w:hAnsi="Calibri"/>
          <w:color w:val="414142"/>
          <w:spacing w:val="-10"/>
          <w:w w:val="120"/>
          <w:sz w:val="18"/>
        </w:rPr>
        <w:t> </w:t>
      </w:r>
      <w:r>
        <w:rPr>
          <w:rFonts w:ascii="Calibri" w:hAnsi="Calibri"/>
          <w:color w:val="414142"/>
          <w:w w:val="120"/>
          <w:sz w:val="18"/>
        </w:rPr>
        <w:t>receptors</w:t>
      </w:r>
      <w:r>
        <w:rPr>
          <w:rFonts w:ascii="Calibri" w:hAnsi="Calibri"/>
          <w:color w:val="414142"/>
          <w:spacing w:val="-10"/>
          <w:w w:val="120"/>
          <w:sz w:val="18"/>
        </w:rPr>
        <w:t> </w:t>
      </w:r>
      <w:r>
        <w:rPr>
          <w:rFonts w:ascii="Calibri" w:hAnsi="Calibri"/>
          <w:color w:val="414142"/>
          <w:w w:val="120"/>
          <w:sz w:val="18"/>
        </w:rPr>
        <w:t>in</w:t>
      </w:r>
      <w:r>
        <w:rPr>
          <w:rFonts w:ascii="Calibri" w:hAnsi="Calibri"/>
          <w:color w:val="414142"/>
          <w:spacing w:val="-10"/>
          <w:w w:val="120"/>
          <w:sz w:val="18"/>
        </w:rPr>
        <w:t> </w:t>
      </w:r>
      <w:r>
        <w:rPr>
          <w:rFonts w:ascii="Calibri" w:hAnsi="Calibri"/>
          <w:color w:val="414142"/>
          <w:w w:val="120"/>
          <w:sz w:val="18"/>
        </w:rPr>
        <w:t>the</w:t>
      </w:r>
      <w:r>
        <w:rPr>
          <w:rFonts w:ascii="Calibri" w:hAnsi="Calibri"/>
          <w:color w:val="414142"/>
          <w:spacing w:val="-10"/>
          <w:w w:val="120"/>
          <w:sz w:val="18"/>
        </w:rPr>
        <w:t> </w:t>
      </w:r>
      <w:r>
        <w:rPr>
          <w:rFonts w:ascii="Calibri" w:hAnsi="Calibri"/>
          <w:color w:val="414142"/>
          <w:w w:val="120"/>
          <w:sz w:val="18"/>
        </w:rPr>
        <w:t>central </w:t>
      </w:r>
      <w:r>
        <w:rPr>
          <w:rFonts w:ascii="Calibri" w:hAnsi="Calibri"/>
          <w:color w:val="414142"/>
          <w:w w:val="125"/>
          <w:sz w:val="18"/>
        </w:rPr>
        <w:t>nervous system without producing the physiological effects of opioid agonists. Mu-opioid receptor antagonists</w:t>
      </w:r>
      <w:r>
        <w:rPr>
          <w:rFonts w:ascii="Calibri" w:hAnsi="Calibri"/>
          <w:color w:val="414142"/>
          <w:spacing w:val="-9"/>
          <w:w w:val="125"/>
          <w:sz w:val="18"/>
        </w:rPr>
        <w:t> </w:t>
      </w:r>
      <w:r>
        <w:rPr>
          <w:rFonts w:ascii="Calibri" w:hAnsi="Calibri"/>
          <w:color w:val="414142"/>
          <w:w w:val="125"/>
          <w:sz w:val="18"/>
        </w:rPr>
        <w:t>(e.g.,</w:t>
      </w:r>
      <w:r>
        <w:rPr>
          <w:rFonts w:ascii="Calibri" w:hAnsi="Calibri"/>
          <w:color w:val="414142"/>
          <w:spacing w:val="-8"/>
          <w:w w:val="125"/>
          <w:sz w:val="18"/>
        </w:rPr>
        <w:t> </w:t>
      </w:r>
      <w:r>
        <w:rPr>
          <w:rFonts w:ascii="Calibri" w:hAnsi="Calibri"/>
          <w:color w:val="414142"/>
          <w:w w:val="125"/>
          <w:sz w:val="18"/>
        </w:rPr>
        <w:t>naltrexone)</w:t>
      </w:r>
      <w:r>
        <w:rPr>
          <w:rFonts w:ascii="Calibri" w:hAnsi="Calibri"/>
          <w:color w:val="414142"/>
          <w:spacing w:val="-8"/>
          <w:w w:val="125"/>
          <w:sz w:val="18"/>
        </w:rPr>
        <w:t> </w:t>
      </w:r>
      <w:r>
        <w:rPr>
          <w:rFonts w:ascii="Calibri" w:hAnsi="Calibri"/>
          <w:color w:val="414142"/>
          <w:w w:val="125"/>
          <w:sz w:val="18"/>
        </w:rPr>
        <w:t>can</w:t>
      </w:r>
      <w:r>
        <w:rPr>
          <w:rFonts w:ascii="Calibri" w:hAnsi="Calibri"/>
          <w:color w:val="414142"/>
          <w:spacing w:val="-9"/>
          <w:w w:val="125"/>
          <w:sz w:val="18"/>
        </w:rPr>
        <w:t> </w:t>
      </w:r>
      <w:r>
        <w:rPr>
          <w:rFonts w:ascii="Calibri" w:hAnsi="Calibri"/>
          <w:color w:val="414142"/>
          <w:w w:val="125"/>
          <w:sz w:val="18"/>
        </w:rPr>
        <w:t>block</w:t>
      </w:r>
      <w:r>
        <w:rPr>
          <w:rFonts w:ascii="Calibri" w:hAnsi="Calibri"/>
          <w:color w:val="414142"/>
          <w:spacing w:val="-8"/>
          <w:w w:val="125"/>
          <w:sz w:val="18"/>
        </w:rPr>
        <w:t> </w:t>
      </w:r>
      <w:r>
        <w:rPr>
          <w:rFonts w:ascii="Calibri" w:hAnsi="Calibri"/>
          <w:color w:val="414142"/>
          <w:w w:val="125"/>
          <w:sz w:val="18"/>
        </w:rPr>
        <w:t>the</w:t>
      </w:r>
      <w:r>
        <w:rPr>
          <w:rFonts w:ascii="Calibri" w:hAnsi="Calibri"/>
          <w:color w:val="414142"/>
          <w:spacing w:val="-8"/>
          <w:w w:val="125"/>
          <w:sz w:val="18"/>
        </w:rPr>
        <w:t> </w:t>
      </w:r>
      <w:r>
        <w:rPr>
          <w:rFonts w:ascii="Calibri" w:hAnsi="Calibri"/>
          <w:color w:val="414142"/>
          <w:w w:val="125"/>
          <w:sz w:val="18"/>
        </w:rPr>
        <w:t>effects</w:t>
      </w:r>
      <w:r>
        <w:rPr>
          <w:rFonts w:ascii="Calibri" w:hAnsi="Calibri"/>
          <w:color w:val="414142"/>
          <w:spacing w:val="-9"/>
          <w:w w:val="125"/>
          <w:sz w:val="18"/>
        </w:rPr>
        <w:t> </w:t>
      </w:r>
      <w:r>
        <w:rPr>
          <w:rFonts w:ascii="Calibri" w:hAnsi="Calibri"/>
          <w:color w:val="414142"/>
          <w:w w:val="125"/>
          <w:sz w:val="18"/>
        </w:rPr>
        <w:t>of</w:t>
      </w:r>
      <w:r>
        <w:rPr>
          <w:rFonts w:ascii="Calibri" w:hAnsi="Calibri"/>
          <w:color w:val="414142"/>
          <w:spacing w:val="-8"/>
          <w:w w:val="125"/>
          <w:sz w:val="18"/>
        </w:rPr>
        <w:t> </w:t>
      </w:r>
      <w:r>
        <w:rPr>
          <w:rFonts w:ascii="Calibri" w:hAnsi="Calibri"/>
          <w:color w:val="414142"/>
          <w:w w:val="125"/>
          <w:sz w:val="18"/>
        </w:rPr>
        <w:t>exogenously</w:t>
      </w:r>
      <w:r>
        <w:rPr>
          <w:rFonts w:ascii="Calibri" w:hAnsi="Calibri"/>
          <w:color w:val="414142"/>
          <w:spacing w:val="-8"/>
          <w:w w:val="125"/>
          <w:sz w:val="18"/>
        </w:rPr>
        <w:t> </w:t>
      </w:r>
      <w:r>
        <w:rPr>
          <w:rFonts w:ascii="Calibri" w:hAnsi="Calibri"/>
          <w:color w:val="414142"/>
          <w:w w:val="125"/>
          <w:sz w:val="18"/>
        </w:rPr>
        <w:t>administered</w:t>
      </w:r>
      <w:r>
        <w:rPr>
          <w:rFonts w:ascii="Calibri" w:hAnsi="Calibri"/>
          <w:color w:val="414142"/>
          <w:spacing w:val="-8"/>
          <w:w w:val="125"/>
          <w:sz w:val="18"/>
        </w:rPr>
        <w:t> </w:t>
      </w:r>
      <w:r>
        <w:rPr>
          <w:rFonts w:ascii="Calibri" w:hAnsi="Calibri"/>
          <w:color w:val="414142"/>
          <w:w w:val="125"/>
          <w:sz w:val="18"/>
        </w:rPr>
        <w:t>opioids.</w:t>
      </w:r>
    </w:p>
    <w:p>
      <w:pPr>
        <w:spacing w:line="259" w:lineRule="auto" w:before="73"/>
        <w:ind w:left="410" w:right="425" w:hanging="1"/>
        <w:jc w:val="left"/>
        <w:rPr>
          <w:rFonts w:ascii="Calibri"/>
          <w:sz w:val="18"/>
        </w:rPr>
      </w:pPr>
      <w:r>
        <w:rPr>
          <w:rFonts w:ascii="Arial"/>
          <w:b/>
          <w:color w:val="137692"/>
          <w:w w:val="125"/>
          <w:sz w:val="22"/>
        </w:rPr>
        <w:t>Opioids:</w:t>
      </w:r>
      <w:r>
        <w:rPr>
          <w:rFonts w:ascii="Arial"/>
          <w:b/>
          <w:color w:val="137692"/>
          <w:spacing w:val="-53"/>
          <w:w w:val="125"/>
          <w:sz w:val="22"/>
        </w:rPr>
        <w:t> </w:t>
      </w:r>
      <w:r>
        <w:rPr>
          <w:rFonts w:ascii="Calibri"/>
          <w:color w:val="414142"/>
          <w:w w:val="125"/>
          <w:sz w:val="18"/>
        </w:rPr>
        <w:t>All</w:t>
      </w:r>
      <w:r>
        <w:rPr>
          <w:rFonts w:ascii="Calibri"/>
          <w:color w:val="414142"/>
          <w:spacing w:val="-26"/>
          <w:w w:val="125"/>
          <w:sz w:val="18"/>
        </w:rPr>
        <w:t> </w:t>
      </w:r>
      <w:r>
        <w:rPr>
          <w:rFonts w:ascii="Calibri"/>
          <w:color w:val="414142"/>
          <w:w w:val="125"/>
          <w:sz w:val="18"/>
        </w:rPr>
        <w:t>natural,</w:t>
      </w:r>
      <w:r>
        <w:rPr>
          <w:rFonts w:ascii="Calibri"/>
          <w:color w:val="414142"/>
          <w:spacing w:val="-26"/>
          <w:w w:val="125"/>
          <w:sz w:val="18"/>
        </w:rPr>
        <w:t> </w:t>
      </w:r>
      <w:r>
        <w:rPr>
          <w:rFonts w:ascii="Calibri"/>
          <w:color w:val="414142"/>
          <w:w w:val="125"/>
          <w:sz w:val="18"/>
        </w:rPr>
        <w:t>synthetic,</w:t>
      </w:r>
      <w:r>
        <w:rPr>
          <w:rFonts w:ascii="Calibri"/>
          <w:color w:val="414142"/>
          <w:spacing w:val="-26"/>
          <w:w w:val="125"/>
          <w:sz w:val="18"/>
        </w:rPr>
        <w:t> </w:t>
      </w:r>
      <w:r>
        <w:rPr>
          <w:rFonts w:ascii="Calibri"/>
          <w:color w:val="414142"/>
          <w:w w:val="125"/>
          <w:sz w:val="18"/>
        </w:rPr>
        <w:t>and</w:t>
      </w:r>
      <w:r>
        <w:rPr>
          <w:rFonts w:ascii="Calibri"/>
          <w:color w:val="414142"/>
          <w:spacing w:val="-27"/>
          <w:w w:val="125"/>
          <w:sz w:val="18"/>
        </w:rPr>
        <w:t> </w:t>
      </w:r>
      <w:r>
        <w:rPr>
          <w:rFonts w:ascii="Calibri"/>
          <w:color w:val="414142"/>
          <w:w w:val="125"/>
          <w:sz w:val="18"/>
        </w:rPr>
        <w:t>semisynthetic</w:t>
      </w:r>
      <w:r>
        <w:rPr>
          <w:rFonts w:ascii="Calibri"/>
          <w:color w:val="414142"/>
          <w:spacing w:val="-26"/>
          <w:w w:val="125"/>
          <w:sz w:val="18"/>
        </w:rPr>
        <w:t> </w:t>
      </w:r>
      <w:r>
        <w:rPr>
          <w:rFonts w:ascii="Calibri"/>
          <w:color w:val="414142"/>
          <w:w w:val="125"/>
          <w:sz w:val="18"/>
        </w:rPr>
        <w:t>substances</w:t>
      </w:r>
      <w:r>
        <w:rPr>
          <w:rFonts w:ascii="Calibri"/>
          <w:color w:val="414142"/>
          <w:spacing w:val="-26"/>
          <w:w w:val="125"/>
          <w:sz w:val="18"/>
        </w:rPr>
        <w:t> </w:t>
      </w:r>
      <w:r>
        <w:rPr>
          <w:rFonts w:ascii="Calibri"/>
          <w:color w:val="414142"/>
          <w:w w:val="125"/>
          <w:sz w:val="18"/>
        </w:rPr>
        <w:t>that</w:t>
      </w:r>
      <w:r>
        <w:rPr>
          <w:rFonts w:ascii="Calibri"/>
          <w:color w:val="414142"/>
          <w:spacing w:val="-27"/>
          <w:w w:val="125"/>
          <w:sz w:val="18"/>
        </w:rPr>
        <w:t> </w:t>
      </w:r>
      <w:r>
        <w:rPr>
          <w:rFonts w:ascii="Calibri"/>
          <w:color w:val="414142"/>
          <w:w w:val="125"/>
          <w:sz w:val="18"/>
        </w:rPr>
        <w:t>have</w:t>
      </w:r>
      <w:r>
        <w:rPr>
          <w:rFonts w:ascii="Calibri"/>
          <w:color w:val="414142"/>
          <w:spacing w:val="-26"/>
          <w:w w:val="125"/>
          <w:sz w:val="18"/>
        </w:rPr>
        <w:t> </w:t>
      </w:r>
      <w:r>
        <w:rPr>
          <w:rFonts w:ascii="Calibri"/>
          <w:color w:val="414142"/>
          <w:w w:val="125"/>
          <w:sz w:val="18"/>
        </w:rPr>
        <w:t>effects</w:t>
      </w:r>
      <w:r>
        <w:rPr>
          <w:rFonts w:ascii="Calibri"/>
          <w:color w:val="414142"/>
          <w:spacing w:val="-26"/>
          <w:w w:val="125"/>
          <w:sz w:val="18"/>
        </w:rPr>
        <w:t> </w:t>
      </w:r>
      <w:r>
        <w:rPr>
          <w:rFonts w:ascii="Calibri"/>
          <w:color w:val="414142"/>
          <w:w w:val="125"/>
          <w:sz w:val="18"/>
        </w:rPr>
        <w:t>similar</w:t>
      </w:r>
      <w:r>
        <w:rPr>
          <w:rFonts w:ascii="Calibri"/>
          <w:color w:val="414142"/>
          <w:spacing w:val="-26"/>
          <w:w w:val="125"/>
          <w:sz w:val="18"/>
        </w:rPr>
        <w:t> </w:t>
      </w:r>
      <w:r>
        <w:rPr>
          <w:rFonts w:ascii="Calibri"/>
          <w:color w:val="414142"/>
          <w:w w:val="125"/>
          <w:sz w:val="18"/>
        </w:rPr>
        <w:t>to</w:t>
      </w:r>
      <w:r>
        <w:rPr>
          <w:rFonts w:ascii="Calibri"/>
          <w:color w:val="414142"/>
          <w:spacing w:val="-27"/>
          <w:w w:val="125"/>
          <w:sz w:val="18"/>
        </w:rPr>
        <w:t> </w:t>
      </w:r>
      <w:r>
        <w:rPr>
          <w:rFonts w:ascii="Calibri"/>
          <w:color w:val="414142"/>
          <w:w w:val="125"/>
          <w:sz w:val="18"/>
        </w:rPr>
        <w:t>morphine.</w:t>
      </w:r>
      <w:r>
        <w:rPr>
          <w:rFonts w:ascii="Calibri"/>
          <w:color w:val="414142"/>
          <w:spacing w:val="-26"/>
          <w:w w:val="125"/>
          <w:sz w:val="18"/>
        </w:rPr>
        <w:t> </w:t>
      </w:r>
      <w:r>
        <w:rPr>
          <w:rFonts w:ascii="Calibri"/>
          <w:color w:val="414142"/>
          <w:w w:val="125"/>
          <w:sz w:val="18"/>
        </w:rPr>
        <w:t>They can</w:t>
      </w:r>
      <w:r>
        <w:rPr>
          <w:rFonts w:ascii="Calibri"/>
          <w:color w:val="414142"/>
          <w:spacing w:val="-8"/>
          <w:w w:val="125"/>
          <w:sz w:val="18"/>
        </w:rPr>
        <w:t> </w:t>
      </w:r>
      <w:r>
        <w:rPr>
          <w:rFonts w:ascii="Calibri"/>
          <w:color w:val="414142"/>
          <w:w w:val="125"/>
          <w:sz w:val="18"/>
        </w:rPr>
        <w:t>be</w:t>
      </w:r>
      <w:r>
        <w:rPr>
          <w:rFonts w:ascii="Calibri"/>
          <w:color w:val="414142"/>
          <w:spacing w:val="-8"/>
          <w:w w:val="125"/>
          <w:sz w:val="18"/>
        </w:rPr>
        <w:t> </w:t>
      </w:r>
      <w:r>
        <w:rPr>
          <w:rFonts w:ascii="Calibri"/>
          <w:color w:val="414142"/>
          <w:w w:val="125"/>
          <w:sz w:val="18"/>
        </w:rPr>
        <w:t>used</w:t>
      </w:r>
      <w:r>
        <w:rPr>
          <w:rFonts w:ascii="Calibri"/>
          <w:color w:val="414142"/>
          <w:spacing w:val="-8"/>
          <w:w w:val="125"/>
          <w:sz w:val="18"/>
        </w:rPr>
        <w:t> </w:t>
      </w:r>
      <w:r>
        <w:rPr>
          <w:rFonts w:ascii="Calibri"/>
          <w:color w:val="414142"/>
          <w:w w:val="125"/>
          <w:sz w:val="18"/>
        </w:rPr>
        <w:t>as</w:t>
      </w:r>
      <w:r>
        <w:rPr>
          <w:rFonts w:ascii="Calibri"/>
          <w:color w:val="414142"/>
          <w:spacing w:val="-8"/>
          <w:w w:val="125"/>
          <w:sz w:val="18"/>
        </w:rPr>
        <w:t> </w:t>
      </w:r>
      <w:r>
        <w:rPr>
          <w:rFonts w:ascii="Calibri"/>
          <w:color w:val="414142"/>
          <w:w w:val="125"/>
          <w:sz w:val="18"/>
        </w:rPr>
        <w:t>medications</w:t>
      </w:r>
      <w:r>
        <w:rPr>
          <w:rFonts w:ascii="Calibri"/>
          <w:color w:val="414142"/>
          <w:spacing w:val="-8"/>
          <w:w w:val="125"/>
          <w:sz w:val="18"/>
        </w:rPr>
        <w:t> </w:t>
      </w:r>
      <w:r>
        <w:rPr>
          <w:rFonts w:ascii="Calibri"/>
          <w:color w:val="414142"/>
          <w:w w:val="125"/>
          <w:sz w:val="18"/>
        </w:rPr>
        <w:t>having</w:t>
      </w:r>
      <w:r>
        <w:rPr>
          <w:rFonts w:ascii="Calibri"/>
          <w:color w:val="414142"/>
          <w:spacing w:val="-7"/>
          <w:w w:val="125"/>
          <w:sz w:val="18"/>
        </w:rPr>
        <w:t> </w:t>
      </w:r>
      <w:r>
        <w:rPr>
          <w:rFonts w:ascii="Calibri"/>
          <w:color w:val="414142"/>
          <w:w w:val="125"/>
          <w:sz w:val="18"/>
        </w:rPr>
        <w:t>such</w:t>
      </w:r>
      <w:r>
        <w:rPr>
          <w:rFonts w:ascii="Calibri"/>
          <w:color w:val="414142"/>
          <w:spacing w:val="-8"/>
          <w:w w:val="125"/>
          <w:sz w:val="18"/>
        </w:rPr>
        <w:t> </w:t>
      </w:r>
      <w:r>
        <w:rPr>
          <w:rFonts w:ascii="Calibri"/>
          <w:color w:val="414142"/>
          <w:w w:val="125"/>
          <w:sz w:val="18"/>
        </w:rPr>
        <w:t>effects</w:t>
      </w:r>
      <w:r>
        <w:rPr>
          <w:rFonts w:ascii="Calibri"/>
          <w:color w:val="414142"/>
          <w:spacing w:val="-8"/>
          <w:w w:val="125"/>
          <w:sz w:val="18"/>
        </w:rPr>
        <w:t> </w:t>
      </w:r>
      <w:r>
        <w:rPr>
          <w:rFonts w:ascii="Calibri"/>
          <w:color w:val="414142"/>
          <w:w w:val="125"/>
          <w:sz w:val="18"/>
        </w:rPr>
        <w:t>(e.g.,</w:t>
      </w:r>
      <w:r>
        <w:rPr>
          <w:rFonts w:ascii="Calibri"/>
          <w:color w:val="414142"/>
          <w:spacing w:val="-8"/>
          <w:w w:val="125"/>
          <w:sz w:val="18"/>
        </w:rPr>
        <w:t> </w:t>
      </w:r>
      <w:r>
        <w:rPr>
          <w:rFonts w:ascii="Calibri"/>
          <w:color w:val="414142"/>
          <w:w w:val="125"/>
          <w:sz w:val="18"/>
        </w:rPr>
        <w:t>methadone,</w:t>
      </w:r>
      <w:r>
        <w:rPr>
          <w:rFonts w:ascii="Calibri"/>
          <w:color w:val="414142"/>
          <w:spacing w:val="-8"/>
          <w:w w:val="125"/>
          <w:sz w:val="18"/>
        </w:rPr>
        <w:t> </w:t>
      </w:r>
      <w:r>
        <w:rPr>
          <w:rFonts w:ascii="Calibri"/>
          <w:color w:val="414142"/>
          <w:w w:val="125"/>
          <w:sz w:val="18"/>
        </w:rPr>
        <w:t>buprenorphine,</w:t>
      </w:r>
      <w:r>
        <w:rPr>
          <w:rFonts w:ascii="Calibri"/>
          <w:color w:val="414142"/>
          <w:spacing w:val="-7"/>
          <w:w w:val="125"/>
          <w:sz w:val="18"/>
        </w:rPr>
        <w:t> </w:t>
      </w:r>
      <w:r>
        <w:rPr>
          <w:rFonts w:ascii="Calibri"/>
          <w:color w:val="414142"/>
          <w:w w:val="125"/>
          <w:sz w:val="18"/>
        </w:rPr>
        <w:t>oxycodone).</w:t>
      </w:r>
    </w:p>
    <w:p>
      <w:pPr>
        <w:spacing w:line="261" w:lineRule="auto" w:before="78"/>
        <w:ind w:left="409" w:right="508" w:firstLine="0"/>
        <w:jc w:val="left"/>
        <w:rPr>
          <w:rFonts w:ascii="Calibri" w:hAnsi="Calibri"/>
          <w:sz w:val="18"/>
        </w:rPr>
      </w:pPr>
      <w:r>
        <w:rPr>
          <w:rFonts w:ascii="Arial" w:hAnsi="Arial"/>
          <w:b/>
          <w:color w:val="137692"/>
          <w:w w:val="125"/>
          <w:sz w:val="22"/>
        </w:rPr>
        <w:t>Receptor</w:t>
      </w:r>
      <w:r>
        <w:rPr>
          <w:rFonts w:ascii="Arial" w:hAnsi="Arial"/>
          <w:b/>
          <w:color w:val="137692"/>
          <w:spacing w:val="-35"/>
          <w:w w:val="125"/>
          <w:sz w:val="22"/>
        </w:rPr>
        <w:t> </w:t>
      </w:r>
      <w:r>
        <w:rPr>
          <w:rFonts w:ascii="Arial" w:hAnsi="Arial"/>
          <w:b/>
          <w:color w:val="137692"/>
          <w:w w:val="125"/>
          <w:sz w:val="22"/>
        </w:rPr>
        <w:t>afﬁnity:</w:t>
      </w:r>
      <w:r>
        <w:rPr>
          <w:rFonts w:ascii="Arial" w:hAnsi="Arial"/>
          <w:b/>
          <w:color w:val="137692"/>
          <w:spacing w:val="-45"/>
          <w:w w:val="125"/>
          <w:sz w:val="22"/>
        </w:rPr>
        <w:t> </w:t>
      </w:r>
      <w:r>
        <w:rPr>
          <w:rFonts w:ascii="Calibri" w:hAnsi="Calibri"/>
          <w:color w:val="414142"/>
          <w:w w:val="125"/>
          <w:sz w:val="18"/>
        </w:rPr>
        <w:t>Strength</w:t>
      </w:r>
      <w:r>
        <w:rPr>
          <w:rFonts w:ascii="Calibri" w:hAnsi="Calibri"/>
          <w:color w:val="414142"/>
          <w:spacing w:val="-20"/>
          <w:w w:val="125"/>
          <w:sz w:val="18"/>
        </w:rPr>
        <w:t> </w:t>
      </w:r>
      <w:r>
        <w:rPr>
          <w:rFonts w:ascii="Calibri" w:hAnsi="Calibri"/>
          <w:color w:val="414142"/>
          <w:w w:val="125"/>
          <w:sz w:val="18"/>
        </w:rPr>
        <w:t>of</w:t>
      </w:r>
      <w:r>
        <w:rPr>
          <w:rFonts w:ascii="Calibri" w:hAnsi="Calibri"/>
          <w:color w:val="414142"/>
          <w:spacing w:val="-19"/>
          <w:w w:val="125"/>
          <w:sz w:val="18"/>
        </w:rPr>
        <w:t> </w:t>
      </w:r>
      <w:r>
        <w:rPr>
          <w:rFonts w:ascii="Calibri" w:hAnsi="Calibri"/>
          <w:color w:val="414142"/>
          <w:w w:val="125"/>
          <w:sz w:val="18"/>
        </w:rPr>
        <w:t>the</w:t>
      </w:r>
      <w:r>
        <w:rPr>
          <w:rFonts w:ascii="Calibri" w:hAnsi="Calibri"/>
          <w:color w:val="414142"/>
          <w:spacing w:val="-20"/>
          <w:w w:val="125"/>
          <w:sz w:val="18"/>
        </w:rPr>
        <w:t> </w:t>
      </w:r>
      <w:r>
        <w:rPr>
          <w:rFonts w:ascii="Calibri" w:hAnsi="Calibri"/>
          <w:color w:val="414142"/>
          <w:w w:val="125"/>
          <w:sz w:val="18"/>
        </w:rPr>
        <w:t>bond</w:t>
      </w:r>
      <w:r>
        <w:rPr>
          <w:rFonts w:ascii="Calibri" w:hAnsi="Calibri"/>
          <w:color w:val="414142"/>
          <w:spacing w:val="-19"/>
          <w:w w:val="125"/>
          <w:sz w:val="18"/>
        </w:rPr>
        <w:t> </w:t>
      </w:r>
      <w:r>
        <w:rPr>
          <w:rFonts w:ascii="Calibri" w:hAnsi="Calibri"/>
          <w:color w:val="414142"/>
          <w:w w:val="125"/>
          <w:sz w:val="18"/>
        </w:rPr>
        <w:t>between</w:t>
      </w:r>
      <w:r>
        <w:rPr>
          <w:rFonts w:ascii="Calibri" w:hAnsi="Calibri"/>
          <w:color w:val="414142"/>
          <w:spacing w:val="-19"/>
          <w:w w:val="125"/>
          <w:sz w:val="18"/>
        </w:rPr>
        <w:t> </w:t>
      </w:r>
      <w:r>
        <w:rPr>
          <w:rFonts w:ascii="Calibri" w:hAnsi="Calibri"/>
          <w:color w:val="414142"/>
          <w:w w:val="125"/>
          <w:sz w:val="18"/>
        </w:rPr>
        <w:t>a</w:t>
      </w:r>
      <w:r>
        <w:rPr>
          <w:rFonts w:ascii="Calibri" w:hAnsi="Calibri"/>
          <w:color w:val="414142"/>
          <w:spacing w:val="-20"/>
          <w:w w:val="125"/>
          <w:sz w:val="18"/>
        </w:rPr>
        <w:t> </w:t>
      </w:r>
      <w:r>
        <w:rPr>
          <w:rFonts w:ascii="Calibri" w:hAnsi="Calibri"/>
          <w:color w:val="414142"/>
          <w:w w:val="125"/>
          <w:sz w:val="18"/>
        </w:rPr>
        <w:t>medication</w:t>
      </w:r>
      <w:r>
        <w:rPr>
          <w:rFonts w:ascii="Calibri" w:hAnsi="Calibri"/>
          <w:color w:val="414142"/>
          <w:spacing w:val="-19"/>
          <w:w w:val="125"/>
          <w:sz w:val="18"/>
        </w:rPr>
        <w:t> </w:t>
      </w:r>
      <w:r>
        <w:rPr>
          <w:rFonts w:ascii="Calibri" w:hAnsi="Calibri"/>
          <w:color w:val="414142"/>
          <w:w w:val="125"/>
          <w:sz w:val="18"/>
        </w:rPr>
        <w:t>and</w:t>
      </w:r>
      <w:r>
        <w:rPr>
          <w:rFonts w:ascii="Calibri" w:hAnsi="Calibri"/>
          <w:color w:val="414142"/>
          <w:spacing w:val="-20"/>
          <w:w w:val="125"/>
          <w:sz w:val="18"/>
        </w:rPr>
        <w:t> </w:t>
      </w:r>
      <w:r>
        <w:rPr>
          <w:rFonts w:ascii="Calibri" w:hAnsi="Calibri"/>
          <w:color w:val="414142"/>
          <w:w w:val="125"/>
          <w:sz w:val="18"/>
        </w:rPr>
        <w:t>its</w:t>
      </w:r>
      <w:r>
        <w:rPr>
          <w:rFonts w:ascii="Calibri" w:hAnsi="Calibri"/>
          <w:color w:val="414142"/>
          <w:spacing w:val="-19"/>
          <w:w w:val="125"/>
          <w:sz w:val="18"/>
        </w:rPr>
        <w:t> </w:t>
      </w:r>
      <w:r>
        <w:rPr>
          <w:rFonts w:ascii="Calibri" w:hAnsi="Calibri"/>
          <w:color w:val="414142"/>
          <w:w w:val="125"/>
          <w:sz w:val="18"/>
        </w:rPr>
        <w:t>receptor.</w:t>
      </w:r>
      <w:r>
        <w:rPr>
          <w:rFonts w:ascii="Calibri" w:hAnsi="Calibri"/>
          <w:color w:val="414142"/>
          <w:spacing w:val="-19"/>
          <w:w w:val="125"/>
          <w:sz w:val="18"/>
        </w:rPr>
        <w:t> </w:t>
      </w:r>
      <w:r>
        <w:rPr>
          <w:rFonts w:ascii="Calibri" w:hAnsi="Calibri"/>
          <w:color w:val="414142"/>
          <w:w w:val="125"/>
          <w:sz w:val="18"/>
        </w:rPr>
        <w:t>A</w:t>
      </w:r>
      <w:r>
        <w:rPr>
          <w:rFonts w:ascii="Calibri" w:hAnsi="Calibri"/>
          <w:color w:val="414142"/>
          <w:spacing w:val="-20"/>
          <w:w w:val="125"/>
          <w:sz w:val="18"/>
        </w:rPr>
        <w:t> </w:t>
      </w:r>
      <w:r>
        <w:rPr>
          <w:rFonts w:ascii="Calibri" w:hAnsi="Calibri"/>
          <w:color w:val="414142"/>
          <w:w w:val="125"/>
          <w:sz w:val="18"/>
        </w:rPr>
        <w:t>medication</w:t>
      </w:r>
      <w:r>
        <w:rPr>
          <w:rFonts w:ascii="Calibri" w:hAnsi="Calibri"/>
          <w:color w:val="414142"/>
          <w:spacing w:val="-19"/>
          <w:w w:val="125"/>
          <w:sz w:val="18"/>
        </w:rPr>
        <w:t> </w:t>
      </w:r>
      <w:r>
        <w:rPr>
          <w:rFonts w:ascii="Calibri" w:hAnsi="Calibri"/>
          <w:color w:val="414142"/>
          <w:w w:val="125"/>
          <w:sz w:val="18"/>
        </w:rPr>
        <w:t>with high</w:t>
      </w:r>
      <w:r>
        <w:rPr>
          <w:rFonts w:ascii="Calibri" w:hAnsi="Calibri"/>
          <w:color w:val="414142"/>
          <w:spacing w:val="-10"/>
          <w:w w:val="125"/>
          <w:sz w:val="18"/>
        </w:rPr>
        <w:t> </w:t>
      </w:r>
      <w:r>
        <w:rPr>
          <w:rFonts w:ascii="Calibri" w:hAnsi="Calibri"/>
          <w:color w:val="414142"/>
          <w:w w:val="125"/>
          <w:sz w:val="18"/>
        </w:rPr>
        <w:t>mu-opioid</w:t>
      </w:r>
      <w:r>
        <w:rPr>
          <w:rFonts w:ascii="Calibri" w:hAnsi="Calibri"/>
          <w:color w:val="414142"/>
          <w:spacing w:val="-10"/>
          <w:w w:val="125"/>
          <w:sz w:val="18"/>
        </w:rPr>
        <w:t> </w:t>
      </w:r>
      <w:r>
        <w:rPr>
          <w:rFonts w:ascii="Calibri" w:hAnsi="Calibri"/>
          <w:color w:val="414142"/>
          <w:w w:val="125"/>
          <w:sz w:val="18"/>
        </w:rPr>
        <w:t>receptor</w:t>
      </w:r>
      <w:r>
        <w:rPr>
          <w:rFonts w:ascii="Calibri" w:hAnsi="Calibri"/>
          <w:color w:val="414142"/>
          <w:spacing w:val="-10"/>
          <w:w w:val="125"/>
          <w:sz w:val="18"/>
        </w:rPr>
        <w:t> </w:t>
      </w:r>
      <w:r>
        <w:rPr>
          <w:rFonts w:ascii="Calibri" w:hAnsi="Calibri"/>
          <w:color w:val="414142"/>
          <w:w w:val="125"/>
          <w:sz w:val="18"/>
        </w:rPr>
        <w:t>afﬁnity</w:t>
      </w:r>
      <w:r>
        <w:rPr>
          <w:rFonts w:ascii="Calibri" w:hAnsi="Calibri"/>
          <w:color w:val="414142"/>
          <w:spacing w:val="-9"/>
          <w:w w:val="125"/>
          <w:sz w:val="18"/>
        </w:rPr>
        <w:t> </w:t>
      </w:r>
      <w:r>
        <w:rPr>
          <w:rFonts w:ascii="Calibri" w:hAnsi="Calibri"/>
          <w:color w:val="414142"/>
          <w:w w:val="125"/>
          <w:sz w:val="18"/>
        </w:rPr>
        <w:t>requires</w:t>
      </w:r>
      <w:r>
        <w:rPr>
          <w:rFonts w:ascii="Calibri" w:hAnsi="Calibri"/>
          <w:color w:val="414142"/>
          <w:spacing w:val="-10"/>
          <w:w w:val="125"/>
          <w:sz w:val="18"/>
        </w:rPr>
        <w:t> </w:t>
      </w:r>
      <w:r>
        <w:rPr>
          <w:rFonts w:ascii="Calibri" w:hAnsi="Calibri"/>
          <w:color w:val="414142"/>
          <w:w w:val="125"/>
          <w:sz w:val="18"/>
        </w:rPr>
        <w:t>lower</w:t>
      </w:r>
      <w:r>
        <w:rPr>
          <w:rFonts w:ascii="Calibri" w:hAnsi="Calibri"/>
          <w:color w:val="414142"/>
          <w:spacing w:val="-10"/>
          <w:w w:val="125"/>
          <w:sz w:val="18"/>
        </w:rPr>
        <w:t> </w:t>
      </w:r>
      <w:r>
        <w:rPr>
          <w:rFonts w:ascii="Calibri" w:hAnsi="Calibri"/>
          <w:color w:val="414142"/>
          <w:w w:val="125"/>
          <w:sz w:val="18"/>
        </w:rPr>
        <w:t>concentrations</w:t>
      </w:r>
      <w:r>
        <w:rPr>
          <w:rFonts w:ascii="Calibri" w:hAnsi="Calibri"/>
          <w:color w:val="414142"/>
          <w:spacing w:val="-9"/>
          <w:w w:val="125"/>
          <w:sz w:val="18"/>
        </w:rPr>
        <w:t> </w:t>
      </w:r>
      <w:r>
        <w:rPr>
          <w:rFonts w:ascii="Calibri" w:hAnsi="Calibri"/>
          <w:color w:val="414142"/>
          <w:w w:val="125"/>
          <w:sz w:val="18"/>
        </w:rPr>
        <w:t>to</w:t>
      </w:r>
      <w:r>
        <w:rPr>
          <w:rFonts w:ascii="Calibri" w:hAnsi="Calibri"/>
          <w:color w:val="414142"/>
          <w:spacing w:val="-10"/>
          <w:w w:val="125"/>
          <w:sz w:val="18"/>
        </w:rPr>
        <w:t> </w:t>
      </w:r>
      <w:r>
        <w:rPr>
          <w:rFonts w:ascii="Calibri" w:hAnsi="Calibri"/>
          <w:color w:val="414142"/>
          <w:w w:val="125"/>
          <w:sz w:val="18"/>
        </w:rPr>
        <w:t>occupy</w:t>
      </w:r>
      <w:r>
        <w:rPr>
          <w:rFonts w:ascii="Calibri" w:hAnsi="Calibri"/>
          <w:color w:val="414142"/>
          <w:spacing w:val="-10"/>
          <w:w w:val="125"/>
          <w:sz w:val="18"/>
        </w:rPr>
        <w:t> </w:t>
      </w:r>
      <w:r>
        <w:rPr>
          <w:rFonts w:ascii="Calibri" w:hAnsi="Calibri"/>
          <w:color w:val="414142"/>
          <w:w w:val="125"/>
          <w:sz w:val="18"/>
        </w:rPr>
        <w:t>the</w:t>
      </w:r>
      <w:r>
        <w:rPr>
          <w:rFonts w:ascii="Calibri" w:hAnsi="Calibri"/>
          <w:color w:val="414142"/>
          <w:spacing w:val="-9"/>
          <w:w w:val="125"/>
          <w:sz w:val="18"/>
        </w:rPr>
        <w:t> </w:t>
      </w:r>
      <w:r>
        <w:rPr>
          <w:rFonts w:ascii="Calibri" w:hAnsi="Calibri"/>
          <w:color w:val="414142"/>
          <w:w w:val="125"/>
          <w:sz w:val="18"/>
        </w:rPr>
        <w:t>same</w:t>
      </w:r>
      <w:r>
        <w:rPr>
          <w:rFonts w:ascii="Calibri" w:hAnsi="Calibri"/>
          <w:color w:val="414142"/>
          <w:spacing w:val="-10"/>
          <w:w w:val="125"/>
          <w:sz w:val="18"/>
        </w:rPr>
        <w:t> </w:t>
      </w:r>
      <w:r>
        <w:rPr>
          <w:rFonts w:ascii="Calibri" w:hAnsi="Calibri"/>
          <w:color w:val="414142"/>
          <w:w w:val="125"/>
          <w:sz w:val="18"/>
        </w:rPr>
        <w:t>number</w:t>
      </w:r>
      <w:r>
        <w:rPr>
          <w:rFonts w:ascii="Calibri" w:hAnsi="Calibri"/>
          <w:color w:val="414142"/>
          <w:spacing w:val="-10"/>
          <w:w w:val="125"/>
          <w:sz w:val="18"/>
        </w:rPr>
        <w:t> </w:t>
      </w:r>
      <w:r>
        <w:rPr>
          <w:rFonts w:ascii="Calibri" w:hAnsi="Calibri"/>
          <w:color w:val="414142"/>
          <w:w w:val="125"/>
          <w:sz w:val="18"/>
        </w:rPr>
        <w:t>of</w:t>
      </w:r>
      <w:r>
        <w:rPr>
          <w:rFonts w:ascii="Calibri" w:hAnsi="Calibri"/>
          <w:color w:val="414142"/>
          <w:spacing w:val="-10"/>
          <w:w w:val="125"/>
          <w:sz w:val="18"/>
        </w:rPr>
        <w:t> </w:t>
      </w:r>
      <w:r>
        <w:rPr>
          <w:rFonts w:ascii="Calibri" w:hAnsi="Calibri"/>
          <w:color w:val="414142"/>
          <w:w w:val="125"/>
          <w:sz w:val="18"/>
        </w:rPr>
        <w:t>mu-opioid receptors as a drug with lower mu-opioid receptor afﬁnity. Drugs with high mu-opioid receptor afﬁnity may displace drugs with lower</w:t>
      </w:r>
      <w:r>
        <w:rPr>
          <w:rFonts w:ascii="Calibri" w:hAnsi="Calibri"/>
          <w:color w:val="414142"/>
          <w:spacing w:val="-23"/>
          <w:w w:val="125"/>
          <w:sz w:val="18"/>
        </w:rPr>
        <w:t> </w:t>
      </w:r>
      <w:r>
        <w:rPr>
          <w:rFonts w:ascii="Calibri" w:hAnsi="Calibri"/>
          <w:color w:val="414142"/>
          <w:w w:val="125"/>
          <w:sz w:val="18"/>
        </w:rPr>
        <w:t>afﬁnity.</w:t>
      </w:r>
    </w:p>
    <w:p>
      <w:pPr>
        <w:spacing w:after="0" w:line="261" w:lineRule="auto"/>
        <w:jc w:val="left"/>
        <w:rPr>
          <w:rFonts w:ascii="Calibri" w:hAnsi="Calibri"/>
          <w:sz w:val="18"/>
        </w:rPr>
        <w:sectPr>
          <w:footerReference w:type="default" r:id="rId21"/>
          <w:pgSz w:w="12240" w:h="15840"/>
          <w:pgMar w:footer="677" w:header="576" w:top="1340" w:bottom="860" w:left="940" w:right="920"/>
          <w:pgNumType w:start="3"/>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1"/>
        <w:rPr>
          <w:rFonts w:ascii="Calibri"/>
          <w:sz w:val="25"/>
        </w:rPr>
      </w:pPr>
    </w:p>
    <w:p>
      <w:pPr>
        <w:spacing w:before="92"/>
        <w:ind w:left="3471" w:right="3489" w:firstLine="0"/>
        <w:jc w:val="center"/>
        <w:rPr>
          <w:rFonts w:ascii="Arial Black"/>
          <w:sz w:val="18"/>
        </w:rPr>
      </w:pPr>
      <w:r>
        <w:rPr>
          <w:rFonts w:ascii="Arial Black"/>
          <w:color w:val="414042"/>
          <w:sz w:val="18"/>
        </w:rPr>
        <w:t>This page intentionally left blank.</w:t>
      </w:r>
    </w:p>
    <w:p>
      <w:pPr>
        <w:spacing w:after="0"/>
        <w:jc w:val="center"/>
        <w:rPr>
          <w:rFonts w:ascii="Arial Black"/>
          <w:sz w:val="18"/>
        </w:rPr>
        <w:sectPr>
          <w:headerReference w:type="even" r:id="rId22"/>
          <w:footerReference w:type="even" r:id="rId23"/>
          <w:pgSz w:w="12240" w:h="15840"/>
          <w:pgMar w:header="0" w:footer="0" w:top="1500" w:bottom="280" w:left="940" w:right="920"/>
        </w:sectPr>
      </w:pPr>
    </w:p>
    <w:p>
      <w:pPr>
        <w:pStyle w:val="BodyText"/>
        <w:spacing w:before="12"/>
        <w:rPr>
          <w:rFonts w:ascii="Arial Black"/>
          <w:sz w:val="19"/>
        </w:rPr>
      </w:pPr>
    </w:p>
    <w:p>
      <w:pPr>
        <w:pStyle w:val="Heading1"/>
        <w:spacing w:line="228" w:lineRule="auto"/>
      </w:pPr>
      <w:bookmarkStart w:name="_TOC_250110" w:id="4"/>
      <w:bookmarkStart w:name="63 part 3.pdf" w:id="5"/>
      <w:r>
        <w:rPr>
          <w:b w:val="0"/>
        </w:rPr>
      </w:r>
      <w:r>
        <w:rPr>
          <w:color w:val="414142"/>
          <w:w w:val="110"/>
        </w:rPr>
        <w:t>Chapter</w:t>
      </w:r>
      <w:r>
        <w:rPr>
          <w:color w:val="414142"/>
          <w:spacing w:val="-46"/>
          <w:w w:val="110"/>
        </w:rPr>
        <w:t> </w:t>
      </w:r>
      <w:r>
        <w:rPr>
          <w:color w:val="414142"/>
          <w:w w:val="110"/>
        </w:rPr>
        <w:t>3A:</w:t>
      </w:r>
      <w:r>
        <w:rPr>
          <w:color w:val="414142"/>
          <w:spacing w:val="-45"/>
          <w:w w:val="110"/>
        </w:rPr>
        <w:t> </w:t>
      </w:r>
      <w:r>
        <w:rPr>
          <w:color w:val="414142"/>
          <w:w w:val="110"/>
        </w:rPr>
        <w:t>Overview</w:t>
      </w:r>
      <w:r>
        <w:rPr>
          <w:color w:val="414142"/>
          <w:spacing w:val="-45"/>
          <w:w w:val="110"/>
        </w:rPr>
        <w:t> </w:t>
      </w:r>
      <w:r>
        <w:rPr>
          <w:color w:val="414142"/>
          <w:spacing w:val="3"/>
          <w:w w:val="110"/>
        </w:rPr>
        <w:t>of</w:t>
      </w:r>
      <w:r>
        <w:rPr>
          <w:color w:val="414142"/>
          <w:spacing w:val="-46"/>
          <w:w w:val="110"/>
        </w:rPr>
        <w:t> </w:t>
      </w:r>
      <w:r>
        <w:rPr>
          <w:color w:val="414142"/>
          <w:w w:val="110"/>
        </w:rPr>
        <w:t>Pharmacotherapy for Opioid Use</w:t>
      </w:r>
      <w:r>
        <w:rPr>
          <w:color w:val="414142"/>
          <w:spacing w:val="-6"/>
          <w:w w:val="110"/>
        </w:rPr>
        <w:t> </w:t>
      </w:r>
      <w:bookmarkEnd w:id="4"/>
      <w:r>
        <w:rPr>
          <w:color w:val="414142"/>
          <w:w w:val="110"/>
        </w:rPr>
        <w:t>Disorder</w:t>
      </w:r>
    </w:p>
    <w:p>
      <w:pPr>
        <w:pStyle w:val="BodyText"/>
        <w:spacing w:before="12"/>
        <w:rPr>
          <w:rFonts w:ascii="Calibri"/>
          <w:b/>
          <w:sz w:val="19"/>
        </w:rPr>
      </w:pPr>
      <w:r>
        <w:rPr/>
        <w:pict>
          <v:shape style="position:absolute;margin-left:54.25pt;margin-top:14.406117pt;width:504.05pt;height:49.05pt;mso-position-horizontal-relative:page;mso-position-vertical-relative:paragraph;z-index:-15723008;mso-wrap-distance-left:0;mso-wrap-distance-right:0" type="#_x0000_t202" filled="false" stroked="true" strokeweight=".5pt" strokecolor="#88aabd">
            <v:textbox inset="0,0,0,0">
              <w:txbxContent>
                <w:p>
                  <w:pPr>
                    <w:spacing w:line="247" w:lineRule="auto" w:before="229"/>
                    <w:ind w:left="270" w:right="924" w:firstLine="0"/>
                    <w:jc w:val="left"/>
                    <w:rPr>
                      <w:rFonts w:ascii="Trebuchet MS"/>
                      <w:b/>
                      <w:i/>
                      <w:sz w:val="22"/>
                    </w:rPr>
                  </w:pPr>
                  <w:r>
                    <w:rPr>
                      <w:rFonts w:ascii="Trebuchet MS"/>
                      <w:b/>
                      <w:i/>
                      <w:color w:val="137692"/>
                      <w:sz w:val="22"/>
                    </w:rPr>
                    <w:t>Chapter 3A describes </w:t>
                  </w:r>
                  <w:r>
                    <w:rPr>
                      <w:rFonts w:ascii="Trebuchet MS"/>
                      <w:b/>
                      <w:i/>
                      <w:color w:val="4D4D4F"/>
                      <w:sz w:val="22"/>
                    </w:rPr>
                    <w:t>general principles of OUD pharmacotherapy and summarizes </w:t>
                  </w:r>
                  <w:r>
                    <w:rPr>
                      <w:rFonts w:ascii="Trebuchet MS"/>
                      <w:b/>
                      <w:i/>
                      <w:color w:val="4D4D4F"/>
                      <w:sz w:val="22"/>
                    </w:rPr>
                    <w:t>formulations, indications, and dosing for the three FDA-approved OUD medications.</w:t>
                  </w:r>
                </w:p>
              </w:txbxContent>
            </v:textbox>
            <v:stroke dashstyle="solid"/>
            <w10:wrap type="topAndBottom"/>
          </v:shape>
        </w:pict>
      </w:r>
    </w:p>
    <w:p>
      <w:pPr>
        <w:pStyle w:val="BodyText"/>
        <w:rPr>
          <w:rFonts w:ascii="Calibri"/>
          <w:b/>
        </w:rPr>
      </w:pPr>
    </w:p>
    <w:p>
      <w:pPr>
        <w:spacing w:after="0"/>
        <w:rPr>
          <w:rFonts w:ascii="Calibri"/>
        </w:rPr>
        <w:sectPr>
          <w:headerReference w:type="default" r:id="rId24"/>
          <w:headerReference w:type="even" r:id="rId25"/>
          <w:footerReference w:type="default" r:id="rId26"/>
          <w:footerReference w:type="even" r:id="rId27"/>
          <w:pgSz w:w="12240" w:h="15840"/>
          <w:pgMar w:header="576" w:footer="677" w:top="1340" w:bottom="860" w:left="940" w:right="920"/>
          <w:pgNumType w:start="5"/>
        </w:sectPr>
      </w:pPr>
    </w:p>
    <w:p>
      <w:pPr>
        <w:pStyle w:val="BodyText"/>
        <w:spacing w:line="247" w:lineRule="auto" w:before="105"/>
        <w:ind w:left="139" w:right="38"/>
      </w:pPr>
      <w:r>
        <w:rPr>
          <w:color w:val="4D4D4F"/>
          <w:w w:val="110"/>
        </w:rPr>
        <w:t>There are three </w:t>
      </w:r>
      <w:r>
        <w:rPr>
          <w:color w:val="4D4D4F"/>
          <w:spacing w:val="-4"/>
          <w:w w:val="110"/>
        </w:rPr>
        <w:t>FDA-approved </w:t>
      </w:r>
      <w:r>
        <w:rPr>
          <w:color w:val="4D4D4F"/>
          <w:spacing w:val="-3"/>
          <w:w w:val="110"/>
        </w:rPr>
        <w:t>medications  used </w:t>
      </w:r>
      <w:r>
        <w:rPr>
          <w:color w:val="4D4D4F"/>
          <w:w w:val="110"/>
        </w:rPr>
        <w:t>to </w:t>
      </w:r>
      <w:r>
        <w:rPr>
          <w:color w:val="4D4D4F"/>
          <w:spacing w:val="-4"/>
          <w:w w:val="110"/>
        </w:rPr>
        <w:t>treat </w:t>
      </w:r>
      <w:r>
        <w:rPr>
          <w:color w:val="4D4D4F"/>
          <w:w w:val="110"/>
        </w:rPr>
        <w:t>OUD, including the mu-opioid receptor partial agonist buprenorphine, </w:t>
      </w:r>
      <w:r>
        <w:rPr>
          <w:color w:val="4D4D4F"/>
          <w:spacing w:val="2"/>
          <w:w w:val="110"/>
        </w:rPr>
        <w:t>the </w:t>
      </w:r>
      <w:r>
        <w:rPr>
          <w:color w:val="4D4D4F"/>
          <w:w w:val="110"/>
        </w:rPr>
        <w:t>mu-opioid receptor full agonist methadone, </w:t>
      </w:r>
      <w:r>
        <w:rPr>
          <w:color w:val="4D4D4F"/>
          <w:spacing w:val="-6"/>
          <w:w w:val="110"/>
        </w:rPr>
        <w:t>and </w:t>
      </w:r>
      <w:r>
        <w:rPr>
          <w:color w:val="4D4D4F"/>
          <w:w w:val="110"/>
        </w:rPr>
        <w:t>the mu-opioid receptor antagonist naltrexone. Extended-release naltrexone (XR-NTX) is FDA </w:t>
      </w:r>
      <w:r>
        <w:rPr>
          <w:color w:val="4D4D4F"/>
          <w:spacing w:val="-4"/>
          <w:w w:val="110"/>
        </w:rPr>
        <w:t>approved </w:t>
      </w:r>
      <w:r>
        <w:rPr>
          <w:color w:val="4D4D4F"/>
          <w:w w:val="110"/>
        </w:rPr>
        <w:t>to </w:t>
      </w:r>
      <w:r>
        <w:rPr>
          <w:color w:val="4D4D4F"/>
          <w:spacing w:val="-4"/>
          <w:w w:val="110"/>
        </w:rPr>
        <w:t>prevent relapse </w:t>
      </w:r>
      <w:r>
        <w:rPr>
          <w:color w:val="4D4D4F"/>
          <w:w w:val="110"/>
        </w:rPr>
        <w:t>in </w:t>
      </w:r>
      <w:r>
        <w:rPr>
          <w:color w:val="4D4D4F"/>
          <w:spacing w:val="-4"/>
          <w:w w:val="110"/>
        </w:rPr>
        <w:t>patients </w:t>
      </w:r>
      <w:r>
        <w:rPr>
          <w:color w:val="4D4D4F"/>
          <w:spacing w:val="-3"/>
          <w:w w:val="110"/>
        </w:rPr>
        <w:t>who </w:t>
      </w:r>
      <w:r>
        <w:rPr>
          <w:color w:val="4D4D4F"/>
          <w:spacing w:val="-4"/>
          <w:w w:val="110"/>
        </w:rPr>
        <w:t>have </w:t>
      </w:r>
      <w:r>
        <w:rPr>
          <w:color w:val="4D4D4F"/>
          <w:spacing w:val="-3"/>
          <w:w w:val="110"/>
        </w:rPr>
        <w:t>remained </w:t>
      </w:r>
      <w:r>
        <w:rPr>
          <w:color w:val="4D4D4F"/>
          <w:w w:val="110"/>
        </w:rPr>
        <w:t>opioid abstinent for </w:t>
      </w:r>
      <w:r>
        <w:rPr>
          <w:color w:val="4D4D4F"/>
          <w:spacing w:val="-3"/>
          <w:w w:val="110"/>
        </w:rPr>
        <w:t>sufﬁcient</w:t>
      </w:r>
      <w:r>
        <w:rPr>
          <w:color w:val="4D4D4F"/>
          <w:spacing w:val="-28"/>
          <w:w w:val="110"/>
        </w:rPr>
        <w:t> </w:t>
      </w:r>
      <w:r>
        <w:rPr>
          <w:color w:val="4D4D4F"/>
          <w:w w:val="110"/>
        </w:rPr>
        <w:t>time.</w:t>
      </w:r>
    </w:p>
    <w:p>
      <w:pPr>
        <w:pStyle w:val="Heading7"/>
        <w:spacing w:line="235" w:lineRule="auto" w:before="188"/>
        <w:ind w:left="139" w:right="437"/>
      </w:pPr>
      <w:r>
        <w:rPr>
          <w:color w:val="4D4D4F"/>
          <w:w w:val="110"/>
        </w:rPr>
        <w:t>Discussing medications that can treat </w:t>
      </w:r>
      <w:r>
        <w:rPr>
          <w:color w:val="4D4D4F"/>
          <w:spacing w:val="-5"/>
          <w:w w:val="110"/>
        </w:rPr>
        <w:t>OUD </w:t>
      </w:r>
      <w:r>
        <w:rPr>
          <w:color w:val="4D4D4F"/>
          <w:w w:val="110"/>
        </w:rPr>
        <w:t>with patients who have this disorder is the clinical standard of care and should cover  at</w:t>
      </w:r>
      <w:r>
        <w:rPr>
          <w:color w:val="4D4D4F"/>
          <w:spacing w:val="10"/>
          <w:w w:val="110"/>
        </w:rPr>
        <w:t> </w:t>
      </w:r>
      <w:r>
        <w:rPr>
          <w:color w:val="4D4D4F"/>
          <w:w w:val="110"/>
        </w:rPr>
        <w:t>least:</w:t>
      </w:r>
    </w:p>
    <w:p>
      <w:pPr>
        <w:pStyle w:val="ListParagraph"/>
        <w:numPr>
          <w:ilvl w:val="0"/>
          <w:numId w:val="4"/>
        </w:numPr>
        <w:tabs>
          <w:tab w:pos="410" w:val="left" w:leader="none"/>
        </w:tabs>
        <w:spacing w:line="264" w:lineRule="exact" w:before="103" w:after="0"/>
        <w:ind w:left="409" w:right="354" w:hanging="270"/>
        <w:jc w:val="left"/>
        <w:rPr>
          <w:rFonts w:ascii="Arial" w:hAnsi="Arial"/>
          <w:color w:val="137692"/>
          <w:sz w:val="28"/>
        </w:rPr>
      </w:pPr>
      <w:r>
        <w:rPr>
          <w:color w:val="4D4D4F"/>
          <w:w w:val="106"/>
          <w:sz w:val="22"/>
        </w:rPr>
        <w:br w:type="column"/>
      </w:r>
      <w:r>
        <w:rPr>
          <w:color w:val="4D4D4F"/>
          <w:w w:val="110"/>
          <w:sz w:val="22"/>
        </w:rPr>
        <w:t>The proven effectiveness of methadone, naltrexone, and buprenorphine compared with placebo and with outpatient counseling without</w:t>
      </w:r>
      <w:r>
        <w:rPr>
          <w:color w:val="4D4D4F"/>
          <w:spacing w:val="-6"/>
          <w:w w:val="110"/>
          <w:sz w:val="22"/>
        </w:rPr>
        <w:t> </w:t>
      </w:r>
      <w:r>
        <w:rPr>
          <w:color w:val="4D4D4F"/>
          <w:w w:val="110"/>
          <w:sz w:val="22"/>
        </w:rPr>
        <w:t>medication.</w:t>
      </w:r>
    </w:p>
    <w:p>
      <w:pPr>
        <w:pStyle w:val="ListParagraph"/>
        <w:numPr>
          <w:ilvl w:val="0"/>
          <w:numId w:val="4"/>
        </w:numPr>
        <w:tabs>
          <w:tab w:pos="410" w:val="left" w:leader="none"/>
        </w:tabs>
        <w:spacing w:line="225" w:lineRule="auto" w:before="45" w:after="0"/>
        <w:ind w:left="409" w:right="158" w:hanging="270"/>
        <w:jc w:val="left"/>
        <w:rPr>
          <w:rFonts w:ascii="Arial" w:hAnsi="Arial"/>
          <w:color w:val="137692"/>
          <w:sz w:val="28"/>
        </w:rPr>
      </w:pPr>
      <w:r>
        <w:rPr>
          <w:color w:val="4D4D4F"/>
          <w:w w:val="110"/>
          <w:sz w:val="22"/>
        </w:rPr>
        <w:t>Risks and beneﬁts of pharmacotherapy with </w:t>
      </w:r>
      <w:r>
        <w:rPr>
          <w:color w:val="4D4D4F"/>
          <w:spacing w:val="-6"/>
          <w:w w:val="110"/>
          <w:sz w:val="22"/>
        </w:rPr>
        <w:t>all </w:t>
      </w:r>
      <w:r>
        <w:rPr>
          <w:color w:val="4D4D4F"/>
          <w:w w:val="110"/>
          <w:sz w:val="22"/>
        </w:rPr>
        <w:t>three types of medication, treatment without medication, and no</w:t>
      </w:r>
      <w:r>
        <w:rPr>
          <w:color w:val="4D4D4F"/>
          <w:spacing w:val="-13"/>
          <w:w w:val="110"/>
          <w:sz w:val="22"/>
        </w:rPr>
        <w:t> </w:t>
      </w:r>
      <w:r>
        <w:rPr>
          <w:color w:val="4D4D4F"/>
          <w:w w:val="110"/>
          <w:sz w:val="22"/>
        </w:rPr>
        <w:t>treatment.</w:t>
      </w:r>
    </w:p>
    <w:p>
      <w:pPr>
        <w:pStyle w:val="ListParagraph"/>
        <w:numPr>
          <w:ilvl w:val="0"/>
          <w:numId w:val="4"/>
        </w:numPr>
        <w:tabs>
          <w:tab w:pos="410" w:val="left" w:leader="none"/>
        </w:tabs>
        <w:spacing w:line="208" w:lineRule="auto" w:before="68" w:after="0"/>
        <w:ind w:left="409" w:right="467" w:hanging="270"/>
        <w:jc w:val="left"/>
        <w:rPr>
          <w:rFonts w:ascii="Arial" w:hAnsi="Arial"/>
          <w:color w:val="137692"/>
          <w:sz w:val="28"/>
        </w:rPr>
      </w:pPr>
      <w:r>
        <w:rPr>
          <w:color w:val="4D4D4F"/>
          <w:w w:val="115"/>
          <w:sz w:val="22"/>
        </w:rPr>
        <w:t>Safety</w:t>
      </w:r>
      <w:r>
        <w:rPr>
          <w:color w:val="4D4D4F"/>
          <w:spacing w:val="-21"/>
          <w:w w:val="115"/>
          <w:sz w:val="22"/>
        </w:rPr>
        <w:t> </w:t>
      </w:r>
      <w:r>
        <w:rPr>
          <w:color w:val="4D4D4F"/>
          <w:w w:val="115"/>
          <w:sz w:val="22"/>
        </w:rPr>
        <w:t>and</w:t>
      </w:r>
      <w:r>
        <w:rPr>
          <w:color w:val="4D4D4F"/>
          <w:spacing w:val="-20"/>
          <w:w w:val="115"/>
          <w:sz w:val="22"/>
        </w:rPr>
        <w:t> </w:t>
      </w:r>
      <w:r>
        <w:rPr>
          <w:color w:val="4D4D4F"/>
          <w:w w:val="115"/>
          <w:sz w:val="22"/>
        </w:rPr>
        <w:t>effectiveness</w:t>
      </w:r>
      <w:r>
        <w:rPr>
          <w:color w:val="4D4D4F"/>
          <w:spacing w:val="-20"/>
          <w:w w:val="115"/>
          <w:sz w:val="22"/>
        </w:rPr>
        <w:t> </w:t>
      </w:r>
      <w:r>
        <w:rPr>
          <w:color w:val="4D4D4F"/>
          <w:w w:val="115"/>
          <w:sz w:val="22"/>
        </w:rPr>
        <w:t>of</w:t>
      </w:r>
      <w:r>
        <w:rPr>
          <w:color w:val="4D4D4F"/>
          <w:spacing w:val="-21"/>
          <w:w w:val="115"/>
          <w:sz w:val="22"/>
        </w:rPr>
        <w:t> </w:t>
      </w:r>
      <w:r>
        <w:rPr>
          <w:color w:val="4D4D4F"/>
          <w:w w:val="115"/>
          <w:sz w:val="22"/>
        </w:rPr>
        <w:t>the</w:t>
      </w:r>
      <w:r>
        <w:rPr>
          <w:color w:val="4D4D4F"/>
          <w:spacing w:val="-20"/>
          <w:w w:val="115"/>
          <w:sz w:val="22"/>
        </w:rPr>
        <w:t> </w:t>
      </w:r>
      <w:r>
        <w:rPr>
          <w:color w:val="4D4D4F"/>
          <w:w w:val="115"/>
          <w:sz w:val="22"/>
        </w:rPr>
        <w:t>medications when used</w:t>
      </w:r>
      <w:r>
        <w:rPr>
          <w:color w:val="4D4D4F"/>
          <w:spacing w:val="-24"/>
          <w:w w:val="115"/>
          <w:sz w:val="22"/>
        </w:rPr>
        <w:t> </w:t>
      </w:r>
      <w:r>
        <w:rPr>
          <w:color w:val="4D4D4F"/>
          <w:w w:val="115"/>
          <w:sz w:val="22"/>
        </w:rPr>
        <w:t>appropriately.</w:t>
      </w:r>
    </w:p>
    <w:p>
      <w:pPr>
        <w:pStyle w:val="ListParagraph"/>
        <w:numPr>
          <w:ilvl w:val="0"/>
          <w:numId w:val="4"/>
        </w:numPr>
        <w:tabs>
          <w:tab w:pos="410" w:val="left" w:leader="none"/>
        </w:tabs>
        <w:spacing w:line="225" w:lineRule="auto" w:before="54" w:after="0"/>
        <w:ind w:left="409" w:right="168" w:hanging="270"/>
        <w:jc w:val="left"/>
        <w:rPr>
          <w:rFonts w:ascii="Arial" w:hAnsi="Arial"/>
          <w:color w:val="137692"/>
          <w:sz w:val="28"/>
        </w:rPr>
      </w:pPr>
      <w:r>
        <w:rPr>
          <w:color w:val="4D4D4F"/>
          <w:w w:val="110"/>
          <w:sz w:val="22"/>
        </w:rPr>
        <w:t>Pharmacologic properties, routes of ad- ministration, and where and how to access treatment with each medication (Exhibit</w:t>
      </w:r>
      <w:r>
        <w:rPr>
          <w:color w:val="4D4D4F"/>
          <w:spacing w:val="-19"/>
          <w:w w:val="110"/>
          <w:sz w:val="22"/>
        </w:rPr>
        <w:t> </w:t>
      </w:r>
      <w:r>
        <w:rPr>
          <w:color w:val="4D4D4F"/>
          <w:spacing w:val="-4"/>
          <w:w w:val="110"/>
          <w:sz w:val="22"/>
        </w:rPr>
        <w:t>3A.1).</w:t>
      </w:r>
    </w:p>
    <w:p>
      <w:pPr>
        <w:spacing w:after="0" w:line="225" w:lineRule="auto"/>
        <w:jc w:val="left"/>
        <w:rPr>
          <w:rFonts w:ascii="Arial" w:hAnsi="Arial"/>
          <w:sz w:val="28"/>
        </w:rPr>
        <w:sectPr>
          <w:type w:val="continuous"/>
          <w:pgSz w:w="12240" w:h="15840"/>
          <w:pgMar w:top="540" w:bottom="280" w:left="940" w:right="920"/>
          <w:cols w:num="2" w:equalWidth="0">
            <w:col w:w="4937" w:space="283"/>
            <w:col w:w="5160"/>
          </w:cols>
        </w:sectPr>
      </w:pPr>
    </w:p>
    <w:p>
      <w:pPr>
        <w:pStyle w:val="BodyText"/>
        <w:spacing w:before="6"/>
        <w:rPr>
          <w:sz w:val="28"/>
        </w:rPr>
      </w:pPr>
      <w:r>
        <w:rPr/>
        <w:pict>
          <v:group style="position:absolute;margin-left:54pt;margin-top:83.675003pt;width:504.05pt;height:657.95pt;mso-position-horizontal-relative:page;mso-position-vertical-relative:page;z-index:-19581440" coordorigin="1080,1674" coordsize="10081,13159">
            <v:rect style="position:absolute;left:1085;top:1678;width:10071;height:13149" filled="true" fillcolor="#fff7f2" stroked="false">
              <v:fill type="solid"/>
            </v:rect>
            <v:rect style="position:absolute;left:1085;top:1678;width:10071;height:13149" filled="false" stroked="true" strokeweight=".5pt" strokecolor="#89aabe">
              <v:stroke dashstyle="solid"/>
            </v:rect>
            <w10:wrap type="none"/>
          </v:group>
        </w:pict>
      </w:r>
    </w:p>
    <w:p>
      <w:pPr>
        <w:spacing w:before="136"/>
        <w:ind w:left="294" w:right="0" w:firstLine="0"/>
        <w:jc w:val="left"/>
        <w:rPr>
          <w:rFonts w:ascii="Arial"/>
          <w:b/>
          <w:sz w:val="15"/>
        </w:rPr>
      </w:pPr>
      <w:r>
        <w:rPr>
          <w:rFonts w:ascii="Arial"/>
          <w:b/>
          <w:color w:val="147592"/>
          <w:w w:val="110"/>
          <w:sz w:val="26"/>
        </w:rPr>
        <w:t>EXHIBIT 3A.1. OUD Medications: An Overview</w:t>
      </w:r>
      <w:r>
        <w:rPr>
          <w:rFonts w:ascii="Arial"/>
          <w:b/>
          <w:color w:val="147592"/>
          <w:w w:val="110"/>
          <w:position w:val="9"/>
          <w:sz w:val="15"/>
        </w:rPr>
        <w:t>9,10</w:t>
      </w:r>
    </w:p>
    <w:p>
      <w:pPr>
        <w:pStyle w:val="BodyText"/>
        <w:spacing w:before="2"/>
        <w:rPr>
          <w:rFonts w:ascii="Arial"/>
          <w:b/>
          <w:sz w:val="15"/>
        </w:rPr>
      </w:pPr>
    </w:p>
    <w:tbl>
      <w:tblPr>
        <w:tblW w:w="0" w:type="auto"/>
        <w:jc w:val="left"/>
        <w:tblInd w:w="301" w:type="dxa"/>
        <w:tblBorders>
          <w:top w:val="single" w:sz="2" w:space="0" w:color="147592"/>
          <w:left w:val="single" w:sz="2" w:space="0" w:color="147592"/>
          <w:bottom w:val="single" w:sz="2" w:space="0" w:color="147592"/>
          <w:right w:val="single" w:sz="2" w:space="0" w:color="147592"/>
          <w:insideH w:val="single" w:sz="2" w:space="0" w:color="147592"/>
          <w:insideV w:val="single" w:sz="2" w:space="0" w:color="147592"/>
        </w:tblBorders>
        <w:tblLayout w:type="fixed"/>
        <w:tblCellMar>
          <w:top w:w="0" w:type="dxa"/>
          <w:left w:w="0" w:type="dxa"/>
          <w:bottom w:w="0" w:type="dxa"/>
          <w:right w:w="0" w:type="dxa"/>
        </w:tblCellMar>
        <w:tblLook w:val="01E0"/>
      </w:tblPr>
      <w:tblGrid>
        <w:gridCol w:w="1538"/>
        <w:gridCol w:w="1872"/>
        <w:gridCol w:w="2480"/>
        <w:gridCol w:w="1922"/>
        <w:gridCol w:w="1959"/>
      </w:tblGrid>
      <w:tr>
        <w:trPr>
          <w:trHeight w:val="610" w:hRule="atLeast"/>
        </w:trPr>
        <w:tc>
          <w:tcPr>
            <w:tcW w:w="1538" w:type="dxa"/>
            <w:tcBorders>
              <w:left w:val="nil"/>
              <w:bottom w:val="single" w:sz="2" w:space="0" w:color="759EB4"/>
              <w:right w:val="single" w:sz="4" w:space="0" w:color="759EB4"/>
            </w:tcBorders>
            <w:shd w:val="clear" w:color="auto" w:fill="367E9A"/>
          </w:tcPr>
          <w:p>
            <w:pPr>
              <w:pStyle w:val="TableParagraph"/>
              <w:spacing w:before="10"/>
              <w:rPr>
                <w:rFonts w:ascii="Arial"/>
                <w:b/>
                <w:sz w:val="26"/>
              </w:rPr>
            </w:pPr>
          </w:p>
          <w:p>
            <w:pPr>
              <w:pStyle w:val="TableParagraph"/>
              <w:spacing w:before="1"/>
              <w:ind w:left="80"/>
              <w:rPr>
                <w:rFonts w:ascii="Arial"/>
                <w:b/>
                <w:sz w:val="17"/>
              </w:rPr>
            </w:pPr>
            <w:r>
              <w:rPr>
                <w:rFonts w:ascii="Arial"/>
                <w:b/>
                <w:color w:val="FFFFFF"/>
                <w:w w:val="105"/>
                <w:sz w:val="17"/>
              </w:rPr>
              <w:t>CATEGORY</w:t>
            </w:r>
          </w:p>
        </w:tc>
        <w:tc>
          <w:tcPr>
            <w:tcW w:w="4352" w:type="dxa"/>
            <w:gridSpan w:val="2"/>
            <w:tcBorders>
              <w:left w:val="single" w:sz="4" w:space="0" w:color="759EB4"/>
              <w:bottom w:val="single" w:sz="2" w:space="0" w:color="759EB4"/>
              <w:right w:val="single" w:sz="4" w:space="0" w:color="759EB4"/>
            </w:tcBorders>
            <w:shd w:val="clear" w:color="auto" w:fill="367E9A"/>
          </w:tcPr>
          <w:p>
            <w:pPr>
              <w:pStyle w:val="TableParagraph"/>
              <w:spacing w:before="10"/>
              <w:rPr>
                <w:rFonts w:ascii="Arial"/>
                <w:b/>
                <w:sz w:val="26"/>
              </w:rPr>
            </w:pPr>
          </w:p>
          <w:p>
            <w:pPr>
              <w:pStyle w:val="TableParagraph"/>
              <w:spacing w:before="1"/>
              <w:ind w:left="1321"/>
              <w:rPr>
                <w:rFonts w:ascii="Arial"/>
                <w:b/>
                <w:sz w:val="17"/>
              </w:rPr>
            </w:pPr>
            <w:r>
              <w:rPr>
                <w:rFonts w:ascii="Arial"/>
                <w:b/>
                <w:color w:val="FFFFFF"/>
                <w:w w:val="110"/>
                <w:sz w:val="17"/>
              </w:rPr>
              <w:t>BUPRENORPHINE*</w:t>
            </w:r>
          </w:p>
        </w:tc>
        <w:tc>
          <w:tcPr>
            <w:tcW w:w="1922" w:type="dxa"/>
            <w:tcBorders>
              <w:left w:val="single" w:sz="4" w:space="0" w:color="759EB4"/>
              <w:bottom w:val="single" w:sz="2" w:space="0" w:color="759EB4"/>
              <w:right w:val="single" w:sz="4" w:space="0" w:color="759EB4"/>
            </w:tcBorders>
            <w:shd w:val="clear" w:color="auto" w:fill="367E9A"/>
          </w:tcPr>
          <w:p>
            <w:pPr>
              <w:pStyle w:val="TableParagraph"/>
              <w:spacing w:before="10"/>
              <w:rPr>
                <w:rFonts w:ascii="Arial"/>
                <w:b/>
                <w:sz w:val="26"/>
              </w:rPr>
            </w:pPr>
          </w:p>
          <w:p>
            <w:pPr>
              <w:pStyle w:val="TableParagraph"/>
              <w:spacing w:before="1"/>
              <w:ind w:left="353"/>
              <w:rPr>
                <w:rFonts w:ascii="Arial"/>
                <w:b/>
                <w:sz w:val="17"/>
              </w:rPr>
            </w:pPr>
            <w:r>
              <w:rPr>
                <w:rFonts w:ascii="Arial"/>
                <w:b/>
                <w:color w:val="FFFFFF"/>
                <w:w w:val="110"/>
                <w:sz w:val="17"/>
              </w:rPr>
              <w:t>METHADONE</w:t>
            </w:r>
          </w:p>
        </w:tc>
        <w:tc>
          <w:tcPr>
            <w:tcW w:w="1959" w:type="dxa"/>
            <w:tcBorders>
              <w:left w:val="single" w:sz="4" w:space="0" w:color="759EB4"/>
              <w:bottom w:val="single" w:sz="2" w:space="0" w:color="759EB4"/>
              <w:right w:val="nil"/>
            </w:tcBorders>
            <w:shd w:val="clear" w:color="auto" w:fill="367E9A"/>
          </w:tcPr>
          <w:p>
            <w:pPr>
              <w:pStyle w:val="TableParagraph"/>
              <w:spacing w:before="10"/>
              <w:rPr>
                <w:rFonts w:ascii="Arial"/>
                <w:b/>
                <w:sz w:val="26"/>
              </w:rPr>
            </w:pPr>
          </w:p>
          <w:p>
            <w:pPr>
              <w:pStyle w:val="TableParagraph"/>
              <w:spacing w:before="1"/>
              <w:ind w:left="553"/>
              <w:rPr>
                <w:rFonts w:ascii="Arial"/>
                <w:b/>
                <w:sz w:val="17"/>
              </w:rPr>
            </w:pPr>
            <w:r>
              <w:rPr>
                <w:rFonts w:ascii="Arial"/>
                <w:b/>
                <w:color w:val="FFFFFF"/>
                <w:w w:val="110"/>
                <w:sz w:val="17"/>
              </w:rPr>
              <w:t>XR-NTX**</w:t>
            </w:r>
          </w:p>
        </w:tc>
      </w:tr>
      <w:tr>
        <w:trPr>
          <w:trHeight w:val="398" w:hRule="atLeast"/>
        </w:trPr>
        <w:tc>
          <w:tcPr>
            <w:tcW w:w="1538" w:type="dxa"/>
            <w:tcBorders>
              <w:top w:val="single" w:sz="2" w:space="0" w:color="759EB4"/>
              <w:left w:val="nil"/>
              <w:bottom w:val="single" w:sz="2" w:space="0" w:color="759EB4"/>
              <w:right w:val="single" w:sz="4" w:space="0" w:color="759EB4"/>
            </w:tcBorders>
            <w:shd w:val="clear" w:color="auto" w:fill="367E9A"/>
          </w:tcPr>
          <w:p>
            <w:pPr>
              <w:pStyle w:val="TableParagraph"/>
              <w:rPr>
                <w:rFonts w:ascii="Times New Roman"/>
                <w:sz w:val="18"/>
              </w:rPr>
            </w:pPr>
          </w:p>
        </w:tc>
        <w:tc>
          <w:tcPr>
            <w:tcW w:w="1872" w:type="dxa"/>
            <w:tcBorders>
              <w:top w:val="single" w:sz="2" w:space="0" w:color="759EB4"/>
              <w:left w:val="single" w:sz="4" w:space="0" w:color="759EB4"/>
              <w:bottom w:val="single" w:sz="2" w:space="0" w:color="759EB4"/>
              <w:right w:val="single" w:sz="4" w:space="0" w:color="759EB4"/>
            </w:tcBorders>
            <w:shd w:val="clear" w:color="auto" w:fill="367E9A"/>
          </w:tcPr>
          <w:p>
            <w:pPr>
              <w:pStyle w:val="TableParagraph"/>
              <w:spacing w:before="97"/>
              <w:ind w:left="163"/>
              <w:rPr>
                <w:rFonts w:ascii="Arial"/>
                <w:b/>
                <w:sz w:val="17"/>
              </w:rPr>
            </w:pPr>
            <w:r>
              <w:rPr>
                <w:rFonts w:ascii="Arial"/>
                <w:b/>
                <w:color w:val="FFFFFF"/>
                <w:w w:val="110"/>
                <w:sz w:val="17"/>
              </w:rPr>
              <w:t>TRANSMUCOSAL</w:t>
            </w:r>
          </w:p>
        </w:tc>
        <w:tc>
          <w:tcPr>
            <w:tcW w:w="2480" w:type="dxa"/>
            <w:tcBorders>
              <w:top w:val="single" w:sz="2" w:space="0" w:color="759EB4"/>
              <w:left w:val="single" w:sz="4" w:space="0" w:color="759EB4"/>
              <w:bottom w:val="single" w:sz="2" w:space="0" w:color="759EB4"/>
              <w:right w:val="single" w:sz="4" w:space="0" w:color="759EB4"/>
            </w:tcBorders>
            <w:shd w:val="clear" w:color="auto" w:fill="367E9A"/>
          </w:tcPr>
          <w:p>
            <w:pPr>
              <w:pStyle w:val="TableParagraph"/>
              <w:spacing w:before="97"/>
              <w:ind w:left="892" w:right="892"/>
              <w:jc w:val="center"/>
              <w:rPr>
                <w:rFonts w:ascii="Arial"/>
                <w:b/>
                <w:sz w:val="17"/>
              </w:rPr>
            </w:pPr>
            <w:r>
              <w:rPr>
                <w:rFonts w:ascii="Arial"/>
                <w:b/>
                <w:color w:val="FFFFFF"/>
                <w:w w:val="110"/>
                <w:sz w:val="17"/>
              </w:rPr>
              <w:t>DEPOT</w:t>
            </w:r>
          </w:p>
        </w:tc>
        <w:tc>
          <w:tcPr>
            <w:tcW w:w="1922" w:type="dxa"/>
            <w:tcBorders>
              <w:top w:val="single" w:sz="2" w:space="0" w:color="759EB4"/>
              <w:left w:val="single" w:sz="4" w:space="0" w:color="759EB4"/>
              <w:bottom w:val="single" w:sz="2" w:space="0" w:color="759EB4"/>
              <w:right w:val="single" w:sz="4" w:space="0" w:color="759EB4"/>
            </w:tcBorders>
            <w:shd w:val="clear" w:color="auto" w:fill="367E9A"/>
          </w:tcPr>
          <w:p>
            <w:pPr>
              <w:pStyle w:val="TableParagraph"/>
              <w:rPr>
                <w:rFonts w:ascii="Times New Roman"/>
                <w:sz w:val="18"/>
              </w:rPr>
            </w:pPr>
          </w:p>
        </w:tc>
        <w:tc>
          <w:tcPr>
            <w:tcW w:w="1959" w:type="dxa"/>
            <w:tcBorders>
              <w:top w:val="single" w:sz="2" w:space="0" w:color="759EB4"/>
              <w:left w:val="single" w:sz="4" w:space="0" w:color="759EB4"/>
              <w:bottom w:val="single" w:sz="2" w:space="0" w:color="759EB4"/>
              <w:right w:val="nil"/>
            </w:tcBorders>
            <w:shd w:val="clear" w:color="auto" w:fill="367E9A"/>
          </w:tcPr>
          <w:p>
            <w:pPr>
              <w:pStyle w:val="TableParagraph"/>
              <w:rPr>
                <w:rFonts w:ascii="Times New Roman"/>
                <w:sz w:val="18"/>
              </w:rPr>
            </w:pPr>
          </w:p>
        </w:tc>
      </w:tr>
      <w:tr>
        <w:trPr>
          <w:trHeight w:val="2131" w:hRule="atLeast"/>
        </w:trPr>
        <w:tc>
          <w:tcPr>
            <w:tcW w:w="1538"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0"/>
              <w:rPr>
                <w:rFonts w:ascii="Arial"/>
                <w:b/>
                <w:sz w:val="18"/>
              </w:rPr>
            </w:pPr>
            <w:r>
              <w:rPr>
                <w:rFonts w:ascii="Arial"/>
                <w:b/>
                <w:color w:val="231F20"/>
                <w:w w:val="110"/>
                <w:sz w:val="18"/>
              </w:rPr>
              <w:t>Appropriate patients</w:t>
            </w:r>
          </w:p>
        </w:tc>
        <w:tc>
          <w:tcPr>
            <w:tcW w:w="1872"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7" w:right="174"/>
              <w:rPr>
                <w:sz w:val="18"/>
              </w:rPr>
            </w:pPr>
            <w:r>
              <w:rPr>
                <w:color w:val="414042"/>
                <w:w w:val="125"/>
                <w:sz w:val="18"/>
              </w:rPr>
              <w:t>Typically for patients with OUD who are </w:t>
            </w:r>
            <w:r>
              <w:rPr>
                <w:color w:val="414042"/>
                <w:w w:val="120"/>
                <w:sz w:val="18"/>
              </w:rPr>
              <w:t>physiologically </w:t>
            </w:r>
            <w:r>
              <w:rPr>
                <w:color w:val="414042"/>
                <w:w w:val="125"/>
                <w:sz w:val="18"/>
              </w:rPr>
              <w:t>dependent on opioids.</w:t>
            </w:r>
          </w:p>
        </w:tc>
        <w:tc>
          <w:tcPr>
            <w:tcW w:w="248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7" w:right="335"/>
              <w:rPr>
                <w:sz w:val="18"/>
              </w:rPr>
            </w:pPr>
            <w:r>
              <w:rPr>
                <w:color w:val="414042"/>
                <w:w w:val="120"/>
                <w:sz w:val="18"/>
              </w:rPr>
              <w:t>Typically for patients for whom diversion or</w:t>
            </w:r>
          </w:p>
          <w:p>
            <w:pPr>
              <w:pStyle w:val="TableParagraph"/>
              <w:spacing w:line="235" w:lineRule="auto" w:before="2"/>
              <w:ind w:left="77" w:right="33"/>
              <w:rPr>
                <w:sz w:val="18"/>
              </w:rPr>
            </w:pPr>
            <w:r>
              <w:rPr>
                <w:color w:val="414042"/>
                <w:w w:val="120"/>
                <w:sz w:val="18"/>
              </w:rPr>
              <w:t>safe medication storage are concerns or for patients who must travel large distances to the prescriber.</w:t>
            </w:r>
          </w:p>
        </w:tc>
        <w:tc>
          <w:tcPr>
            <w:tcW w:w="1922"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7" w:right="224"/>
              <w:rPr>
                <w:sz w:val="18"/>
              </w:rPr>
            </w:pPr>
            <w:r>
              <w:rPr>
                <w:color w:val="414042"/>
                <w:w w:val="125"/>
                <w:sz w:val="18"/>
              </w:rPr>
              <w:t>Typically for patients with OUD who are physiologically dependent on opioids and who meet federal criteria for OTP admission.</w:t>
            </w:r>
          </w:p>
        </w:tc>
        <w:tc>
          <w:tcPr>
            <w:tcW w:w="19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7" w:right="236"/>
              <w:rPr>
                <w:sz w:val="18"/>
              </w:rPr>
            </w:pPr>
            <w:r>
              <w:rPr>
                <w:color w:val="414042"/>
                <w:w w:val="125"/>
                <w:sz w:val="18"/>
              </w:rPr>
              <w:t>Typically for patients with OUD who have abstained </w:t>
            </w:r>
            <w:r>
              <w:rPr>
                <w:color w:val="414042"/>
                <w:spacing w:val="2"/>
                <w:w w:val="125"/>
                <w:sz w:val="18"/>
              </w:rPr>
              <w:t>from </w:t>
            </w:r>
            <w:r>
              <w:rPr>
                <w:color w:val="414042"/>
                <w:w w:val="125"/>
                <w:sz w:val="18"/>
              </w:rPr>
              <w:t>short-acting opioids</w:t>
            </w:r>
            <w:r>
              <w:rPr>
                <w:color w:val="414042"/>
                <w:spacing w:val="-16"/>
                <w:w w:val="125"/>
                <w:sz w:val="18"/>
              </w:rPr>
              <w:t> </w:t>
            </w:r>
            <w:r>
              <w:rPr>
                <w:color w:val="414042"/>
                <w:w w:val="125"/>
                <w:sz w:val="18"/>
              </w:rPr>
              <w:t>for</w:t>
            </w:r>
            <w:r>
              <w:rPr>
                <w:color w:val="414042"/>
                <w:spacing w:val="-16"/>
                <w:w w:val="125"/>
                <w:sz w:val="18"/>
              </w:rPr>
              <w:t> </w:t>
            </w:r>
            <w:r>
              <w:rPr>
                <w:color w:val="414042"/>
                <w:w w:val="125"/>
                <w:sz w:val="18"/>
              </w:rPr>
              <w:t>at</w:t>
            </w:r>
            <w:r>
              <w:rPr>
                <w:color w:val="414042"/>
                <w:spacing w:val="-16"/>
                <w:w w:val="125"/>
                <w:sz w:val="18"/>
              </w:rPr>
              <w:t> </w:t>
            </w:r>
            <w:r>
              <w:rPr>
                <w:color w:val="414042"/>
                <w:spacing w:val="-5"/>
                <w:w w:val="125"/>
                <w:sz w:val="18"/>
              </w:rPr>
              <w:t>least</w:t>
            </w:r>
          </w:p>
          <w:p>
            <w:pPr>
              <w:pStyle w:val="TableParagraph"/>
              <w:spacing w:line="235" w:lineRule="auto" w:before="4"/>
              <w:ind w:left="77" w:right="80"/>
              <w:jc w:val="both"/>
              <w:rPr>
                <w:sz w:val="18"/>
              </w:rPr>
            </w:pPr>
            <w:r>
              <w:rPr>
                <w:color w:val="414042"/>
                <w:w w:val="120"/>
                <w:sz w:val="18"/>
              </w:rPr>
              <w:t>7–10 days and long- acting opioids for at least 10–14 days.</w:t>
            </w:r>
          </w:p>
        </w:tc>
      </w:tr>
      <w:tr>
        <w:trPr>
          <w:trHeight w:val="4055" w:hRule="atLeast"/>
        </w:trPr>
        <w:tc>
          <w:tcPr>
            <w:tcW w:w="153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80"/>
              <w:rPr>
                <w:rFonts w:ascii="Arial"/>
                <w:b/>
                <w:sz w:val="18"/>
              </w:rPr>
            </w:pPr>
            <w:r>
              <w:rPr>
                <w:rFonts w:ascii="Arial"/>
                <w:b/>
                <w:color w:val="231F20"/>
                <w:w w:val="110"/>
                <w:sz w:val="18"/>
              </w:rPr>
              <w:t>Pharmacology</w:t>
            </w:r>
          </w:p>
        </w:tc>
        <w:tc>
          <w:tcPr>
            <w:tcW w:w="1872"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49" w:lineRule="auto" w:before="93"/>
              <w:ind w:left="77" w:right="174"/>
              <w:rPr>
                <w:rFonts w:ascii="Arial"/>
                <w:b/>
                <w:sz w:val="18"/>
              </w:rPr>
            </w:pPr>
            <w:r>
              <w:rPr>
                <w:rFonts w:ascii="Arial"/>
                <w:b/>
                <w:color w:val="414042"/>
                <w:w w:val="110"/>
                <w:sz w:val="18"/>
              </w:rPr>
              <w:t>Opioid receptor partial agonist</w:t>
            </w:r>
          </w:p>
          <w:p>
            <w:pPr>
              <w:pStyle w:val="TableParagraph"/>
              <w:spacing w:line="235" w:lineRule="auto" w:before="92"/>
              <w:ind w:left="77" w:right="174"/>
              <w:rPr>
                <w:sz w:val="18"/>
              </w:rPr>
            </w:pPr>
            <w:r>
              <w:rPr>
                <w:color w:val="414042"/>
                <w:w w:val="125"/>
                <w:sz w:val="18"/>
              </w:rPr>
              <w:t>Reduces opioid withdrawal and craving; blunts or blocks euphoric effects of self- administered illicit opioids through cross- tolerance and opioid receptor occupancy.</w:t>
            </w:r>
          </w:p>
        </w:tc>
        <w:tc>
          <w:tcPr>
            <w:tcW w:w="248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49" w:lineRule="auto" w:before="93"/>
              <w:ind w:left="77" w:right="33"/>
              <w:rPr>
                <w:rFonts w:ascii="Arial"/>
                <w:b/>
                <w:sz w:val="18"/>
              </w:rPr>
            </w:pPr>
            <w:r>
              <w:rPr>
                <w:rFonts w:ascii="Arial"/>
                <w:b/>
                <w:color w:val="414042"/>
                <w:w w:val="110"/>
                <w:sz w:val="18"/>
              </w:rPr>
              <w:t>Opioid receptor partial agonist</w:t>
            </w:r>
          </w:p>
          <w:p>
            <w:pPr>
              <w:pStyle w:val="TableParagraph"/>
              <w:spacing w:line="235" w:lineRule="auto" w:before="92"/>
              <w:ind w:left="77" w:right="165"/>
              <w:rPr>
                <w:sz w:val="18"/>
              </w:rPr>
            </w:pPr>
            <w:r>
              <w:rPr>
                <w:color w:val="414042"/>
                <w:w w:val="125"/>
                <w:sz w:val="18"/>
              </w:rPr>
              <w:t>Reduces opioid withdrawal and craving; blunts or blocks euphoric effects of</w:t>
            </w:r>
          </w:p>
          <w:p>
            <w:pPr>
              <w:pStyle w:val="TableParagraph"/>
              <w:spacing w:line="235" w:lineRule="auto" w:before="3"/>
              <w:ind w:left="77" w:right="33"/>
              <w:rPr>
                <w:sz w:val="18"/>
              </w:rPr>
            </w:pPr>
            <w:r>
              <w:rPr>
                <w:color w:val="414042"/>
                <w:w w:val="125"/>
                <w:sz w:val="18"/>
              </w:rPr>
              <w:t>self-administered illicit opioids through cross- tolerance and opioid receptor occupancy.</w:t>
            </w:r>
          </w:p>
          <w:p>
            <w:pPr>
              <w:pStyle w:val="TableParagraph"/>
              <w:spacing w:line="235" w:lineRule="auto" w:before="92"/>
              <w:ind w:left="77" w:right="252"/>
              <w:rPr>
                <w:sz w:val="18"/>
              </w:rPr>
            </w:pPr>
            <w:r>
              <w:rPr>
                <w:color w:val="414042"/>
                <w:w w:val="125"/>
                <w:sz w:val="18"/>
              </w:rPr>
              <w:t>Note: Patients</w:t>
            </w:r>
            <w:r>
              <w:rPr>
                <w:color w:val="414042"/>
                <w:spacing w:val="-28"/>
                <w:w w:val="125"/>
                <w:sz w:val="18"/>
              </w:rPr>
              <w:t> </w:t>
            </w:r>
            <w:r>
              <w:rPr>
                <w:color w:val="414042"/>
                <w:spacing w:val="-3"/>
                <w:w w:val="125"/>
                <w:sz w:val="18"/>
              </w:rPr>
              <w:t>receiving </w:t>
            </w:r>
            <w:r>
              <w:rPr>
                <w:color w:val="414042"/>
                <w:w w:val="125"/>
                <w:sz w:val="18"/>
              </w:rPr>
              <w:t>a depot formulation of buprenorphine must be inducted onto buprenorphine using a transmucosal</w:t>
            </w:r>
            <w:r>
              <w:rPr>
                <w:color w:val="414042"/>
                <w:spacing w:val="-10"/>
                <w:w w:val="125"/>
                <w:sz w:val="18"/>
              </w:rPr>
              <w:t> </w:t>
            </w:r>
            <w:r>
              <w:rPr>
                <w:color w:val="414042"/>
                <w:w w:val="125"/>
                <w:sz w:val="18"/>
              </w:rPr>
              <w:t>product.</w:t>
            </w:r>
          </w:p>
        </w:tc>
        <w:tc>
          <w:tcPr>
            <w:tcW w:w="1922"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49" w:lineRule="auto" w:before="93"/>
              <w:ind w:left="77"/>
              <w:rPr>
                <w:rFonts w:ascii="Arial"/>
                <w:b/>
                <w:sz w:val="18"/>
              </w:rPr>
            </w:pPr>
            <w:r>
              <w:rPr>
                <w:rFonts w:ascii="Arial"/>
                <w:b/>
                <w:color w:val="414042"/>
                <w:w w:val="110"/>
                <w:sz w:val="18"/>
              </w:rPr>
              <w:t>Opioid receptor agonist</w:t>
            </w:r>
          </w:p>
          <w:p>
            <w:pPr>
              <w:pStyle w:val="TableParagraph"/>
              <w:spacing w:line="235" w:lineRule="auto" w:before="92"/>
              <w:ind w:left="77" w:right="224"/>
              <w:rPr>
                <w:sz w:val="18"/>
              </w:rPr>
            </w:pPr>
            <w:r>
              <w:rPr>
                <w:color w:val="414042"/>
                <w:w w:val="125"/>
                <w:sz w:val="18"/>
              </w:rPr>
              <w:t>Reduces opioid withdrawal and craving; blunts or blocks euphoric effects of self- administered illicit opioids through cross- tolerance and opioid receptor occupancy.</w:t>
            </w:r>
          </w:p>
        </w:tc>
        <w:tc>
          <w:tcPr>
            <w:tcW w:w="1959" w:type="dxa"/>
            <w:tcBorders>
              <w:top w:val="single" w:sz="2" w:space="0" w:color="759EB4"/>
              <w:left w:val="single" w:sz="2" w:space="0" w:color="759EB4"/>
              <w:bottom w:val="single" w:sz="2" w:space="0" w:color="759EB4"/>
              <w:right w:val="nil"/>
            </w:tcBorders>
            <w:shd w:val="clear" w:color="auto" w:fill="FFF7F2"/>
          </w:tcPr>
          <w:p>
            <w:pPr>
              <w:pStyle w:val="TableParagraph"/>
              <w:spacing w:line="249" w:lineRule="auto" w:before="93"/>
              <w:ind w:left="77" w:right="236"/>
              <w:rPr>
                <w:rFonts w:ascii="Arial"/>
                <w:b/>
                <w:sz w:val="18"/>
              </w:rPr>
            </w:pPr>
            <w:r>
              <w:rPr>
                <w:rFonts w:ascii="Arial"/>
                <w:b/>
                <w:color w:val="414042"/>
                <w:w w:val="110"/>
                <w:sz w:val="18"/>
              </w:rPr>
              <w:t>Opioid receptor antagonist</w:t>
            </w:r>
          </w:p>
          <w:p>
            <w:pPr>
              <w:pStyle w:val="TableParagraph"/>
              <w:spacing w:line="235" w:lineRule="auto" w:before="92"/>
              <w:ind w:left="77"/>
              <w:rPr>
                <w:sz w:val="18"/>
              </w:rPr>
            </w:pPr>
            <w:r>
              <w:rPr>
                <w:color w:val="414042"/>
                <w:w w:val="125"/>
                <w:sz w:val="18"/>
              </w:rPr>
              <w:t>Blocks euphoric effects of self- administered illicit opioids through opioid receptor occupancy. Causes no opioid effects.</w:t>
            </w:r>
          </w:p>
        </w:tc>
      </w:tr>
      <w:tr>
        <w:trPr>
          <w:trHeight w:val="4855" w:hRule="atLeast"/>
        </w:trPr>
        <w:tc>
          <w:tcPr>
            <w:tcW w:w="1538" w:type="dxa"/>
            <w:tcBorders>
              <w:top w:val="single" w:sz="2" w:space="0" w:color="759EB4"/>
              <w:left w:val="nil"/>
              <w:bottom w:val="single" w:sz="24" w:space="0" w:color="367E9A"/>
              <w:right w:val="single" w:sz="2" w:space="0" w:color="759EB4"/>
            </w:tcBorders>
            <w:shd w:val="clear" w:color="auto" w:fill="FFF7F2"/>
          </w:tcPr>
          <w:p>
            <w:pPr>
              <w:pStyle w:val="TableParagraph"/>
              <w:spacing w:line="249" w:lineRule="auto" w:before="93"/>
              <w:ind w:left="80" w:right="500"/>
              <w:rPr>
                <w:rFonts w:ascii="Arial"/>
                <w:b/>
                <w:sz w:val="18"/>
              </w:rPr>
            </w:pPr>
            <w:r>
              <w:rPr>
                <w:rFonts w:ascii="Arial"/>
                <w:b/>
                <w:color w:val="231F20"/>
                <w:w w:val="110"/>
                <w:sz w:val="18"/>
              </w:rPr>
              <w:t>Patient education</w:t>
            </w:r>
          </w:p>
        </w:tc>
        <w:tc>
          <w:tcPr>
            <w:tcW w:w="1872" w:type="dxa"/>
            <w:tcBorders>
              <w:top w:val="single" w:sz="2" w:space="0" w:color="759EB4"/>
              <w:left w:val="single" w:sz="2" w:space="0" w:color="759EB4"/>
              <w:bottom w:val="single" w:sz="24" w:space="0" w:color="367E9A"/>
              <w:right w:val="single" w:sz="2" w:space="0" w:color="759EB4"/>
            </w:tcBorders>
            <w:shd w:val="clear" w:color="auto" w:fill="FFF7F2"/>
          </w:tcPr>
          <w:p>
            <w:pPr>
              <w:pStyle w:val="TableParagraph"/>
              <w:spacing w:before="90"/>
              <w:ind w:left="77"/>
              <w:rPr>
                <w:sz w:val="18"/>
              </w:rPr>
            </w:pPr>
            <w:r>
              <w:rPr>
                <w:color w:val="414042"/>
                <w:w w:val="120"/>
                <w:sz w:val="18"/>
              </w:rPr>
              <w:t>Tell patients:</w:t>
            </w:r>
          </w:p>
          <w:p>
            <w:pPr>
              <w:pStyle w:val="TableParagraph"/>
              <w:numPr>
                <w:ilvl w:val="0"/>
                <w:numId w:val="5"/>
              </w:numPr>
              <w:tabs>
                <w:tab w:pos="258" w:val="left" w:leader="none"/>
              </w:tabs>
              <w:spacing w:line="211" w:lineRule="auto" w:before="62" w:after="0"/>
              <w:ind w:left="257" w:right="545" w:hanging="180"/>
              <w:jc w:val="left"/>
              <w:rPr>
                <w:sz w:val="18"/>
              </w:rPr>
            </w:pPr>
            <w:r>
              <w:rPr>
                <w:color w:val="414042"/>
                <w:w w:val="125"/>
                <w:sz w:val="18"/>
              </w:rPr>
              <w:t>That they will need</w:t>
            </w:r>
            <w:r>
              <w:rPr>
                <w:color w:val="414042"/>
                <w:spacing w:val="-27"/>
                <w:w w:val="125"/>
                <w:sz w:val="18"/>
              </w:rPr>
              <w:t> </w:t>
            </w:r>
            <w:r>
              <w:rPr>
                <w:color w:val="414042"/>
                <w:w w:val="125"/>
                <w:sz w:val="18"/>
              </w:rPr>
              <w:t>to be in</w:t>
            </w:r>
            <w:r>
              <w:rPr>
                <w:color w:val="414042"/>
                <w:spacing w:val="-15"/>
                <w:w w:val="125"/>
                <w:sz w:val="18"/>
              </w:rPr>
              <w:t> </w:t>
            </w:r>
            <w:r>
              <w:rPr>
                <w:color w:val="414042"/>
                <w:spacing w:val="-3"/>
                <w:w w:val="125"/>
                <w:sz w:val="18"/>
              </w:rPr>
              <w:t>opioid</w:t>
            </w:r>
          </w:p>
          <w:p>
            <w:pPr>
              <w:pStyle w:val="TableParagraph"/>
              <w:spacing w:line="235" w:lineRule="auto" w:before="6"/>
              <w:ind w:left="257" w:right="93"/>
              <w:rPr>
                <w:sz w:val="18"/>
              </w:rPr>
            </w:pPr>
            <w:r>
              <w:rPr>
                <w:color w:val="414042"/>
                <w:w w:val="120"/>
                <w:sz w:val="18"/>
              </w:rPr>
              <w:t>withdrawal to receive their ﬁrst dose to avoid buprenorphine- precipitated opioid withdrawal.</w:t>
            </w:r>
          </w:p>
          <w:p>
            <w:pPr>
              <w:pStyle w:val="TableParagraph"/>
              <w:numPr>
                <w:ilvl w:val="0"/>
                <w:numId w:val="5"/>
              </w:numPr>
              <w:tabs>
                <w:tab w:pos="258" w:val="left" w:leader="none"/>
              </w:tabs>
              <w:spacing w:line="211" w:lineRule="auto" w:before="66" w:after="0"/>
              <w:ind w:left="257" w:right="157" w:hanging="180"/>
              <w:jc w:val="left"/>
              <w:rPr>
                <w:sz w:val="18"/>
              </w:rPr>
            </w:pPr>
            <w:r>
              <w:rPr>
                <w:color w:val="414042"/>
                <w:w w:val="125"/>
                <w:sz w:val="18"/>
              </w:rPr>
              <w:t>About the risk of overdose with</w:t>
            </w:r>
            <w:r>
              <w:rPr>
                <w:color w:val="414042"/>
                <w:spacing w:val="-3"/>
                <w:w w:val="125"/>
                <w:sz w:val="18"/>
              </w:rPr>
              <w:t> concurrent</w:t>
            </w:r>
          </w:p>
          <w:p>
            <w:pPr>
              <w:pStyle w:val="TableParagraph"/>
              <w:spacing w:line="235" w:lineRule="auto" w:before="6"/>
              <w:ind w:left="257" w:right="155"/>
              <w:rPr>
                <w:sz w:val="18"/>
              </w:rPr>
            </w:pPr>
            <w:r>
              <w:rPr>
                <w:color w:val="414042"/>
                <w:w w:val="125"/>
                <w:sz w:val="18"/>
              </w:rPr>
              <w:t>benzodiazepine or alcohol use, with injecting </w:t>
            </w:r>
            <w:r>
              <w:rPr>
                <w:color w:val="414042"/>
                <w:w w:val="120"/>
                <w:sz w:val="18"/>
              </w:rPr>
              <w:t>buprenorphine, </w:t>
            </w:r>
            <w:r>
              <w:rPr>
                <w:color w:val="414042"/>
                <w:w w:val="125"/>
                <w:sz w:val="18"/>
              </w:rPr>
              <w:t>and after stopping the medication.</w:t>
            </w:r>
          </w:p>
        </w:tc>
        <w:tc>
          <w:tcPr>
            <w:tcW w:w="2480" w:type="dxa"/>
            <w:tcBorders>
              <w:top w:val="single" w:sz="2" w:space="0" w:color="759EB4"/>
              <w:left w:val="single" w:sz="2" w:space="0" w:color="759EB4"/>
              <w:bottom w:val="single" w:sz="24" w:space="0" w:color="367E9A"/>
              <w:right w:val="single" w:sz="2" w:space="0" w:color="759EB4"/>
            </w:tcBorders>
            <w:shd w:val="clear" w:color="auto" w:fill="FFF7F2"/>
          </w:tcPr>
          <w:p>
            <w:pPr>
              <w:pStyle w:val="TableParagraph"/>
              <w:spacing w:before="90"/>
              <w:ind w:left="77"/>
              <w:jc w:val="both"/>
              <w:rPr>
                <w:sz w:val="18"/>
              </w:rPr>
            </w:pPr>
            <w:r>
              <w:rPr>
                <w:color w:val="414042"/>
                <w:w w:val="120"/>
                <w:sz w:val="18"/>
              </w:rPr>
              <w:t>Tell patients:</w:t>
            </w:r>
          </w:p>
          <w:p>
            <w:pPr>
              <w:pStyle w:val="TableParagraph"/>
              <w:numPr>
                <w:ilvl w:val="0"/>
                <w:numId w:val="6"/>
              </w:numPr>
              <w:tabs>
                <w:tab w:pos="258" w:val="left" w:leader="none"/>
              </w:tabs>
              <w:spacing w:line="211" w:lineRule="auto" w:before="62" w:after="0"/>
              <w:ind w:left="257" w:right="301" w:hanging="180"/>
              <w:jc w:val="both"/>
              <w:rPr>
                <w:sz w:val="18"/>
              </w:rPr>
            </w:pPr>
            <w:r>
              <w:rPr>
                <w:color w:val="414042"/>
                <w:w w:val="125"/>
                <w:sz w:val="18"/>
              </w:rPr>
              <w:t>For implantable rods (Probuphine®), they will</w:t>
            </w:r>
            <w:r>
              <w:rPr>
                <w:color w:val="414042"/>
                <w:spacing w:val="-10"/>
                <w:w w:val="125"/>
                <w:sz w:val="18"/>
              </w:rPr>
              <w:t> </w:t>
            </w:r>
            <w:r>
              <w:rPr>
                <w:color w:val="414042"/>
                <w:w w:val="125"/>
                <w:sz w:val="18"/>
              </w:rPr>
              <w:t>need</w:t>
            </w:r>
            <w:r>
              <w:rPr>
                <w:color w:val="414042"/>
                <w:spacing w:val="-10"/>
                <w:w w:val="125"/>
                <w:sz w:val="18"/>
              </w:rPr>
              <w:t> </w:t>
            </w:r>
            <w:r>
              <w:rPr>
                <w:color w:val="414042"/>
                <w:w w:val="125"/>
                <w:sz w:val="18"/>
              </w:rPr>
              <w:t>to</w:t>
            </w:r>
            <w:r>
              <w:rPr>
                <w:color w:val="414042"/>
                <w:spacing w:val="-10"/>
                <w:w w:val="125"/>
                <w:sz w:val="18"/>
              </w:rPr>
              <w:t> </w:t>
            </w:r>
            <w:r>
              <w:rPr>
                <w:color w:val="414042"/>
                <w:w w:val="125"/>
                <w:sz w:val="18"/>
              </w:rPr>
              <w:t>be</w:t>
            </w:r>
            <w:r>
              <w:rPr>
                <w:color w:val="414042"/>
                <w:spacing w:val="-10"/>
                <w:w w:val="125"/>
                <w:sz w:val="18"/>
              </w:rPr>
              <w:t> </w:t>
            </w:r>
            <w:r>
              <w:rPr>
                <w:color w:val="414042"/>
                <w:spacing w:val="-3"/>
                <w:w w:val="125"/>
                <w:sz w:val="18"/>
              </w:rPr>
              <w:t>stable</w:t>
            </w:r>
          </w:p>
          <w:p>
            <w:pPr>
              <w:pStyle w:val="TableParagraph"/>
              <w:spacing w:line="218" w:lineRule="exact" w:before="2"/>
              <w:ind w:left="257"/>
              <w:rPr>
                <w:sz w:val="18"/>
              </w:rPr>
            </w:pPr>
            <w:r>
              <w:rPr>
                <w:color w:val="414042"/>
                <w:w w:val="125"/>
                <w:sz w:val="18"/>
              </w:rPr>
              <w:t>on no more than</w:t>
            </w:r>
          </w:p>
          <w:p>
            <w:pPr>
              <w:pStyle w:val="TableParagraph"/>
              <w:spacing w:line="235" w:lineRule="auto" w:before="2"/>
              <w:ind w:left="257" w:right="231"/>
              <w:rPr>
                <w:sz w:val="18"/>
              </w:rPr>
            </w:pPr>
            <w:r>
              <w:rPr>
                <w:color w:val="414042"/>
                <w:w w:val="125"/>
                <w:sz w:val="18"/>
              </w:rPr>
              <w:t>8 mg of transmucosal Suboxone or generic equivalents.</w:t>
            </w:r>
          </w:p>
          <w:p>
            <w:pPr>
              <w:pStyle w:val="TableParagraph"/>
              <w:numPr>
                <w:ilvl w:val="0"/>
                <w:numId w:val="6"/>
              </w:numPr>
              <w:tabs>
                <w:tab w:pos="258" w:val="left" w:leader="none"/>
              </w:tabs>
              <w:spacing w:line="211" w:lineRule="auto" w:before="64" w:after="0"/>
              <w:ind w:left="257" w:right="122" w:hanging="180"/>
              <w:jc w:val="left"/>
              <w:rPr>
                <w:sz w:val="18"/>
              </w:rPr>
            </w:pPr>
            <w:r>
              <w:rPr>
                <w:color w:val="414042"/>
                <w:w w:val="125"/>
                <w:sz w:val="18"/>
              </w:rPr>
              <w:t>For subcutaneous injection</w:t>
            </w:r>
            <w:r>
              <w:rPr>
                <w:color w:val="414042"/>
                <w:spacing w:val="-15"/>
                <w:w w:val="125"/>
                <w:sz w:val="18"/>
              </w:rPr>
              <w:t> </w:t>
            </w:r>
            <w:r>
              <w:rPr>
                <w:color w:val="414042"/>
                <w:w w:val="125"/>
                <w:sz w:val="18"/>
              </w:rPr>
              <w:t>(Sublocade®), they must ﬁrst be</w:t>
            </w:r>
            <w:r>
              <w:rPr>
                <w:color w:val="414042"/>
                <w:spacing w:val="-23"/>
                <w:w w:val="125"/>
                <w:sz w:val="18"/>
              </w:rPr>
              <w:t> </w:t>
            </w:r>
            <w:r>
              <w:rPr>
                <w:color w:val="414042"/>
                <w:w w:val="125"/>
                <w:sz w:val="18"/>
              </w:rPr>
              <w:t>on</w:t>
            </w:r>
          </w:p>
          <w:p>
            <w:pPr>
              <w:pStyle w:val="TableParagraph"/>
              <w:spacing w:line="235" w:lineRule="auto" w:before="6"/>
              <w:ind w:left="257" w:right="264"/>
              <w:rPr>
                <w:sz w:val="18"/>
              </w:rPr>
            </w:pPr>
            <w:r>
              <w:rPr>
                <w:color w:val="414042"/>
                <w:w w:val="125"/>
                <w:sz w:val="18"/>
              </w:rPr>
              <w:t>a transmucosal form of buprenorphine for at least 7 days at a dose equivalent to</w:t>
            </w:r>
          </w:p>
          <w:p>
            <w:pPr>
              <w:pStyle w:val="TableParagraph"/>
              <w:spacing w:line="235" w:lineRule="auto" w:before="2"/>
              <w:ind w:left="257" w:right="335"/>
              <w:rPr>
                <w:sz w:val="18"/>
              </w:rPr>
            </w:pPr>
            <w:r>
              <w:rPr>
                <w:color w:val="414042"/>
                <w:w w:val="125"/>
                <w:sz w:val="18"/>
              </w:rPr>
              <w:t>8 to 24 mg of </w:t>
            </w:r>
            <w:r>
              <w:rPr>
                <w:color w:val="414042"/>
                <w:w w:val="120"/>
                <w:sz w:val="18"/>
              </w:rPr>
              <w:t>buprenorphine.</w:t>
            </w:r>
          </w:p>
        </w:tc>
        <w:tc>
          <w:tcPr>
            <w:tcW w:w="1922" w:type="dxa"/>
            <w:tcBorders>
              <w:top w:val="single" w:sz="2" w:space="0" w:color="759EB4"/>
              <w:left w:val="single" w:sz="2" w:space="0" w:color="759EB4"/>
              <w:bottom w:val="single" w:sz="24" w:space="0" w:color="367E9A"/>
              <w:right w:val="single" w:sz="2" w:space="0" w:color="759EB4"/>
            </w:tcBorders>
            <w:shd w:val="clear" w:color="auto" w:fill="FFF7F2"/>
          </w:tcPr>
          <w:p>
            <w:pPr>
              <w:pStyle w:val="TableParagraph"/>
              <w:spacing w:before="90"/>
              <w:ind w:left="77"/>
              <w:rPr>
                <w:sz w:val="18"/>
              </w:rPr>
            </w:pPr>
            <w:r>
              <w:rPr>
                <w:color w:val="414042"/>
                <w:w w:val="120"/>
                <w:sz w:val="18"/>
              </w:rPr>
              <w:t>Tell patients:</w:t>
            </w:r>
          </w:p>
          <w:p>
            <w:pPr>
              <w:pStyle w:val="TableParagraph"/>
              <w:numPr>
                <w:ilvl w:val="0"/>
                <w:numId w:val="7"/>
              </w:numPr>
              <w:tabs>
                <w:tab w:pos="258" w:val="left" w:leader="none"/>
              </w:tabs>
              <w:spacing w:line="211" w:lineRule="auto" w:before="62" w:after="0"/>
              <w:ind w:left="257" w:right="302" w:hanging="180"/>
              <w:jc w:val="left"/>
              <w:rPr>
                <w:sz w:val="18"/>
              </w:rPr>
            </w:pPr>
            <w:r>
              <w:rPr>
                <w:color w:val="414042"/>
                <w:w w:val="125"/>
                <w:sz w:val="18"/>
              </w:rPr>
              <w:t>That their</w:t>
            </w:r>
            <w:r>
              <w:rPr>
                <w:color w:val="414042"/>
                <w:spacing w:val="-28"/>
                <w:w w:val="125"/>
                <w:sz w:val="18"/>
              </w:rPr>
              <w:t> </w:t>
            </w:r>
            <w:r>
              <w:rPr>
                <w:color w:val="414042"/>
                <w:spacing w:val="-4"/>
                <w:w w:val="125"/>
                <w:sz w:val="18"/>
              </w:rPr>
              <w:t>dose </w:t>
            </w:r>
            <w:r>
              <w:rPr>
                <w:color w:val="414042"/>
                <w:w w:val="125"/>
                <w:sz w:val="18"/>
              </w:rPr>
              <w:t>will start low and build</w:t>
            </w:r>
            <w:r>
              <w:rPr>
                <w:color w:val="414042"/>
                <w:spacing w:val="-4"/>
                <w:w w:val="125"/>
                <w:sz w:val="18"/>
              </w:rPr>
              <w:t> </w:t>
            </w:r>
            <w:r>
              <w:rPr>
                <w:color w:val="414042"/>
                <w:w w:val="125"/>
                <w:sz w:val="18"/>
              </w:rPr>
              <w:t>up</w:t>
            </w:r>
          </w:p>
          <w:p>
            <w:pPr>
              <w:pStyle w:val="TableParagraph"/>
              <w:spacing w:line="235" w:lineRule="auto" w:before="6"/>
              <w:ind w:left="257" w:right="328"/>
              <w:rPr>
                <w:sz w:val="18"/>
              </w:rPr>
            </w:pPr>
            <w:r>
              <w:rPr>
                <w:color w:val="414042"/>
                <w:w w:val="120"/>
                <w:sz w:val="18"/>
              </w:rPr>
              <w:t>slowly to avoid oversedation; it takes several</w:t>
            </w:r>
          </w:p>
          <w:p>
            <w:pPr>
              <w:pStyle w:val="TableParagraph"/>
              <w:spacing w:line="235" w:lineRule="auto" w:before="2"/>
              <w:ind w:left="257" w:right="257"/>
              <w:jc w:val="both"/>
              <w:rPr>
                <w:sz w:val="18"/>
              </w:rPr>
            </w:pPr>
            <w:r>
              <w:rPr>
                <w:color w:val="414042"/>
                <w:w w:val="125"/>
                <w:sz w:val="18"/>
              </w:rPr>
              <w:t>days for a</w:t>
            </w:r>
            <w:r>
              <w:rPr>
                <w:color w:val="414042"/>
                <w:spacing w:val="-27"/>
                <w:w w:val="125"/>
                <w:sz w:val="18"/>
              </w:rPr>
              <w:t> </w:t>
            </w:r>
            <w:r>
              <w:rPr>
                <w:color w:val="414042"/>
                <w:spacing w:val="-4"/>
                <w:w w:val="125"/>
                <w:sz w:val="18"/>
              </w:rPr>
              <w:t>given </w:t>
            </w:r>
            <w:r>
              <w:rPr>
                <w:color w:val="414042"/>
                <w:w w:val="125"/>
                <w:sz w:val="18"/>
              </w:rPr>
              <w:t>dose</w:t>
            </w:r>
            <w:r>
              <w:rPr>
                <w:color w:val="414042"/>
                <w:spacing w:val="-15"/>
                <w:w w:val="125"/>
                <w:sz w:val="18"/>
              </w:rPr>
              <w:t> </w:t>
            </w:r>
            <w:r>
              <w:rPr>
                <w:color w:val="414042"/>
                <w:w w:val="125"/>
                <w:sz w:val="18"/>
              </w:rPr>
              <w:t>to</w:t>
            </w:r>
            <w:r>
              <w:rPr>
                <w:color w:val="414042"/>
                <w:spacing w:val="-14"/>
                <w:w w:val="125"/>
                <w:sz w:val="18"/>
              </w:rPr>
              <w:t> </w:t>
            </w:r>
            <w:r>
              <w:rPr>
                <w:color w:val="414042"/>
                <w:w w:val="125"/>
                <w:sz w:val="18"/>
              </w:rPr>
              <w:t>have</w:t>
            </w:r>
            <w:r>
              <w:rPr>
                <w:color w:val="414042"/>
                <w:spacing w:val="-15"/>
                <w:w w:val="125"/>
                <w:sz w:val="18"/>
              </w:rPr>
              <w:t> </w:t>
            </w:r>
            <w:r>
              <w:rPr>
                <w:color w:val="414042"/>
                <w:w w:val="125"/>
                <w:sz w:val="18"/>
              </w:rPr>
              <w:t>its full</w:t>
            </w:r>
            <w:r>
              <w:rPr>
                <w:color w:val="414042"/>
                <w:spacing w:val="-9"/>
                <w:w w:val="125"/>
                <w:sz w:val="18"/>
              </w:rPr>
              <w:t> </w:t>
            </w:r>
            <w:r>
              <w:rPr>
                <w:color w:val="414042"/>
                <w:w w:val="125"/>
                <w:sz w:val="18"/>
              </w:rPr>
              <w:t>effect.</w:t>
            </w:r>
          </w:p>
          <w:p>
            <w:pPr>
              <w:pStyle w:val="TableParagraph"/>
              <w:numPr>
                <w:ilvl w:val="0"/>
                <w:numId w:val="7"/>
              </w:numPr>
              <w:tabs>
                <w:tab w:pos="258" w:val="left" w:leader="none"/>
              </w:tabs>
              <w:spacing w:line="192" w:lineRule="auto" w:before="82" w:after="0"/>
              <w:ind w:left="257" w:right="236" w:hanging="180"/>
              <w:jc w:val="both"/>
              <w:rPr>
                <w:sz w:val="18"/>
              </w:rPr>
            </w:pPr>
            <w:r>
              <w:rPr>
                <w:color w:val="414042"/>
                <w:w w:val="125"/>
                <w:sz w:val="18"/>
              </w:rPr>
              <w:t>About</w:t>
            </w:r>
            <w:r>
              <w:rPr>
                <w:color w:val="414042"/>
                <w:spacing w:val="-18"/>
                <w:w w:val="125"/>
                <w:sz w:val="18"/>
              </w:rPr>
              <w:t> </w:t>
            </w:r>
            <w:r>
              <w:rPr>
                <w:color w:val="414042"/>
                <w:spacing w:val="-4"/>
                <w:w w:val="125"/>
                <w:sz w:val="18"/>
              </w:rPr>
              <w:t>overdose </w:t>
            </w:r>
            <w:r>
              <w:rPr>
                <w:color w:val="414042"/>
                <w:w w:val="125"/>
                <w:sz w:val="18"/>
              </w:rPr>
              <w:t>risk in</w:t>
            </w:r>
            <w:r>
              <w:rPr>
                <w:color w:val="414042"/>
                <w:spacing w:val="-10"/>
                <w:w w:val="125"/>
                <w:sz w:val="18"/>
              </w:rPr>
              <w:t> </w:t>
            </w:r>
            <w:r>
              <w:rPr>
                <w:color w:val="414042"/>
                <w:w w:val="125"/>
                <w:sz w:val="18"/>
              </w:rPr>
              <w:t>the</w:t>
            </w:r>
          </w:p>
          <w:p>
            <w:pPr>
              <w:pStyle w:val="TableParagraph"/>
              <w:spacing w:line="235" w:lineRule="auto" w:before="8"/>
              <w:ind w:left="257" w:right="330"/>
              <w:rPr>
                <w:sz w:val="18"/>
              </w:rPr>
            </w:pPr>
            <w:r>
              <w:rPr>
                <w:color w:val="414042"/>
                <w:w w:val="120"/>
                <w:sz w:val="18"/>
              </w:rPr>
              <w:t>ﬁrst 2  weeks of treatment, especially with concurrent</w:t>
            </w:r>
          </w:p>
          <w:p>
            <w:pPr>
              <w:pStyle w:val="TableParagraph"/>
              <w:spacing w:line="235" w:lineRule="auto" w:before="3"/>
              <w:ind w:left="257" w:right="205"/>
              <w:rPr>
                <w:sz w:val="18"/>
              </w:rPr>
            </w:pPr>
            <w:r>
              <w:rPr>
                <w:color w:val="414042"/>
                <w:w w:val="125"/>
                <w:sz w:val="18"/>
              </w:rPr>
              <w:t>benzodiazepine or alcohol</w:t>
            </w:r>
          </w:p>
          <w:p>
            <w:pPr>
              <w:pStyle w:val="TableParagraph"/>
              <w:spacing w:line="235" w:lineRule="auto" w:before="1"/>
              <w:ind w:left="257" w:right="377"/>
              <w:rPr>
                <w:sz w:val="18"/>
              </w:rPr>
            </w:pPr>
            <w:r>
              <w:rPr>
                <w:color w:val="414042"/>
                <w:w w:val="125"/>
                <w:sz w:val="18"/>
              </w:rPr>
              <w:t>use, and after stopping the medication.</w:t>
            </w:r>
          </w:p>
        </w:tc>
        <w:tc>
          <w:tcPr>
            <w:tcW w:w="1959" w:type="dxa"/>
            <w:tcBorders>
              <w:top w:val="single" w:sz="2" w:space="0" w:color="759EB4"/>
              <w:left w:val="single" w:sz="2" w:space="0" w:color="759EB4"/>
              <w:bottom w:val="single" w:sz="24" w:space="0" w:color="367E9A"/>
              <w:right w:val="nil"/>
            </w:tcBorders>
            <w:shd w:val="clear" w:color="auto" w:fill="FFF7F2"/>
          </w:tcPr>
          <w:p>
            <w:pPr>
              <w:pStyle w:val="TableParagraph"/>
              <w:spacing w:before="90"/>
              <w:ind w:left="77"/>
              <w:rPr>
                <w:sz w:val="18"/>
              </w:rPr>
            </w:pPr>
            <w:r>
              <w:rPr>
                <w:color w:val="414042"/>
                <w:w w:val="120"/>
                <w:sz w:val="18"/>
              </w:rPr>
              <w:t>Tell patients:</w:t>
            </w:r>
          </w:p>
          <w:p>
            <w:pPr>
              <w:pStyle w:val="TableParagraph"/>
              <w:numPr>
                <w:ilvl w:val="0"/>
                <w:numId w:val="8"/>
              </w:numPr>
              <w:tabs>
                <w:tab w:pos="258" w:val="left" w:leader="none"/>
              </w:tabs>
              <w:spacing w:line="211" w:lineRule="auto" w:before="62" w:after="0"/>
              <w:ind w:left="257" w:right="113" w:hanging="180"/>
              <w:jc w:val="left"/>
              <w:rPr>
                <w:sz w:val="18"/>
              </w:rPr>
            </w:pPr>
            <w:r>
              <w:rPr>
                <w:color w:val="414042"/>
                <w:w w:val="120"/>
                <w:sz w:val="18"/>
              </w:rPr>
              <w:t>That they will need to be </w:t>
            </w:r>
            <w:r>
              <w:rPr>
                <w:color w:val="414042"/>
                <w:spacing w:val="-3"/>
                <w:w w:val="120"/>
                <w:sz w:val="18"/>
              </w:rPr>
              <w:t>opioid </w:t>
            </w:r>
            <w:r>
              <w:rPr>
                <w:color w:val="414042"/>
                <w:spacing w:val="2"/>
                <w:w w:val="120"/>
                <w:sz w:val="18"/>
              </w:rPr>
              <w:t>free </w:t>
            </w:r>
            <w:r>
              <w:rPr>
                <w:color w:val="414042"/>
                <w:w w:val="120"/>
                <w:sz w:val="18"/>
              </w:rPr>
              <w:t>for at</w:t>
            </w:r>
            <w:r>
              <w:rPr>
                <w:color w:val="414042"/>
                <w:spacing w:val="-11"/>
                <w:w w:val="120"/>
                <w:sz w:val="18"/>
              </w:rPr>
              <w:t> </w:t>
            </w:r>
            <w:r>
              <w:rPr>
                <w:color w:val="414042"/>
                <w:w w:val="120"/>
                <w:sz w:val="18"/>
              </w:rPr>
              <w:t>least</w:t>
            </w:r>
          </w:p>
          <w:p>
            <w:pPr>
              <w:pStyle w:val="TableParagraph"/>
              <w:spacing w:line="235" w:lineRule="auto" w:before="6"/>
              <w:ind w:left="257" w:right="196"/>
              <w:rPr>
                <w:sz w:val="18"/>
              </w:rPr>
            </w:pPr>
            <w:r>
              <w:rPr>
                <w:color w:val="414042"/>
                <w:w w:val="120"/>
                <w:sz w:val="18"/>
              </w:rPr>
              <w:t>7–10 days for short-acting opioids and at least 10–14 days for long-acting opioids before their ﬁrst dose to avoid </w:t>
            </w:r>
            <w:r>
              <w:rPr>
                <w:color w:val="414042"/>
                <w:spacing w:val="-5"/>
                <w:w w:val="120"/>
                <w:sz w:val="18"/>
              </w:rPr>
              <w:t>XR-NTX- </w:t>
            </w:r>
            <w:r>
              <w:rPr>
                <w:color w:val="414042"/>
                <w:w w:val="120"/>
                <w:sz w:val="18"/>
              </w:rPr>
              <w:t>precipitated</w:t>
            </w:r>
          </w:p>
          <w:p>
            <w:pPr>
              <w:pStyle w:val="TableParagraph"/>
              <w:spacing w:line="235" w:lineRule="auto" w:before="6"/>
              <w:ind w:left="257"/>
              <w:rPr>
                <w:sz w:val="18"/>
              </w:rPr>
            </w:pPr>
            <w:r>
              <w:rPr>
                <w:color w:val="414042"/>
                <w:w w:val="125"/>
                <w:sz w:val="18"/>
              </w:rPr>
              <w:t>opioid withdrawal (which may require hospitalization).</w:t>
            </w:r>
          </w:p>
          <w:p>
            <w:pPr>
              <w:pStyle w:val="TableParagraph"/>
              <w:numPr>
                <w:ilvl w:val="0"/>
                <w:numId w:val="8"/>
              </w:numPr>
              <w:tabs>
                <w:tab w:pos="258" w:val="left" w:leader="none"/>
              </w:tabs>
              <w:spacing w:line="211" w:lineRule="auto" w:before="64" w:after="0"/>
              <w:ind w:left="257" w:right="203" w:hanging="180"/>
              <w:jc w:val="left"/>
              <w:rPr>
                <w:sz w:val="18"/>
              </w:rPr>
            </w:pPr>
            <w:r>
              <w:rPr>
                <w:color w:val="414042"/>
                <w:w w:val="120"/>
                <w:sz w:val="18"/>
              </w:rPr>
              <w:t>About the risk </w:t>
            </w:r>
            <w:r>
              <w:rPr>
                <w:color w:val="414042"/>
                <w:spacing w:val="-7"/>
                <w:w w:val="120"/>
                <w:sz w:val="18"/>
              </w:rPr>
              <w:t>of </w:t>
            </w:r>
            <w:r>
              <w:rPr>
                <w:color w:val="414042"/>
                <w:w w:val="120"/>
                <w:sz w:val="18"/>
              </w:rPr>
              <w:t>overdose after stopping</w:t>
            </w:r>
            <w:r>
              <w:rPr>
                <w:color w:val="414042"/>
                <w:spacing w:val="4"/>
                <w:w w:val="120"/>
                <w:sz w:val="18"/>
              </w:rPr>
              <w:t> </w:t>
            </w:r>
            <w:r>
              <w:rPr>
                <w:color w:val="414042"/>
                <w:w w:val="120"/>
                <w:sz w:val="18"/>
              </w:rPr>
              <w:t>the</w:t>
            </w:r>
          </w:p>
          <w:p>
            <w:pPr>
              <w:pStyle w:val="TableParagraph"/>
              <w:spacing w:before="3"/>
              <w:ind w:left="257"/>
              <w:rPr>
                <w:sz w:val="18"/>
              </w:rPr>
            </w:pPr>
            <w:r>
              <w:rPr>
                <w:color w:val="414042"/>
                <w:w w:val="125"/>
                <w:sz w:val="18"/>
              </w:rPr>
              <w:t>medication.</w:t>
            </w:r>
          </w:p>
        </w:tc>
      </w:tr>
    </w:tbl>
    <w:p>
      <w:pPr>
        <w:spacing w:before="112"/>
        <w:ind w:left="294" w:right="0" w:firstLine="0"/>
        <w:jc w:val="left"/>
        <w:rPr>
          <w:rFonts w:ascii="Calibri"/>
          <w:sz w:val="16"/>
        </w:rPr>
      </w:pPr>
      <w:r>
        <w:rPr>
          <w:rFonts w:ascii="Calibri"/>
          <w:color w:val="606163"/>
          <w:w w:val="125"/>
          <w:sz w:val="16"/>
        </w:rPr>
        <w:t>Continued on next page</w:t>
      </w:r>
    </w:p>
    <w:p>
      <w:pPr>
        <w:spacing w:after="0"/>
        <w:jc w:val="left"/>
        <w:rPr>
          <w:rFonts w:ascii="Calibri"/>
          <w:sz w:val="16"/>
        </w:rPr>
        <w:sectPr>
          <w:pgSz w:w="12240" w:h="15840"/>
          <w:pgMar w:header="576" w:footer="677" w:top="1340" w:bottom="860" w:left="940" w:right="920"/>
        </w:sectPr>
      </w:pPr>
    </w:p>
    <w:p>
      <w:pPr>
        <w:pStyle w:val="BodyText"/>
        <w:spacing w:before="1"/>
        <w:rPr>
          <w:rFonts w:ascii="Calibri"/>
          <w:sz w:val="27"/>
        </w:rPr>
      </w:pPr>
      <w:r>
        <w:rPr/>
        <w:pict>
          <v:group style="position:absolute;margin-left:54pt;margin-top:83.675003pt;width:504.05pt;height:655pt;mso-position-horizontal-relative:page;mso-position-vertical-relative:page;z-index:-19580928" coordorigin="1080,1674" coordsize="10081,13100">
            <v:rect style="position:absolute;left:1085;top:1678;width:10071;height:13090" filled="true" fillcolor="#fff7f2" stroked="false">
              <v:fill type="solid"/>
            </v:rect>
            <v:rect style="position:absolute;left:1085;top:1678;width:10071;height:13090" filled="false" stroked="true" strokeweight=".5pt" strokecolor="#88aabd">
              <v:stroke dashstyle="solid"/>
            </v:rect>
            <w10:wrap type="none"/>
          </v:group>
        </w:pict>
      </w:r>
    </w:p>
    <w:p>
      <w:pPr>
        <w:spacing w:before="136"/>
        <w:ind w:left="294" w:right="0" w:firstLine="0"/>
        <w:jc w:val="left"/>
        <w:rPr>
          <w:rFonts w:ascii="Arial"/>
          <w:b/>
          <w:sz w:val="20"/>
        </w:rPr>
      </w:pPr>
      <w:r>
        <w:rPr>
          <w:rFonts w:ascii="Arial"/>
          <w:b/>
          <w:color w:val="137692"/>
          <w:w w:val="110"/>
          <w:sz w:val="26"/>
        </w:rPr>
        <w:t>EXHIBIT 3A.1. OUD Medications: An Overview</w:t>
      </w:r>
      <w:r>
        <w:rPr>
          <w:rFonts w:ascii="Arial"/>
          <w:b/>
          <w:color w:val="137692"/>
          <w:spacing w:val="-53"/>
          <w:w w:val="110"/>
          <w:sz w:val="26"/>
        </w:rPr>
        <w:t> </w:t>
      </w:r>
      <w:r>
        <w:rPr>
          <w:rFonts w:ascii="Arial"/>
          <w:b/>
          <w:color w:val="137692"/>
          <w:w w:val="110"/>
          <w:sz w:val="20"/>
        </w:rPr>
        <w:t>(continued)</w:t>
      </w:r>
    </w:p>
    <w:p>
      <w:pPr>
        <w:pStyle w:val="BodyText"/>
        <w:spacing w:before="2"/>
        <w:rPr>
          <w:rFonts w:ascii="Arial"/>
          <w:b/>
          <w:sz w:val="15"/>
        </w:rPr>
      </w:pPr>
    </w:p>
    <w:tbl>
      <w:tblPr>
        <w:tblW w:w="0" w:type="auto"/>
        <w:jc w:val="left"/>
        <w:tblInd w:w="301" w:type="dxa"/>
        <w:tblBorders>
          <w:top w:val="single" w:sz="2" w:space="0" w:color="137692"/>
          <w:left w:val="single" w:sz="2" w:space="0" w:color="137692"/>
          <w:bottom w:val="single" w:sz="2" w:space="0" w:color="137692"/>
          <w:right w:val="single" w:sz="2" w:space="0" w:color="137692"/>
          <w:insideH w:val="single" w:sz="2" w:space="0" w:color="137692"/>
          <w:insideV w:val="single" w:sz="2" w:space="0" w:color="137692"/>
        </w:tblBorders>
        <w:tblLayout w:type="fixed"/>
        <w:tblCellMar>
          <w:top w:w="0" w:type="dxa"/>
          <w:left w:w="0" w:type="dxa"/>
          <w:bottom w:w="0" w:type="dxa"/>
          <w:right w:w="0" w:type="dxa"/>
        </w:tblCellMar>
        <w:tblLook w:val="01E0"/>
      </w:tblPr>
      <w:tblGrid>
        <w:gridCol w:w="1538"/>
        <w:gridCol w:w="1908"/>
        <w:gridCol w:w="2592"/>
        <w:gridCol w:w="1778"/>
        <w:gridCol w:w="1955"/>
      </w:tblGrid>
      <w:tr>
        <w:trPr>
          <w:trHeight w:val="398" w:hRule="atLeast"/>
        </w:trPr>
        <w:tc>
          <w:tcPr>
            <w:tcW w:w="1538" w:type="dxa"/>
            <w:tcBorders>
              <w:left w:val="nil"/>
              <w:bottom w:val="single" w:sz="2" w:space="0" w:color="759EB4"/>
              <w:right w:val="single" w:sz="4" w:space="0" w:color="759EB4"/>
            </w:tcBorders>
            <w:shd w:val="clear" w:color="auto" w:fill="377F9A"/>
          </w:tcPr>
          <w:p>
            <w:pPr>
              <w:pStyle w:val="TableParagraph"/>
              <w:spacing w:before="97"/>
              <w:ind w:left="80"/>
              <w:rPr>
                <w:rFonts w:ascii="Arial"/>
                <w:b/>
                <w:sz w:val="17"/>
              </w:rPr>
            </w:pPr>
            <w:r>
              <w:rPr>
                <w:rFonts w:ascii="Arial"/>
                <w:b/>
                <w:color w:val="FFFFFF"/>
                <w:w w:val="105"/>
                <w:sz w:val="17"/>
              </w:rPr>
              <w:t>CATEGORY</w:t>
            </w:r>
          </w:p>
        </w:tc>
        <w:tc>
          <w:tcPr>
            <w:tcW w:w="4500" w:type="dxa"/>
            <w:gridSpan w:val="2"/>
            <w:tcBorders>
              <w:left w:val="single" w:sz="4" w:space="0" w:color="759EB4"/>
              <w:bottom w:val="single" w:sz="2" w:space="0" w:color="759EB4"/>
              <w:right w:val="single" w:sz="4" w:space="0" w:color="759EB4"/>
            </w:tcBorders>
            <w:shd w:val="clear" w:color="auto" w:fill="377F9A"/>
          </w:tcPr>
          <w:p>
            <w:pPr>
              <w:pStyle w:val="TableParagraph"/>
              <w:spacing w:before="97"/>
              <w:ind w:left="1395"/>
              <w:rPr>
                <w:rFonts w:ascii="Arial"/>
                <w:b/>
                <w:sz w:val="17"/>
              </w:rPr>
            </w:pPr>
            <w:r>
              <w:rPr>
                <w:rFonts w:ascii="Arial"/>
                <w:b/>
                <w:color w:val="FFFFFF"/>
                <w:w w:val="110"/>
                <w:sz w:val="17"/>
              </w:rPr>
              <w:t>BUPRENORPHINE*</w:t>
            </w:r>
          </w:p>
        </w:tc>
        <w:tc>
          <w:tcPr>
            <w:tcW w:w="1778" w:type="dxa"/>
            <w:tcBorders>
              <w:left w:val="single" w:sz="4" w:space="0" w:color="759EB4"/>
              <w:bottom w:val="single" w:sz="2" w:space="0" w:color="759EB4"/>
              <w:right w:val="single" w:sz="4" w:space="0" w:color="759EB4"/>
            </w:tcBorders>
            <w:shd w:val="clear" w:color="auto" w:fill="377F9A"/>
          </w:tcPr>
          <w:p>
            <w:pPr>
              <w:pStyle w:val="TableParagraph"/>
              <w:spacing w:before="97"/>
              <w:ind w:left="281"/>
              <w:rPr>
                <w:rFonts w:ascii="Arial"/>
                <w:b/>
                <w:sz w:val="17"/>
              </w:rPr>
            </w:pPr>
            <w:r>
              <w:rPr>
                <w:rFonts w:ascii="Arial"/>
                <w:b/>
                <w:color w:val="FFFFFF"/>
                <w:w w:val="110"/>
                <w:sz w:val="17"/>
              </w:rPr>
              <w:t>METHADONE</w:t>
            </w:r>
          </w:p>
        </w:tc>
        <w:tc>
          <w:tcPr>
            <w:tcW w:w="1955" w:type="dxa"/>
            <w:tcBorders>
              <w:left w:val="single" w:sz="4" w:space="0" w:color="759EB4"/>
              <w:bottom w:val="single" w:sz="2" w:space="0" w:color="759EB4"/>
              <w:right w:val="nil"/>
            </w:tcBorders>
            <w:shd w:val="clear" w:color="auto" w:fill="377F9A"/>
          </w:tcPr>
          <w:p>
            <w:pPr>
              <w:pStyle w:val="TableParagraph"/>
              <w:spacing w:before="97"/>
              <w:ind w:left="551"/>
              <w:rPr>
                <w:rFonts w:ascii="Arial"/>
                <w:b/>
                <w:sz w:val="17"/>
              </w:rPr>
            </w:pPr>
            <w:r>
              <w:rPr>
                <w:rFonts w:ascii="Arial"/>
                <w:b/>
                <w:color w:val="FFFFFF"/>
                <w:w w:val="110"/>
                <w:sz w:val="17"/>
              </w:rPr>
              <w:t>XR-NTX**</w:t>
            </w:r>
          </w:p>
        </w:tc>
      </w:tr>
      <w:tr>
        <w:trPr>
          <w:trHeight w:val="398" w:hRule="atLeast"/>
        </w:trPr>
        <w:tc>
          <w:tcPr>
            <w:tcW w:w="1538" w:type="dxa"/>
            <w:tcBorders>
              <w:top w:val="single" w:sz="2" w:space="0" w:color="759EB4"/>
              <w:left w:val="nil"/>
              <w:bottom w:val="single" w:sz="2" w:space="0" w:color="759EB4"/>
              <w:right w:val="single" w:sz="4" w:space="0" w:color="759EB4"/>
            </w:tcBorders>
            <w:shd w:val="clear" w:color="auto" w:fill="377F9A"/>
          </w:tcPr>
          <w:p>
            <w:pPr>
              <w:pStyle w:val="TableParagraph"/>
              <w:rPr>
                <w:rFonts w:ascii="Times New Roman"/>
                <w:sz w:val="16"/>
              </w:rPr>
            </w:pPr>
          </w:p>
        </w:tc>
        <w:tc>
          <w:tcPr>
            <w:tcW w:w="1908" w:type="dxa"/>
            <w:tcBorders>
              <w:top w:val="single" w:sz="2" w:space="0" w:color="759EB4"/>
              <w:left w:val="single" w:sz="4" w:space="0" w:color="759EB4"/>
              <w:bottom w:val="single" w:sz="2" w:space="0" w:color="759EB4"/>
              <w:right w:val="single" w:sz="4" w:space="0" w:color="759EB4"/>
            </w:tcBorders>
            <w:shd w:val="clear" w:color="auto" w:fill="377F9A"/>
          </w:tcPr>
          <w:p>
            <w:pPr>
              <w:pStyle w:val="TableParagraph"/>
              <w:spacing w:before="97"/>
              <w:ind w:left="181"/>
              <w:rPr>
                <w:rFonts w:ascii="Arial"/>
                <w:b/>
                <w:sz w:val="17"/>
              </w:rPr>
            </w:pPr>
            <w:r>
              <w:rPr>
                <w:rFonts w:ascii="Arial"/>
                <w:b/>
                <w:color w:val="FFFFFF"/>
                <w:w w:val="110"/>
                <w:sz w:val="17"/>
              </w:rPr>
              <w:t>TRANSMUCOSAL</w:t>
            </w:r>
          </w:p>
        </w:tc>
        <w:tc>
          <w:tcPr>
            <w:tcW w:w="2592" w:type="dxa"/>
            <w:tcBorders>
              <w:top w:val="single" w:sz="2" w:space="0" w:color="759EB4"/>
              <w:left w:val="single" w:sz="4" w:space="0" w:color="759EB4"/>
              <w:bottom w:val="single" w:sz="2" w:space="0" w:color="759EB4"/>
              <w:right w:val="single" w:sz="4" w:space="0" w:color="759EB4"/>
            </w:tcBorders>
            <w:shd w:val="clear" w:color="auto" w:fill="377F9A"/>
          </w:tcPr>
          <w:p>
            <w:pPr>
              <w:pStyle w:val="TableParagraph"/>
              <w:spacing w:before="97"/>
              <w:ind w:left="948" w:right="948"/>
              <w:jc w:val="center"/>
              <w:rPr>
                <w:rFonts w:ascii="Arial"/>
                <w:b/>
                <w:sz w:val="17"/>
              </w:rPr>
            </w:pPr>
            <w:r>
              <w:rPr>
                <w:rFonts w:ascii="Arial"/>
                <w:b/>
                <w:color w:val="FFFFFF"/>
                <w:w w:val="110"/>
                <w:sz w:val="17"/>
              </w:rPr>
              <w:t>DEPOT</w:t>
            </w:r>
          </w:p>
        </w:tc>
        <w:tc>
          <w:tcPr>
            <w:tcW w:w="1778" w:type="dxa"/>
            <w:tcBorders>
              <w:top w:val="single" w:sz="2" w:space="0" w:color="759EB4"/>
              <w:left w:val="single" w:sz="4" w:space="0" w:color="759EB4"/>
              <w:bottom w:val="single" w:sz="2" w:space="0" w:color="759EB4"/>
              <w:right w:val="single" w:sz="4" w:space="0" w:color="759EB4"/>
            </w:tcBorders>
            <w:shd w:val="clear" w:color="auto" w:fill="377F9A"/>
          </w:tcPr>
          <w:p>
            <w:pPr>
              <w:pStyle w:val="TableParagraph"/>
              <w:rPr>
                <w:rFonts w:ascii="Times New Roman"/>
                <w:sz w:val="16"/>
              </w:rPr>
            </w:pPr>
          </w:p>
        </w:tc>
        <w:tc>
          <w:tcPr>
            <w:tcW w:w="1955" w:type="dxa"/>
            <w:tcBorders>
              <w:top w:val="single" w:sz="2" w:space="0" w:color="759EB4"/>
              <w:left w:val="single" w:sz="4" w:space="0" w:color="759EB4"/>
              <w:bottom w:val="single" w:sz="2" w:space="0" w:color="759EB4"/>
              <w:right w:val="nil"/>
            </w:tcBorders>
            <w:shd w:val="clear" w:color="auto" w:fill="377F9A"/>
          </w:tcPr>
          <w:p>
            <w:pPr>
              <w:pStyle w:val="TableParagraph"/>
              <w:rPr>
                <w:rFonts w:ascii="Times New Roman"/>
                <w:sz w:val="16"/>
              </w:rPr>
            </w:pPr>
          </w:p>
        </w:tc>
      </w:tr>
      <w:tr>
        <w:trPr>
          <w:trHeight w:val="4507" w:hRule="atLeast"/>
        </w:trPr>
        <w:tc>
          <w:tcPr>
            <w:tcW w:w="153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80"/>
              <w:rPr>
                <w:rFonts w:ascii="Arial"/>
                <w:b/>
                <w:sz w:val="18"/>
              </w:rPr>
            </w:pPr>
            <w:r>
              <w:rPr>
                <w:rFonts w:ascii="Arial"/>
                <w:b/>
                <w:color w:val="231F20"/>
                <w:w w:val="110"/>
                <w:sz w:val="18"/>
              </w:rPr>
              <w:t>Administration</w:t>
            </w:r>
          </w:p>
        </w:tc>
        <w:tc>
          <w:tcPr>
            <w:tcW w:w="190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7" w:right="239"/>
              <w:rPr>
                <w:sz w:val="18"/>
              </w:rPr>
            </w:pPr>
            <w:r>
              <w:rPr>
                <w:color w:val="414142"/>
                <w:w w:val="125"/>
                <w:sz w:val="18"/>
              </w:rPr>
              <w:t>Daily (or off-label less-than-daily dosing regimens) administration</w:t>
            </w:r>
          </w:p>
          <w:p>
            <w:pPr>
              <w:pStyle w:val="TableParagraph"/>
              <w:spacing w:line="235" w:lineRule="auto" w:before="3"/>
              <w:ind w:left="77" w:right="163"/>
              <w:rPr>
                <w:sz w:val="18"/>
              </w:rPr>
            </w:pPr>
            <w:r>
              <w:rPr>
                <w:color w:val="414142"/>
                <w:w w:val="125"/>
                <w:sz w:val="18"/>
              </w:rPr>
              <w:t>of sublingual or buccal tablet or ﬁlm. Subdermal implants every 6 months, for up to </w:t>
            </w:r>
            <w:r>
              <w:rPr>
                <w:color w:val="414142"/>
                <w:sz w:val="18"/>
              </w:rPr>
              <w:t>1 </w:t>
            </w:r>
            <w:r>
              <w:rPr>
                <w:color w:val="414142"/>
                <w:w w:val="125"/>
                <w:sz w:val="18"/>
              </w:rPr>
              <w:t>year, for stable patients. Monthly subcutaneous injection of extended-release formulation in abdominal region</w:t>
            </w:r>
          </w:p>
          <w:p>
            <w:pPr>
              <w:pStyle w:val="TableParagraph"/>
              <w:spacing w:line="235" w:lineRule="auto" w:before="8"/>
              <w:ind w:left="77" w:right="84"/>
              <w:rPr>
                <w:sz w:val="18"/>
              </w:rPr>
            </w:pPr>
            <w:r>
              <w:rPr>
                <w:color w:val="414142"/>
                <w:w w:val="120"/>
                <w:sz w:val="18"/>
              </w:rPr>
              <w:t>for patients treated with transmucosal buprenorphine for at least </w:t>
            </w:r>
            <w:r>
              <w:rPr>
                <w:color w:val="414142"/>
                <w:sz w:val="18"/>
              </w:rPr>
              <w:t>1 </w:t>
            </w:r>
            <w:r>
              <w:rPr>
                <w:color w:val="414142"/>
                <w:w w:val="120"/>
                <w:sz w:val="18"/>
              </w:rPr>
              <w:t>week.</w:t>
            </w:r>
          </w:p>
        </w:tc>
        <w:tc>
          <w:tcPr>
            <w:tcW w:w="2592"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49" w:lineRule="auto" w:before="93"/>
              <w:ind w:left="77" w:right="441"/>
              <w:rPr>
                <w:rFonts w:ascii="Arial"/>
                <w:b/>
                <w:sz w:val="18"/>
              </w:rPr>
            </w:pPr>
            <w:r>
              <w:rPr>
                <w:rFonts w:ascii="Arial"/>
                <w:b/>
                <w:color w:val="414142"/>
                <w:w w:val="110"/>
                <w:sz w:val="18"/>
              </w:rPr>
              <w:t>Subdermal implants every 6 months, for up</w:t>
            </w:r>
            <w:r>
              <w:rPr>
                <w:rFonts w:ascii="Arial"/>
                <w:b/>
                <w:color w:val="414142"/>
                <w:spacing w:val="-11"/>
                <w:w w:val="110"/>
                <w:sz w:val="18"/>
              </w:rPr>
              <w:t> </w:t>
            </w:r>
            <w:r>
              <w:rPr>
                <w:rFonts w:ascii="Arial"/>
                <w:b/>
                <w:color w:val="414142"/>
                <w:w w:val="110"/>
                <w:sz w:val="18"/>
              </w:rPr>
              <w:t>to</w:t>
            </w:r>
            <w:r>
              <w:rPr>
                <w:rFonts w:ascii="Arial"/>
                <w:b/>
                <w:color w:val="414142"/>
                <w:spacing w:val="-10"/>
                <w:w w:val="110"/>
                <w:sz w:val="18"/>
              </w:rPr>
              <w:t> </w:t>
            </w:r>
            <w:r>
              <w:rPr>
                <w:rFonts w:ascii="Arial"/>
                <w:b/>
                <w:color w:val="414142"/>
                <w:sz w:val="18"/>
              </w:rPr>
              <w:t>1</w:t>
            </w:r>
            <w:r>
              <w:rPr>
                <w:rFonts w:ascii="Arial"/>
                <w:b/>
                <w:color w:val="414142"/>
                <w:spacing w:val="-6"/>
                <w:sz w:val="18"/>
              </w:rPr>
              <w:t> </w:t>
            </w:r>
            <w:r>
              <w:rPr>
                <w:rFonts w:ascii="Arial"/>
                <w:b/>
                <w:color w:val="414142"/>
                <w:w w:val="110"/>
                <w:sz w:val="18"/>
              </w:rPr>
              <w:t>year,</w:t>
            </w:r>
            <w:r>
              <w:rPr>
                <w:rFonts w:ascii="Arial"/>
                <w:b/>
                <w:color w:val="414142"/>
                <w:spacing w:val="-10"/>
                <w:w w:val="110"/>
                <w:sz w:val="18"/>
              </w:rPr>
              <w:t> </w:t>
            </w:r>
            <w:r>
              <w:rPr>
                <w:rFonts w:ascii="Arial"/>
                <w:b/>
                <w:color w:val="414142"/>
                <w:w w:val="110"/>
                <w:sz w:val="18"/>
              </w:rPr>
              <w:t>for</w:t>
            </w:r>
            <w:r>
              <w:rPr>
                <w:rFonts w:ascii="Arial"/>
                <w:b/>
                <w:color w:val="414142"/>
                <w:spacing w:val="-10"/>
                <w:w w:val="110"/>
                <w:sz w:val="18"/>
              </w:rPr>
              <w:t> </w:t>
            </w:r>
            <w:r>
              <w:rPr>
                <w:rFonts w:ascii="Arial"/>
                <w:b/>
                <w:color w:val="414142"/>
                <w:w w:val="110"/>
                <w:sz w:val="18"/>
              </w:rPr>
              <w:t>stable patients.</w:t>
            </w:r>
          </w:p>
          <w:p>
            <w:pPr>
              <w:pStyle w:val="TableParagraph"/>
              <w:spacing w:line="249" w:lineRule="auto" w:before="93"/>
              <w:ind w:left="77" w:right="333"/>
              <w:rPr>
                <w:rFonts w:ascii="Arial"/>
                <w:b/>
                <w:sz w:val="18"/>
              </w:rPr>
            </w:pPr>
            <w:r>
              <w:rPr>
                <w:rFonts w:ascii="Arial"/>
                <w:b/>
                <w:color w:val="414142"/>
                <w:w w:val="110"/>
                <w:sz w:val="18"/>
              </w:rPr>
              <w:t>Monthly subcutaneous injection of extended- release formulation</w:t>
            </w:r>
          </w:p>
          <w:p>
            <w:pPr>
              <w:pStyle w:val="TableParagraph"/>
              <w:spacing w:line="249" w:lineRule="auto" w:before="2"/>
              <w:ind w:left="77" w:right="612"/>
              <w:rPr>
                <w:rFonts w:ascii="Arial"/>
                <w:b/>
                <w:sz w:val="18"/>
              </w:rPr>
            </w:pPr>
            <w:r>
              <w:rPr>
                <w:rFonts w:ascii="Arial"/>
                <w:b/>
                <w:color w:val="414142"/>
                <w:w w:val="110"/>
                <w:sz w:val="18"/>
              </w:rPr>
              <w:t>in abdominal </w:t>
            </w:r>
            <w:r>
              <w:rPr>
                <w:rFonts w:ascii="Arial"/>
                <w:b/>
                <w:color w:val="414142"/>
                <w:spacing w:val="-4"/>
                <w:w w:val="110"/>
                <w:sz w:val="18"/>
              </w:rPr>
              <w:t>region </w:t>
            </w:r>
            <w:r>
              <w:rPr>
                <w:rFonts w:ascii="Arial"/>
                <w:b/>
                <w:color w:val="414142"/>
                <w:w w:val="110"/>
                <w:sz w:val="18"/>
              </w:rPr>
              <w:t>for patients treated with transmucosal buprenorphine for at least </w:t>
            </w:r>
            <w:r>
              <w:rPr>
                <w:rFonts w:ascii="Arial"/>
                <w:b/>
                <w:color w:val="414142"/>
                <w:sz w:val="18"/>
              </w:rPr>
              <w:t>1</w:t>
            </w:r>
            <w:r>
              <w:rPr>
                <w:rFonts w:ascii="Arial"/>
                <w:b/>
                <w:color w:val="414142"/>
                <w:spacing w:val="-10"/>
                <w:sz w:val="18"/>
              </w:rPr>
              <w:t> </w:t>
            </w:r>
            <w:r>
              <w:rPr>
                <w:rFonts w:ascii="Arial"/>
                <w:b/>
                <w:color w:val="414142"/>
                <w:w w:val="110"/>
                <w:sz w:val="18"/>
              </w:rPr>
              <w:t>week.</w:t>
            </w:r>
          </w:p>
        </w:tc>
        <w:tc>
          <w:tcPr>
            <w:tcW w:w="177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7" w:right="138"/>
              <w:rPr>
                <w:sz w:val="18"/>
              </w:rPr>
            </w:pPr>
            <w:r>
              <w:rPr>
                <w:color w:val="414142"/>
                <w:w w:val="120"/>
                <w:sz w:val="18"/>
              </w:rPr>
              <w:t>Daily oral administration  as liquid concentrate, tablet, or oral solution </w:t>
            </w:r>
            <w:r>
              <w:rPr>
                <w:color w:val="414142"/>
                <w:spacing w:val="2"/>
                <w:w w:val="120"/>
                <w:sz w:val="18"/>
              </w:rPr>
              <w:t>from </w:t>
            </w:r>
            <w:r>
              <w:rPr>
                <w:color w:val="414142"/>
                <w:w w:val="120"/>
                <w:sz w:val="18"/>
              </w:rPr>
              <w:t>dispersible</w:t>
            </w:r>
            <w:r>
              <w:rPr>
                <w:color w:val="414142"/>
                <w:spacing w:val="16"/>
                <w:w w:val="120"/>
                <w:sz w:val="18"/>
              </w:rPr>
              <w:t> </w:t>
            </w:r>
            <w:r>
              <w:rPr>
                <w:color w:val="414142"/>
                <w:w w:val="120"/>
                <w:sz w:val="18"/>
              </w:rPr>
              <w:t>tablet</w:t>
            </w:r>
          </w:p>
          <w:p>
            <w:pPr>
              <w:pStyle w:val="TableParagraph"/>
              <w:spacing w:line="235" w:lineRule="auto" w:before="5"/>
              <w:ind w:left="77" w:right="88"/>
              <w:jc w:val="both"/>
              <w:rPr>
                <w:sz w:val="18"/>
              </w:rPr>
            </w:pPr>
            <w:r>
              <w:rPr>
                <w:color w:val="414142"/>
                <w:w w:val="125"/>
                <w:sz w:val="18"/>
              </w:rPr>
              <w:t>or powder</w:t>
            </w:r>
            <w:r>
              <w:rPr>
                <w:color w:val="414142"/>
                <w:spacing w:val="-35"/>
                <w:w w:val="125"/>
                <w:sz w:val="18"/>
              </w:rPr>
              <w:t> </w:t>
            </w:r>
            <w:r>
              <w:rPr>
                <w:color w:val="414142"/>
                <w:spacing w:val="-3"/>
                <w:w w:val="125"/>
                <w:sz w:val="18"/>
              </w:rPr>
              <w:t>(unless </w:t>
            </w:r>
            <w:r>
              <w:rPr>
                <w:color w:val="414142"/>
                <w:w w:val="125"/>
                <w:sz w:val="18"/>
              </w:rPr>
              <w:t>patients can take some</w:t>
            </w:r>
            <w:r>
              <w:rPr>
                <w:color w:val="414142"/>
                <w:spacing w:val="-7"/>
                <w:w w:val="125"/>
                <w:sz w:val="18"/>
              </w:rPr>
              <w:t> </w:t>
            </w:r>
            <w:r>
              <w:rPr>
                <w:color w:val="414142"/>
                <w:w w:val="125"/>
                <w:sz w:val="18"/>
              </w:rPr>
              <w:t>home).</w:t>
            </w:r>
          </w:p>
        </w:tc>
        <w:tc>
          <w:tcPr>
            <w:tcW w:w="1955"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7" w:right="323"/>
              <w:rPr>
                <w:sz w:val="18"/>
              </w:rPr>
            </w:pPr>
            <w:r>
              <w:rPr>
                <w:color w:val="414142"/>
                <w:w w:val="125"/>
                <w:sz w:val="18"/>
              </w:rPr>
              <w:t>Every 4 weeks or once-per-month intramuscular injection.</w:t>
            </w:r>
          </w:p>
        </w:tc>
      </w:tr>
      <w:tr>
        <w:trPr>
          <w:trHeight w:val="5391" w:hRule="atLeast"/>
        </w:trPr>
        <w:tc>
          <w:tcPr>
            <w:tcW w:w="1538"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80"/>
              <w:rPr>
                <w:rFonts w:ascii="Arial"/>
                <w:b/>
                <w:sz w:val="18"/>
              </w:rPr>
            </w:pPr>
            <w:r>
              <w:rPr>
                <w:rFonts w:ascii="Arial"/>
                <w:b/>
                <w:color w:val="231F20"/>
                <w:w w:val="110"/>
                <w:sz w:val="18"/>
              </w:rPr>
              <w:t>Prescribing</w:t>
            </w:r>
          </w:p>
        </w:tc>
        <w:tc>
          <w:tcPr>
            <w:tcW w:w="1908"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77" w:right="84"/>
              <w:rPr>
                <w:sz w:val="18"/>
              </w:rPr>
            </w:pPr>
            <w:r>
              <w:rPr>
                <w:color w:val="414142"/>
                <w:w w:val="120"/>
                <w:sz w:val="18"/>
              </w:rPr>
              <w:t>Physicians, nurse practitioners (NPs), and physician assistants (PAs) need a waiver to prescribe. Until October </w:t>
            </w:r>
            <w:r>
              <w:rPr>
                <w:color w:val="414142"/>
                <w:w w:val="105"/>
                <w:sz w:val="18"/>
              </w:rPr>
              <w:t>1, </w:t>
            </w:r>
            <w:r>
              <w:rPr>
                <w:color w:val="414142"/>
                <w:w w:val="120"/>
                <w:sz w:val="18"/>
              </w:rPr>
              <w:t>2023, qualiﬁed clinical nurse specialists, certiﬁed registered nurse anesthetists, and certiﬁed nurse midwives also can obtain a waiver</w:t>
            </w:r>
          </w:p>
          <w:p>
            <w:pPr>
              <w:pStyle w:val="TableParagraph"/>
              <w:spacing w:line="235" w:lineRule="auto" w:before="10"/>
              <w:ind w:left="77" w:right="314"/>
              <w:rPr>
                <w:sz w:val="18"/>
              </w:rPr>
            </w:pPr>
            <w:r>
              <w:rPr>
                <w:color w:val="414142"/>
                <w:w w:val="125"/>
                <w:sz w:val="18"/>
              </w:rPr>
              <w:t>to</w:t>
            </w:r>
            <w:r>
              <w:rPr>
                <w:color w:val="414142"/>
                <w:spacing w:val="-26"/>
                <w:w w:val="125"/>
                <w:sz w:val="18"/>
              </w:rPr>
              <w:t> </w:t>
            </w:r>
            <w:r>
              <w:rPr>
                <w:color w:val="414142"/>
                <w:w w:val="125"/>
                <w:sz w:val="18"/>
              </w:rPr>
              <w:t>prescribe.</w:t>
            </w:r>
            <w:r>
              <w:rPr>
                <w:color w:val="414142"/>
                <w:spacing w:val="-25"/>
                <w:w w:val="125"/>
                <w:sz w:val="18"/>
              </w:rPr>
              <w:t> </w:t>
            </w:r>
            <w:r>
              <w:rPr>
                <w:color w:val="414142"/>
                <w:w w:val="125"/>
                <w:sz w:val="18"/>
              </w:rPr>
              <w:t>Any pharmacy can ﬁll a </w:t>
            </w:r>
            <w:r>
              <w:rPr>
                <w:color w:val="414142"/>
                <w:spacing w:val="-3"/>
                <w:w w:val="125"/>
                <w:sz w:val="18"/>
              </w:rPr>
              <w:t>prescription </w:t>
            </w:r>
            <w:r>
              <w:rPr>
                <w:color w:val="414142"/>
                <w:w w:val="125"/>
                <w:sz w:val="18"/>
              </w:rPr>
              <w:t>for</w:t>
            </w:r>
            <w:r>
              <w:rPr>
                <w:color w:val="414142"/>
                <w:spacing w:val="-5"/>
                <w:w w:val="125"/>
                <w:sz w:val="18"/>
              </w:rPr>
              <w:t> </w:t>
            </w:r>
            <w:r>
              <w:rPr>
                <w:color w:val="414142"/>
                <w:w w:val="125"/>
                <w:sz w:val="18"/>
              </w:rPr>
              <w:t>sublingual</w:t>
            </w:r>
          </w:p>
          <w:p>
            <w:pPr>
              <w:pStyle w:val="TableParagraph"/>
              <w:spacing w:line="235" w:lineRule="auto" w:before="3"/>
              <w:ind w:left="77" w:right="84"/>
              <w:rPr>
                <w:sz w:val="18"/>
              </w:rPr>
            </w:pPr>
            <w:r>
              <w:rPr>
                <w:color w:val="414142"/>
                <w:w w:val="120"/>
                <w:sz w:val="18"/>
              </w:rPr>
              <w:t>or buccal formulations. OTPs can administer/ dispense by OTP physician order without a waiver.</w:t>
            </w:r>
          </w:p>
        </w:tc>
        <w:tc>
          <w:tcPr>
            <w:tcW w:w="2592"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77" w:right="984"/>
              <w:jc w:val="both"/>
              <w:rPr>
                <w:sz w:val="18"/>
              </w:rPr>
            </w:pPr>
            <w:r>
              <w:rPr>
                <w:color w:val="414142"/>
                <w:w w:val="125"/>
                <w:sz w:val="18"/>
              </w:rPr>
              <w:t>Prescribers</w:t>
            </w:r>
            <w:r>
              <w:rPr>
                <w:color w:val="414142"/>
                <w:spacing w:val="-15"/>
                <w:w w:val="125"/>
                <w:sz w:val="18"/>
              </w:rPr>
              <w:t> </w:t>
            </w:r>
            <w:r>
              <w:rPr>
                <w:color w:val="414142"/>
                <w:w w:val="125"/>
                <w:sz w:val="18"/>
              </w:rPr>
              <w:t>must have</w:t>
            </w:r>
            <w:r>
              <w:rPr>
                <w:color w:val="414142"/>
                <w:spacing w:val="-20"/>
                <w:w w:val="125"/>
                <w:sz w:val="18"/>
              </w:rPr>
              <w:t> </w:t>
            </w:r>
            <w:r>
              <w:rPr>
                <w:color w:val="414142"/>
                <w:w w:val="125"/>
                <w:sz w:val="18"/>
              </w:rPr>
              <w:t>a</w:t>
            </w:r>
            <w:r>
              <w:rPr>
                <w:color w:val="414142"/>
                <w:spacing w:val="-19"/>
                <w:w w:val="125"/>
                <w:sz w:val="18"/>
              </w:rPr>
              <w:t> </w:t>
            </w:r>
            <w:r>
              <w:rPr>
                <w:color w:val="414142"/>
                <w:w w:val="125"/>
                <w:sz w:val="18"/>
              </w:rPr>
              <w:t>waiver</w:t>
            </w:r>
            <w:r>
              <w:rPr>
                <w:color w:val="414142"/>
                <w:spacing w:val="-20"/>
                <w:w w:val="125"/>
                <w:sz w:val="18"/>
              </w:rPr>
              <w:t> </w:t>
            </w:r>
            <w:r>
              <w:rPr>
                <w:color w:val="414142"/>
                <w:w w:val="125"/>
                <w:sz w:val="18"/>
              </w:rPr>
              <w:t>(as for</w:t>
            </w:r>
            <w:r>
              <w:rPr>
                <w:color w:val="414142"/>
                <w:spacing w:val="-28"/>
                <w:w w:val="125"/>
                <w:sz w:val="18"/>
              </w:rPr>
              <w:t> </w:t>
            </w:r>
            <w:r>
              <w:rPr>
                <w:color w:val="414142"/>
                <w:w w:val="125"/>
                <w:sz w:val="18"/>
              </w:rPr>
              <w:t>transmucosal</w:t>
            </w:r>
          </w:p>
          <w:p>
            <w:pPr>
              <w:pStyle w:val="TableParagraph"/>
              <w:spacing w:line="235" w:lineRule="auto" w:before="2"/>
              <w:ind w:left="77" w:right="333"/>
              <w:rPr>
                <w:sz w:val="18"/>
              </w:rPr>
            </w:pPr>
            <w:r>
              <w:rPr>
                <w:color w:val="414142"/>
                <w:w w:val="125"/>
                <w:sz w:val="18"/>
              </w:rPr>
              <w:t>buprenorphine) and complete the product’s REMS program.</w:t>
            </w:r>
          </w:p>
          <w:p>
            <w:pPr>
              <w:pStyle w:val="TableParagraph"/>
              <w:spacing w:line="235" w:lineRule="auto" w:before="92"/>
              <w:ind w:left="77" w:right="26"/>
              <w:rPr>
                <w:sz w:val="18"/>
              </w:rPr>
            </w:pPr>
            <w:r>
              <w:rPr>
                <w:color w:val="414142"/>
                <w:w w:val="125"/>
                <w:sz w:val="18"/>
              </w:rPr>
              <w:t>Providers of the implantable rods must complete additional training in their insertion and removal.</w:t>
            </w:r>
          </w:p>
          <w:p>
            <w:pPr>
              <w:pStyle w:val="TableParagraph"/>
              <w:spacing w:line="235" w:lineRule="auto" w:before="94"/>
              <w:ind w:left="77" w:right="26"/>
              <w:rPr>
                <w:sz w:val="18"/>
              </w:rPr>
            </w:pPr>
            <w:r>
              <w:rPr>
                <w:color w:val="414142"/>
                <w:w w:val="125"/>
                <w:sz w:val="18"/>
              </w:rPr>
              <w:t>Both the implantable rods and subdermal injections are available via restricted distribution programs and are not available in retail pharmacies.</w:t>
            </w:r>
          </w:p>
          <w:p>
            <w:pPr>
              <w:pStyle w:val="TableParagraph"/>
              <w:spacing w:line="235" w:lineRule="auto" w:before="94"/>
              <w:ind w:left="77" w:right="319"/>
              <w:rPr>
                <w:sz w:val="18"/>
              </w:rPr>
            </w:pPr>
            <w:r>
              <w:rPr>
                <w:color w:val="414142"/>
                <w:w w:val="125"/>
                <w:sz w:val="18"/>
              </w:rPr>
              <w:t>OTPs can be providers of</w:t>
            </w:r>
            <w:r>
              <w:rPr>
                <w:color w:val="414142"/>
                <w:spacing w:val="-20"/>
                <w:w w:val="125"/>
                <w:sz w:val="18"/>
              </w:rPr>
              <w:t> </w:t>
            </w:r>
            <w:r>
              <w:rPr>
                <w:color w:val="414142"/>
                <w:w w:val="125"/>
                <w:sz w:val="18"/>
              </w:rPr>
              <w:t>depot</w:t>
            </w:r>
            <w:r>
              <w:rPr>
                <w:color w:val="414142"/>
                <w:spacing w:val="-19"/>
                <w:w w:val="125"/>
                <w:sz w:val="18"/>
              </w:rPr>
              <w:t> </w:t>
            </w:r>
            <w:r>
              <w:rPr>
                <w:color w:val="414142"/>
                <w:w w:val="125"/>
                <w:sz w:val="18"/>
              </w:rPr>
              <w:t>formulations</w:t>
            </w:r>
            <w:r>
              <w:rPr>
                <w:color w:val="414142"/>
                <w:spacing w:val="-19"/>
                <w:w w:val="125"/>
                <w:sz w:val="18"/>
              </w:rPr>
              <w:t> </w:t>
            </w:r>
            <w:r>
              <w:rPr>
                <w:color w:val="414142"/>
                <w:spacing w:val="-8"/>
                <w:w w:val="125"/>
                <w:sz w:val="18"/>
              </w:rPr>
              <w:t>of</w:t>
            </w:r>
          </w:p>
          <w:p>
            <w:pPr>
              <w:pStyle w:val="TableParagraph"/>
              <w:spacing w:line="235" w:lineRule="auto" w:before="1"/>
              <w:ind w:left="77" w:right="26"/>
              <w:rPr>
                <w:sz w:val="18"/>
              </w:rPr>
            </w:pPr>
            <w:r>
              <w:rPr>
                <w:color w:val="414142"/>
                <w:w w:val="120"/>
                <w:sz w:val="18"/>
              </w:rPr>
              <w:t>buprenorphine, provided the above criteria are satisﬁed.</w:t>
            </w:r>
          </w:p>
        </w:tc>
        <w:tc>
          <w:tcPr>
            <w:tcW w:w="1778"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77" w:right="76"/>
              <w:jc w:val="both"/>
              <w:rPr>
                <w:sz w:val="18"/>
              </w:rPr>
            </w:pPr>
            <w:r>
              <w:rPr>
                <w:color w:val="414142"/>
                <w:spacing w:val="-1"/>
                <w:w w:val="125"/>
                <w:sz w:val="18"/>
              </w:rPr>
              <w:t>SAMHSA-certiﬁed </w:t>
            </w:r>
            <w:r>
              <w:rPr>
                <w:color w:val="414142"/>
                <w:w w:val="125"/>
                <w:sz w:val="18"/>
              </w:rPr>
              <w:t>OTPs can provide methadone</w:t>
            </w:r>
          </w:p>
          <w:p>
            <w:pPr>
              <w:pStyle w:val="TableParagraph"/>
              <w:spacing w:line="235" w:lineRule="auto" w:before="2"/>
              <w:ind w:left="77" w:right="259"/>
              <w:jc w:val="both"/>
              <w:rPr>
                <w:sz w:val="18"/>
              </w:rPr>
            </w:pPr>
            <w:r>
              <w:rPr>
                <w:color w:val="414142"/>
                <w:w w:val="120"/>
                <w:sz w:val="18"/>
              </w:rPr>
              <w:t>for daily onsite administration or at-home</w:t>
            </w:r>
            <w:r>
              <w:rPr>
                <w:color w:val="414142"/>
                <w:spacing w:val="27"/>
                <w:w w:val="120"/>
                <w:sz w:val="18"/>
              </w:rPr>
              <w:t> </w:t>
            </w:r>
            <w:r>
              <w:rPr>
                <w:color w:val="414142"/>
                <w:spacing w:val="-4"/>
                <w:w w:val="120"/>
                <w:sz w:val="18"/>
              </w:rPr>
              <w:t>self-</w:t>
            </w:r>
          </w:p>
          <w:p>
            <w:pPr>
              <w:pStyle w:val="TableParagraph"/>
              <w:spacing w:line="235" w:lineRule="auto" w:before="2"/>
              <w:ind w:left="77" w:right="75"/>
              <w:jc w:val="both"/>
              <w:rPr>
                <w:sz w:val="18"/>
              </w:rPr>
            </w:pPr>
            <w:r>
              <w:rPr>
                <w:color w:val="414142"/>
                <w:w w:val="120"/>
                <w:sz w:val="18"/>
              </w:rPr>
              <w:t>administration </w:t>
            </w:r>
            <w:r>
              <w:rPr>
                <w:color w:val="414142"/>
                <w:spacing w:val="-7"/>
                <w:w w:val="120"/>
                <w:sz w:val="18"/>
              </w:rPr>
              <w:t>for </w:t>
            </w:r>
            <w:r>
              <w:rPr>
                <w:color w:val="414142"/>
                <w:w w:val="120"/>
                <w:sz w:val="18"/>
              </w:rPr>
              <w:t>stable</w:t>
            </w:r>
            <w:r>
              <w:rPr>
                <w:color w:val="414142"/>
                <w:spacing w:val="-1"/>
                <w:w w:val="120"/>
                <w:sz w:val="18"/>
              </w:rPr>
              <w:t> </w:t>
            </w:r>
            <w:r>
              <w:rPr>
                <w:color w:val="414142"/>
                <w:w w:val="120"/>
                <w:sz w:val="18"/>
              </w:rPr>
              <w:t>patients.</w:t>
            </w:r>
          </w:p>
        </w:tc>
        <w:tc>
          <w:tcPr>
            <w:tcW w:w="1955" w:type="dxa"/>
            <w:tcBorders>
              <w:top w:val="single" w:sz="2" w:space="0" w:color="759EB4"/>
              <w:left w:val="single" w:sz="2" w:space="0" w:color="759EB4"/>
              <w:bottom w:val="single" w:sz="18" w:space="0" w:color="377F9A"/>
              <w:right w:val="nil"/>
            </w:tcBorders>
            <w:shd w:val="clear" w:color="auto" w:fill="FFF7F2"/>
          </w:tcPr>
          <w:p>
            <w:pPr>
              <w:pStyle w:val="TableParagraph"/>
              <w:spacing w:line="235" w:lineRule="auto" w:before="93"/>
              <w:ind w:left="77" w:right="59"/>
              <w:rPr>
                <w:sz w:val="18"/>
              </w:rPr>
            </w:pPr>
            <w:r>
              <w:rPr>
                <w:color w:val="414142"/>
                <w:w w:val="125"/>
                <w:sz w:val="18"/>
              </w:rPr>
              <w:t>Physicians, NPs, PAs, and, until October </w:t>
            </w:r>
            <w:r>
              <w:rPr>
                <w:color w:val="414142"/>
                <w:w w:val="105"/>
                <w:sz w:val="18"/>
              </w:rPr>
              <w:t>1, </w:t>
            </w:r>
            <w:r>
              <w:rPr>
                <w:color w:val="414142"/>
                <w:w w:val="125"/>
                <w:sz w:val="18"/>
              </w:rPr>
              <w:t>2023, clinical nurse specialists, certiﬁed registered nurse anesthetists, and certiﬁed nurse midwives can prescribe or order administration</w:t>
            </w:r>
          </w:p>
          <w:p>
            <w:pPr>
              <w:pStyle w:val="TableParagraph"/>
              <w:spacing w:line="235" w:lineRule="auto" w:before="8"/>
              <w:ind w:left="77" w:right="641"/>
              <w:rPr>
                <w:sz w:val="18"/>
              </w:rPr>
            </w:pPr>
            <w:r>
              <w:rPr>
                <w:color w:val="414142"/>
                <w:w w:val="125"/>
                <w:sz w:val="18"/>
              </w:rPr>
              <w:t>by qualiﬁed healthcare </w:t>
            </w:r>
            <w:r>
              <w:rPr>
                <w:color w:val="414142"/>
                <w:w w:val="120"/>
                <w:sz w:val="18"/>
              </w:rPr>
              <w:t>professionals.</w:t>
            </w:r>
          </w:p>
        </w:tc>
      </w:tr>
    </w:tbl>
    <w:p>
      <w:pPr>
        <w:spacing w:line="235" w:lineRule="auto" w:before="120"/>
        <w:ind w:left="294" w:right="315" w:firstLine="0"/>
        <w:jc w:val="left"/>
        <w:rPr>
          <w:rFonts w:ascii="Calibri" w:hAnsi="Calibri"/>
          <w:sz w:val="16"/>
        </w:rPr>
      </w:pPr>
      <w:r>
        <w:rPr>
          <w:rFonts w:ascii="Calibri" w:hAnsi="Calibri"/>
          <w:color w:val="606163"/>
          <w:w w:val="125"/>
          <w:sz w:val="16"/>
        </w:rPr>
        <w:t>*Long-acting</w:t>
      </w:r>
      <w:r>
        <w:rPr>
          <w:rFonts w:ascii="Calibri" w:hAnsi="Calibri"/>
          <w:color w:val="606163"/>
          <w:spacing w:val="-11"/>
          <w:w w:val="125"/>
          <w:sz w:val="16"/>
        </w:rPr>
        <w:t> </w:t>
      </w:r>
      <w:r>
        <w:rPr>
          <w:rFonts w:ascii="Calibri" w:hAnsi="Calibri"/>
          <w:color w:val="606163"/>
          <w:w w:val="125"/>
          <w:sz w:val="16"/>
        </w:rPr>
        <w:t>buprenorphine</w:t>
      </w:r>
      <w:r>
        <w:rPr>
          <w:rFonts w:ascii="Calibri" w:hAnsi="Calibri"/>
          <w:color w:val="606163"/>
          <w:spacing w:val="-10"/>
          <w:w w:val="125"/>
          <w:sz w:val="16"/>
        </w:rPr>
        <w:t> </w:t>
      </w:r>
      <w:r>
        <w:rPr>
          <w:rFonts w:ascii="Calibri" w:hAnsi="Calibri"/>
          <w:color w:val="606163"/>
          <w:w w:val="125"/>
          <w:sz w:val="16"/>
        </w:rPr>
        <w:t>implants</w:t>
      </w:r>
      <w:r>
        <w:rPr>
          <w:rFonts w:ascii="Calibri" w:hAnsi="Calibri"/>
          <w:color w:val="606163"/>
          <w:spacing w:val="-11"/>
          <w:w w:val="125"/>
          <w:sz w:val="16"/>
        </w:rPr>
        <w:t> </w:t>
      </w:r>
      <w:r>
        <w:rPr>
          <w:rFonts w:ascii="Calibri" w:hAnsi="Calibri"/>
          <w:color w:val="606163"/>
          <w:w w:val="125"/>
          <w:sz w:val="16"/>
        </w:rPr>
        <w:t>(every</w:t>
      </w:r>
      <w:r>
        <w:rPr>
          <w:rFonts w:ascii="Calibri" w:hAnsi="Calibri"/>
          <w:color w:val="606163"/>
          <w:spacing w:val="-10"/>
          <w:w w:val="125"/>
          <w:sz w:val="16"/>
        </w:rPr>
        <w:t> </w:t>
      </w:r>
      <w:r>
        <w:rPr>
          <w:rFonts w:ascii="Calibri" w:hAnsi="Calibri"/>
          <w:color w:val="606163"/>
          <w:w w:val="125"/>
          <w:sz w:val="16"/>
        </w:rPr>
        <w:t>6</w:t>
      </w:r>
      <w:r>
        <w:rPr>
          <w:rFonts w:ascii="Calibri" w:hAnsi="Calibri"/>
          <w:color w:val="606163"/>
          <w:spacing w:val="-10"/>
          <w:w w:val="125"/>
          <w:sz w:val="16"/>
        </w:rPr>
        <w:t> </w:t>
      </w:r>
      <w:r>
        <w:rPr>
          <w:rFonts w:ascii="Calibri" w:hAnsi="Calibri"/>
          <w:color w:val="606163"/>
          <w:w w:val="125"/>
          <w:sz w:val="16"/>
        </w:rPr>
        <w:t>months)</w:t>
      </w:r>
      <w:r>
        <w:rPr>
          <w:rFonts w:ascii="Calibri" w:hAnsi="Calibri"/>
          <w:color w:val="606163"/>
          <w:spacing w:val="-11"/>
          <w:w w:val="125"/>
          <w:sz w:val="16"/>
        </w:rPr>
        <w:t> </w:t>
      </w:r>
      <w:r>
        <w:rPr>
          <w:rFonts w:ascii="Calibri" w:hAnsi="Calibri"/>
          <w:color w:val="606163"/>
          <w:w w:val="125"/>
          <w:sz w:val="16"/>
        </w:rPr>
        <w:t>for</w:t>
      </w:r>
      <w:r>
        <w:rPr>
          <w:rFonts w:ascii="Calibri" w:hAnsi="Calibri"/>
          <w:color w:val="606163"/>
          <w:spacing w:val="-10"/>
          <w:w w:val="125"/>
          <w:sz w:val="16"/>
        </w:rPr>
        <w:t> </w:t>
      </w:r>
      <w:r>
        <w:rPr>
          <w:rFonts w:ascii="Calibri" w:hAnsi="Calibri"/>
          <w:color w:val="606163"/>
          <w:w w:val="125"/>
          <w:sz w:val="16"/>
        </w:rPr>
        <w:t>patients</w:t>
      </w:r>
      <w:r>
        <w:rPr>
          <w:rFonts w:ascii="Calibri" w:hAnsi="Calibri"/>
          <w:color w:val="606163"/>
          <w:spacing w:val="-10"/>
          <w:w w:val="125"/>
          <w:sz w:val="16"/>
        </w:rPr>
        <w:t> </w:t>
      </w:r>
      <w:r>
        <w:rPr>
          <w:rFonts w:ascii="Calibri" w:hAnsi="Calibri"/>
          <w:color w:val="606163"/>
          <w:w w:val="125"/>
          <w:sz w:val="16"/>
        </w:rPr>
        <w:t>on</w:t>
      </w:r>
      <w:r>
        <w:rPr>
          <w:rFonts w:ascii="Calibri" w:hAnsi="Calibri"/>
          <w:color w:val="606163"/>
          <w:spacing w:val="-11"/>
          <w:w w:val="125"/>
          <w:sz w:val="16"/>
        </w:rPr>
        <w:t> </w:t>
      </w:r>
      <w:r>
        <w:rPr>
          <w:rFonts w:ascii="Calibri" w:hAnsi="Calibri"/>
          <w:color w:val="606163"/>
          <w:w w:val="125"/>
          <w:sz w:val="16"/>
        </w:rPr>
        <w:t>a</w:t>
      </w:r>
      <w:r>
        <w:rPr>
          <w:rFonts w:ascii="Calibri" w:hAnsi="Calibri"/>
          <w:color w:val="606163"/>
          <w:spacing w:val="-10"/>
          <w:w w:val="125"/>
          <w:sz w:val="16"/>
        </w:rPr>
        <w:t> </w:t>
      </w:r>
      <w:r>
        <w:rPr>
          <w:rFonts w:ascii="Calibri" w:hAnsi="Calibri"/>
          <w:color w:val="606163"/>
          <w:w w:val="125"/>
          <w:sz w:val="16"/>
        </w:rPr>
        <w:t>stable</w:t>
      </w:r>
      <w:r>
        <w:rPr>
          <w:rFonts w:ascii="Calibri" w:hAnsi="Calibri"/>
          <w:color w:val="606163"/>
          <w:spacing w:val="-10"/>
          <w:w w:val="125"/>
          <w:sz w:val="16"/>
        </w:rPr>
        <w:t> </w:t>
      </w:r>
      <w:r>
        <w:rPr>
          <w:rFonts w:ascii="Calibri" w:hAnsi="Calibri"/>
          <w:color w:val="606163"/>
          <w:w w:val="125"/>
          <w:sz w:val="16"/>
        </w:rPr>
        <w:t>dose</w:t>
      </w:r>
      <w:r>
        <w:rPr>
          <w:rFonts w:ascii="Calibri" w:hAnsi="Calibri"/>
          <w:color w:val="606163"/>
          <w:spacing w:val="-11"/>
          <w:w w:val="125"/>
          <w:sz w:val="16"/>
        </w:rPr>
        <w:t> </w:t>
      </w:r>
      <w:r>
        <w:rPr>
          <w:rFonts w:ascii="Calibri" w:hAnsi="Calibri"/>
          <w:color w:val="606163"/>
          <w:w w:val="125"/>
          <w:sz w:val="16"/>
        </w:rPr>
        <w:t>of</w:t>
      </w:r>
      <w:r>
        <w:rPr>
          <w:rFonts w:ascii="Calibri" w:hAnsi="Calibri"/>
          <w:color w:val="606163"/>
          <w:spacing w:val="-10"/>
          <w:w w:val="125"/>
          <w:sz w:val="16"/>
        </w:rPr>
        <w:t> </w:t>
      </w:r>
      <w:r>
        <w:rPr>
          <w:rFonts w:ascii="Calibri" w:hAnsi="Calibri"/>
          <w:color w:val="606163"/>
          <w:w w:val="125"/>
          <w:sz w:val="16"/>
        </w:rPr>
        <w:t>buprenorphine</w:t>
      </w:r>
      <w:r>
        <w:rPr>
          <w:rFonts w:ascii="Calibri" w:hAnsi="Calibri"/>
          <w:color w:val="606163"/>
          <w:spacing w:val="-10"/>
          <w:w w:val="125"/>
          <w:sz w:val="16"/>
        </w:rPr>
        <w:t> </w:t>
      </w:r>
      <w:r>
        <w:rPr>
          <w:rFonts w:ascii="Calibri" w:hAnsi="Calibri"/>
          <w:color w:val="606163"/>
          <w:w w:val="125"/>
          <w:sz w:val="16"/>
        </w:rPr>
        <w:t>are</w:t>
      </w:r>
      <w:r>
        <w:rPr>
          <w:rFonts w:ascii="Calibri" w:hAnsi="Calibri"/>
          <w:color w:val="606163"/>
          <w:spacing w:val="-11"/>
          <w:w w:val="125"/>
          <w:sz w:val="16"/>
        </w:rPr>
        <w:t> </w:t>
      </w:r>
      <w:r>
        <w:rPr>
          <w:rFonts w:ascii="Calibri" w:hAnsi="Calibri"/>
          <w:color w:val="606163"/>
          <w:w w:val="125"/>
          <w:sz w:val="16"/>
        </w:rPr>
        <w:t>also</w:t>
      </w:r>
      <w:r>
        <w:rPr>
          <w:rFonts w:ascii="Calibri" w:hAnsi="Calibri"/>
          <w:color w:val="606163"/>
          <w:spacing w:val="-10"/>
          <w:w w:val="125"/>
          <w:sz w:val="16"/>
        </w:rPr>
        <w:t> </w:t>
      </w:r>
      <w:r>
        <w:rPr>
          <w:rFonts w:ascii="Calibri" w:hAnsi="Calibri"/>
          <w:color w:val="606163"/>
          <w:w w:val="125"/>
          <w:sz w:val="16"/>
        </w:rPr>
        <w:t>available through implanters and prescribers with additional training and certiﬁcation through the Probuphine Risk Evaluation and</w:t>
      </w:r>
      <w:r>
        <w:rPr>
          <w:rFonts w:ascii="Calibri" w:hAnsi="Calibri"/>
          <w:color w:val="606163"/>
          <w:spacing w:val="-12"/>
          <w:w w:val="125"/>
          <w:sz w:val="16"/>
        </w:rPr>
        <w:t> </w:t>
      </w:r>
      <w:r>
        <w:rPr>
          <w:rFonts w:ascii="Calibri" w:hAnsi="Calibri"/>
          <w:color w:val="606163"/>
          <w:w w:val="125"/>
          <w:sz w:val="16"/>
        </w:rPr>
        <w:t>Mitigation</w:t>
      </w:r>
      <w:r>
        <w:rPr>
          <w:rFonts w:ascii="Calibri" w:hAnsi="Calibri"/>
          <w:color w:val="606163"/>
          <w:spacing w:val="-12"/>
          <w:w w:val="125"/>
          <w:sz w:val="16"/>
        </w:rPr>
        <w:t> </w:t>
      </w:r>
      <w:r>
        <w:rPr>
          <w:rFonts w:ascii="Calibri" w:hAnsi="Calibri"/>
          <w:color w:val="606163"/>
          <w:w w:val="125"/>
          <w:sz w:val="16"/>
        </w:rPr>
        <w:t>Strategy</w:t>
      </w:r>
      <w:r>
        <w:rPr>
          <w:rFonts w:ascii="Calibri" w:hAnsi="Calibri"/>
          <w:color w:val="606163"/>
          <w:spacing w:val="-12"/>
          <w:w w:val="125"/>
          <w:sz w:val="16"/>
        </w:rPr>
        <w:t> </w:t>
      </w:r>
      <w:r>
        <w:rPr>
          <w:rFonts w:ascii="Calibri" w:hAnsi="Calibri"/>
          <w:color w:val="606163"/>
          <w:w w:val="125"/>
          <w:sz w:val="16"/>
        </w:rPr>
        <w:t>(REMS)</w:t>
      </w:r>
      <w:r>
        <w:rPr>
          <w:rFonts w:ascii="Calibri" w:hAnsi="Calibri"/>
          <w:color w:val="606163"/>
          <w:spacing w:val="-12"/>
          <w:w w:val="125"/>
          <w:sz w:val="16"/>
        </w:rPr>
        <w:t> </w:t>
      </w:r>
      <w:r>
        <w:rPr>
          <w:rFonts w:ascii="Calibri" w:hAnsi="Calibri"/>
          <w:color w:val="606163"/>
          <w:w w:val="125"/>
          <w:sz w:val="16"/>
        </w:rPr>
        <w:t>Program.</w:t>
      </w:r>
      <w:r>
        <w:rPr>
          <w:rFonts w:ascii="Calibri" w:hAnsi="Calibri"/>
          <w:color w:val="606163"/>
          <w:spacing w:val="-12"/>
          <w:w w:val="125"/>
          <w:sz w:val="16"/>
        </w:rPr>
        <w:t> </w:t>
      </w:r>
      <w:r>
        <w:rPr>
          <w:rFonts w:ascii="Calibri" w:hAnsi="Calibri"/>
          <w:color w:val="606163"/>
          <w:w w:val="125"/>
          <w:sz w:val="16"/>
        </w:rPr>
        <w:t>Extended-release</w:t>
      </w:r>
      <w:r>
        <w:rPr>
          <w:rFonts w:ascii="Calibri" w:hAnsi="Calibri"/>
          <w:color w:val="606163"/>
          <w:spacing w:val="-12"/>
          <w:w w:val="125"/>
          <w:sz w:val="16"/>
        </w:rPr>
        <w:t> </w:t>
      </w:r>
      <w:r>
        <w:rPr>
          <w:rFonts w:ascii="Calibri" w:hAnsi="Calibri"/>
          <w:color w:val="606163"/>
          <w:w w:val="125"/>
          <w:sz w:val="16"/>
        </w:rPr>
        <w:t>buprenorphine</w:t>
      </w:r>
      <w:r>
        <w:rPr>
          <w:rFonts w:ascii="Calibri" w:hAnsi="Calibri"/>
          <w:color w:val="606163"/>
          <w:spacing w:val="-12"/>
          <w:w w:val="125"/>
          <w:sz w:val="16"/>
        </w:rPr>
        <w:t> </w:t>
      </w:r>
      <w:r>
        <w:rPr>
          <w:rFonts w:ascii="Calibri" w:hAnsi="Calibri"/>
          <w:color w:val="606163"/>
          <w:w w:val="125"/>
          <w:sz w:val="16"/>
        </w:rPr>
        <w:t>monthly</w:t>
      </w:r>
      <w:r>
        <w:rPr>
          <w:rFonts w:ascii="Calibri" w:hAnsi="Calibri"/>
          <w:color w:val="606163"/>
          <w:spacing w:val="-12"/>
          <w:w w:val="125"/>
          <w:sz w:val="16"/>
        </w:rPr>
        <w:t> </w:t>
      </w:r>
      <w:r>
        <w:rPr>
          <w:rFonts w:ascii="Calibri" w:hAnsi="Calibri"/>
          <w:color w:val="606163"/>
          <w:w w:val="125"/>
          <w:sz w:val="16"/>
        </w:rPr>
        <w:t>subcutaneous</w:t>
      </w:r>
      <w:r>
        <w:rPr>
          <w:rFonts w:ascii="Calibri" w:hAnsi="Calibri"/>
          <w:color w:val="606163"/>
          <w:spacing w:val="-12"/>
          <w:w w:val="125"/>
          <w:sz w:val="16"/>
        </w:rPr>
        <w:t> </w:t>
      </w:r>
      <w:r>
        <w:rPr>
          <w:rFonts w:ascii="Calibri" w:hAnsi="Calibri"/>
          <w:color w:val="606163"/>
          <w:w w:val="125"/>
          <w:sz w:val="16"/>
        </w:rPr>
        <w:t>injections</w:t>
      </w:r>
      <w:r>
        <w:rPr>
          <w:rFonts w:ascii="Calibri" w:hAnsi="Calibri"/>
          <w:color w:val="606163"/>
          <w:spacing w:val="-12"/>
          <w:w w:val="125"/>
          <w:sz w:val="16"/>
        </w:rPr>
        <w:t> </w:t>
      </w:r>
      <w:r>
        <w:rPr>
          <w:rFonts w:ascii="Calibri" w:hAnsi="Calibri"/>
          <w:color w:val="606163"/>
          <w:w w:val="125"/>
          <w:sz w:val="16"/>
        </w:rPr>
        <w:t>are</w:t>
      </w:r>
      <w:r>
        <w:rPr>
          <w:rFonts w:ascii="Calibri" w:hAnsi="Calibri"/>
          <w:color w:val="606163"/>
          <w:spacing w:val="-12"/>
          <w:w w:val="125"/>
          <w:sz w:val="16"/>
        </w:rPr>
        <w:t> </w:t>
      </w:r>
      <w:r>
        <w:rPr>
          <w:rFonts w:ascii="Calibri" w:hAnsi="Calibri"/>
          <w:color w:val="606163"/>
          <w:w w:val="125"/>
          <w:sz w:val="16"/>
        </w:rPr>
        <w:t>available only</w:t>
      </w:r>
      <w:r>
        <w:rPr>
          <w:rFonts w:ascii="Calibri" w:hAnsi="Calibri"/>
          <w:color w:val="606163"/>
          <w:spacing w:val="-5"/>
          <w:w w:val="125"/>
          <w:sz w:val="16"/>
        </w:rPr>
        <w:t> </w:t>
      </w:r>
      <w:r>
        <w:rPr>
          <w:rFonts w:ascii="Calibri" w:hAnsi="Calibri"/>
          <w:color w:val="606163"/>
          <w:w w:val="125"/>
          <w:sz w:val="16"/>
        </w:rPr>
        <w:t>through</w:t>
      </w:r>
      <w:r>
        <w:rPr>
          <w:rFonts w:ascii="Calibri" w:hAnsi="Calibri"/>
          <w:color w:val="606163"/>
          <w:spacing w:val="-4"/>
          <w:w w:val="125"/>
          <w:sz w:val="16"/>
        </w:rPr>
        <w:t> </w:t>
      </w:r>
      <w:r>
        <w:rPr>
          <w:rFonts w:ascii="Calibri" w:hAnsi="Calibri"/>
          <w:color w:val="606163"/>
          <w:w w:val="125"/>
          <w:sz w:val="16"/>
        </w:rPr>
        <w:t>prescribers</w:t>
      </w:r>
      <w:r>
        <w:rPr>
          <w:rFonts w:ascii="Calibri" w:hAnsi="Calibri"/>
          <w:color w:val="606163"/>
          <w:spacing w:val="-4"/>
          <w:w w:val="125"/>
          <w:sz w:val="16"/>
        </w:rPr>
        <w:t> </w:t>
      </w:r>
      <w:r>
        <w:rPr>
          <w:rFonts w:ascii="Calibri" w:hAnsi="Calibri"/>
          <w:color w:val="606163"/>
          <w:w w:val="125"/>
          <w:sz w:val="16"/>
        </w:rPr>
        <w:t>and</w:t>
      </w:r>
      <w:r>
        <w:rPr>
          <w:rFonts w:ascii="Calibri" w:hAnsi="Calibri"/>
          <w:color w:val="606163"/>
          <w:spacing w:val="-5"/>
          <w:w w:val="125"/>
          <w:sz w:val="16"/>
        </w:rPr>
        <w:t> </w:t>
      </w:r>
      <w:r>
        <w:rPr>
          <w:rFonts w:ascii="Calibri" w:hAnsi="Calibri"/>
          <w:color w:val="606163"/>
          <w:w w:val="125"/>
          <w:sz w:val="16"/>
        </w:rPr>
        <w:t>pharmacies</w:t>
      </w:r>
      <w:r>
        <w:rPr>
          <w:rFonts w:ascii="Calibri" w:hAnsi="Calibri"/>
          <w:color w:val="606163"/>
          <w:spacing w:val="-4"/>
          <w:w w:val="125"/>
          <w:sz w:val="16"/>
        </w:rPr>
        <w:t> </w:t>
      </w:r>
      <w:r>
        <w:rPr>
          <w:rFonts w:ascii="Calibri" w:hAnsi="Calibri"/>
          <w:color w:val="606163"/>
          <w:w w:val="125"/>
          <w:sz w:val="16"/>
        </w:rPr>
        <w:t>registered</w:t>
      </w:r>
      <w:r>
        <w:rPr>
          <w:rFonts w:ascii="Calibri" w:hAnsi="Calibri"/>
          <w:color w:val="606163"/>
          <w:spacing w:val="-4"/>
          <w:w w:val="125"/>
          <w:sz w:val="16"/>
        </w:rPr>
        <w:t> </w:t>
      </w:r>
      <w:r>
        <w:rPr>
          <w:rFonts w:ascii="Calibri" w:hAnsi="Calibri"/>
          <w:color w:val="606163"/>
          <w:w w:val="125"/>
          <w:sz w:val="16"/>
        </w:rPr>
        <w:t>with</w:t>
      </w:r>
      <w:r>
        <w:rPr>
          <w:rFonts w:ascii="Calibri" w:hAnsi="Calibri"/>
          <w:color w:val="606163"/>
          <w:spacing w:val="-5"/>
          <w:w w:val="125"/>
          <w:sz w:val="16"/>
        </w:rPr>
        <w:t> </w:t>
      </w:r>
      <w:r>
        <w:rPr>
          <w:rFonts w:ascii="Calibri" w:hAnsi="Calibri"/>
          <w:color w:val="606163"/>
          <w:w w:val="125"/>
          <w:sz w:val="16"/>
        </w:rPr>
        <w:t>the</w:t>
      </w:r>
      <w:r>
        <w:rPr>
          <w:rFonts w:ascii="Calibri" w:hAnsi="Calibri"/>
          <w:color w:val="606163"/>
          <w:spacing w:val="-4"/>
          <w:w w:val="125"/>
          <w:sz w:val="16"/>
        </w:rPr>
        <w:t> </w:t>
      </w:r>
      <w:r>
        <w:rPr>
          <w:rFonts w:ascii="Calibri" w:hAnsi="Calibri"/>
          <w:color w:val="606163"/>
          <w:w w:val="125"/>
          <w:sz w:val="16"/>
        </w:rPr>
        <w:t>Sublocade</w:t>
      </w:r>
      <w:r>
        <w:rPr>
          <w:rFonts w:ascii="Calibri" w:hAnsi="Calibri"/>
          <w:color w:val="606163"/>
          <w:spacing w:val="-4"/>
          <w:w w:val="125"/>
          <w:sz w:val="16"/>
        </w:rPr>
        <w:t> </w:t>
      </w:r>
      <w:r>
        <w:rPr>
          <w:rFonts w:ascii="Calibri" w:hAnsi="Calibri"/>
          <w:color w:val="606163"/>
          <w:w w:val="125"/>
          <w:sz w:val="16"/>
        </w:rPr>
        <w:t>REMS</w:t>
      </w:r>
      <w:r>
        <w:rPr>
          <w:rFonts w:ascii="Calibri" w:hAnsi="Calibri"/>
          <w:color w:val="606163"/>
          <w:spacing w:val="-5"/>
          <w:w w:val="125"/>
          <w:sz w:val="16"/>
        </w:rPr>
        <w:t> </w:t>
      </w:r>
      <w:r>
        <w:rPr>
          <w:rFonts w:ascii="Calibri" w:hAnsi="Calibri"/>
          <w:color w:val="606163"/>
          <w:w w:val="125"/>
          <w:sz w:val="16"/>
        </w:rPr>
        <w:t>Program.</w:t>
      </w:r>
    </w:p>
    <w:p>
      <w:pPr>
        <w:spacing w:line="235" w:lineRule="auto" w:before="93"/>
        <w:ind w:left="294" w:right="595" w:firstLine="0"/>
        <w:jc w:val="left"/>
        <w:rPr>
          <w:rFonts w:ascii="Calibri"/>
          <w:sz w:val="16"/>
        </w:rPr>
      </w:pPr>
      <w:r>
        <w:rPr>
          <w:rFonts w:ascii="Calibri"/>
          <w:color w:val="4D4D4F"/>
          <w:w w:val="125"/>
          <w:sz w:val="16"/>
        </w:rPr>
        <w:t>**Naltrexone</w:t>
      </w:r>
      <w:r>
        <w:rPr>
          <w:rFonts w:ascii="Calibri"/>
          <w:color w:val="4D4D4F"/>
          <w:spacing w:val="-16"/>
          <w:w w:val="125"/>
          <w:sz w:val="16"/>
        </w:rPr>
        <w:t> </w:t>
      </w:r>
      <w:r>
        <w:rPr>
          <w:rFonts w:ascii="Calibri"/>
          <w:color w:val="4D4D4F"/>
          <w:w w:val="125"/>
          <w:sz w:val="16"/>
        </w:rPr>
        <w:t>hydrochloride</w:t>
      </w:r>
      <w:r>
        <w:rPr>
          <w:rFonts w:ascii="Calibri"/>
          <w:color w:val="4D4D4F"/>
          <w:spacing w:val="-16"/>
          <w:w w:val="125"/>
          <w:sz w:val="16"/>
        </w:rPr>
        <w:t> </w:t>
      </w:r>
      <w:r>
        <w:rPr>
          <w:rFonts w:ascii="Calibri"/>
          <w:color w:val="4D4D4F"/>
          <w:w w:val="125"/>
          <w:sz w:val="16"/>
        </w:rPr>
        <w:t>tablets</w:t>
      </w:r>
      <w:r>
        <w:rPr>
          <w:rFonts w:ascii="Calibri"/>
          <w:color w:val="4D4D4F"/>
          <w:spacing w:val="-16"/>
          <w:w w:val="125"/>
          <w:sz w:val="16"/>
        </w:rPr>
        <w:t> </w:t>
      </w:r>
      <w:r>
        <w:rPr>
          <w:rFonts w:ascii="Calibri"/>
          <w:color w:val="4D4D4F"/>
          <w:w w:val="125"/>
          <w:sz w:val="16"/>
        </w:rPr>
        <w:t>(50</w:t>
      </w:r>
      <w:r>
        <w:rPr>
          <w:rFonts w:ascii="Calibri"/>
          <w:color w:val="4D4D4F"/>
          <w:spacing w:val="-15"/>
          <w:w w:val="125"/>
          <w:sz w:val="16"/>
        </w:rPr>
        <w:t> </w:t>
      </w:r>
      <w:r>
        <w:rPr>
          <w:rFonts w:ascii="Calibri"/>
          <w:color w:val="4D4D4F"/>
          <w:w w:val="125"/>
          <w:sz w:val="16"/>
        </w:rPr>
        <w:t>mg</w:t>
      </w:r>
      <w:r>
        <w:rPr>
          <w:rFonts w:ascii="Calibri"/>
          <w:color w:val="4D4D4F"/>
          <w:spacing w:val="-16"/>
          <w:w w:val="125"/>
          <w:sz w:val="16"/>
        </w:rPr>
        <w:t> </w:t>
      </w:r>
      <w:r>
        <w:rPr>
          <w:rFonts w:ascii="Calibri"/>
          <w:color w:val="4D4D4F"/>
          <w:w w:val="125"/>
          <w:sz w:val="16"/>
        </w:rPr>
        <w:t>each)</w:t>
      </w:r>
      <w:r>
        <w:rPr>
          <w:rFonts w:ascii="Calibri"/>
          <w:color w:val="4D4D4F"/>
          <w:spacing w:val="-16"/>
          <w:w w:val="125"/>
          <w:sz w:val="16"/>
        </w:rPr>
        <w:t> </w:t>
      </w:r>
      <w:r>
        <w:rPr>
          <w:rFonts w:ascii="Calibri"/>
          <w:color w:val="4D4D4F"/>
          <w:w w:val="125"/>
          <w:sz w:val="16"/>
        </w:rPr>
        <w:t>are</w:t>
      </w:r>
      <w:r>
        <w:rPr>
          <w:rFonts w:ascii="Calibri"/>
          <w:color w:val="4D4D4F"/>
          <w:spacing w:val="-16"/>
          <w:w w:val="125"/>
          <w:sz w:val="16"/>
        </w:rPr>
        <w:t> </w:t>
      </w:r>
      <w:r>
        <w:rPr>
          <w:rFonts w:ascii="Calibri"/>
          <w:color w:val="4D4D4F"/>
          <w:w w:val="125"/>
          <w:sz w:val="16"/>
        </w:rPr>
        <w:t>also</w:t>
      </w:r>
      <w:r>
        <w:rPr>
          <w:rFonts w:ascii="Calibri"/>
          <w:color w:val="4D4D4F"/>
          <w:spacing w:val="-15"/>
          <w:w w:val="125"/>
          <w:sz w:val="16"/>
        </w:rPr>
        <w:t> </w:t>
      </w:r>
      <w:r>
        <w:rPr>
          <w:rFonts w:ascii="Calibri"/>
          <w:color w:val="4D4D4F"/>
          <w:w w:val="125"/>
          <w:sz w:val="16"/>
        </w:rPr>
        <w:t>available</w:t>
      </w:r>
      <w:r>
        <w:rPr>
          <w:rFonts w:ascii="Calibri"/>
          <w:color w:val="4D4D4F"/>
          <w:spacing w:val="-16"/>
          <w:w w:val="125"/>
          <w:sz w:val="16"/>
        </w:rPr>
        <w:t> </w:t>
      </w:r>
      <w:r>
        <w:rPr>
          <w:rFonts w:ascii="Calibri"/>
          <w:color w:val="4D4D4F"/>
          <w:w w:val="125"/>
          <w:sz w:val="16"/>
        </w:rPr>
        <w:t>for</w:t>
      </w:r>
      <w:r>
        <w:rPr>
          <w:rFonts w:ascii="Calibri"/>
          <w:color w:val="4D4D4F"/>
          <w:spacing w:val="-16"/>
          <w:w w:val="125"/>
          <w:sz w:val="16"/>
        </w:rPr>
        <w:t> </w:t>
      </w:r>
      <w:r>
        <w:rPr>
          <w:rFonts w:ascii="Calibri"/>
          <w:color w:val="4D4D4F"/>
          <w:w w:val="125"/>
          <w:sz w:val="16"/>
        </w:rPr>
        <w:t>daily</w:t>
      </w:r>
      <w:r>
        <w:rPr>
          <w:rFonts w:ascii="Calibri"/>
          <w:color w:val="4D4D4F"/>
          <w:spacing w:val="-15"/>
          <w:w w:val="125"/>
          <w:sz w:val="16"/>
        </w:rPr>
        <w:t> </w:t>
      </w:r>
      <w:r>
        <w:rPr>
          <w:rFonts w:ascii="Calibri"/>
          <w:color w:val="4D4D4F"/>
          <w:w w:val="125"/>
          <w:sz w:val="16"/>
        </w:rPr>
        <w:t>oral</w:t>
      </w:r>
      <w:r>
        <w:rPr>
          <w:rFonts w:ascii="Calibri"/>
          <w:color w:val="4D4D4F"/>
          <w:spacing w:val="-16"/>
          <w:w w:val="125"/>
          <w:sz w:val="16"/>
        </w:rPr>
        <w:t> </w:t>
      </w:r>
      <w:r>
        <w:rPr>
          <w:rFonts w:ascii="Calibri"/>
          <w:color w:val="4D4D4F"/>
          <w:w w:val="125"/>
          <w:sz w:val="16"/>
        </w:rPr>
        <w:t>dosing</w:t>
      </w:r>
      <w:r>
        <w:rPr>
          <w:rFonts w:ascii="Calibri"/>
          <w:color w:val="4D4D4F"/>
          <w:spacing w:val="-16"/>
          <w:w w:val="125"/>
          <w:sz w:val="16"/>
        </w:rPr>
        <w:t> </w:t>
      </w:r>
      <w:r>
        <w:rPr>
          <w:rFonts w:ascii="Calibri"/>
          <w:color w:val="4D4D4F"/>
          <w:w w:val="125"/>
          <w:sz w:val="16"/>
        </w:rPr>
        <w:t>but</w:t>
      </w:r>
      <w:r>
        <w:rPr>
          <w:rFonts w:ascii="Calibri"/>
          <w:color w:val="4D4D4F"/>
          <w:spacing w:val="-16"/>
          <w:w w:val="125"/>
          <w:sz w:val="16"/>
        </w:rPr>
        <w:t> </w:t>
      </w:r>
      <w:r>
        <w:rPr>
          <w:rFonts w:ascii="Calibri"/>
          <w:color w:val="4D4D4F"/>
          <w:w w:val="125"/>
          <w:sz w:val="16"/>
        </w:rPr>
        <w:t>have</w:t>
      </w:r>
      <w:r>
        <w:rPr>
          <w:rFonts w:ascii="Calibri"/>
          <w:color w:val="4D4D4F"/>
          <w:spacing w:val="-15"/>
          <w:w w:val="125"/>
          <w:sz w:val="16"/>
        </w:rPr>
        <w:t> </w:t>
      </w:r>
      <w:r>
        <w:rPr>
          <w:rFonts w:ascii="Calibri"/>
          <w:color w:val="4D4D4F"/>
          <w:w w:val="125"/>
          <w:sz w:val="16"/>
        </w:rPr>
        <w:t>not</w:t>
      </w:r>
      <w:r>
        <w:rPr>
          <w:rFonts w:ascii="Calibri"/>
          <w:color w:val="4D4D4F"/>
          <w:spacing w:val="-16"/>
          <w:w w:val="125"/>
          <w:sz w:val="16"/>
        </w:rPr>
        <w:t> </w:t>
      </w:r>
      <w:r>
        <w:rPr>
          <w:rFonts w:ascii="Calibri"/>
          <w:color w:val="4D4D4F"/>
          <w:w w:val="125"/>
          <w:sz w:val="16"/>
        </w:rPr>
        <w:t>been</w:t>
      </w:r>
      <w:r>
        <w:rPr>
          <w:rFonts w:ascii="Calibri"/>
          <w:color w:val="4D4D4F"/>
          <w:spacing w:val="-16"/>
          <w:w w:val="125"/>
          <w:sz w:val="16"/>
        </w:rPr>
        <w:t> </w:t>
      </w:r>
      <w:r>
        <w:rPr>
          <w:rFonts w:ascii="Calibri"/>
          <w:color w:val="4D4D4F"/>
          <w:w w:val="125"/>
          <w:sz w:val="16"/>
        </w:rPr>
        <w:t>shown</w:t>
      </w:r>
      <w:r>
        <w:rPr>
          <w:rFonts w:ascii="Calibri"/>
          <w:color w:val="4D4D4F"/>
          <w:spacing w:val="-15"/>
          <w:w w:val="125"/>
          <w:sz w:val="16"/>
        </w:rPr>
        <w:t> </w:t>
      </w:r>
      <w:r>
        <w:rPr>
          <w:rFonts w:ascii="Calibri"/>
          <w:color w:val="4D4D4F"/>
          <w:w w:val="125"/>
          <w:sz w:val="16"/>
        </w:rPr>
        <w:t>to</w:t>
      </w:r>
      <w:r>
        <w:rPr>
          <w:rFonts w:ascii="Calibri"/>
          <w:color w:val="4D4D4F"/>
          <w:spacing w:val="-16"/>
          <w:w w:val="125"/>
          <w:sz w:val="16"/>
        </w:rPr>
        <w:t> </w:t>
      </w:r>
      <w:r>
        <w:rPr>
          <w:rFonts w:ascii="Calibri"/>
          <w:color w:val="4D4D4F"/>
          <w:w w:val="125"/>
          <w:sz w:val="16"/>
        </w:rPr>
        <w:t>be more</w:t>
      </w:r>
      <w:r>
        <w:rPr>
          <w:rFonts w:ascii="Calibri"/>
          <w:color w:val="4D4D4F"/>
          <w:spacing w:val="-7"/>
          <w:w w:val="125"/>
          <w:sz w:val="16"/>
        </w:rPr>
        <w:t> </w:t>
      </w:r>
      <w:r>
        <w:rPr>
          <w:rFonts w:ascii="Calibri"/>
          <w:color w:val="4D4D4F"/>
          <w:w w:val="125"/>
          <w:sz w:val="16"/>
        </w:rPr>
        <w:t>effective</w:t>
      </w:r>
      <w:r>
        <w:rPr>
          <w:rFonts w:ascii="Calibri"/>
          <w:color w:val="4D4D4F"/>
          <w:spacing w:val="-6"/>
          <w:w w:val="125"/>
          <w:sz w:val="16"/>
        </w:rPr>
        <w:t> </w:t>
      </w:r>
      <w:r>
        <w:rPr>
          <w:rFonts w:ascii="Calibri"/>
          <w:color w:val="4D4D4F"/>
          <w:w w:val="125"/>
          <w:sz w:val="16"/>
        </w:rPr>
        <w:t>than</w:t>
      </w:r>
      <w:r>
        <w:rPr>
          <w:rFonts w:ascii="Calibri"/>
          <w:color w:val="4D4D4F"/>
          <w:spacing w:val="-6"/>
          <w:w w:val="125"/>
          <w:sz w:val="16"/>
        </w:rPr>
        <w:t> </w:t>
      </w:r>
      <w:r>
        <w:rPr>
          <w:rFonts w:ascii="Calibri"/>
          <w:color w:val="4D4D4F"/>
          <w:w w:val="125"/>
          <w:sz w:val="16"/>
        </w:rPr>
        <w:t>treatment</w:t>
      </w:r>
      <w:r>
        <w:rPr>
          <w:rFonts w:ascii="Calibri"/>
          <w:color w:val="4D4D4F"/>
          <w:spacing w:val="-6"/>
          <w:w w:val="125"/>
          <w:sz w:val="16"/>
        </w:rPr>
        <w:t> </w:t>
      </w:r>
      <w:r>
        <w:rPr>
          <w:rFonts w:ascii="Calibri"/>
          <w:color w:val="4D4D4F"/>
          <w:w w:val="125"/>
          <w:sz w:val="16"/>
        </w:rPr>
        <w:t>without</w:t>
      </w:r>
      <w:r>
        <w:rPr>
          <w:rFonts w:ascii="Calibri"/>
          <w:color w:val="4D4D4F"/>
          <w:spacing w:val="-6"/>
          <w:w w:val="125"/>
          <w:sz w:val="16"/>
        </w:rPr>
        <w:t> </w:t>
      </w:r>
      <w:r>
        <w:rPr>
          <w:rFonts w:ascii="Calibri"/>
          <w:color w:val="4D4D4F"/>
          <w:w w:val="125"/>
          <w:sz w:val="16"/>
        </w:rPr>
        <w:t>medication</w:t>
      </w:r>
      <w:r>
        <w:rPr>
          <w:rFonts w:ascii="Calibri"/>
          <w:color w:val="4D4D4F"/>
          <w:spacing w:val="-7"/>
          <w:w w:val="125"/>
          <w:sz w:val="16"/>
        </w:rPr>
        <w:t> </w:t>
      </w:r>
      <w:r>
        <w:rPr>
          <w:rFonts w:ascii="Calibri"/>
          <w:color w:val="4D4D4F"/>
          <w:w w:val="125"/>
          <w:sz w:val="16"/>
        </w:rPr>
        <w:t>or</w:t>
      </w:r>
      <w:r>
        <w:rPr>
          <w:rFonts w:ascii="Calibri"/>
          <w:color w:val="4D4D4F"/>
          <w:spacing w:val="-6"/>
          <w:w w:val="125"/>
          <w:sz w:val="16"/>
        </w:rPr>
        <w:t> </w:t>
      </w:r>
      <w:r>
        <w:rPr>
          <w:rFonts w:ascii="Calibri"/>
          <w:color w:val="4D4D4F"/>
          <w:w w:val="125"/>
          <w:sz w:val="16"/>
        </w:rPr>
        <w:t>placebo</w:t>
      </w:r>
      <w:r>
        <w:rPr>
          <w:rFonts w:ascii="Calibri"/>
          <w:color w:val="4D4D4F"/>
          <w:spacing w:val="-6"/>
          <w:w w:val="125"/>
          <w:sz w:val="16"/>
        </w:rPr>
        <w:t> </w:t>
      </w:r>
      <w:r>
        <w:rPr>
          <w:rFonts w:ascii="Calibri"/>
          <w:color w:val="4D4D4F"/>
          <w:w w:val="125"/>
          <w:sz w:val="16"/>
        </w:rPr>
        <w:t>because</w:t>
      </w:r>
      <w:r>
        <w:rPr>
          <w:rFonts w:ascii="Calibri"/>
          <w:color w:val="4D4D4F"/>
          <w:spacing w:val="-6"/>
          <w:w w:val="125"/>
          <w:sz w:val="16"/>
        </w:rPr>
        <w:t> </w:t>
      </w:r>
      <w:r>
        <w:rPr>
          <w:rFonts w:ascii="Calibri"/>
          <w:color w:val="4D4D4F"/>
          <w:w w:val="125"/>
          <w:sz w:val="16"/>
        </w:rPr>
        <w:t>of</w:t>
      </w:r>
      <w:r>
        <w:rPr>
          <w:rFonts w:ascii="Calibri"/>
          <w:color w:val="4D4D4F"/>
          <w:spacing w:val="-6"/>
          <w:w w:val="125"/>
          <w:sz w:val="16"/>
        </w:rPr>
        <w:t> </w:t>
      </w:r>
      <w:r>
        <w:rPr>
          <w:rFonts w:ascii="Calibri"/>
          <w:color w:val="4D4D4F"/>
          <w:w w:val="125"/>
          <w:sz w:val="16"/>
        </w:rPr>
        <w:t>poor</w:t>
      </w:r>
      <w:r>
        <w:rPr>
          <w:rFonts w:ascii="Calibri"/>
          <w:color w:val="4D4D4F"/>
          <w:spacing w:val="-7"/>
          <w:w w:val="125"/>
          <w:sz w:val="16"/>
        </w:rPr>
        <w:t> </w:t>
      </w:r>
      <w:r>
        <w:rPr>
          <w:rFonts w:ascii="Calibri"/>
          <w:color w:val="4D4D4F"/>
          <w:w w:val="125"/>
          <w:sz w:val="16"/>
        </w:rPr>
        <w:t>patient</w:t>
      </w:r>
      <w:r>
        <w:rPr>
          <w:rFonts w:ascii="Calibri"/>
          <w:color w:val="4D4D4F"/>
          <w:spacing w:val="-6"/>
          <w:w w:val="125"/>
          <w:sz w:val="16"/>
        </w:rPr>
        <w:t> </w:t>
      </w:r>
      <w:r>
        <w:rPr>
          <w:rFonts w:ascii="Calibri"/>
          <w:color w:val="4D4D4F"/>
          <w:w w:val="125"/>
          <w:sz w:val="16"/>
        </w:rPr>
        <w:t>adherence.</w:t>
      </w:r>
    </w:p>
    <w:p>
      <w:pPr>
        <w:spacing w:after="0" w:line="235" w:lineRule="auto"/>
        <w:jc w:val="left"/>
        <w:rPr>
          <w:rFonts w:ascii="Calibri"/>
          <w:sz w:val="16"/>
        </w:rPr>
        <w:sectPr>
          <w:pgSz w:w="12240" w:h="15840"/>
          <w:pgMar w:header="576" w:footer="677" w:top="1340" w:bottom="860" w:left="940" w:right="920"/>
        </w:sectPr>
      </w:pPr>
    </w:p>
    <w:p>
      <w:pPr>
        <w:pStyle w:val="BodyText"/>
        <w:spacing w:before="10"/>
        <w:rPr>
          <w:rFonts w:ascii="Calibri"/>
          <w:sz w:val="21"/>
        </w:rPr>
      </w:pPr>
    </w:p>
    <w:p>
      <w:pPr>
        <w:spacing w:after="0"/>
        <w:rPr>
          <w:rFonts w:ascii="Calibri"/>
          <w:sz w:val="21"/>
        </w:rPr>
        <w:sectPr>
          <w:pgSz w:w="12240" w:h="15840"/>
          <w:pgMar w:header="576" w:footer="677" w:top="1340" w:bottom="860" w:left="940" w:right="920"/>
        </w:sectPr>
      </w:pPr>
    </w:p>
    <w:p>
      <w:pPr>
        <w:pStyle w:val="Heading2"/>
        <w:spacing w:line="208" w:lineRule="auto" w:before="126"/>
        <w:ind w:left="129" w:right="173"/>
      </w:pPr>
      <w:bookmarkStart w:name="_TOC_250109" w:id="6"/>
      <w:r>
        <w:rPr>
          <w:color w:val="137692"/>
          <w:w w:val="110"/>
        </w:rPr>
        <w:t>Introduction</w:t>
      </w:r>
      <w:r>
        <w:rPr>
          <w:color w:val="137692"/>
          <w:spacing w:val="-48"/>
          <w:w w:val="110"/>
        </w:rPr>
        <w:t> </w:t>
      </w:r>
      <w:r>
        <w:rPr>
          <w:color w:val="137692"/>
          <w:spacing w:val="-4"/>
          <w:w w:val="110"/>
        </w:rPr>
        <w:t>to</w:t>
      </w:r>
      <w:r>
        <w:rPr>
          <w:color w:val="137692"/>
          <w:spacing w:val="-47"/>
          <w:w w:val="110"/>
        </w:rPr>
        <w:t> </w:t>
      </w:r>
      <w:r>
        <w:rPr>
          <w:color w:val="137692"/>
          <w:w w:val="110"/>
        </w:rPr>
        <w:t>Medications</w:t>
      </w:r>
      <w:r>
        <w:rPr>
          <w:color w:val="137692"/>
          <w:spacing w:val="-47"/>
          <w:w w:val="110"/>
        </w:rPr>
        <w:t> </w:t>
      </w:r>
      <w:r>
        <w:rPr>
          <w:color w:val="137692"/>
          <w:w w:val="110"/>
        </w:rPr>
        <w:t>That Address</w:t>
      </w:r>
      <w:r>
        <w:rPr>
          <w:color w:val="137692"/>
          <w:spacing w:val="-4"/>
          <w:w w:val="110"/>
        </w:rPr>
        <w:t> </w:t>
      </w:r>
      <w:bookmarkEnd w:id="6"/>
      <w:r>
        <w:rPr>
          <w:color w:val="137692"/>
          <w:spacing w:val="-2"/>
          <w:w w:val="110"/>
        </w:rPr>
        <w:t>OUD</w:t>
      </w:r>
    </w:p>
    <w:p>
      <w:pPr>
        <w:pStyle w:val="Heading3"/>
        <w:spacing w:before="126"/>
        <w:ind w:left="129"/>
      </w:pPr>
      <w:bookmarkStart w:name="_TOC_250108" w:id="7"/>
      <w:bookmarkEnd w:id="7"/>
      <w:r>
        <w:rPr>
          <w:color w:val="137692"/>
          <w:w w:val="110"/>
        </w:rPr>
        <w:t>Methadone</w:t>
      </w:r>
    </w:p>
    <w:p>
      <w:pPr>
        <w:spacing w:line="242" w:lineRule="auto" w:before="42"/>
        <w:ind w:left="129" w:right="50" w:firstLine="0"/>
        <w:jc w:val="left"/>
        <w:rPr>
          <w:sz w:val="22"/>
        </w:rPr>
      </w:pPr>
      <w:r>
        <w:rPr>
          <w:rFonts w:ascii="Calibri" w:hAnsi="Calibri"/>
          <w:b/>
          <w:color w:val="4D4D4F"/>
          <w:w w:val="110"/>
          <w:sz w:val="22"/>
        </w:rPr>
        <w:t>Methadone is the most used and most </w:t>
      </w:r>
      <w:r>
        <w:rPr>
          <w:rFonts w:ascii="Calibri" w:hAnsi="Calibri"/>
          <w:b/>
          <w:color w:val="4D4D4F"/>
          <w:spacing w:val="-3"/>
          <w:w w:val="110"/>
          <w:sz w:val="22"/>
        </w:rPr>
        <w:t>studied </w:t>
      </w:r>
      <w:r>
        <w:rPr>
          <w:rFonts w:ascii="Calibri" w:hAnsi="Calibri"/>
          <w:b/>
          <w:color w:val="4D4D4F"/>
          <w:w w:val="110"/>
          <w:sz w:val="22"/>
        </w:rPr>
        <w:t>OUD medication in the world.</w:t>
      </w:r>
      <w:r>
        <w:rPr>
          <w:rFonts w:ascii="Calibri" w:hAnsi="Calibri"/>
          <w:b/>
          <w:color w:val="4D4D4F"/>
          <w:w w:val="110"/>
          <w:position w:val="7"/>
          <w:sz w:val="13"/>
        </w:rPr>
        <w:t>11,12 </w:t>
      </w:r>
      <w:r>
        <w:rPr>
          <w:color w:val="4D4D4F"/>
          <w:w w:val="110"/>
          <w:sz w:val="22"/>
        </w:rPr>
        <w:t>The </w:t>
      </w:r>
      <w:r>
        <w:rPr>
          <w:color w:val="4D4D4F"/>
          <w:spacing w:val="-3"/>
          <w:w w:val="110"/>
          <w:sz w:val="22"/>
        </w:rPr>
        <w:t>World </w:t>
      </w:r>
      <w:r>
        <w:rPr>
          <w:color w:val="4D4D4F"/>
          <w:w w:val="110"/>
          <w:sz w:val="22"/>
        </w:rPr>
        <w:t>Health Organization (WHO) considers it an essential medication.</w:t>
      </w:r>
      <w:r>
        <w:rPr>
          <w:color w:val="4D4D4F"/>
          <w:w w:val="110"/>
          <w:position w:val="7"/>
          <w:sz w:val="13"/>
        </w:rPr>
        <w:t>13 </w:t>
      </w:r>
      <w:r>
        <w:rPr>
          <w:color w:val="4D4D4F"/>
          <w:w w:val="110"/>
          <w:sz w:val="22"/>
        </w:rPr>
        <w:t>Many clinical trials and meta-analyses have shown that </w:t>
      </w:r>
      <w:r>
        <w:rPr>
          <w:rFonts w:ascii="Calibri" w:hAnsi="Calibri"/>
          <w:b/>
          <w:color w:val="4D4D4F"/>
          <w:w w:val="110"/>
          <w:sz w:val="22"/>
        </w:rPr>
        <w:t>it effectively reduces illicit opioid use, treats OUD, and retains patients in treatment </w:t>
      </w:r>
      <w:r>
        <w:rPr>
          <w:color w:val="4D4D4F"/>
          <w:w w:val="110"/>
          <w:sz w:val="22"/>
        </w:rPr>
        <w:t>better than placebo or no medication.</w:t>
      </w:r>
      <w:r>
        <w:rPr>
          <w:color w:val="4D4D4F"/>
          <w:w w:val="110"/>
          <w:position w:val="7"/>
          <w:sz w:val="13"/>
        </w:rPr>
        <w:t>14,15,16 </w:t>
      </w:r>
      <w:r>
        <w:rPr>
          <w:color w:val="4D4D4F"/>
          <w:w w:val="110"/>
          <w:sz w:val="22"/>
        </w:rPr>
        <w:t>(Part 1 of this </w:t>
      </w:r>
      <w:r>
        <w:rPr>
          <w:color w:val="4D4D4F"/>
          <w:spacing w:val="-3"/>
          <w:w w:val="110"/>
          <w:sz w:val="22"/>
        </w:rPr>
        <w:t>Treatment </w:t>
      </w:r>
      <w:r>
        <w:rPr>
          <w:color w:val="4D4D4F"/>
          <w:w w:val="110"/>
          <w:sz w:val="22"/>
        </w:rPr>
        <w:t>Improvement Protocol [TIP] further covers methadone’s</w:t>
      </w:r>
      <w:r>
        <w:rPr>
          <w:color w:val="4D4D4F"/>
          <w:spacing w:val="-11"/>
          <w:w w:val="110"/>
          <w:sz w:val="22"/>
        </w:rPr>
        <w:t> </w:t>
      </w:r>
      <w:r>
        <w:rPr>
          <w:color w:val="4D4D4F"/>
          <w:spacing w:val="-3"/>
          <w:w w:val="110"/>
          <w:sz w:val="22"/>
        </w:rPr>
        <w:t>efﬁcacy.)</w:t>
      </w:r>
    </w:p>
    <w:p>
      <w:pPr>
        <w:pStyle w:val="BodyText"/>
        <w:spacing w:line="247" w:lineRule="auto" w:before="160"/>
        <w:ind w:left="129" w:right="82"/>
      </w:pPr>
      <w:r>
        <w:rPr>
          <w:color w:val="4D4D4F"/>
          <w:w w:val="110"/>
        </w:rPr>
        <w:t>In the United States, roughly 1,500 federally certiﬁed</w:t>
      </w:r>
      <w:r>
        <w:rPr>
          <w:color w:val="4D4D4F"/>
          <w:spacing w:val="-14"/>
          <w:w w:val="110"/>
        </w:rPr>
        <w:t> </w:t>
      </w:r>
      <w:r>
        <w:rPr>
          <w:color w:val="4D4D4F"/>
          <w:w w:val="110"/>
        </w:rPr>
        <w:t>opioid</w:t>
      </w:r>
      <w:r>
        <w:rPr>
          <w:color w:val="4D4D4F"/>
          <w:spacing w:val="-13"/>
          <w:w w:val="110"/>
        </w:rPr>
        <w:t> </w:t>
      </w:r>
      <w:r>
        <w:rPr>
          <w:color w:val="4D4D4F"/>
          <w:w w:val="110"/>
        </w:rPr>
        <w:t>treatment</w:t>
      </w:r>
      <w:r>
        <w:rPr>
          <w:color w:val="4D4D4F"/>
          <w:spacing w:val="-14"/>
          <w:w w:val="110"/>
        </w:rPr>
        <w:t> </w:t>
      </w:r>
      <w:r>
        <w:rPr>
          <w:color w:val="4D4D4F"/>
          <w:w w:val="110"/>
        </w:rPr>
        <w:t>programs</w:t>
      </w:r>
      <w:r>
        <w:rPr>
          <w:color w:val="4D4D4F"/>
          <w:spacing w:val="-13"/>
          <w:w w:val="110"/>
        </w:rPr>
        <w:t> </w:t>
      </w:r>
      <w:r>
        <w:rPr>
          <w:color w:val="4D4D4F"/>
          <w:w w:val="110"/>
        </w:rPr>
        <w:t>(OTPs)</w:t>
      </w:r>
      <w:r>
        <w:rPr>
          <w:color w:val="4D4D4F"/>
          <w:spacing w:val="-14"/>
          <w:w w:val="110"/>
        </w:rPr>
        <w:t> </w:t>
      </w:r>
      <w:r>
        <w:rPr>
          <w:color w:val="4D4D4F"/>
          <w:w w:val="110"/>
        </w:rPr>
        <w:t>offer methadone for OUD. Increasingly, they also offer</w:t>
      </w:r>
      <w:r>
        <w:rPr>
          <w:color w:val="4D4D4F"/>
          <w:spacing w:val="-16"/>
          <w:w w:val="110"/>
        </w:rPr>
        <w:t> </w:t>
      </w:r>
      <w:r>
        <w:rPr>
          <w:color w:val="4D4D4F"/>
          <w:w w:val="110"/>
        </w:rPr>
        <w:t>buprenorphine,</w:t>
      </w:r>
      <w:r>
        <w:rPr>
          <w:color w:val="4D4D4F"/>
          <w:spacing w:val="-16"/>
          <w:w w:val="110"/>
        </w:rPr>
        <w:t> </w:t>
      </w:r>
      <w:r>
        <w:rPr>
          <w:color w:val="4D4D4F"/>
          <w:w w:val="110"/>
        </w:rPr>
        <w:t>and</w:t>
      </w:r>
      <w:r>
        <w:rPr>
          <w:color w:val="4D4D4F"/>
          <w:spacing w:val="-16"/>
          <w:w w:val="110"/>
        </w:rPr>
        <w:t> </w:t>
      </w:r>
      <w:r>
        <w:rPr>
          <w:color w:val="4D4D4F"/>
          <w:w w:val="110"/>
        </w:rPr>
        <w:t>some</w:t>
      </w:r>
      <w:r>
        <w:rPr>
          <w:color w:val="4D4D4F"/>
          <w:spacing w:val="-16"/>
          <w:w w:val="110"/>
        </w:rPr>
        <w:t> </w:t>
      </w:r>
      <w:r>
        <w:rPr>
          <w:color w:val="4D4D4F"/>
          <w:w w:val="110"/>
        </w:rPr>
        <w:t>provide</w:t>
      </w:r>
      <w:r>
        <w:rPr>
          <w:color w:val="4D4D4F"/>
          <w:spacing w:val="-16"/>
          <w:w w:val="110"/>
        </w:rPr>
        <w:t> </w:t>
      </w:r>
      <w:r>
        <w:rPr>
          <w:color w:val="4D4D4F"/>
          <w:spacing w:val="-3"/>
          <w:w w:val="110"/>
        </w:rPr>
        <w:t>XR-NTX.</w:t>
      </w:r>
    </w:p>
    <w:p>
      <w:pPr>
        <w:pStyle w:val="BodyText"/>
        <w:spacing w:line="247" w:lineRule="auto" w:before="5"/>
        <w:ind w:left="129" w:right="19"/>
      </w:pPr>
      <w:r>
        <w:rPr>
          <w:color w:val="4D4D4F"/>
          <w:w w:val="110"/>
        </w:rPr>
        <w:t>Core OTP services include medical oversight of treatment, direct observation of dose administra- tion, take-home dose dispensing under certain conditions, counseling, and drug testing.</w:t>
      </w:r>
    </w:p>
    <w:p>
      <w:pPr>
        <w:pStyle w:val="BodyText"/>
        <w:spacing w:line="247" w:lineRule="auto" w:before="165"/>
        <w:ind w:left="129" w:right="133"/>
      </w:pPr>
      <w:r>
        <w:rPr>
          <w:color w:val="4D4D4F"/>
          <w:w w:val="110"/>
        </w:rPr>
        <w:t>Some OTPs provide other services, including mental health and primary care, HIV and hepatitis C virus care, and recovery support. Even so, signiﬁcant demand remains for better integration and coordination of care among OTPs, primary care services, and mental health services to treat the range of needs common in people with OUD.</w:t>
      </w:r>
      <w:r>
        <w:rPr>
          <w:color w:val="4D4D4F"/>
          <w:w w:val="110"/>
          <w:position w:val="7"/>
          <w:sz w:val="13"/>
        </w:rPr>
        <w:t>17 </w:t>
      </w:r>
      <w:r>
        <w:rPr>
          <w:color w:val="4D4D4F"/>
          <w:w w:val="110"/>
        </w:rPr>
        <w:t>Coordination is especially important for people with co-occurring medical, mental, and substance use disorders, who</w:t>
      </w:r>
    </w:p>
    <w:p>
      <w:pPr>
        <w:pStyle w:val="BodyText"/>
        <w:spacing w:line="247" w:lineRule="auto" w:before="13"/>
        <w:ind w:left="129" w:right="357"/>
      </w:pPr>
      <w:r>
        <w:rPr>
          <w:color w:val="4D4D4F"/>
          <w:w w:val="115"/>
        </w:rPr>
        <w:t>need multiple services and face challenges </w:t>
      </w:r>
      <w:r>
        <w:rPr>
          <w:color w:val="4D4D4F"/>
          <w:spacing w:val="-9"/>
          <w:w w:val="115"/>
        </w:rPr>
        <w:t>in </w:t>
      </w:r>
      <w:r>
        <w:rPr>
          <w:color w:val="4D4D4F"/>
          <w:w w:val="115"/>
        </w:rPr>
        <w:t>treatment access and adherence.</w:t>
      </w:r>
    </w:p>
    <w:p>
      <w:pPr>
        <w:pStyle w:val="BodyText"/>
        <w:spacing w:before="1"/>
        <w:rPr>
          <w:sz w:val="36"/>
        </w:rPr>
      </w:pPr>
    </w:p>
    <w:p>
      <w:pPr>
        <w:spacing w:line="304" w:lineRule="auto" w:before="0"/>
        <w:ind w:left="420" w:right="546" w:firstLine="0"/>
        <w:jc w:val="left"/>
        <w:rPr>
          <w:rFonts w:ascii="Arial"/>
          <w:b/>
          <w:sz w:val="22"/>
        </w:rPr>
      </w:pPr>
      <w:r>
        <w:rPr/>
        <w:pict>
          <v:line style="position:absolute;mso-position-horizontal-relative:page;mso-position-vertical-relative:paragraph;z-index:15736320" from="53.599998pt,106.320868pt" to="53.599998pt,-.327132pt" stroked="true" strokeweight="1pt" strokecolor="#759eb4">
            <v:stroke dashstyle="solid"/>
            <w10:wrap type="none"/>
          </v:line>
        </w:pict>
      </w:r>
      <w:r>
        <w:rPr>
          <w:rFonts w:ascii="Arial"/>
          <w:b/>
          <w:color w:val="B15651"/>
          <w:w w:val="110"/>
          <w:sz w:val="22"/>
        </w:rPr>
        <w:t>Although</w:t>
      </w:r>
      <w:r>
        <w:rPr>
          <w:rFonts w:ascii="Arial"/>
          <w:b/>
          <w:color w:val="B15651"/>
          <w:spacing w:val="-19"/>
          <w:w w:val="110"/>
          <w:sz w:val="22"/>
        </w:rPr>
        <w:t> </w:t>
      </w:r>
      <w:r>
        <w:rPr>
          <w:rFonts w:ascii="Arial"/>
          <w:b/>
          <w:color w:val="B15651"/>
          <w:w w:val="110"/>
          <w:sz w:val="22"/>
        </w:rPr>
        <w:t>only</w:t>
      </w:r>
      <w:r>
        <w:rPr>
          <w:rFonts w:ascii="Arial"/>
          <w:b/>
          <w:color w:val="B15651"/>
          <w:spacing w:val="-18"/>
          <w:w w:val="110"/>
          <w:sz w:val="22"/>
        </w:rPr>
        <w:t> </w:t>
      </w:r>
      <w:r>
        <w:rPr>
          <w:rFonts w:ascii="Arial"/>
          <w:b/>
          <w:color w:val="B15651"/>
          <w:w w:val="110"/>
          <w:sz w:val="22"/>
        </w:rPr>
        <w:t>OTPs</w:t>
      </w:r>
      <w:r>
        <w:rPr>
          <w:rFonts w:ascii="Arial"/>
          <w:b/>
          <w:color w:val="B15651"/>
          <w:spacing w:val="-18"/>
          <w:w w:val="110"/>
          <w:sz w:val="22"/>
        </w:rPr>
        <w:t> </w:t>
      </w:r>
      <w:r>
        <w:rPr>
          <w:rFonts w:ascii="Arial"/>
          <w:b/>
          <w:color w:val="B15651"/>
          <w:w w:val="110"/>
          <w:sz w:val="22"/>
        </w:rPr>
        <w:t>can</w:t>
      </w:r>
      <w:r>
        <w:rPr>
          <w:rFonts w:ascii="Arial"/>
          <w:b/>
          <w:color w:val="B15651"/>
          <w:spacing w:val="-18"/>
          <w:w w:val="110"/>
          <w:sz w:val="22"/>
        </w:rPr>
        <w:t> </w:t>
      </w:r>
      <w:r>
        <w:rPr>
          <w:rFonts w:ascii="Arial"/>
          <w:b/>
          <w:color w:val="B15651"/>
          <w:w w:val="110"/>
          <w:sz w:val="22"/>
        </w:rPr>
        <w:t>administer or dispense methadone for OUD, all healthcare professionals and addiction and mental health counselors should be familiar </w:t>
      </w:r>
      <w:r>
        <w:rPr>
          <w:rFonts w:ascii="Arial"/>
          <w:b/>
          <w:color w:val="B15651"/>
          <w:spacing w:val="-3"/>
          <w:w w:val="110"/>
          <w:sz w:val="22"/>
        </w:rPr>
        <w:t>with </w:t>
      </w:r>
      <w:r>
        <w:rPr>
          <w:rFonts w:ascii="Arial"/>
          <w:b/>
          <w:color w:val="B15651"/>
          <w:w w:val="110"/>
          <w:sz w:val="22"/>
        </w:rPr>
        <w:t>methadone. Their patients may be enrolled</w:t>
      </w:r>
      <w:r>
        <w:rPr>
          <w:rFonts w:ascii="Arial"/>
          <w:b/>
          <w:color w:val="B15651"/>
          <w:spacing w:val="-20"/>
          <w:w w:val="110"/>
          <w:sz w:val="22"/>
        </w:rPr>
        <w:t> </w:t>
      </w:r>
      <w:r>
        <w:rPr>
          <w:rFonts w:ascii="Arial"/>
          <w:b/>
          <w:color w:val="B15651"/>
          <w:w w:val="110"/>
          <w:sz w:val="22"/>
        </w:rPr>
        <w:t>in</w:t>
      </w:r>
      <w:r>
        <w:rPr>
          <w:rFonts w:ascii="Arial"/>
          <w:b/>
          <w:color w:val="B15651"/>
          <w:spacing w:val="-20"/>
          <w:w w:val="110"/>
          <w:sz w:val="22"/>
        </w:rPr>
        <w:t> </w:t>
      </w:r>
      <w:r>
        <w:rPr>
          <w:rFonts w:ascii="Arial"/>
          <w:b/>
          <w:color w:val="B15651"/>
          <w:w w:val="110"/>
          <w:sz w:val="22"/>
        </w:rPr>
        <w:t>or</w:t>
      </w:r>
      <w:r>
        <w:rPr>
          <w:rFonts w:ascii="Arial"/>
          <w:b/>
          <w:color w:val="B15651"/>
          <w:spacing w:val="-20"/>
          <w:w w:val="110"/>
          <w:sz w:val="22"/>
        </w:rPr>
        <w:t> </w:t>
      </w:r>
      <w:r>
        <w:rPr>
          <w:rFonts w:ascii="Arial"/>
          <w:b/>
          <w:color w:val="B15651"/>
          <w:w w:val="110"/>
          <w:sz w:val="22"/>
        </w:rPr>
        <w:t>need</w:t>
      </w:r>
      <w:r>
        <w:rPr>
          <w:rFonts w:ascii="Arial"/>
          <w:b/>
          <w:color w:val="B15651"/>
          <w:spacing w:val="-20"/>
          <w:w w:val="110"/>
          <w:sz w:val="22"/>
        </w:rPr>
        <w:t> </w:t>
      </w:r>
      <w:r>
        <w:rPr>
          <w:rFonts w:ascii="Arial"/>
          <w:b/>
          <w:color w:val="B15651"/>
          <w:w w:val="110"/>
          <w:sz w:val="22"/>
        </w:rPr>
        <w:t>referral</w:t>
      </w:r>
      <w:r>
        <w:rPr>
          <w:rFonts w:ascii="Arial"/>
          <w:b/>
          <w:color w:val="B15651"/>
          <w:spacing w:val="-20"/>
          <w:w w:val="110"/>
          <w:sz w:val="22"/>
        </w:rPr>
        <w:t> </w:t>
      </w:r>
      <w:r>
        <w:rPr>
          <w:rFonts w:ascii="Arial"/>
          <w:b/>
          <w:color w:val="B15651"/>
          <w:w w:val="110"/>
          <w:sz w:val="22"/>
        </w:rPr>
        <w:t>to</w:t>
      </w:r>
      <w:r>
        <w:rPr>
          <w:rFonts w:ascii="Arial"/>
          <w:b/>
          <w:color w:val="B15651"/>
          <w:spacing w:val="-20"/>
          <w:w w:val="110"/>
          <w:sz w:val="22"/>
        </w:rPr>
        <w:t> </w:t>
      </w:r>
      <w:r>
        <w:rPr>
          <w:rFonts w:ascii="Arial"/>
          <w:b/>
          <w:color w:val="B15651"/>
          <w:w w:val="110"/>
          <w:sz w:val="22"/>
        </w:rPr>
        <w:t>OTPs.</w:t>
      </w:r>
    </w:p>
    <w:p>
      <w:pPr>
        <w:pStyle w:val="BodyText"/>
        <w:spacing w:before="6" w:after="40"/>
        <w:rPr>
          <w:rFonts w:ascii="Arial"/>
          <w:b/>
          <w:sz w:val="9"/>
        </w:rPr>
      </w:pPr>
      <w:r>
        <w:rPr/>
        <w:br w:type="column"/>
      </w:r>
      <w:r>
        <w:rPr>
          <w:rFonts w:ascii="Arial"/>
          <w:b/>
          <w:sz w:val="9"/>
        </w:rPr>
      </w:r>
    </w:p>
    <w:p>
      <w:pPr>
        <w:pStyle w:val="BodyText"/>
        <w:ind w:left="124"/>
        <w:rPr>
          <w:rFonts w:ascii="Arial"/>
          <w:sz w:val="20"/>
        </w:rPr>
      </w:pPr>
      <w:r>
        <w:rPr>
          <w:rFonts w:ascii="Arial"/>
          <w:sz w:val="20"/>
        </w:rPr>
        <w:pict>
          <v:group style="width:243.5pt;height:185pt;mso-position-horizontal-relative:char;mso-position-vertical-relative:line" coordorigin="0,0" coordsize="4870,3700">
            <v:rect style="position:absolute;left:5;top:5;width:4860;height:3690" filled="false" stroked="true" strokeweight=".5pt" strokecolor="#88aabd">
              <v:stroke dashstyle="solid"/>
            </v:rect>
            <v:shape style="position:absolute;left:10;top:596;width:4850;height:3093" type="#_x0000_t202" filled="false" stroked="false">
              <v:textbox inset="0,0,0,0">
                <w:txbxContent>
                  <w:p>
                    <w:pPr>
                      <w:spacing w:line="278" w:lineRule="auto" w:before="59"/>
                      <w:ind w:left="230" w:right="333" w:firstLine="0"/>
                      <w:jc w:val="left"/>
                      <w:rPr>
                        <w:rFonts w:ascii="Arial"/>
                        <w:b/>
                        <w:sz w:val="24"/>
                      </w:rPr>
                    </w:pPr>
                    <w:r>
                      <w:rPr>
                        <w:rFonts w:ascii="Arial"/>
                        <w:b/>
                        <w:color w:val="137692"/>
                        <w:w w:val="110"/>
                        <w:sz w:val="24"/>
                      </w:rPr>
                      <w:t>Substance Abuse and Mental Health Services Administration (SAMHSA) Federal Guidelines for OTPs</w:t>
                    </w:r>
                  </w:p>
                  <w:p>
                    <w:pPr>
                      <w:spacing w:line="348" w:lineRule="auto" w:before="154"/>
                      <w:ind w:left="230" w:right="411" w:firstLine="0"/>
                      <w:jc w:val="left"/>
                      <w:rPr>
                        <w:rFonts w:ascii="Arial"/>
                        <w:sz w:val="18"/>
                      </w:rPr>
                    </w:pPr>
                    <w:r>
                      <w:rPr>
                        <w:rFonts w:ascii="Arial"/>
                        <w:i/>
                        <w:color w:val="414142"/>
                        <w:w w:val="115"/>
                        <w:sz w:val="18"/>
                      </w:rPr>
                      <w:t>Federal Guidelines for Opioid Treatment </w:t>
                    </w:r>
                    <w:r>
                      <w:rPr>
                        <w:rFonts w:ascii="Arial"/>
                        <w:i/>
                        <w:color w:val="414142"/>
                        <w:w w:val="115"/>
                        <w:sz w:val="18"/>
                      </w:rPr>
                      <w:t>Programs </w:t>
                    </w:r>
                    <w:r>
                      <w:rPr>
                        <w:rFonts w:ascii="Arial"/>
                        <w:color w:val="414142"/>
                        <w:w w:val="115"/>
                        <w:sz w:val="18"/>
                      </w:rPr>
                      <w:t>offers guidance on how to satisfy federal</w:t>
                    </w:r>
                    <w:r>
                      <w:rPr>
                        <w:rFonts w:ascii="Arial"/>
                        <w:color w:val="414142"/>
                        <w:spacing w:val="-34"/>
                        <w:w w:val="115"/>
                        <w:sz w:val="18"/>
                      </w:rPr>
                      <w:t> </w:t>
                    </w:r>
                    <w:r>
                      <w:rPr>
                        <w:rFonts w:ascii="Arial"/>
                        <w:color w:val="414142"/>
                        <w:w w:val="115"/>
                        <w:sz w:val="18"/>
                      </w:rPr>
                      <w:t>OTP</w:t>
                    </w:r>
                    <w:r>
                      <w:rPr>
                        <w:rFonts w:ascii="Arial"/>
                        <w:color w:val="414142"/>
                        <w:spacing w:val="-33"/>
                        <w:w w:val="115"/>
                        <w:sz w:val="18"/>
                      </w:rPr>
                      <w:t> </w:t>
                    </w:r>
                    <w:r>
                      <w:rPr>
                        <w:rFonts w:ascii="Arial"/>
                        <w:color w:val="414142"/>
                        <w:w w:val="115"/>
                        <w:sz w:val="18"/>
                      </w:rPr>
                      <w:t>regulations</w:t>
                    </w:r>
                    <w:r>
                      <w:rPr>
                        <w:rFonts w:ascii="Arial"/>
                        <w:color w:val="414142"/>
                        <w:spacing w:val="-33"/>
                        <w:w w:val="115"/>
                        <w:sz w:val="18"/>
                      </w:rPr>
                      <w:t> </w:t>
                    </w:r>
                    <w:r>
                      <w:rPr>
                        <w:rFonts w:ascii="Arial"/>
                        <w:color w:val="414142"/>
                        <w:w w:val="115"/>
                        <w:sz w:val="18"/>
                      </w:rPr>
                      <w:t>(</w:t>
                    </w:r>
                    <w:r>
                      <w:rPr>
                        <w:rFonts w:ascii="Arial"/>
                        <w:color w:val="3B68A6"/>
                        <w:w w:val="115"/>
                        <w:sz w:val="18"/>
                        <w:u w:val="single" w:color="3B68A6"/>
                      </w:rPr>
                      <w:t>(https://store.samhsa.</w:t>
                    </w:r>
                    <w:r>
                      <w:rPr>
                        <w:rFonts w:ascii="Arial"/>
                        <w:color w:val="3B68A6"/>
                        <w:w w:val="115"/>
                        <w:sz w:val="18"/>
                      </w:rPr>
                      <w:t> </w:t>
                    </w:r>
                    <w:r>
                      <w:rPr>
                        <w:rFonts w:ascii="Arial"/>
                        <w:color w:val="3B68A6"/>
                        <w:w w:val="115"/>
                        <w:sz w:val="18"/>
                        <w:u w:val="single" w:color="3B68A6"/>
                      </w:rPr>
                      <w:t>gov/product/Federal-Guidelines-for-Opioid-</w:t>
                    </w:r>
                    <w:r>
                      <w:rPr>
                        <w:rFonts w:ascii="Arial"/>
                        <w:color w:val="3B68A6"/>
                        <w:w w:val="115"/>
                        <w:sz w:val="18"/>
                      </w:rPr>
                      <w:t> </w:t>
                    </w:r>
                    <w:r>
                      <w:rPr>
                        <w:rFonts w:ascii="Arial"/>
                        <w:color w:val="3B68A6"/>
                        <w:w w:val="110"/>
                        <w:sz w:val="18"/>
                        <w:u w:val="single" w:color="3B68A6"/>
                      </w:rPr>
                      <w:t>Treatment-Programs/PEP15-FEDGUIDEOTP</w:t>
                    </w:r>
                    <w:r>
                      <w:rPr>
                        <w:rFonts w:ascii="Arial"/>
                        <w:color w:val="414142"/>
                        <w:w w:val="110"/>
                        <w:sz w:val="18"/>
                      </w:rPr>
                      <w:t>).</w:t>
                    </w:r>
                  </w:p>
                </w:txbxContent>
              </v:textbox>
              <w10:wrap type="none"/>
            </v:shape>
            <v:shape style="position:absolute;left:10;top:10;width:4850;height:587" type="#_x0000_t202" filled="true" fillcolor="#377f9a" stroked="false">
              <v:textbox inset="0,0,0,0">
                <w:txbxContent>
                  <w:p>
                    <w:pPr>
                      <w:spacing w:before="127"/>
                      <w:ind w:left="230" w:right="0" w:firstLine="0"/>
                      <w:jc w:val="left"/>
                      <w:rPr>
                        <w:rFonts w:ascii="Arial"/>
                        <w:b/>
                        <w:sz w:val="26"/>
                      </w:rPr>
                    </w:pPr>
                    <w:r>
                      <w:rPr>
                        <w:rFonts w:ascii="Arial"/>
                        <w:b/>
                        <w:color w:val="FFFFFF"/>
                        <w:sz w:val="26"/>
                      </w:rPr>
                      <w:t>RESOURCE ALERT</w:t>
                    </w:r>
                  </w:p>
                </w:txbxContent>
              </v:textbox>
              <v:fill type="solid"/>
              <w10:wrap type="none"/>
            </v:shape>
          </v:group>
        </w:pict>
      </w:r>
      <w:r>
        <w:rPr>
          <w:rFonts w:ascii="Arial"/>
          <w:sz w:val="20"/>
        </w:rPr>
      </w:r>
    </w:p>
    <w:p>
      <w:pPr>
        <w:pStyle w:val="Heading3"/>
        <w:spacing w:before="189"/>
        <w:ind w:left="129"/>
      </w:pPr>
      <w:bookmarkStart w:name="_TOC_250107" w:id="8"/>
      <w:bookmarkEnd w:id="8"/>
      <w:r>
        <w:rPr>
          <w:color w:val="137692"/>
          <w:w w:val="110"/>
        </w:rPr>
        <w:t>Naltrexone</w:t>
      </w:r>
    </w:p>
    <w:p>
      <w:pPr>
        <w:spacing w:line="244" w:lineRule="auto" w:before="42"/>
        <w:ind w:left="129" w:right="347" w:firstLine="0"/>
        <w:jc w:val="left"/>
        <w:rPr>
          <w:sz w:val="22"/>
        </w:rPr>
      </w:pPr>
      <w:r>
        <w:rPr>
          <w:rFonts w:ascii="Calibri" w:hAnsi="Calibri"/>
          <w:b/>
          <w:color w:val="4D4D4F"/>
          <w:w w:val="110"/>
          <w:sz w:val="22"/>
        </w:rPr>
        <w:t>XR-NTX has demonstrated  efﬁcacy  in </w:t>
      </w:r>
      <w:r>
        <w:rPr>
          <w:rFonts w:ascii="Calibri" w:hAnsi="Calibri"/>
          <w:b/>
          <w:color w:val="4D4D4F"/>
          <w:spacing w:val="-4"/>
          <w:w w:val="110"/>
          <w:sz w:val="22"/>
        </w:rPr>
        <w:t>reducing </w:t>
      </w:r>
      <w:r>
        <w:rPr>
          <w:rFonts w:ascii="Calibri" w:hAnsi="Calibri"/>
          <w:b/>
          <w:color w:val="4D4D4F"/>
          <w:spacing w:val="-3"/>
          <w:w w:val="110"/>
          <w:sz w:val="22"/>
        </w:rPr>
        <w:t>return </w:t>
      </w:r>
      <w:r>
        <w:rPr>
          <w:rFonts w:ascii="Calibri" w:hAnsi="Calibri"/>
          <w:b/>
          <w:color w:val="4D4D4F"/>
          <w:w w:val="110"/>
          <w:sz w:val="22"/>
        </w:rPr>
        <w:t>to </w:t>
      </w:r>
      <w:r>
        <w:rPr>
          <w:rFonts w:ascii="Calibri" w:hAnsi="Calibri"/>
          <w:b/>
          <w:color w:val="4D4D4F"/>
          <w:spacing w:val="-3"/>
          <w:w w:val="110"/>
          <w:sz w:val="22"/>
        </w:rPr>
        <w:t>illicit opioid use, </w:t>
      </w:r>
      <w:r>
        <w:rPr>
          <w:rFonts w:ascii="Calibri" w:hAnsi="Calibri"/>
          <w:b/>
          <w:color w:val="4D4D4F"/>
          <w:spacing w:val="-4"/>
          <w:w w:val="110"/>
          <w:sz w:val="22"/>
        </w:rPr>
        <w:t>increasing </w:t>
      </w:r>
      <w:r>
        <w:rPr>
          <w:rFonts w:ascii="Calibri" w:hAnsi="Calibri"/>
          <w:b/>
          <w:color w:val="4D4D4F"/>
          <w:w w:val="110"/>
          <w:sz w:val="22"/>
        </w:rPr>
        <w:t>treatment retention, and reducing opioid craving </w:t>
      </w:r>
      <w:r>
        <w:rPr>
          <w:color w:val="4D4D4F"/>
          <w:w w:val="110"/>
          <w:sz w:val="22"/>
        </w:rPr>
        <w:t>compared with placebo or no medica- tion in randomized controlled trials.</w:t>
      </w:r>
      <w:r>
        <w:rPr>
          <w:color w:val="4D4D4F"/>
          <w:w w:val="110"/>
          <w:position w:val="7"/>
          <w:sz w:val="13"/>
        </w:rPr>
        <w:t>18,19,20 </w:t>
      </w:r>
      <w:r>
        <w:rPr>
          <w:color w:val="4D4D4F"/>
          <w:w w:val="110"/>
          <w:sz w:val="22"/>
        </w:rPr>
        <w:t>(See Part 1 for more information on naltrexone’s efﬁcacy in OUD treatment.) Because the</w:t>
      </w:r>
      <w:r>
        <w:rPr>
          <w:color w:val="4D4D4F"/>
          <w:spacing w:val="-49"/>
          <w:w w:val="110"/>
          <w:sz w:val="22"/>
        </w:rPr>
        <w:t> </w:t>
      </w:r>
      <w:r>
        <w:rPr>
          <w:color w:val="4D4D4F"/>
          <w:w w:val="110"/>
          <w:sz w:val="22"/>
        </w:rPr>
        <w:t>inject- able form was approved more recently by FDA than methadone and buprenorphine, XR-NTX has been less studied than those medications. Physicians, NPs, and, </w:t>
      </w:r>
      <w:r>
        <w:rPr>
          <w:color w:val="4D4D4F"/>
          <w:spacing w:val="-5"/>
          <w:w w:val="110"/>
          <w:sz w:val="22"/>
        </w:rPr>
        <w:t>PAs,  </w:t>
      </w:r>
      <w:r>
        <w:rPr>
          <w:color w:val="4D4D4F"/>
          <w:w w:val="110"/>
          <w:sz w:val="22"/>
        </w:rPr>
        <w:t>and, until October 1, 2023, clinical nurse specialists, certiﬁed registered nurse anesthetists, and certiﬁed nurse</w:t>
      </w:r>
      <w:r>
        <w:rPr>
          <w:color w:val="4D4D4F"/>
          <w:spacing w:val="-31"/>
          <w:w w:val="110"/>
          <w:sz w:val="22"/>
        </w:rPr>
        <w:t> </w:t>
      </w:r>
      <w:r>
        <w:rPr>
          <w:color w:val="4D4D4F"/>
          <w:w w:val="110"/>
          <w:sz w:val="22"/>
        </w:rPr>
        <w:t>midwives</w:t>
      </w:r>
      <w:r>
        <w:rPr>
          <w:color w:val="4D4D4F"/>
          <w:spacing w:val="-31"/>
          <w:w w:val="110"/>
          <w:sz w:val="22"/>
        </w:rPr>
        <w:t> </w:t>
      </w:r>
      <w:r>
        <w:rPr>
          <w:color w:val="4D4D4F"/>
          <w:w w:val="110"/>
          <w:sz w:val="22"/>
        </w:rPr>
        <w:t>may</w:t>
      </w:r>
      <w:r>
        <w:rPr>
          <w:color w:val="4D4D4F"/>
          <w:spacing w:val="-31"/>
          <w:w w:val="110"/>
          <w:sz w:val="22"/>
        </w:rPr>
        <w:t> </w:t>
      </w:r>
      <w:r>
        <w:rPr>
          <w:color w:val="4D4D4F"/>
          <w:w w:val="110"/>
          <w:sz w:val="22"/>
        </w:rPr>
        <w:t>prescribe</w:t>
      </w:r>
      <w:r>
        <w:rPr>
          <w:color w:val="4D4D4F"/>
          <w:spacing w:val="-31"/>
          <w:w w:val="110"/>
          <w:sz w:val="22"/>
        </w:rPr>
        <w:t> </w:t>
      </w:r>
      <w:r>
        <w:rPr>
          <w:color w:val="4D4D4F"/>
          <w:w w:val="110"/>
          <w:sz w:val="22"/>
        </w:rPr>
        <w:t>or</w:t>
      </w:r>
      <w:r>
        <w:rPr>
          <w:color w:val="4D4D4F"/>
          <w:spacing w:val="-31"/>
          <w:w w:val="110"/>
          <w:sz w:val="22"/>
        </w:rPr>
        <w:t> </w:t>
      </w:r>
      <w:r>
        <w:rPr>
          <w:color w:val="4D4D4F"/>
          <w:w w:val="110"/>
          <w:sz w:val="22"/>
        </w:rPr>
        <w:t>order</w:t>
      </w:r>
      <w:r>
        <w:rPr>
          <w:color w:val="4D4D4F"/>
          <w:spacing w:val="-30"/>
          <w:w w:val="110"/>
          <w:sz w:val="22"/>
        </w:rPr>
        <w:t> </w:t>
      </w:r>
      <w:r>
        <w:rPr>
          <w:color w:val="4D4D4F"/>
          <w:spacing w:val="-3"/>
          <w:w w:val="110"/>
          <w:sz w:val="22"/>
        </w:rPr>
        <w:t>XR-NTX </w:t>
      </w:r>
      <w:r>
        <w:rPr>
          <w:color w:val="4D4D4F"/>
          <w:w w:val="110"/>
          <w:sz w:val="22"/>
        </w:rPr>
        <w:t>for administration by qualiﬁed staff members without additional waiver</w:t>
      </w:r>
      <w:r>
        <w:rPr>
          <w:color w:val="4D4D4F"/>
          <w:spacing w:val="-18"/>
          <w:w w:val="110"/>
          <w:sz w:val="22"/>
        </w:rPr>
        <w:t> </w:t>
      </w:r>
      <w:r>
        <w:rPr>
          <w:color w:val="4D4D4F"/>
          <w:w w:val="110"/>
          <w:sz w:val="22"/>
        </w:rPr>
        <w:t>requirements.</w:t>
      </w:r>
    </w:p>
    <w:p>
      <w:pPr>
        <w:spacing w:line="242" w:lineRule="auto" w:before="186"/>
        <w:ind w:left="129" w:right="183" w:firstLine="0"/>
        <w:jc w:val="left"/>
        <w:rPr>
          <w:sz w:val="13"/>
        </w:rPr>
      </w:pPr>
      <w:r>
        <w:rPr>
          <w:rFonts w:ascii="Calibri" w:hAnsi="Calibri"/>
          <w:b/>
          <w:color w:val="4D4D4F"/>
          <w:w w:val="110"/>
          <w:sz w:val="22"/>
        </w:rPr>
        <w:t>XR-NTX initiated prior to release from controlled environments </w:t>
      </w:r>
      <w:r>
        <w:rPr>
          <w:color w:val="4D4D4F"/>
          <w:w w:val="110"/>
          <w:sz w:val="22"/>
        </w:rPr>
        <w:t>(e.g., jails, prisons, residential rehabilitation programs) </w:t>
      </w:r>
      <w:r>
        <w:rPr>
          <w:rFonts w:ascii="Calibri" w:hAnsi="Calibri"/>
          <w:b/>
          <w:color w:val="4D4D4F"/>
          <w:w w:val="110"/>
          <w:sz w:val="22"/>
        </w:rPr>
        <w:t>may be useful in preventing return to opioid use after release.</w:t>
      </w:r>
      <w:r>
        <w:rPr>
          <w:rFonts w:ascii="Calibri" w:hAnsi="Calibri"/>
          <w:b/>
          <w:color w:val="4D4D4F"/>
          <w:w w:val="110"/>
          <w:position w:val="7"/>
          <w:sz w:val="13"/>
        </w:rPr>
        <w:t>21 </w:t>
      </w:r>
      <w:r>
        <w:rPr>
          <w:color w:val="4D4D4F"/>
          <w:w w:val="110"/>
          <w:sz w:val="22"/>
        </w:rPr>
        <w:t>These settings are typically associated with extended periods of opioid abstinence, so maintaining abstinence for sufﬁcient time to </w:t>
      </w:r>
      <w:r>
        <w:rPr>
          <w:color w:val="4D4D4F"/>
          <w:spacing w:val="-4"/>
          <w:w w:val="110"/>
          <w:sz w:val="22"/>
        </w:rPr>
        <w:t>start </w:t>
      </w:r>
      <w:r>
        <w:rPr>
          <w:color w:val="4D4D4F"/>
          <w:w w:val="110"/>
          <w:sz w:val="22"/>
        </w:rPr>
        <w:t>naltrexone is less challenging than initiating it among outpatients in the community. Short-term pilot studies show that offering naltrexone under these circumstances can increase treatment engagement after</w:t>
      </w:r>
      <w:r>
        <w:rPr>
          <w:color w:val="4D4D4F"/>
          <w:spacing w:val="-6"/>
          <w:w w:val="110"/>
          <w:sz w:val="22"/>
        </w:rPr>
        <w:t> </w:t>
      </w:r>
      <w:r>
        <w:rPr>
          <w:color w:val="4D4D4F"/>
          <w:w w:val="110"/>
          <w:sz w:val="22"/>
        </w:rPr>
        <w:t>release.</w:t>
      </w:r>
      <w:r>
        <w:rPr>
          <w:color w:val="4D4D4F"/>
          <w:w w:val="110"/>
          <w:position w:val="7"/>
          <w:sz w:val="13"/>
        </w:rPr>
        <w:t>22,23</w:t>
      </w:r>
    </w:p>
    <w:p>
      <w:pPr>
        <w:spacing w:line="237" w:lineRule="auto" w:before="190"/>
        <w:ind w:left="129" w:right="489" w:firstLine="0"/>
        <w:jc w:val="left"/>
        <w:rPr>
          <w:sz w:val="22"/>
        </w:rPr>
      </w:pPr>
      <w:r>
        <w:rPr>
          <w:rFonts w:ascii="Calibri"/>
          <w:b/>
          <w:color w:val="4D4D4F"/>
          <w:w w:val="110"/>
          <w:sz w:val="22"/>
        </w:rPr>
        <w:t>The oral formulation of naltrexone is not widely used to treat OUD </w:t>
      </w:r>
      <w:r>
        <w:rPr>
          <w:color w:val="4D4D4F"/>
          <w:w w:val="110"/>
          <w:sz w:val="22"/>
        </w:rPr>
        <w:t>because of low rates of patient acceptance and high rates of</w:t>
      </w:r>
    </w:p>
    <w:p>
      <w:pPr>
        <w:spacing w:after="0" w:line="237" w:lineRule="auto"/>
        <w:jc w:val="left"/>
        <w:rPr>
          <w:sz w:val="22"/>
        </w:rPr>
        <w:sectPr>
          <w:type w:val="continuous"/>
          <w:pgSz w:w="12240" w:h="15840"/>
          <w:pgMar w:top="540" w:bottom="280" w:left="940" w:right="920"/>
          <w:cols w:num="2" w:equalWidth="0">
            <w:col w:w="5021" w:space="209"/>
            <w:col w:w="5150"/>
          </w:cols>
        </w:sectPr>
      </w:pPr>
    </w:p>
    <w:p>
      <w:pPr>
        <w:pStyle w:val="BodyText"/>
        <w:spacing w:before="8"/>
        <w:rPr>
          <w:sz w:val="26"/>
        </w:rPr>
      </w:pPr>
    </w:p>
    <w:p>
      <w:pPr>
        <w:spacing w:after="0"/>
        <w:rPr>
          <w:sz w:val="26"/>
        </w:rPr>
        <w:sectPr>
          <w:pgSz w:w="12240" w:h="15840"/>
          <w:pgMar w:header="576" w:footer="677" w:top="1340" w:bottom="860" w:left="940" w:right="920"/>
        </w:sectPr>
      </w:pPr>
    </w:p>
    <w:p>
      <w:pPr>
        <w:pStyle w:val="BodyText"/>
        <w:spacing w:before="10"/>
        <w:rPr>
          <w:sz w:val="11"/>
        </w:rPr>
      </w:pPr>
    </w:p>
    <w:p>
      <w:pPr>
        <w:pStyle w:val="BodyText"/>
        <w:ind w:left="140" w:right="-101"/>
        <w:rPr>
          <w:sz w:val="20"/>
        </w:rPr>
      </w:pPr>
      <w:r>
        <w:rPr>
          <w:sz w:val="20"/>
        </w:rPr>
        <w:pict>
          <v:group style="width:243.5pt;height:198pt;mso-position-horizontal-relative:char;mso-position-vertical-relative:line" coordorigin="0,0" coordsize="4870,3960">
            <v:rect style="position:absolute;left:5;top:5;width:4860;height:3950" filled="false" stroked="true" strokeweight=".5pt" strokecolor="#88aabd">
              <v:stroke dashstyle="solid"/>
            </v:rect>
            <v:shape style="position:absolute;left:10;top:596;width:4850;height:3353" type="#_x0000_t202" filled="false" stroked="false">
              <v:textbox inset="0,0,0,0">
                <w:txbxContent>
                  <w:p>
                    <w:pPr>
                      <w:spacing w:line="278" w:lineRule="auto" w:before="59"/>
                      <w:ind w:left="230" w:right="584" w:firstLine="0"/>
                      <w:jc w:val="left"/>
                      <w:rPr>
                        <w:rFonts w:ascii="Arial"/>
                        <w:b/>
                        <w:sz w:val="24"/>
                      </w:rPr>
                    </w:pPr>
                    <w:r>
                      <w:rPr>
                        <w:rFonts w:ascii="Arial"/>
                        <w:b/>
                        <w:color w:val="137692"/>
                        <w:w w:val="105"/>
                        <w:sz w:val="24"/>
                      </w:rPr>
                      <w:t>SAMHSA Brief Guide on the Use of XR-NTX</w:t>
                    </w:r>
                  </w:p>
                  <w:p>
                    <w:pPr>
                      <w:spacing w:line="348" w:lineRule="auto" w:before="154"/>
                      <w:ind w:left="230" w:right="333" w:firstLine="0"/>
                      <w:jc w:val="left"/>
                      <w:rPr>
                        <w:rFonts w:ascii="Arial" w:hAnsi="Arial"/>
                        <w:sz w:val="18"/>
                      </w:rPr>
                    </w:pPr>
                    <w:r>
                      <w:rPr>
                        <w:rFonts w:ascii="Arial" w:hAnsi="Arial"/>
                        <w:color w:val="414142"/>
                        <w:w w:val="115"/>
                        <w:sz w:val="18"/>
                      </w:rPr>
                      <w:t>SAMHSA’s </w:t>
                    </w:r>
                    <w:r>
                      <w:rPr>
                        <w:rFonts w:ascii="Arial" w:hAnsi="Arial"/>
                        <w:i/>
                        <w:color w:val="414142"/>
                        <w:w w:val="115"/>
                        <w:sz w:val="18"/>
                      </w:rPr>
                      <w:t>Clinical Use of Extended-Release </w:t>
                    </w:r>
                    <w:r>
                      <w:rPr>
                        <w:rFonts w:ascii="Arial" w:hAnsi="Arial"/>
                        <w:i/>
                        <w:color w:val="414142"/>
                        <w:w w:val="115"/>
                        <w:sz w:val="18"/>
                      </w:rPr>
                      <w:t>Injectable Naltrexone in the Treatment of Opioid Use Disorder: A Brief Guide </w:t>
                    </w:r>
                    <w:r>
                      <w:rPr>
                        <w:rFonts w:ascii="Arial" w:hAnsi="Arial"/>
                        <w:color w:val="414142"/>
                        <w:w w:val="115"/>
                        <w:sz w:val="18"/>
                      </w:rPr>
                      <w:t>offers guidance</w:t>
                    </w:r>
                    <w:r>
                      <w:rPr>
                        <w:rFonts w:ascii="Arial" w:hAnsi="Arial"/>
                        <w:color w:val="414142"/>
                        <w:spacing w:val="-18"/>
                        <w:w w:val="115"/>
                        <w:sz w:val="18"/>
                      </w:rPr>
                      <w:t> </w:t>
                    </w:r>
                    <w:r>
                      <w:rPr>
                        <w:rFonts w:ascii="Arial" w:hAnsi="Arial"/>
                        <w:color w:val="414142"/>
                        <w:w w:val="115"/>
                        <w:sz w:val="18"/>
                      </w:rPr>
                      <w:t>on</w:t>
                    </w:r>
                    <w:r>
                      <w:rPr>
                        <w:rFonts w:ascii="Arial" w:hAnsi="Arial"/>
                        <w:color w:val="414142"/>
                        <w:spacing w:val="-18"/>
                        <w:w w:val="115"/>
                        <w:sz w:val="18"/>
                      </w:rPr>
                      <w:t> </w:t>
                    </w:r>
                    <w:r>
                      <w:rPr>
                        <w:rFonts w:ascii="Arial" w:hAnsi="Arial"/>
                        <w:color w:val="414142"/>
                        <w:w w:val="115"/>
                        <w:sz w:val="18"/>
                      </w:rPr>
                      <w:t>the</w:t>
                    </w:r>
                    <w:r>
                      <w:rPr>
                        <w:rFonts w:ascii="Arial" w:hAnsi="Arial"/>
                        <w:color w:val="414142"/>
                        <w:spacing w:val="-17"/>
                        <w:w w:val="115"/>
                        <w:sz w:val="18"/>
                      </w:rPr>
                      <w:t> </w:t>
                    </w:r>
                    <w:r>
                      <w:rPr>
                        <w:rFonts w:ascii="Arial" w:hAnsi="Arial"/>
                        <w:color w:val="414142"/>
                        <w:w w:val="115"/>
                        <w:sz w:val="18"/>
                      </w:rPr>
                      <w:t>use</w:t>
                    </w:r>
                    <w:r>
                      <w:rPr>
                        <w:rFonts w:ascii="Arial" w:hAnsi="Arial"/>
                        <w:color w:val="414142"/>
                        <w:spacing w:val="-18"/>
                        <w:w w:val="115"/>
                        <w:sz w:val="18"/>
                      </w:rPr>
                      <w:t> </w:t>
                    </w:r>
                    <w:r>
                      <w:rPr>
                        <w:rFonts w:ascii="Arial" w:hAnsi="Arial"/>
                        <w:color w:val="414142"/>
                        <w:w w:val="115"/>
                        <w:sz w:val="18"/>
                      </w:rPr>
                      <w:t>of</w:t>
                    </w:r>
                    <w:r>
                      <w:rPr>
                        <w:rFonts w:ascii="Arial" w:hAnsi="Arial"/>
                        <w:color w:val="414142"/>
                        <w:spacing w:val="-17"/>
                        <w:w w:val="115"/>
                        <w:sz w:val="18"/>
                      </w:rPr>
                      <w:t> </w:t>
                    </w:r>
                    <w:r>
                      <w:rPr>
                        <w:rFonts w:ascii="Arial" w:hAnsi="Arial"/>
                        <w:color w:val="414142"/>
                        <w:w w:val="115"/>
                        <w:sz w:val="18"/>
                      </w:rPr>
                      <w:t>XR-NTX</w:t>
                    </w:r>
                    <w:r>
                      <w:rPr>
                        <w:rFonts w:ascii="Arial" w:hAnsi="Arial"/>
                        <w:color w:val="414142"/>
                        <w:spacing w:val="-18"/>
                        <w:w w:val="115"/>
                        <w:sz w:val="18"/>
                      </w:rPr>
                      <w:t> </w:t>
                    </w:r>
                    <w:r>
                      <w:rPr>
                        <w:rFonts w:ascii="Arial" w:hAnsi="Arial"/>
                        <w:color w:val="414142"/>
                        <w:w w:val="115"/>
                        <w:sz w:val="18"/>
                      </w:rPr>
                      <w:t>and</w:t>
                    </w:r>
                    <w:r>
                      <w:rPr>
                        <w:rFonts w:ascii="Arial" w:hAnsi="Arial"/>
                        <w:color w:val="414142"/>
                        <w:spacing w:val="-17"/>
                        <w:w w:val="115"/>
                        <w:sz w:val="18"/>
                      </w:rPr>
                      <w:t> </w:t>
                    </w:r>
                    <w:r>
                      <w:rPr>
                        <w:rFonts w:ascii="Arial" w:hAnsi="Arial"/>
                        <w:color w:val="414142"/>
                        <w:w w:val="115"/>
                        <w:sz w:val="18"/>
                      </w:rPr>
                      <w:t>is</w:t>
                    </w:r>
                    <w:r>
                      <w:rPr>
                        <w:rFonts w:ascii="Arial" w:hAnsi="Arial"/>
                        <w:color w:val="414142"/>
                        <w:spacing w:val="-18"/>
                        <w:w w:val="115"/>
                        <w:sz w:val="18"/>
                      </w:rPr>
                      <w:t> </w:t>
                    </w:r>
                    <w:r>
                      <w:rPr>
                        <w:rFonts w:ascii="Arial" w:hAnsi="Arial"/>
                        <w:color w:val="414142"/>
                        <w:w w:val="115"/>
                        <w:sz w:val="18"/>
                      </w:rPr>
                      <w:t>available online</w:t>
                    </w:r>
                    <w:r>
                      <w:rPr>
                        <w:rFonts w:ascii="Arial" w:hAnsi="Arial"/>
                        <w:color w:val="414142"/>
                        <w:spacing w:val="37"/>
                        <w:w w:val="115"/>
                        <w:sz w:val="18"/>
                      </w:rPr>
                      <w:t> </w:t>
                    </w:r>
                    <w:r>
                      <w:rPr>
                        <w:rFonts w:ascii="Arial" w:hAnsi="Arial"/>
                        <w:color w:val="414142"/>
                        <w:w w:val="115"/>
                        <w:sz w:val="18"/>
                      </w:rPr>
                      <w:t>(</w:t>
                    </w:r>
                    <w:r>
                      <w:rPr>
                        <w:rFonts w:ascii="Arial" w:hAnsi="Arial"/>
                        <w:color w:val="3B68A6"/>
                        <w:w w:val="115"/>
                        <w:sz w:val="18"/>
                        <w:u w:val="single" w:color="3B68A6"/>
                      </w:rPr>
                      <w:t>https://store.samhsa.gov/product</w:t>
                    </w:r>
                  </w:p>
                  <w:p>
                    <w:pPr>
                      <w:spacing w:line="207" w:lineRule="exact" w:before="0"/>
                      <w:ind w:left="230" w:right="0" w:firstLine="0"/>
                      <w:jc w:val="left"/>
                      <w:rPr>
                        <w:rFonts w:ascii="Arial"/>
                        <w:sz w:val="18"/>
                      </w:rPr>
                    </w:pPr>
                    <w:r>
                      <w:rPr>
                        <w:rFonts w:ascii="Arial"/>
                        <w:color w:val="3B68A6"/>
                        <w:w w:val="115"/>
                        <w:sz w:val="18"/>
                        <w:u w:val="single" w:color="3B68A6"/>
                      </w:rPr>
                      <w:t>/Clinical-Use-of-Extended-Release-Injectable</w:t>
                    </w:r>
                  </w:p>
                  <w:p>
                    <w:pPr>
                      <w:spacing w:before="93"/>
                      <w:ind w:left="230" w:right="0" w:firstLine="0"/>
                      <w:jc w:val="left"/>
                      <w:rPr>
                        <w:rFonts w:ascii="Arial"/>
                        <w:sz w:val="18"/>
                      </w:rPr>
                    </w:pPr>
                    <w:r>
                      <w:rPr>
                        <w:rFonts w:ascii="Arial"/>
                        <w:color w:val="3B68A6"/>
                        <w:w w:val="115"/>
                        <w:sz w:val="18"/>
                        <w:u w:val="single" w:color="3B68A6"/>
                      </w:rPr>
                      <w:t>-Naltrexone-in-the-Treatment-of-Opioid-Use</w:t>
                    </w:r>
                  </w:p>
                  <w:p>
                    <w:pPr>
                      <w:spacing w:before="93"/>
                      <w:ind w:left="230" w:right="0" w:firstLine="0"/>
                      <w:jc w:val="left"/>
                      <w:rPr>
                        <w:rFonts w:ascii="Arial"/>
                        <w:sz w:val="18"/>
                      </w:rPr>
                    </w:pPr>
                    <w:r>
                      <w:rPr>
                        <w:rFonts w:ascii="Arial"/>
                        <w:color w:val="3B68A6"/>
                        <w:w w:val="110"/>
                        <w:sz w:val="18"/>
                        <w:u w:val="single" w:color="3B68A6"/>
                      </w:rPr>
                      <w:t>-Disorder-A-Brief-Guide/SMA14-4892R</w:t>
                    </w:r>
                    <w:r>
                      <w:rPr>
                        <w:rFonts w:ascii="Arial"/>
                        <w:color w:val="414142"/>
                        <w:w w:val="110"/>
                        <w:sz w:val="18"/>
                      </w:rPr>
                      <w:t>).</w:t>
                    </w:r>
                  </w:p>
                </w:txbxContent>
              </v:textbox>
              <w10:wrap type="none"/>
            </v:shape>
            <v:shape style="position:absolute;left:10;top:10;width:4850;height:587" type="#_x0000_t202" filled="true" fillcolor="#377f9a" stroked="false">
              <v:textbox inset="0,0,0,0">
                <w:txbxContent>
                  <w:p>
                    <w:pPr>
                      <w:spacing w:before="127"/>
                      <w:ind w:left="230" w:right="0" w:firstLine="0"/>
                      <w:jc w:val="left"/>
                      <w:rPr>
                        <w:rFonts w:ascii="Arial"/>
                        <w:b/>
                        <w:sz w:val="26"/>
                      </w:rPr>
                    </w:pPr>
                    <w:r>
                      <w:rPr>
                        <w:rFonts w:ascii="Arial"/>
                        <w:b/>
                        <w:color w:val="FFFFFF"/>
                        <w:sz w:val="26"/>
                      </w:rPr>
                      <w:t>RESOURCE ALERT</w:t>
                    </w:r>
                  </w:p>
                </w:txbxContent>
              </v:textbox>
              <v:fill type="solid"/>
              <w10:wrap type="none"/>
            </v:shape>
          </v:group>
        </w:pict>
      </w:r>
      <w:r>
        <w:rPr>
          <w:sz w:val="20"/>
        </w:rPr>
      </w:r>
    </w:p>
    <w:p>
      <w:pPr>
        <w:pStyle w:val="BodyText"/>
        <w:spacing w:before="6"/>
        <w:rPr>
          <w:sz w:val="25"/>
        </w:rPr>
      </w:pPr>
    </w:p>
    <w:p>
      <w:pPr>
        <w:pStyle w:val="BodyText"/>
        <w:spacing w:line="247" w:lineRule="auto"/>
        <w:ind w:left="150" w:right="416"/>
      </w:pPr>
      <w:r>
        <w:rPr>
          <w:color w:val="4D4D4F"/>
          <w:spacing w:val="-3"/>
          <w:w w:val="110"/>
        </w:rPr>
        <w:t>nonadherence leading </w:t>
      </w:r>
      <w:r>
        <w:rPr>
          <w:color w:val="4D4D4F"/>
          <w:w w:val="110"/>
        </w:rPr>
        <w:t>to a </w:t>
      </w:r>
      <w:r>
        <w:rPr>
          <w:color w:val="4D4D4F"/>
          <w:spacing w:val="-3"/>
          <w:w w:val="110"/>
        </w:rPr>
        <w:t>lack </w:t>
      </w:r>
      <w:r>
        <w:rPr>
          <w:color w:val="4D4D4F"/>
          <w:w w:val="110"/>
        </w:rPr>
        <w:t>of </w:t>
      </w:r>
      <w:r>
        <w:rPr>
          <w:color w:val="4D4D4F"/>
          <w:spacing w:val="-5"/>
          <w:w w:val="110"/>
        </w:rPr>
        <w:t>efﬁcacy.</w:t>
      </w:r>
      <w:r>
        <w:rPr>
          <w:color w:val="4D4D4F"/>
          <w:spacing w:val="-5"/>
          <w:w w:val="110"/>
          <w:position w:val="7"/>
          <w:sz w:val="13"/>
        </w:rPr>
        <w:t>24 </w:t>
      </w:r>
      <w:r>
        <w:rPr>
          <w:color w:val="4D4D4F"/>
          <w:spacing w:val="-5"/>
          <w:w w:val="110"/>
        </w:rPr>
        <w:t>However, </w:t>
      </w:r>
      <w:r>
        <w:rPr>
          <w:color w:val="4D4D4F"/>
          <w:w w:val="110"/>
        </w:rPr>
        <w:t>consideration should be given to its use in situations where adherence can be ensured, such as with observed daily</w:t>
      </w:r>
      <w:r>
        <w:rPr>
          <w:color w:val="4D4D4F"/>
          <w:spacing w:val="63"/>
          <w:w w:val="110"/>
        </w:rPr>
        <w:t> </w:t>
      </w:r>
      <w:r>
        <w:rPr>
          <w:color w:val="4D4D4F"/>
          <w:spacing w:val="-3"/>
          <w:w w:val="110"/>
        </w:rPr>
        <w:t>dosing.</w:t>
      </w:r>
    </w:p>
    <w:p>
      <w:pPr>
        <w:pStyle w:val="BodyText"/>
        <w:spacing w:line="247" w:lineRule="auto" w:before="5"/>
        <w:ind w:left="150" w:right="69"/>
      </w:pPr>
      <w:r>
        <w:rPr>
          <w:color w:val="4D4D4F"/>
          <w:w w:val="110"/>
        </w:rPr>
        <w:t>Naltrexone is also FDA approved for the treatment of alcohol use disorder and therefore may be useful for patients with both OUD and alcohol use disorder.</w:t>
      </w:r>
    </w:p>
    <w:p>
      <w:pPr>
        <w:pStyle w:val="BodyText"/>
        <w:spacing w:before="1"/>
        <w:rPr>
          <w:sz w:val="23"/>
        </w:rPr>
      </w:pPr>
    </w:p>
    <w:p>
      <w:pPr>
        <w:pStyle w:val="Heading3"/>
        <w:ind w:left="150"/>
      </w:pPr>
      <w:bookmarkStart w:name="_TOC_250106" w:id="9"/>
      <w:bookmarkEnd w:id="9"/>
      <w:r>
        <w:rPr>
          <w:color w:val="137692"/>
          <w:w w:val="110"/>
        </w:rPr>
        <w:t>Buprenorphine</w:t>
      </w:r>
    </w:p>
    <w:p>
      <w:pPr>
        <w:spacing w:line="240" w:lineRule="auto" w:before="43"/>
        <w:ind w:left="150" w:right="167" w:firstLine="0"/>
        <w:jc w:val="left"/>
        <w:rPr>
          <w:sz w:val="22"/>
        </w:rPr>
      </w:pPr>
      <w:r>
        <w:rPr>
          <w:rFonts w:ascii="Calibri"/>
          <w:b/>
          <w:color w:val="4D4D4F"/>
          <w:w w:val="110"/>
          <w:sz w:val="22"/>
        </w:rPr>
        <w:t>Buprenorphine is effective in retaining patients in treatment and reducing illicit opioid use, </w:t>
      </w:r>
      <w:r>
        <w:rPr>
          <w:color w:val="4D4D4F"/>
          <w:w w:val="110"/>
          <w:sz w:val="22"/>
        </w:rPr>
        <w:t>as demonstrated by many clinical trials comparing buprenorphine with placebo or no medication.</w:t>
      </w:r>
      <w:r>
        <w:rPr>
          <w:color w:val="4D4D4F"/>
          <w:w w:val="110"/>
          <w:position w:val="7"/>
          <w:sz w:val="13"/>
        </w:rPr>
        <w:t>25 </w:t>
      </w:r>
      <w:r>
        <w:rPr>
          <w:color w:val="4D4D4F"/>
          <w:w w:val="110"/>
          <w:sz w:val="22"/>
        </w:rPr>
        <w:t>Buprenorphine treatment</w:t>
      </w:r>
      <w:r>
        <w:rPr>
          <w:color w:val="4D4D4F"/>
          <w:spacing w:val="-38"/>
          <w:w w:val="110"/>
          <w:sz w:val="22"/>
        </w:rPr>
        <w:t> </w:t>
      </w:r>
      <w:r>
        <w:rPr>
          <w:color w:val="4D4D4F"/>
          <w:spacing w:val="-8"/>
          <w:w w:val="110"/>
          <w:sz w:val="22"/>
        </w:rPr>
        <w:t>is</w:t>
      </w:r>
    </w:p>
    <w:p>
      <w:pPr>
        <w:pStyle w:val="BodyText"/>
        <w:spacing w:line="247" w:lineRule="auto" w:before="9"/>
        <w:ind w:left="150" w:right="-10"/>
      </w:pPr>
      <w:r>
        <w:rPr>
          <w:color w:val="4D4D4F"/>
          <w:w w:val="110"/>
        </w:rPr>
        <w:t>available throughout the world. WHO includes </w:t>
      </w:r>
      <w:r>
        <w:rPr>
          <w:color w:val="4D4D4F"/>
          <w:spacing w:val="-9"/>
          <w:w w:val="110"/>
        </w:rPr>
        <w:t>it </w:t>
      </w:r>
      <w:r>
        <w:rPr>
          <w:color w:val="4D4D4F"/>
          <w:w w:val="110"/>
        </w:rPr>
        <w:t>in its list of essential medicines.</w:t>
      </w:r>
      <w:r>
        <w:rPr>
          <w:color w:val="4D4D4F"/>
          <w:w w:val="110"/>
          <w:position w:val="7"/>
          <w:sz w:val="13"/>
        </w:rPr>
        <w:t>26 </w:t>
      </w:r>
      <w:r>
        <w:rPr>
          <w:color w:val="4D4D4F"/>
          <w:w w:val="110"/>
        </w:rPr>
        <w:t>(See Part 1 for more information on buprenorphine’s efﬁcacy in OUD treatment.)</w:t>
      </w:r>
    </w:p>
    <w:p>
      <w:pPr>
        <w:pStyle w:val="Heading7"/>
        <w:spacing w:line="235" w:lineRule="auto" w:before="184"/>
        <w:ind w:left="150" w:right="362"/>
      </w:pPr>
      <w:r>
        <w:rPr>
          <w:color w:val="4D4D4F"/>
          <w:w w:val="110"/>
        </w:rPr>
        <w:t>Buprenorphine is a partial agonist with a ceiling effect on  opioid  </w:t>
      </w:r>
      <w:r>
        <w:rPr>
          <w:color w:val="4D4D4F"/>
          <w:spacing w:val="-3"/>
          <w:w w:val="110"/>
        </w:rPr>
        <w:t>activity.  </w:t>
      </w:r>
      <w:r>
        <w:rPr>
          <w:color w:val="4D4D4F"/>
          <w:w w:val="110"/>
        </w:rPr>
        <w:t>Hence,  it is</w:t>
      </w:r>
      <w:r>
        <w:rPr>
          <w:color w:val="4D4D4F"/>
          <w:spacing w:val="17"/>
          <w:w w:val="110"/>
        </w:rPr>
        <w:t> </w:t>
      </w:r>
      <w:r>
        <w:rPr>
          <w:color w:val="4D4D4F"/>
          <w:w w:val="110"/>
        </w:rPr>
        <w:t>less</w:t>
      </w:r>
      <w:r>
        <w:rPr>
          <w:color w:val="4D4D4F"/>
          <w:spacing w:val="18"/>
          <w:w w:val="110"/>
        </w:rPr>
        <w:t> </w:t>
      </w:r>
      <w:r>
        <w:rPr>
          <w:color w:val="4D4D4F"/>
          <w:w w:val="110"/>
        </w:rPr>
        <w:t>likely</w:t>
      </w:r>
      <w:r>
        <w:rPr>
          <w:color w:val="4D4D4F"/>
          <w:spacing w:val="18"/>
          <w:w w:val="110"/>
        </w:rPr>
        <w:t> </w:t>
      </w:r>
      <w:r>
        <w:rPr>
          <w:color w:val="4D4D4F"/>
          <w:w w:val="110"/>
        </w:rPr>
        <w:t>than</w:t>
      </w:r>
      <w:r>
        <w:rPr>
          <w:color w:val="4D4D4F"/>
          <w:spacing w:val="17"/>
          <w:w w:val="110"/>
        </w:rPr>
        <w:t> </w:t>
      </w:r>
      <w:r>
        <w:rPr>
          <w:color w:val="4D4D4F"/>
          <w:w w:val="110"/>
        </w:rPr>
        <w:t>methadone</w:t>
      </w:r>
      <w:r>
        <w:rPr>
          <w:color w:val="4D4D4F"/>
          <w:spacing w:val="18"/>
          <w:w w:val="110"/>
        </w:rPr>
        <w:t> </w:t>
      </w:r>
      <w:r>
        <w:rPr>
          <w:color w:val="4D4D4F"/>
          <w:w w:val="110"/>
        </w:rPr>
        <w:t>and</w:t>
      </w:r>
      <w:r>
        <w:rPr>
          <w:color w:val="4D4D4F"/>
          <w:spacing w:val="18"/>
          <w:w w:val="110"/>
        </w:rPr>
        <w:t> </w:t>
      </w:r>
      <w:r>
        <w:rPr>
          <w:color w:val="4D4D4F"/>
          <w:w w:val="110"/>
        </w:rPr>
        <w:t>other</w:t>
      </w:r>
      <w:r>
        <w:rPr>
          <w:color w:val="4D4D4F"/>
          <w:spacing w:val="17"/>
          <w:w w:val="110"/>
        </w:rPr>
        <w:t> </w:t>
      </w:r>
      <w:r>
        <w:rPr>
          <w:color w:val="4D4D4F"/>
          <w:spacing w:val="-4"/>
          <w:w w:val="110"/>
        </w:rPr>
        <w:t>full</w:t>
      </w:r>
    </w:p>
    <w:p>
      <w:pPr>
        <w:spacing w:line="244" w:lineRule="auto" w:before="0"/>
        <w:ind w:left="150" w:right="69" w:firstLine="0"/>
        <w:jc w:val="left"/>
        <w:rPr>
          <w:sz w:val="22"/>
        </w:rPr>
      </w:pPr>
      <w:r>
        <w:rPr>
          <w:rFonts w:ascii="Calibri"/>
          <w:b/>
          <w:color w:val="4D4D4F"/>
          <w:w w:val="110"/>
          <w:sz w:val="22"/>
        </w:rPr>
        <w:t>agonists to cause respiratory depression </w:t>
      </w:r>
      <w:r>
        <w:rPr>
          <w:color w:val="4D4D4F"/>
          <w:w w:val="110"/>
          <w:sz w:val="22"/>
        </w:rPr>
        <w:t>in </w:t>
      </w:r>
      <w:r>
        <w:rPr>
          <w:color w:val="4D4D4F"/>
          <w:spacing w:val="-8"/>
          <w:w w:val="110"/>
          <w:sz w:val="22"/>
        </w:rPr>
        <w:t>an </w:t>
      </w:r>
      <w:r>
        <w:rPr>
          <w:color w:val="4D4D4F"/>
          <w:w w:val="110"/>
          <w:sz w:val="22"/>
        </w:rPr>
        <w:t>accidental overdose. This property contributed to the decision permitting buprenorphine</w:t>
      </w:r>
      <w:r>
        <w:rPr>
          <w:color w:val="4D4D4F"/>
          <w:spacing w:val="-9"/>
          <w:w w:val="110"/>
          <w:sz w:val="22"/>
        </w:rPr>
        <w:t> </w:t>
      </w:r>
      <w:r>
        <w:rPr>
          <w:color w:val="4D4D4F"/>
          <w:w w:val="110"/>
          <w:sz w:val="22"/>
        </w:rPr>
        <w:t>to</w:t>
      </w:r>
    </w:p>
    <w:p>
      <w:pPr>
        <w:pStyle w:val="BodyText"/>
        <w:spacing w:line="247" w:lineRule="auto" w:before="1"/>
        <w:ind w:left="150" w:right="15"/>
      </w:pPr>
      <w:r>
        <w:rPr>
          <w:color w:val="4D4D4F"/>
          <w:w w:val="110"/>
        </w:rPr>
        <w:t>be prescribed to treat opioid dependence outside OTPs.</w:t>
      </w:r>
      <w:r>
        <w:rPr>
          <w:color w:val="4D4D4F"/>
          <w:w w:val="110"/>
          <w:position w:val="7"/>
          <w:sz w:val="13"/>
        </w:rPr>
        <w:t>27 </w:t>
      </w:r>
      <w:r>
        <w:rPr>
          <w:color w:val="4D4D4F"/>
          <w:w w:val="110"/>
        </w:rPr>
        <w:t>That being said, lethal overdose with buprenorphine is possible in opioid-naïve individuals or when it is taken in combination with central nervous system depressants such as benzodiazepines or alcohol.</w:t>
      </w:r>
    </w:p>
    <w:p>
      <w:pPr>
        <w:pStyle w:val="BodyText"/>
        <w:spacing w:line="247" w:lineRule="auto" w:before="100"/>
        <w:ind w:left="150" w:right="253"/>
      </w:pPr>
      <w:r>
        <w:rPr/>
        <w:br w:type="column"/>
      </w:r>
      <w:r>
        <w:rPr>
          <w:color w:val="4D4D4F"/>
          <w:w w:val="110"/>
        </w:rPr>
        <w:t>Transmucosal buprenorphine is available by prescription through pharmacies, because the Drug Addiction Treatment Act of 2000 (DATA 2000) created an exception to the Controlled Substances Act to permit FDA schedule III, IV, and V medications approved to treat opioid dependence to be prescribed for that purpose outside OTPs. Buprenorphine, in various formu- lations, is the only medication to which DATA 2000 currently applies.</w:t>
      </w:r>
    </w:p>
    <w:p>
      <w:pPr>
        <w:pStyle w:val="Heading7"/>
        <w:spacing w:line="235" w:lineRule="auto" w:before="191"/>
        <w:ind w:left="150" w:right="186"/>
      </w:pPr>
      <w:r>
        <w:rPr>
          <w:color w:val="4D4D4F"/>
          <w:w w:val="115"/>
        </w:rPr>
        <w:t>Qualifying physicians, NPs, and PAs can prescribe buprenorphine if they receive special training, obtain a SAMHSA waiver under DATA 2000, and get a unique Drug Enforcement Administration registration number. Until October 1, 2023, clinical nurse specialists, certiﬁed registered nurse anesthe- tists, and certiﬁed nurse midwives also are waiver-eligible to prescribe buprenorphine.</w:t>
      </w:r>
    </w:p>
    <w:p>
      <w:pPr>
        <w:pStyle w:val="BodyText"/>
        <w:spacing w:line="247" w:lineRule="auto" w:before="8"/>
        <w:ind w:left="150" w:right="597"/>
      </w:pPr>
      <w:r>
        <w:rPr>
          <w:color w:val="4D4D4F"/>
          <w:w w:val="110"/>
        </w:rPr>
        <w:t>This has greatly increased the number and type of settings where medication for OUD is available and the number of patients in treatment. New settings include non-OTP</w:t>
      </w:r>
    </w:p>
    <w:p>
      <w:pPr>
        <w:pStyle w:val="BodyText"/>
        <w:spacing w:line="247" w:lineRule="auto" w:before="5"/>
        <w:ind w:left="150" w:right="223"/>
      </w:pPr>
      <w:r>
        <w:rPr>
          <w:color w:val="4D4D4F"/>
          <w:w w:val="110"/>
        </w:rPr>
        <w:t>outpatient addiction treatment programs, as </w:t>
      </w:r>
      <w:r>
        <w:rPr>
          <w:color w:val="4D4D4F"/>
          <w:spacing w:val="-5"/>
          <w:w w:val="110"/>
        </w:rPr>
        <w:t>well </w:t>
      </w:r>
      <w:r>
        <w:rPr>
          <w:color w:val="4D4D4F"/>
          <w:w w:val="110"/>
        </w:rPr>
        <w:t>as general medical and mental health practices  or clinics (ofﬁce-based opioid treatment). OTPs can also provide</w:t>
      </w:r>
      <w:r>
        <w:rPr>
          <w:color w:val="4D4D4F"/>
          <w:spacing w:val="-14"/>
          <w:w w:val="110"/>
        </w:rPr>
        <w:t> </w:t>
      </w:r>
      <w:r>
        <w:rPr>
          <w:color w:val="4D4D4F"/>
          <w:w w:val="110"/>
        </w:rPr>
        <w:t>buprenorphine.</w:t>
      </w:r>
    </w:p>
    <w:p>
      <w:pPr>
        <w:pStyle w:val="BodyText"/>
        <w:spacing w:line="247" w:lineRule="auto" w:before="185"/>
        <w:ind w:left="150" w:right="159"/>
      </w:pPr>
      <w:r>
        <w:rPr>
          <w:color w:val="4D4D4F"/>
          <w:w w:val="115"/>
        </w:rPr>
        <w:t>In</w:t>
      </w:r>
      <w:r>
        <w:rPr>
          <w:color w:val="4D4D4F"/>
          <w:spacing w:val="-29"/>
          <w:w w:val="115"/>
        </w:rPr>
        <w:t> </w:t>
      </w:r>
      <w:r>
        <w:rPr>
          <w:color w:val="4D4D4F"/>
          <w:w w:val="115"/>
        </w:rPr>
        <w:t>2016,</w:t>
      </w:r>
      <w:r>
        <w:rPr>
          <w:color w:val="4D4D4F"/>
          <w:spacing w:val="-28"/>
          <w:w w:val="115"/>
        </w:rPr>
        <w:t> </w:t>
      </w:r>
      <w:r>
        <w:rPr>
          <w:color w:val="4D4D4F"/>
          <w:w w:val="115"/>
        </w:rPr>
        <w:t>FDA</w:t>
      </w:r>
      <w:r>
        <w:rPr>
          <w:color w:val="4D4D4F"/>
          <w:spacing w:val="-29"/>
          <w:w w:val="115"/>
        </w:rPr>
        <w:t> </w:t>
      </w:r>
      <w:r>
        <w:rPr>
          <w:color w:val="4D4D4F"/>
          <w:w w:val="115"/>
        </w:rPr>
        <w:t>approved</w:t>
      </w:r>
      <w:r>
        <w:rPr>
          <w:color w:val="4D4D4F"/>
          <w:spacing w:val="-28"/>
          <w:w w:val="115"/>
        </w:rPr>
        <w:t> </w:t>
      </w:r>
      <w:r>
        <w:rPr>
          <w:color w:val="4D4D4F"/>
          <w:w w:val="115"/>
        </w:rPr>
        <w:t>buprenorphine</w:t>
      </w:r>
      <w:r>
        <w:rPr>
          <w:color w:val="4D4D4F"/>
          <w:spacing w:val="-28"/>
          <w:w w:val="115"/>
        </w:rPr>
        <w:t> </w:t>
      </w:r>
      <w:r>
        <w:rPr>
          <w:color w:val="4D4D4F"/>
          <w:w w:val="115"/>
        </w:rPr>
        <w:t>implants (Probuphine) that last about 6 months for patients stabilized on sublingual or buccal </w:t>
      </w:r>
      <w:r>
        <w:rPr>
          <w:color w:val="4D4D4F"/>
          <w:spacing w:val="-4"/>
          <w:w w:val="115"/>
        </w:rPr>
        <w:t>for- </w:t>
      </w:r>
      <w:r>
        <w:rPr>
          <w:color w:val="4D4D4F"/>
          <w:w w:val="115"/>
        </w:rPr>
        <w:t>mulations.</w:t>
      </w:r>
      <w:r>
        <w:rPr>
          <w:color w:val="4D4D4F"/>
          <w:spacing w:val="-22"/>
          <w:w w:val="115"/>
        </w:rPr>
        <w:t> </w:t>
      </w:r>
      <w:r>
        <w:rPr>
          <w:color w:val="4D4D4F"/>
          <w:w w:val="115"/>
        </w:rPr>
        <w:t>Implants</w:t>
      </w:r>
      <w:r>
        <w:rPr>
          <w:color w:val="4D4D4F"/>
          <w:spacing w:val="-21"/>
          <w:w w:val="115"/>
        </w:rPr>
        <w:t> </w:t>
      </w:r>
      <w:r>
        <w:rPr>
          <w:color w:val="4D4D4F"/>
          <w:w w:val="115"/>
        </w:rPr>
        <w:t>have</w:t>
      </w:r>
      <w:r>
        <w:rPr>
          <w:color w:val="4D4D4F"/>
          <w:spacing w:val="-22"/>
          <w:w w:val="115"/>
        </w:rPr>
        <w:t> </w:t>
      </w:r>
      <w:r>
        <w:rPr>
          <w:color w:val="4D4D4F"/>
          <w:w w:val="115"/>
        </w:rPr>
        <w:t>been</w:t>
      </w:r>
      <w:r>
        <w:rPr>
          <w:color w:val="4D4D4F"/>
          <w:spacing w:val="-21"/>
          <w:w w:val="115"/>
        </w:rPr>
        <w:t> </w:t>
      </w:r>
      <w:r>
        <w:rPr>
          <w:color w:val="4D4D4F"/>
          <w:w w:val="115"/>
        </w:rPr>
        <w:t>found</w:t>
      </w:r>
      <w:r>
        <w:rPr>
          <w:color w:val="4D4D4F"/>
          <w:spacing w:val="-22"/>
          <w:w w:val="115"/>
        </w:rPr>
        <w:t> </w:t>
      </w:r>
      <w:r>
        <w:rPr>
          <w:color w:val="4D4D4F"/>
          <w:w w:val="115"/>
        </w:rPr>
        <w:t>to</w:t>
      </w:r>
      <w:r>
        <w:rPr>
          <w:color w:val="4D4D4F"/>
          <w:spacing w:val="-21"/>
          <w:w w:val="115"/>
        </w:rPr>
        <w:t> </w:t>
      </w:r>
      <w:r>
        <w:rPr>
          <w:color w:val="4D4D4F"/>
          <w:w w:val="115"/>
        </w:rPr>
        <w:t>be</w:t>
      </w:r>
      <w:r>
        <w:rPr>
          <w:color w:val="4D4D4F"/>
          <w:spacing w:val="-22"/>
          <w:w w:val="115"/>
        </w:rPr>
        <w:t> </w:t>
      </w:r>
      <w:r>
        <w:rPr>
          <w:color w:val="4D4D4F"/>
          <w:w w:val="115"/>
        </w:rPr>
        <w:t>more effective than placebo in reducing illicit opioid use among opioid-dependent patients receiving counseling.</w:t>
      </w:r>
      <w:r>
        <w:rPr>
          <w:color w:val="4D4D4F"/>
          <w:w w:val="115"/>
          <w:position w:val="7"/>
          <w:sz w:val="13"/>
        </w:rPr>
        <w:t>28 </w:t>
      </w:r>
      <w:r>
        <w:rPr>
          <w:color w:val="4D4D4F"/>
          <w:w w:val="115"/>
        </w:rPr>
        <w:t>Implants are available in the same settings</w:t>
      </w:r>
      <w:r>
        <w:rPr>
          <w:color w:val="4D4D4F"/>
          <w:spacing w:val="-38"/>
          <w:w w:val="115"/>
        </w:rPr>
        <w:t> </w:t>
      </w:r>
      <w:r>
        <w:rPr>
          <w:color w:val="4D4D4F"/>
          <w:w w:val="115"/>
        </w:rPr>
        <w:t>as</w:t>
      </w:r>
      <w:r>
        <w:rPr>
          <w:color w:val="4D4D4F"/>
          <w:spacing w:val="-38"/>
          <w:w w:val="115"/>
        </w:rPr>
        <w:t> </w:t>
      </w:r>
      <w:r>
        <w:rPr>
          <w:color w:val="4D4D4F"/>
          <w:w w:val="115"/>
        </w:rPr>
        <w:t>other</w:t>
      </w:r>
      <w:r>
        <w:rPr>
          <w:color w:val="4D4D4F"/>
          <w:spacing w:val="-38"/>
          <w:w w:val="115"/>
        </w:rPr>
        <w:t> </w:t>
      </w:r>
      <w:r>
        <w:rPr>
          <w:color w:val="4D4D4F"/>
          <w:w w:val="115"/>
        </w:rPr>
        <w:t>buprenorphine</w:t>
      </w:r>
      <w:r>
        <w:rPr>
          <w:color w:val="4D4D4F"/>
          <w:spacing w:val="-38"/>
          <w:w w:val="115"/>
        </w:rPr>
        <w:t> </w:t>
      </w:r>
      <w:r>
        <w:rPr>
          <w:color w:val="4D4D4F"/>
          <w:w w:val="115"/>
        </w:rPr>
        <w:t>formulations</w:t>
      </w:r>
      <w:r>
        <w:rPr>
          <w:color w:val="4D4D4F"/>
          <w:spacing w:val="-38"/>
          <w:w w:val="115"/>
        </w:rPr>
        <w:t> </w:t>
      </w:r>
      <w:r>
        <w:rPr>
          <w:color w:val="4D4D4F"/>
          <w:spacing w:val="-6"/>
          <w:w w:val="115"/>
        </w:rPr>
        <w:t>but </w:t>
      </w:r>
      <w:r>
        <w:rPr>
          <w:color w:val="4D4D4F"/>
          <w:w w:val="115"/>
        </w:rPr>
        <w:t>require waivered providers to receive speciﬁc training</w:t>
      </w:r>
      <w:r>
        <w:rPr>
          <w:color w:val="4D4D4F"/>
          <w:spacing w:val="-30"/>
          <w:w w:val="115"/>
        </w:rPr>
        <w:t> </w:t>
      </w:r>
      <w:r>
        <w:rPr>
          <w:color w:val="4D4D4F"/>
          <w:w w:val="115"/>
        </w:rPr>
        <w:t>from</w:t>
      </w:r>
      <w:r>
        <w:rPr>
          <w:color w:val="4D4D4F"/>
          <w:spacing w:val="-30"/>
          <w:w w:val="115"/>
        </w:rPr>
        <w:t> </w:t>
      </w:r>
      <w:r>
        <w:rPr>
          <w:color w:val="4D4D4F"/>
          <w:w w:val="115"/>
        </w:rPr>
        <w:t>the</w:t>
      </w:r>
      <w:r>
        <w:rPr>
          <w:color w:val="4D4D4F"/>
          <w:spacing w:val="-29"/>
          <w:w w:val="115"/>
        </w:rPr>
        <w:t> </w:t>
      </w:r>
      <w:r>
        <w:rPr>
          <w:color w:val="4D4D4F"/>
          <w:w w:val="115"/>
        </w:rPr>
        <w:t>manufacturer</w:t>
      </w:r>
      <w:r>
        <w:rPr>
          <w:color w:val="4D4D4F"/>
          <w:spacing w:val="-30"/>
          <w:w w:val="115"/>
        </w:rPr>
        <w:t> </w:t>
      </w:r>
      <w:r>
        <w:rPr>
          <w:color w:val="4D4D4F"/>
          <w:w w:val="115"/>
        </w:rPr>
        <w:t>on</w:t>
      </w:r>
      <w:r>
        <w:rPr>
          <w:color w:val="4D4D4F"/>
          <w:spacing w:val="-30"/>
          <w:w w:val="115"/>
        </w:rPr>
        <w:t> </w:t>
      </w:r>
      <w:r>
        <w:rPr>
          <w:color w:val="4D4D4F"/>
          <w:w w:val="115"/>
        </w:rPr>
        <w:t>insertion</w:t>
      </w:r>
      <w:r>
        <w:rPr>
          <w:color w:val="4D4D4F"/>
          <w:spacing w:val="-29"/>
          <w:w w:val="115"/>
        </w:rPr>
        <w:t> </w:t>
      </w:r>
      <w:r>
        <w:rPr>
          <w:color w:val="4D4D4F"/>
          <w:w w:val="115"/>
        </w:rPr>
        <w:t>and removal</w:t>
      </w:r>
      <w:r>
        <w:rPr>
          <w:color w:val="4D4D4F"/>
          <w:spacing w:val="-25"/>
          <w:w w:val="115"/>
        </w:rPr>
        <w:t> </w:t>
      </w:r>
      <w:r>
        <w:rPr>
          <w:color w:val="4D4D4F"/>
          <w:w w:val="115"/>
        </w:rPr>
        <w:t>per</w:t>
      </w:r>
      <w:r>
        <w:rPr>
          <w:color w:val="4D4D4F"/>
          <w:spacing w:val="-25"/>
          <w:w w:val="115"/>
        </w:rPr>
        <w:t> </w:t>
      </w:r>
      <w:r>
        <w:rPr>
          <w:color w:val="4D4D4F"/>
          <w:w w:val="115"/>
        </w:rPr>
        <w:t>the</w:t>
      </w:r>
      <w:r>
        <w:rPr>
          <w:color w:val="4D4D4F"/>
          <w:spacing w:val="-25"/>
          <w:w w:val="115"/>
        </w:rPr>
        <w:t> </w:t>
      </w:r>
      <w:r>
        <w:rPr>
          <w:color w:val="4D4D4F"/>
          <w:w w:val="115"/>
        </w:rPr>
        <w:t>FDA-approved</w:t>
      </w:r>
      <w:r>
        <w:rPr>
          <w:color w:val="4D4D4F"/>
          <w:spacing w:val="-25"/>
          <w:w w:val="115"/>
        </w:rPr>
        <w:t> </w:t>
      </w:r>
      <w:r>
        <w:rPr>
          <w:color w:val="4D4D4F"/>
          <w:w w:val="115"/>
        </w:rPr>
        <w:t>REMS</w:t>
      </w:r>
      <w:r>
        <w:rPr>
          <w:color w:val="4D4D4F"/>
          <w:spacing w:val="-25"/>
          <w:w w:val="115"/>
        </w:rPr>
        <w:t> </w:t>
      </w:r>
      <w:r>
        <w:rPr>
          <w:color w:val="4D4D4F"/>
          <w:w w:val="115"/>
        </w:rPr>
        <w:t>(</w:t>
      </w:r>
      <w:r>
        <w:rPr>
          <w:color w:val="205E9F"/>
          <w:w w:val="115"/>
          <w:u w:val="single" w:color="205E9F"/>
        </w:rPr>
        <w:t>www</w:t>
      </w:r>
    </w:p>
    <w:p>
      <w:pPr>
        <w:pStyle w:val="BodyText"/>
        <w:spacing w:before="13"/>
        <w:ind w:left="150"/>
      </w:pPr>
      <w:r>
        <w:rPr>
          <w:color w:val="205E9F"/>
          <w:w w:val="115"/>
          <w:u w:val="single" w:color="205E9F"/>
        </w:rPr>
        <w:t>.accessdata.fda.gov/scripts/cder/rems/index</w:t>
      </w:r>
    </w:p>
    <w:p>
      <w:pPr>
        <w:pStyle w:val="BodyText"/>
        <w:spacing w:before="9"/>
        <w:ind w:left="150"/>
      </w:pPr>
      <w:r>
        <w:rPr>
          <w:color w:val="205E9F"/>
          <w:w w:val="115"/>
          <w:u w:val="single" w:color="205E9F"/>
        </w:rPr>
        <w:t>.cfm?event=IndvRemsDetails.page&amp;REMS=356</w:t>
      </w:r>
      <w:r>
        <w:rPr>
          <w:color w:val="4D4D4F"/>
          <w:w w:val="115"/>
        </w:rPr>
        <w:t>).</w:t>
      </w:r>
    </w:p>
    <w:p>
      <w:pPr>
        <w:pStyle w:val="BodyText"/>
        <w:spacing w:before="8"/>
        <w:rPr>
          <w:sz w:val="38"/>
        </w:rPr>
      </w:pPr>
    </w:p>
    <w:p>
      <w:pPr>
        <w:pStyle w:val="Heading7"/>
        <w:spacing w:line="304" w:lineRule="auto"/>
        <w:ind w:left="453" w:right="777"/>
        <w:rPr>
          <w:rFonts w:ascii="Arial"/>
        </w:rPr>
      </w:pPr>
      <w:r>
        <w:rPr/>
        <w:pict>
          <v:line style="position:absolute;mso-position-horizontal-relative:page;mso-position-vertical-relative:paragraph;z-index:15737344" from="315.501007pt,74.322770pt" to="315.501007pt,-.325230pt" stroked="true" strokeweight="1pt" strokecolor="#759eb4">
            <v:stroke dashstyle="solid"/>
            <w10:wrap type="none"/>
          </v:line>
        </w:pict>
      </w:r>
      <w:r>
        <w:rPr>
          <w:rFonts w:ascii="Arial"/>
          <w:color w:val="B15651"/>
          <w:w w:val="110"/>
        </w:rPr>
        <w:t>DATA 2000 restrictions currently apply only to buprenorphine used to treat OUD. They do not apply to</w:t>
      </w:r>
    </w:p>
    <w:p>
      <w:pPr>
        <w:spacing w:line="304" w:lineRule="auto" w:before="0"/>
        <w:ind w:left="453" w:right="253" w:firstLine="0"/>
        <w:jc w:val="left"/>
        <w:rPr>
          <w:rFonts w:ascii="Arial"/>
          <w:b/>
          <w:sz w:val="22"/>
        </w:rPr>
      </w:pPr>
      <w:r>
        <w:rPr>
          <w:rFonts w:ascii="Arial"/>
          <w:b/>
          <w:color w:val="B15651"/>
          <w:w w:val="110"/>
          <w:sz w:val="22"/>
        </w:rPr>
        <w:t>pain treatment using buprenorphine formulations approved to treat pain.</w:t>
      </w:r>
    </w:p>
    <w:p>
      <w:pPr>
        <w:spacing w:after="0" w:line="304" w:lineRule="auto"/>
        <w:jc w:val="left"/>
        <w:rPr>
          <w:rFonts w:ascii="Arial"/>
          <w:sz w:val="22"/>
        </w:rPr>
        <w:sectPr>
          <w:type w:val="continuous"/>
          <w:pgSz w:w="12240" w:h="15840"/>
          <w:pgMar w:top="540" w:bottom="280" w:left="940" w:right="920"/>
          <w:cols w:num="2" w:equalWidth="0">
            <w:col w:w="4967" w:space="237"/>
            <w:col w:w="5176"/>
          </w:cols>
        </w:sectPr>
      </w:pPr>
    </w:p>
    <w:p>
      <w:pPr>
        <w:pStyle w:val="BodyText"/>
        <w:spacing w:before="5"/>
        <w:rPr>
          <w:rFonts w:ascii="Arial"/>
          <w:b/>
          <w:sz w:val="27"/>
        </w:rPr>
      </w:pPr>
    </w:p>
    <w:p>
      <w:pPr>
        <w:spacing w:after="0"/>
        <w:rPr>
          <w:rFonts w:ascii="Arial"/>
          <w:sz w:val="27"/>
        </w:rPr>
        <w:sectPr>
          <w:pgSz w:w="12240" w:h="15840"/>
          <w:pgMar w:header="576" w:footer="677" w:top="1340" w:bottom="860" w:left="940" w:right="920"/>
        </w:sectPr>
      </w:pPr>
    </w:p>
    <w:p>
      <w:pPr>
        <w:pStyle w:val="BodyText"/>
        <w:spacing w:before="2"/>
        <w:rPr>
          <w:rFonts w:ascii="Arial"/>
          <w:b/>
          <w:sz w:val="12"/>
        </w:rPr>
      </w:pPr>
    </w:p>
    <w:p>
      <w:pPr>
        <w:pStyle w:val="BodyText"/>
        <w:ind w:left="130" w:right="-72"/>
        <w:rPr>
          <w:rFonts w:ascii="Arial"/>
          <w:sz w:val="20"/>
        </w:rPr>
      </w:pPr>
      <w:r>
        <w:rPr>
          <w:rFonts w:ascii="Arial"/>
          <w:sz w:val="20"/>
        </w:rPr>
        <w:pict>
          <v:group style="width:243.5pt;height:325pt;mso-position-horizontal-relative:char;mso-position-vertical-relative:line" coordorigin="0,0" coordsize="4870,6500">
            <v:rect style="position:absolute;left:5;top:5;width:4860;height:6490" filled="false" stroked="true" strokeweight=".5pt" strokecolor="#89aabe">
              <v:stroke dashstyle="solid"/>
            </v:rect>
            <v:shape style="position:absolute;left:10;top:596;width:4850;height:5893" type="#_x0000_t202" filled="false" stroked="false">
              <v:textbox inset="0,0,0,0">
                <w:txbxContent>
                  <w:p>
                    <w:pPr>
                      <w:spacing w:line="278" w:lineRule="auto" w:before="59"/>
                      <w:ind w:left="230" w:right="333" w:firstLine="0"/>
                      <w:jc w:val="left"/>
                      <w:rPr>
                        <w:rFonts w:ascii="Arial"/>
                        <w:b/>
                        <w:sz w:val="24"/>
                      </w:rPr>
                    </w:pPr>
                    <w:r>
                      <w:rPr>
                        <w:rFonts w:ascii="Arial"/>
                        <w:b/>
                        <w:color w:val="147592"/>
                        <w:w w:val="110"/>
                        <w:sz w:val="24"/>
                      </w:rPr>
                      <w:t>How To Obtain a Waiver To Prescribe Buprenorphine</w:t>
                    </w:r>
                  </w:p>
                  <w:p>
                    <w:pPr>
                      <w:numPr>
                        <w:ilvl w:val="0"/>
                        <w:numId w:val="9"/>
                      </w:numPr>
                      <w:tabs>
                        <w:tab w:pos="411" w:val="left" w:leader="none"/>
                      </w:tabs>
                      <w:spacing w:line="280" w:lineRule="exact" w:before="79"/>
                      <w:ind w:left="410" w:right="642" w:hanging="180"/>
                      <w:jc w:val="left"/>
                      <w:rPr>
                        <w:rFonts w:ascii="Arial"/>
                        <w:sz w:val="18"/>
                      </w:rPr>
                    </w:pPr>
                    <w:r>
                      <w:rPr>
                        <w:rFonts w:ascii="Arial"/>
                        <w:color w:val="414042"/>
                        <w:w w:val="115"/>
                        <w:sz w:val="18"/>
                      </w:rPr>
                      <w:t>Learn how to qualify for a </w:t>
                    </w:r>
                    <w:r>
                      <w:rPr>
                        <w:rFonts w:ascii="Arial"/>
                        <w:color w:val="414042"/>
                        <w:spacing w:val="-4"/>
                        <w:w w:val="115"/>
                        <w:sz w:val="18"/>
                      </w:rPr>
                      <w:t>DATA </w:t>
                    </w:r>
                    <w:r>
                      <w:rPr>
                        <w:rFonts w:ascii="Arial"/>
                        <w:color w:val="414042"/>
                        <w:w w:val="115"/>
                        <w:sz w:val="18"/>
                      </w:rPr>
                      <w:t>2000 </w:t>
                    </w:r>
                    <w:r>
                      <w:rPr>
                        <w:rFonts w:ascii="Arial"/>
                        <w:color w:val="414042"/>
                        <w:spacing w:val="-3"/>
                        <w:w w:val="115"/>
                        <w:sz w:val="18"/>
                      </w:rPr>
                      <w:t>physician </w:t>
                    </w:r>
                    <w:r>
                      <w:rPr>
                        <w:rFonts w:ascii="Arial"/>
                        <w:color w:val="414042"/>
                        <w:spacing w:val="-4"/>
                        <w:w w:val="115"/>
                        <w:sz w:val="18"/>
                      </w:rPr>
                      <w:t>waiver:</w:t>
                    </w:r>
                    <w:r>
                      <w:rPr>
                        <w:rFonts w:ascii="Arial"/>
                        <w:color w:val="3A68A5"/>
                        <w:spacing w:val="-4"/>
                        <w:w w:val="115"/>
                        <w:sz w:val="18"/>
                      </w:rPr>
                      <w:t> </w:t>
                    </w:r>
                    <w:r>
                      <w:rPr>
                        <w:rFonts w:ascii="Arial"/>
                        <w:color w:val="3A68A5"/>
                        <w:spacing w:val="-5"/>
                        <w:w w:val="115"/>
                        <w:sz w:val="18"/>
                        <w:u w:val="single" w:color="3A68A5"/>
                      </w:rPr>
                      <w:t>https://</w:t>
                    </w:r>
                    <w:hyperlink r:id="rId28">
                      <w:r>
                        <w:rPr>
                          <w:rFonts w:ascii="Arial"/>
                          <w:color w:val="3A68A5"/>
                          <w:spacing w:val="-5"/>
                          <w:w w:val="115"/>
                          <w:sz w:val="18"/>
                          <w:u w:val="single" w:color="3A68A5"/>
                        </w:rPr>
                        <w:t>www.samhsa.gov/</w:t>
                      </w:r>
                    </w:hyperlink>
                    <w:r>
                      <w:rPr>
                        <w:rFonts w:ascii="Arial"/>
                        <w:color w:val="3A68A5"/>
                        <w:spacing w:val="-5"/>
                        <w:w w:val="115"/>
                        <w:sz w:val="18"/>
                        <w:u w:val="single" w:color="3A68A5"/>
                      </w:rPr>
                      <w:t> </w:t>
                    </w:r>
                    <w:r>
                      <w:rPr>
                        <w:rFonts w:ascii="Arial"/>
                        <w:color w:val="3A68A5"/>
                        <w:spacing w:val="-4"/>
                        <w:w w:val="115"/>
                        <w:sz w:val="18"/>
                        <w:u w:val="single" w:color="3A68A5"/>
                      </w:rPr>
                      <w:t>medication-assisted-treatment/training- materials-resources/apply-for-practitioner- waiver</w:t>
                    </w:r>
                  </w:p>
                  <w:p>
                    <w:pPr>
                      <w:numPr>
                        <w:ilvl w:val="0"/>
                        <w:numId w:val="9"/>
                      </w:numPr>
                      <w:tabs>
                        <w:tab w:pos="411" w:val="left" w:leader="none"/>
                      </w:tabs>
                      <w:spacing w:line="280" w:lineRule="exact" w:before="90"/>
                      <w:ind w:left="410" w:right="229" w:hanging="180"/>
                      <w:jc w:val="left"/>
                      <w:rPr>
                        <w:rFonts w:ascii="Arial" w:hAnsi="Arial"/>
                        <w:sz w:val="18"/>
                      </w:rPr>
                    </w:pPr>
                    <w:r>
                      <w:rPr>
                        <w:rFonts w:ascii="Arial" w:hAnsi="Arial"/>
                        <w:color w:val="414042"/>
                        <w:w w:val="115"/>
                        <w:sz w:val="18"/>
                      </w:rPr>
                      <w:t>Learn how to qualify for an NP, PA, clinical nurse specialist, certiﬁed registered nurse anesthetist, or certiﬁed nurse midwife waiver:</w:t>
                    </w:r>
                    <w:r>
                      <w:rPr>
                        <w:rFonts w:ascii="Arial" w:hAnsi="Arial"/>
                        <w:color w:val="3A68A5"/>
                        <w:w w:val="115"/>
                        <w:sz w:val="18"/>
                        <w:u w:val="single" w:color="3A68A5"/>
                      </w:rPr>
                      <w:t> </w:t>
                    </w:r>
                    <w:r>
                      <w:rPr>
                        <w:rFonts w:ascii="Arial" w:hAnsi="Arial"/>
                        <w:color w:val="3A68A5"/>
                        <w:spacing w:val="-1"/>
                        <w:w w:val="115"/>
                        <w:sz w:val="18"/>
                        <w:u w:val="single" w:color="3A68A5"/>
                      </w:rPr>
                      <w:t>https://</w:t>
                    </w:r>
                    <w:hyperlink r:id="rId29">
                      <w:r>
                        <w:rPr>
                          <w:rFonts w:ascii="Arial" w:hAnsi="Arial"/>
                          <w:color w:val="3A68A5"/>
                          <w:spacing w:val="-1"/>
                          <w:w w:val="115"/>
                          <w:sz w:val="18"/>
                          <w:u w:val="single" w:color="3A68A5"/>
                        </w:rPr>
                        <w:t>www.samhsa.gov/medication-assisted-</w:t>
                      </w:r>
                    </w:hyperlink>
                    <w:r>
                      <w:rPr>
                        <w:rFonts w:ascii="Arial" w:hAnsi="Arial"/>
                        <w:color w:val="3A68A5"/>
                        <w:spacing w:val="-1"/>
                        <w:w w:val="115"/>
                        <w:sz w:val="18"/>
                        <w:u w:val="single" w:color="3A68A5"/>
                      </w:rPr>
                      <w:t> </w:t>
                    </w:r>
                    <w:r>
                      <w:rPr>
                        <w:rFonts w:ascii="Arial" w:hAnsi="Arial"/>
                        <w:color w:val="3A68A5"/>
                        <w:w w:val="115"/>
                        <w:sz w:val="18"/>
                        <w:u w:val="single" w:color="3A68A5"/>
                      </w:rPr>
                      <w:t>treatment/training-materials-resources/apply- for-practitioner-waiver</w:t>
                    </w:r>
                  </w:p>
                  <w:p>
                    <w:pPr>
                      <w:numPr>
                        <w:ilvl w:val="0"/>
                        <w:numId w:val="9"/>
                      </w:numPr>
                      <w:tabs>
                        <w:tab w:pos="411" w:val="left" w:leader="none"/>
                      </w:tabs>
                      <w:spacing w:line="280" w:lineRule="exact" w:before="90"/>
                      <w:ind w:left="410" w:right="392" w:hanging="180"/>
                      <w:jc w:val="left"/>
                      <w:rPr>
                        <w:rFonts w:ascii="Arial"/>
                        <w:sz w:val="18"/>
                      </w:rPr>
                    </w:pPr>
                    <w:r>
                      <w:rPr>
                        <w:rFonts w:ascii="Arial"/>
                        <w:color w:val="414042"/>
                        <w:w w:val="120"/>
                        <w:sz w:val="18"/>
                      </w:rPr>
                      <w:t>Learn how waivered practitioners can increase their patient limit from 30 to 100, and then to 275 patients:</w:t>
                    </w:r>
                    <w:r>
                      <w:rPr>
                        <w:rFonts w:ascii="Arial"/>
                        <w:color w:val="3A68A5"/>
                        <w:w w:val="120"/>
                        <w:sz w:val="18"/>
                      </w:rPr>
                      <w:t> </w:t>
                    </w:r>
                    <w:r>
                      <w:rPr>
                        <w:rFonts w:ascii="Arial"/>
                        <w:color w:val="3A68A5"/>
                        <w:w w:val="120"/>
                        <w:sz w:val="18"/>
                        <w:u w:val="single" w:color="3A68A5"/>
                      </w:rPr>
                      <w:t>https://</w:t>
                    </w:r>
                    <w:hyperlink r:id="rId30">
                      <w:r>
                        <w:rPr>
                          <w:rFonts w:ascii="Arial"/>
                          <w:color w:val="3A68A5"/>
                          <w:w w:val="120"/>
                          <w:sz w:val="18"/>
                          <w:u w:val="single" w:color="3A68A5"/>
                        </w:rPr>
                        <w:t>www.</w:t>
                      </w:r>
                    </w:hyperlink>
                    <w:r>
                      <w:rPr>
                        <w:rFonts w:ascii="Arial"/>
                        <w:color w:val="3A68A5"/>
                        <w:w w:val="120"/>
                        <w:sz w:val="18"/>
                        <w:u w:val="single" w:color="3A68A5"/>
                      </w:rPr>
                      <w:t> </w:t>
                    </w:r>
                    <w:r>
                      <w:rPr>
                        <w:rFonts w:ascii="Arial"/>
                        <w:color w:val="3A68A5"/>
                        <w:spacing w:val="-2"/>
                        <w:w w:val="115"/>
                        <w:sz w:val="18"/>
                        <w:u w:val="single" w:color="3A68A5"/>
                      </w:rPr>
                      <w:t>samhsa.gov/medication-assisted-treatment/ </w:t>
                    </w:r>
                    <w:r>
                      <w:rPr>
                        <w:rFonts w:ascii="Arial"/>
                        <w:color w:val="3A68A5"/>
                        <w:w w:val="120"/>
                        <w:sz w:val="18"/>
                        <w:u w:val="single" w:color="3A68A5"/>
                      </w:rPr>
                      <w:t>training-materials-resources/apply-for- practitioner-waiver</w:t>
                    </w:r>
                  </w:p>
                </w:txbxContent>
              </v:textbox>
              <w10:wrap type="none"/>
            </v:shape>
            <v:shape style="position:absolute;left:10;top:10;width:4850;height:587" type="#_x0000_t202" filled="true" fillcolor="#367e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v:group>
        </w:pict>
      </w:r>
      <w:r>
        <w:rPr>
          <w:rFonts w:ascii="Arial"/>
          <w:sz w:val="20"/>
        </w:rPr>
      </w:r>
    </w:p>
    <w:p>
      <w:pPr>
        <w:pStyle w:val="BodyText"/>
        <w:spacing w:before="10"/>
        <w:rPr>
          <w:rFonts w:ascii="Arial"/>
          <w:b/>
          <w:sz w:val="24"/>
        </w:rPr>
      </w:pPr>
    </w:p>
    <w:p>
      <w:pPr>
        <w:pStyle w:val="BodyText"/>
        <w:spacing w:line="247" w:lineRule="auto"/>
        <w:ind w:left="140" w:right="40"/>
      </w:pPr>
      <w:r>
        <w:rPr>
          <w:color w:val="4C4D4F"/>
          <w:w w:val="110"/>
        </w:rPr>
        <w:t>In 2017, FDA approved a monthly extended- release buprenorphine injectable formulation (Sublocade) for patients with moderate-to- severe OUD who had been initiated and treated with transmucosal buprenorphine for at least</w:t>
      </w:r>
    </w:p>
    <w:p>
      <w:pPr>
        <w:pStyle w:val="BodyText"/>
        <w:spacing w:line="247" w:lineRule="auto" w:before="6"/>
        <w:ind w:left="140" w:right="40"/>
      </w:pPr>
      <w:r>
        <w:rPr>
          <w:color w:val="4C4D4F"/>
          <w:w w:val="110"/>
        </w:rPr>
        <w:t>7 days. The medication is for subcutaneous abdominal injection by a healthcare provider  and is intended to be available for ordering and dispensing (not by prescription to patients) in healthcare settings that receive special certiﬁca- tion, pursuant to the FDA-approved REMS</w:t>
      </w:r>
      <w:r>
        <w:rPr>
          <w:color w:val="4C4D4F"/>
          <w:spacing w:val="-46"/>
          <w:w w:val="110"/>
        </w:rPr>
        <w:t> </w:t>
      </w:r>
      <w:r>
        <w:rPr>
          <w:color w:val="4C4D4F"/>
          <w:spacing w:val="-5"/>
          <w:w w:val="110"/>
        </w:rPr>
        <w:t>(</w:t>
      </w:r>
      <w:r>
        <w:rPr>
          <w:color w:val="205E9E"/>
          <w:spacing w:val="-5"/>
          <w:w w:val="110"/>
          <w:u w:val="single" w:color="205E9E"/>
        </w:rPr>
        <w:t>www</w:t>
      </w:r>
    </w:p>
    <w:p>
      <w:pPr>
        <w:pStyle w:val="BodyText"/>
        <w:spacing w:before="8"/>
        <w:ind w:left="140"/>
      </w:pPr>
      <w:r>
        <w:rPr>
          <w:color w:val="205E9E"/>
          <w:w w:val="115"/>
          <w:u w:val="single" w:color="205E9E"/>
        </w:rPr>
        <w:t>.accessdata.fda.gov/scripts/cder/rems/index</w:t>
      </w:r>
    </w:p>
    <w:p>
      <w:pPr>
        <w:pStyle w:val="BodyText"/>
        <w:spacing w:before="9"/>
        <w:ind w:left="140"/>
      </w:pPr>
      <w:r>
        <w:rPr>
          <w:color w:val="205E9E"/>
          <w:w w:val="110"/>
          <w:u w:val="single" w:color="205E9E"/>
        </w:rPr>
        <w:t>.cfm?event=IndvRemsDetails.page&amp;REMS=376</w:t>
      </w:r>
      <w:r>
        <w:rPr>
          <w:color w:val="4C4D4F"/>
          <w:w w:val="110"/>
        </w:rPr>
        <w:t>).</w:t>
      </w:r>
    </w:p>
    <w:p>
      <w:pPr>
        <w:spacing w:line="254" w:lineRule="auto" w:before="89"/>
        <w:ind w:left="140" w:right="594" w:firstLine="0"/>
        <w:jc w:val="left"/>
        <w:rPr>
          <w:rFonts w:ascii="Calibri"/>
          <w:b/>
          <w:sz w:val="22"/>
        </w:rPr>
      </w:pPr>
      <w:r>
        <w:rPr/>
        <w:br w:type="column"/>
      </w:r>
      <w:r>
        <w:rPr>
          <w:rFonts w:ascii="Calibri"/>
          <w:b/>
          <w:color w:val="147592"/>
          <w:w w:val="110"/>
          <w:sz w:val="26"/>
        </w:rPr>
        <w:t>Choosing an OUD Medication </w:t>
      </w:r>
      <w:r>
        <w:rPr>
          <w:rFonts w:ascii="Calibri"/>
          <w:b/>
          <w:color w:val="4C4D4F"/>
          <w:w w:val="110"/>
          <w:sz w:val="22"/>
        </w:rPr>
        <w:t>Currently, no empirical data indicate which patients will respond better to which OUD</w:t>
      </w:r>
    </w:p>
    <w:p>
      <w:pPr>
        <w:spacing w:line="250" w:lineRule="exact" w:before="0"/>
        <w:ind w:left="140" w:right="0" w:firstLine="0"/>
        <w:jc w:val="left"/>
        <w:rPr>
          <w:sz w:val="22"/>
        </w:rPr>
      </w:pPr>
      <w:r>
        <w:rPr>
          <w:rFonts w:ascii="Calibri"/>
          <w:b/>
          <w:color w:val="4C4D4F"/>
          <w:w w:val="110"/>
          <w:sz w:val="22"/>
        </w:rPr>
        <w:t>medications. </w:t>
      </w:r>
      <w:r>
        <w:rPr>
          <w:color w:val="4C4D4F"/>
          <w:w w:val="110"/>
          <w:sz w:val="22"/>
        </w:rPr>
        <w:t>All patients considering treatment</w:t>
      </w:r>
    </w:p>
    <w:p>
      <w:pPr>
        <w:pStyle w:val="BodyText"/>
        <w:spacing w:line="247" w:lineRule="auto" w:before="1"/>
        <w:ind w:left="140" w:right="253"/>
      </w:pPr>
      <w:r>
        <w:rPr>
          <w:color w:val="4C4D4F"/>
          <w:w w:val="115"/>
        </w:rPr>
        <w:t>should be educated about the effectiveness, risks, and beneﬁts of each of the three OUD medications,</w:t>
      </w:r>
      <w:r>
        <w:rPr>
          <w:color w:val="4C4D4F"/>
          <w:spacing w:val="-41"/>
          <w:w w:val="115"/>
        </w:rPr>
        <w:t> </w:t>
      </w:r>
      <w:r>
        <w:rPr>
          <w:color w:val="4C4D4F"/>
          <w:w w:val="115"/>
        </w:rPr>
        <w:t>treatment</w:t>
      </w:r>
      <w:r>
        <w:rPr>
          <w:color w:val="4C4D4F"/>
          <w:spacing w:val="-41"/>
          <w:w w:val="115"/>
        </w:rPr>
        <w:t> </w:t>
      </w:r>
      <w:r>
        <w:rPr>
          <w:color w:val="4C4D4F"/>
          <w:w w:val="115"/>
        </w:rPr>
        <w:t>without</w:t>
      </w:r>
      <w:r>
        <w:rPr>
          <w:color w:val="4C4D4F"/>
          <w:spacing w:val="-41"/>
          <w:w w:val="115"/>
        </w:rPr>
        <w:t> </w:t>
      </w:r>
      <w:r>
        <w:rPr>
          <w:color w:val="4C4D4F"/>
          <w:w w:val="115"/>
        </w:rPr>
        <w:t>medication,</w:t>
      </w:r>
      <w:r>
        <w:rPr>
          <w:color w:val="4C4D4F"/>
          <w:spacing w:val="-41"/>
          <w:w w:val="115"/>
        </w:rPr>
        <w:t> </w:t>
      </w:r>
      <w:r>
        <w:rPr>
          <w:color w:val="4C4D4F"/>
          <w:spacing w:val="-6"/>
          <w:w w:val="115"/>
        </w:rPr>
        <w:t>and </w:t>
      </w:r>
      <w:r>
        <w:rPr>
          <w:color w:val="4C4D4F"/>
          <w:w w:val="115"/>
        </w:rPr>
        <w:t>no</w:t>
      </w:r>
      <w:r>
        <w:rPr>
          <w:color w:val="4C4D4F"/>
          <w:spacing w:val="-44"/>
          <w:w w:val="115"/>
        </w:rPr>
        <w:t> </w:t>
      </w:r>
      <w:r>
        <w:rPr>
          <w:color w:val="4C4D4F"/>
          <w:w w:val="115"/>
        </w:rPr>
        <w:t>treatment.</w:t>
      </w:r>
      <w:r>
        <w:rPr>
          <w:color w:val="4C4D4F"/>
          <w:spacing w:val="-43"/>
          <w:w w:val="115"/>
        </w:rPr>
        <w:t> </w:t>
      </w:r>
      <w:r>
        <w:rPr>
          <w:color w:val="4C4D4F"/>
          <w:w w:val="115"/>
        </w:rPr>
        <w:t>Emphasize</w:t>
      </w:r>
      <w:r>
        <w:rPr>
          <w:color w:val="4C4D4F"/>
          <w:spacing w:val="-43"/>
          <w:w w:val="115"/>
        </w:rPr>
        <w:t> </w:t>
      </w:r>
      <w:r>
        <w:rPr>
          <w:color w:val="4C4D4F"/>
          <w:w w:val="115"/>
        </w:rPr>
        <w:t>that</w:t>
      </w:r>
      <w:r>
        <w:rPr>
          <w:color w:val="4C4D4F"/>
          <w:spacing w:val="-43"/>
          <w:w w:val="115"/>
        </w:rPr>
        <w:t> </w:t>
      </w:r>
      <w:r>
        <w:rPr>
          <w:color w:val="4C4D4F"/>
          <w:w w:val="115"/>
        </w:rPr>
        <w:t>OUD</w:t>
      </w:r>
      <w:r>
        <w:rPr>
          <w:color w:val="4C4D4F"/>
          <w:spacing w:val="-43"/>
          <w:w w:val="115"/>
        </w:rPr>
        <w:t> </w:t>
      </w:r>
      <w:r>
        <w:rPr>
          <w:color w:val="4C4D4F"/>
          <w:w w:val="115"/>
        </w:rPr>
        <w:t>medications are</w:t>
      </w:r>
      <w:r>
        <w:rPr>
          <w:color w:val="4C4D4F"/>
          <w:spacing w:val="-21"/>
          <w:w w:val="115"/>
        </w:rPr>
        <w:t> </w:t>
      </w:r>
      <w:r>
        <w:rPr>
          <w:color w:val="4C4D4F"/>
          <w:w w:val="115"/>
        </w:rPr>
        <w:t>safe</w:t>
      </w:r>
      <w:r>
        <w:rPr>
          <w:color w:val="4C4D4F"/>
          <w:spacing w:val="-21"/>
          <w:w w:val="115"/>
        </w:rPr>
        <w:t> </w:t>
      </w:r>
      <w:r>
        <w:rPr>
          <w:color w:val="4C4D4F"/>
          <w:w w:val="115"/>
        </w:rPr>
        <w:t>and</w:t>
      </w:r>
      <w:r>
        <w:rPr>
          <w:color w:val="4C4D4F"/>
          <w:spacing w:val="-20"/>
          <w:w w:val="115"/>
        </w:rPr>
        <w:t> </w:t>
      </w:r>
      <w:r>
        <w:rPr>
          <w:color w:val="4C4D4F"/>
          <w:w w:val="115"/>
        </w:rPr>
        <w:t>effective</w:t>
      </w:r>
      <w:r>
        <w:rPr>
          <w:color w:val="4C4D4F"/>
          <w:spacing w:val="-21"/>
          <w:w w:val="115"/>
        </w:rPr>
        <w:t> </w:t>
      </w:r>
      <w:r>
        <w:rPr>
          <w:color w:val="4C4D4F"/>
          <w:w w:val="115"/>
        </w:rPr>
        <w:t>when</w:t>
      </w:r>
      <w:r>
        <w:rPr>
          <w:color w:val="4C4D4F"/>
          <w:spacing w:val="-21"/>
          <w:w w:val="115"/>
        </w:rPr>
        <w:t> </w:t>
      </w:r>
      <w:r>
        <w:rPr>
          <w:color w:val="4C4D4F"/>
          <w:w w:val="115"/>
        </w:rPr>
        <w:t>used</w:t>
      </w:r>
      <w:r>
        <w:rPr>
          <w:color w:val="4C4D4F"/>
          <w:spacing w:val="-20"/>
          <w:w w:val="115"/>
        </w:rPr>
        <w:t> </w:t>
      </w:r>
      <w:r>
        <w:rPr>
          <w:color w:val="4C4D4F"/>
          <w:w w:val="115"/>
        </w:rPr>
        <w:t>appropriately, and point out that these medications can help patients reduce or stop illicit opioid use and improve their health and</w:t>
      </w:r>
      <w:r>
        <w:rPr>
          <w:color w:val="4C4D4F"/>
          <w:spacing w:val="-53"/>
          <w:w w:val="115"/>
        </w:rPr>
        <w:t> </w:t>
      </w:r>
      <w:r>
        <w:rPr>
          <w:color w:val="4C4D4F"/>
          <w:w w:val="115"/>
        </w:rPr>
        <w:t>functioning.</w:t>
      </w:r>
    </w:p>
    <w:p>
      <w:pPr>
        <w:spacing w:line="240" w:lineRule="auto" w:before="184"/>
        <w:ind w:left="140" w:right="101" w:firstLine="0"/>
        <w:jc w:val="left"/>
        <w:rPr>
          <w:sz w:val="22"/>
        </w:rPr>
      </w:pPr>
      <w:r>
        <w:rPr>
          <w:rFonts w:ascii="Calibri" w:hAnsi="Calibri"/>
          <w:b/>
          <w:color w:val="4C4D4F"/>
          <w:w w:val="110"/>
          <w:sz w:val="22"/>
        </w:rPr>
        <w:t>Tailor decisions to patients’ medical, psychiatric, and substance use histories; to their pref- erences; and to treatment availability </w:t>
      </w:r>
      <w:r>
        <w:rPr>
          <w:color w:val="4C4D4F"/>
          <w:w w:val="110"/>
          <w:sz w:val="22"/>
        </w:rPr>
        <w:t>when deciding which medication and treatment to provide. Consider:</w:t>
      </w:r>
    </w:p>
    <w:p>
      <w:pPr>
        <w:pStyle w:val="ListParagraph"/>
        <w:numPr>
          <w:ilvl w:val="0"/>
          <w:numId w:val="4"/>
        </w:numPr>
        <w:tabs>
          <w:tab w:pos="410" w:val="left" w:leader="none"/>
        </w:tabs>
        <w:spacing w:line="315" w:lineRule="exact" w:before="107" w:after="0"/>
        <w:ind w:left="410" w:right="0" w:hanging="270"/>
        <w:jc w:val="left"/>
        <w:rPr>
          <w:rFonts w:ascii="Arial" w:hAnsi="Arial"/>
          <w:color w:val="147592"/>
          <w:sz w:val="28"/>
        </w:rPr>
      </w:pPr>
      <w:r>
        <w:rPr>
          <w:color w:val="4C4D4F"/>
          <w:w w:val="115"/>
          <w:sz w:val="22"/>
        </w:rPr>
        <w:t>Patients’</w:t>
      </w:r>
      <w:r>
        <w:rPr>
          <w:color w:val="4C4D4F"/>
          <w:spacing w:val="-17"/>
          <w:w w:val="115"/>
          <w:sz w:val="22"/>
        </w:rPr>
        <w:t> </w:t>
      </w:r>
      <w:r>
        <w:rPr>
          <w:color w:val="4C4D4F"/>
          <w:w w:val="115"/>
          <w:sz w:val="22"/>
        </w:rPr>
        <w:t>prior</w:t>
      </w:r>
      <w:r>
        <w:rPr>
          <w:color w:val="4C4D4F"/>
          <w:spacing w:val="-16"/>
          <w:w w:val="115"/>
          <w:sz w:val="22"/>
        </w:rPr>
        <w:t> </w:t>
      </w:r>
      <w:r>
        <w:rPr>
          <w:color w:val="4C4D4F"/>
          <w:w w:val="115"/>
          <w:sz w:val="22"/>
        </w:rPr>
        <w:t>response</w:t>
      </w:r>
      <w:r>
        <w:rPr>
          <w:color w:val="4C4D4F"/>
          <w:spacing w:val="-17"/>
          <w:w w:val="115"/>
          <w:sz w:val="22"/>
        </w:rPr>
        <w:t> </w:t>
      </w:r>
      <w:r>
        <w:rPr>
          <w:color w:val="4C4D4F"/>
          <w:w w:val="115"/>
          <w:sz w:val="22"/>
        </w:rPr>
        <w:t>to</w:t>
      </w:r>
      <w:r>
        <w:rPr>
          <w:color w:val="4C4D4F"/>
          <w:spacing w:val="-16"/>
          <w:w w:val="115"/>
          <w:sz w:val="22"/>
        </w:rPr>
        <w:t> </w:t>
      </w:r>
      <w:r>
        <w:rPr>
          <w:color w:val="4C4D4F"/>
          <w:w w:val="115"/>
          <w:sz w:val="22"/>
        </w:rPr>
        <w:t>a</w:t>
      </w:r>
      <w:r>
        <w:rPr>
          <w:color w:val="4C4D4F"/>
          <w:spacing w:val="-17"/>
          <w:w w:val="115"/>
          <w:sz w:val="22"/>
        </w:rPr>
        <w:t> </w:t>
      </w:r>
      <w:r>
        <w:rPr>
          <w:color w:val="4C4D4F"/>
          <w:w w:val="115"/>
          <w:sz w:val="22"/>
        </w:rPr>
        <w:t>medication.</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The medication’s side effect</w:t>
      </w:r>
      <w:r>
        <w:rPr>
          <w:color w:val="4C4D4F"/>
          <w:spacing w:val="-18"/>
          <w:w w:val="110"/>
          <w:sz w:val="22"/>
        </w:rPr>
        <w:t> </w:t>
      </w:r>
      <w:r>
        <w:rPr>
          <w:color w:val="4C4D4F"/>
          <w:w w:val="110"/>
          <w:sz w:val="22"/>
        </w:rPr>
        <w:t>proﬁle.</w:t>
      </w:r>
    </w:p>
    <w:p>
      <w:pPr>
        <w:pStyle w:val="ListParagraph"/>
        <w:numPr>
          <w:ilvl w:val="0"/>
          <w:numId w:val="4"/>
        </w:numPr>
        <w:tabs>
          <w:tab w:pos="410" w:val="left" w:leader="none"/>
        </w:tabs>
        <w:spacing w:line="208" w:lineRule="auto" w:before="21" w:after="0"/>
        <w:ind w:left="410" w:right="357" w:hanging="270"/>
        <w:jc w:val="left"/>
        <w:rPr>
          <w:rFonts w:ascii="Arial" w:hAnsi="Arial"/>
          <w:color w:val="147592"/>
          <w:sz w:val="28"/>
        </w:rPr>
      </w:pPr>
      <w:r>
        <w:rPr>
          <w:color w:val="4C4D4F"/>
          <w:w w:val="115"/>
          <w:sz w:val="22"/>
        </w:rPr>
        <w:t>The</w:t>
      </w:r>
      <w:r>
        <w:rPr>
          <w:color w:val="4C4D4F"/>
          <w:spacing w:val="-18"/>
          <w:w w:val="115"/>
          <w:sz w:val="22"/>
        </w:rPr>
        <w:t> </w:t>
      </w:r>
      <w:r>
        <w:rPr>
          <w:color w:val="4C4D4F"/>
          <w:w w:val="115"/>
          <w:sz w:val="22"/>
        </w:rPr>
        <w:t>strength</w:t>
      </w:r>
      <w:r>
        <w:rPr>
          <w:color w:val="4C4D4F"/>
          <w:spacing w:val="-18"/>
          <w:w w:val="115"/>
          <w:sz w:val="22"/>
        </w:rPr>
        <w:t> </w:t>
      </w:r>
      <w:r>
        <w:rPr>
          <w:color w:val="4C4D4F"/>
          <w:w w:val="115"/>
          <w:sz w:val="22"/>
        </w:rPr>
        <w:t>of</w:t>
      </w:r>
      <w:r>
        <w:rPr>
          <w:color w:val="4C4D4F"/>
          <w:spacing w:val="-18"/>
          <w:w w:val="115"/>
          <w:sz w:val="22"/>
        </w:rPr>
        <w:t> </w:t>
      </w:r>
      <w:r>
        <w:rPr>
          <w:color w:val="4C4D4F"/>
          <w:w w:val="115"/>
          <w:sz w:val="22"/>
        </w:rPr>
        <w:t>the</w:t>
      </w:r>
      <w:r>
        <w:rPr>
          <w:color w:val="4C4D4F"/>
          <w:spacing w:val="-18"/>
          <w:w w:val="115"/>
          <w:sz w:val="22"/>
        </w:rPr>
        <w:t> </w:t>
      </w:r>
      <w:r>
        <w:rPr>
          <w:color w:val="4C4D4F"/>
          <w:w w:val="115"/>
          <w:sz w:val="22"/>
        </w:rPr>
        <w:t>published</w:t>
      </w:r>
      <w:r>
        <w:rPr>
          <w:color w:val="4C4D4F"/>
          <w:spacing w:val="-18"/>
          <w:w w:val="115"/>
          <w:sz w:val="22"/>
        </w:rPr>
        <w:t> </w:t>
      </w:r>
      <w:r>
        <w:rPr>
          <w:color w:val="4C4D4F"/>
          <w:w w:val="115"/>
          <w:sz w:val="22"/>
        </w:rPr>
        <w:t>data</w:t>
      </w:r>
      <w:r>
        <w:rPr>
          <w:color w:val="4C4D4F"/>
          <w:spacing w:val="-18"/>
          <w:w w:val="115"/>
          <w:sz w:val="22"/>
        </w:rPr>
        <w:t> </w:t>
      </w:r>
      <w:r>
        <w:rPr>
          <w:color w:val="4C4D4F"/>
          <w:w w:val="115"/>
          <w:sz w:val="22"/>
        </w:rPr>
        <w:t>on</w:t>
      </w:r>
      <w:r>
        <w:rPr>
          <w:color w:val="4C4D4F"/>
          <w:spacing w:val="-18"/>
          <w:w w:val="115"/>
          <w:sz w:val="22"/>
        </w:rPr>
        <w:t> </w:t>
      </w:r>
      <w:r>
        <w:rPr>
          <w:color w:val="4C4D4F"/>
          <w:spacing w:val="-3"/>
          <w:w w:val="115"/>
          <w:sz w:val="22"/>
        </w:rPr>
        <w:t>safety </w:t>
      </w:r>
      <w:r>
        <w:rPr>
          <w:color w:val="4C4D4F"/>
          <w:w w:val="115"/>
          <w:sz w:val="22"/>
        </w:rPr>
        <w:t>and</w:t>
      </w:r>
      <w:r>
        <w:rPr>
          <w:color w:val="4C4D4F"/>
          <w:spacing w:val="-10"/>
          <w:w w:val="115"/>
          <w:sz w:val="22"/>
        </w:rPr>
        <w:t> </w:t>
      </w:r>
      <w:r>
        <w:rPr>
          <w:color w:val="4C4D4F"/>
          <w:w w:val="115"/>
          <w:sz w:val="22"/>
        </w:rPr>
        <w:t>effectiveness.</w:t>
      </w:r>
    </w:p>
    <w:p>
      <w:pPr>
        <w:pStyle w:val="ListParagraph"/>
        <w:numPr>
          <w:ilvl w:val="0"/>
          <w:numId w:val="4"/>
        </w:numPr>
        <w:tabs>
          <w:tab w:pos="410" w:val="left" w:leader="none"/>
        </w:tabs>
        <w:spacing w:line="225" w:lineRule="auto" w:before="54" w:after="0"/>
        <w:ind w:left="410" w:right="370" w:hanging="270"/>
        <w:jc w:val="left"/>
        <w:rPr>
          <w:rFonts w:ascii="Arial" w:hAnsi="Arial"/>
          <w:color w:val="147592"/>
          <w:sz w:val="28"/>
        </w:rPr>
      </w:pPr>
      <w:r>
        <w:rPr>
          <w:color w:val="4C4D4F"/>
          <w:w w:val="115"/>
          <w:sz w:val="22"/>
        </w:rPr>
        <w:t>Patients’ use of other substances </w:t>
      </w:r>
      <w:r>
        <w:rPr>
          <w:color w:val="4C4D4F"/>
          <w:spacing w:val="2"/>
          <w:w w:val="115"/>
          <w:sz w:val="22"/>
        </w:rPr>
        <w:t>(e.g., </w:t>
      </w:r>
      <w:r>
        <w:rPr>
          <w:color w:val="4C4D4F"/>
          <w:spacing w:val="-4"/>
          <w:w w:val="115"/>
          <w:sz w:val="22"/>
        </w:rPr>
        <w:t>naltrexone</w:t>
      </w:r>
      <w:r>
        <w:rPr>
          <w:color w:val="4C4D4F"/>
          <w:spacing w:val="-38"/>
          <w:w w:val="115"/>
          <w:sz w:val="22"/>
        </w:rPr>
        <w:t> </w:t>
      </w:r>
      <w:r>
        <w:rPr>
          <w:color w:val="4C4D4F"/>
          <w:w w:val="115"/>
          <w:sz w:val="22"/>
        </w:rPr>
        <w:t>is</w:t>
      </w:r>
      <w:r>
        <w:rPr>
          <w:color w:val="4C4D4F"/>
          <w:spacing w:val="-37"/>
          <w:w w:val="115"/>
          <w:sz w:val="22"/>
        </w:rPr>
        <w:t> </w:t>
      </w:r>
      <w:r>
        <w:rPr>
          <w:color w:val="4C4D4F"/>
          <w:spacing w:val="-3"/>
          <w:w w:val="115"/>
          <w:sz w:val="22"/>
        </w:rPr>
        <w:t>also</w:t>
      </w:r>
      <w:r>
        <w:rPr>
          <w:color w:val="4C4D4F"/>
          <w:spacing w:val="-38"/>
          <w:w w:val="115"/>
          <w:sz w:val="22"/>
        </w:rPr>
        <w:t> </w:t>
      </w:r>
      <w:r>
        <w:rPr>
          <w:color w:val="4C4D4F"/>
          <w:spacing w:val="-4"/>
          <w:w w:val="115"/>
          <w:sz w:val="22"/>
        </w:rPr>
        <w:t>approved</w:t>
      </w:r>
      <w:r>
        <w:rPr>
          <w:color w:val="4C4D4F"/>
          <w:spacing w:val="-37"/>
          <w:w w:val="115"/>
          <w:sz w:val="22"/>
        </w:rPr>
        <w:t> </w:t>
      </w:r>
      <w:r>
        <w:rPr>
          <w:color w:val="4C4D4F"/>
          <w:w w:val="115"/>
          <w:sz w:val="22"/>
        </w:rPr>
        <w:t>for</w:t>
      </w:r>
      <w:r>
        <w:rPr>
          <w:color w:val="4C4D4F"/>
          <w:spacing w:val="-38"/>
          <w:w w:val="115"/>
          <w:sz w:val="22"/>
        </w:rPr>
        <w:t> </w:t>
      </w:r>
      <w:r>
        <w:rPr>
          <w:color w:val="4C4D4F"/>
          <w:w w:val="115"/>
          <w:sz w:val="22"/>
        </w:rPr>
        <w:t>the</w:t>
      </w:r>
      <w:r>
        <w:rPr>
          <w:color w:val="4C4D4F"/>
          <w:spacing w:val="-37"/>
          <w:w w:val="115"/>
          <w:sz w:val="22"/>
        </w:rPr>
        <w:t> </w:t>
      </w:r>
      <w:r>
        <w:rPr>
          <w:color w:val="4C4D4F"/>
          <w:spacing w:val="-4"/>
          <w:w w:val="115"/>
          <w:sz w:val="22"/>
        </w:rPr>
        <w:t>treatment </w:t>
      </w:r>
      <w:r>
        <w:rPr>
          <w:color w:val="4C4D4F"/>
          <w:w w:val="115"/>
          <w:sz w:val="22"/>
        </w:rPr>
        <w:t>of alcohol</w:t>
      </w:r>
      <w:r>
        <w:rPr>
          <w:color w:val="4C4D4F"/>
          <w:spacing w:val="-21"/>
          <w:w w:val="115"/>
          <w:sz w:val="22"/>
        </w:rPr>
        <w:t> </w:t>
      </w:r>
      <w:r>
        <w:rPr>
          <w:color w:val="4C4D4F"/>
          <w:w w:val="115"/>
          <w:sz w:val="22"/>
        </w:rPr>
        <w:t>dependence).</w:t>
      </w:r>
    </w:p>
    <w:p>
      <w:pPr>
        <w:pStyle w:val="ListParagraph"/>
        <w:numPr>
          <w:ilvl w:val="0"/>
          <w:numId w:val="4"/>
        </w:numPr>
        <w:tabs>
          <w:tab w:pos="410" w:val="left" w:leader="none"/>
        </w:tabs>
        <w:spacing w:line="208" w:lineRule="auto" w:before="68" w:after="0"/>
        <w:ind w:left="410" w:right="475" w:hanging="270"/>
        <w:jc w:val="left"/>
        <w:rPr>
          <w:rFonts w:ascii="Arial" w:hAnsi="Arial"/>
          <w:color w:val="147592"/>
          <w:sz w:val="28"/>
        </w:rPr>
      </w:pPr>
      <w:r>
        <w:rPr>
          <w:color w:val="4C4D4F"/>
          <w:w w:val="110"/>
          <w:sz w:val="22"/>
        </w:rPr>
        <w:t>Patients’ occupation. For patients in </w:t>
      </w:r>
      <w:r>
        <w:rPr>
          <w:color w:val="4C4D4F"/>
          <w:spacing w:val="-3"/>
          <w:w w:val="110"/>
          <w:sz w:val="22"/>
        </w:rPr>
        <w:t>safety- </w:t>
      </w:r>
      <w:r>
        <w:rPr>
          <w:color w:val="4C4D4F"/>
          <w:w w:val="110"/>
          <w:sz w:val="22"/>
        </w:rPr>
        <w:t>sensitive occupations, consider</w:t>
      </w:r>
      <w:r>
        <w:rPr>
          <w:color w:val="4C4D4F"/>
          <w:spacing w:val="5"/>
          <w:w w:val="110"/>
          <w:sz w:val="22"/>
        </w:rPr>
        <w:t> </w:t>
      </w:r>
      <w:r>
        <w:rPr>
          <w:color w:val="4C4D4F"/>
          <w:w w:val="110"/>
          <w:sz w:val="22"/>
        </w:rPr>
        <w:t>naltrexone.</w:t>
      </w:r>
    </w:p>
    <w:p>
      <w:pPr>
        <w:pStyle w:val="ListParagraph"/>
        <w:numPr>
          <w:ilvl w:val="0"/>
          <w:numId w:val="4"/>
        </w:numPr>
        <w:tabs>
          <w:tab w:pos="410" w:val="left" w:leader="none"/>
        </w:tabs>
        <w:spacing w:line="315" w:lineRule="exact" w:before="40" w:after="0"/>
        <w:ind w:left="410" w:right="0" w:hanging="270"/>
        <w:jc w:val="left"/>
        <w:rPr>
          <w:rFonts w:ascii="Arial" w:hAnsi="Arial"/>
          <w:color w:val="147592"/>
          <w:sz w:val="28"/>
        </w:rPr>
      </w:pPr>
      <w:r>
        <w:rPr>
          <w:color w:val="4C4D4F"/>
          <w:w w:val="115"/>
          <w:sz w:val="22"/>
        </w:rPr>
        <w:t>Patients’ pregnancy</w:t>
      </w:r>
      <w:r>
        <w:rPr>
          <w:color w:val="4C4D4F"/>
          <w:spacing w:val="-21"/>
          <w:w w:val="115"/>
          <w:sz w:val="22"/>
        </w:rPr>
        <w:t> </w:t>
      </w:r>
      <w:r>
        <w:rPr>
          <w:color w:val="4C4D4F"/>
          <w:w w:val="115"/>
          <w:sz w:val="22"/>
        </w:rPr>
        <w:t>status.*</w:t>
      </w:r>
    </w:p>
    <w:p>
      <w:pPr>
        <w:pStyle w:val="ListParagraph"/>
        <w:numPr>
          <w:ilvl w:val="0"/>
          <w:numId w:val="4"/>
        </w:numPr>
        <w:tabs>
          <w:tab w:pos="410" w:val="left" w:leader="none"/>
        </w:tabs>
        <w:spacing w:line="264" w:lineRule="exact" w:before="4" w:after="0"/>
        <w:ind w:left="410" w:right="158" w:hanging="270"/>
        <w:jc w:val="left"/>
        <w:rPr>
          <w:rFonts w:ascii="Arial" w:hAnsi="Arial"/>
          <w:color w:val="147592"/>
          <w:sz w:val="28"/>
        </w:rPr>
      </w:pPr>
      <w:r>
        <w:rPr>
          <w:color w:val="4C4D4F"/>
          <w:w w:val="110"/>
          <w:sz w:val="22"/>
        </w:rPr>
        <w:t>Patients’ physical dependence on opioids. Patients not currently physically dependent on opioids who are returning to the community from a residential treatment program or </w:t>
      </w:r>
      <w:r>
        <w:rPr>
          <w:color w:val="4C4D4F"/>
          <w:spacing w:val="-3"/>
          <w:w w:val="110"/>
          <w:sz w:val="22"/>
        </w:rPr>
        <w:t>incar- </w:t>
      </w:r>
      <w:r>
        <w:rPr>
          <w:color w:val="4C4D4F"/>
          <w:w w:val="110"/>
          <w:sz w:val="22"/>
        </w:rPr>
        <w:t>ceration should have the option of XR-NTX,</w:t>
      </w:r>
      <w:r>
        <w:rPr>
          <w:color w:val="4C4D4F"/>
          <w:w w:val="110"/>
          <w:position w:val="7"/>
          <w:sz w:val="13"/>
        </w:rPr>
        <w:t>29</w:t>
      </w:r>
      <w:r>
        <w:rPr>
          <w:color w:val="4C4D4F"/>
          <w:w w:val="110"/>
          <w:sz w:val="13"/>
        </w:rPr>
        <w:t> </w:t>
      </w:r>
      <w:r>
        <w:rPr>
          <w:color w:val="4C4D4F"/>
          <w:w w:val="110"/>
          <w:sz w:val="22"/>
        </w:rPr>
        <w:t>methadone, or buprenorphine based on </w:t>
      </w:r>
      <w:r>
        <w:rPr>
          <w:color w:val="4C4D4F"/>
          <w:spacing w:val="-4"/>
          <w:w w:val="110"/>
          <w:sz w:val="22"/>
        </w:rPr>
        <w:t>which </w:t>
      </w:r>
      <w:r>
        <w:rPr>
          <w:color w:val="4C4D4F"/>
          <w:w w:val="110"/>
          <w:sz w:val="22"/>
        </w:rPr>
        <w:t>best suits their needs and circumstances (see below for special safety dosing considerations for methadone and buprenorphine in nontol- erant</w:t>
      </w:r>
      <w:r>
        <w:rPr>
          <w:color w:val="4C4D4F"/>
          <w:spacing w:val="-6"/>
          <w:w w:val="110"/>
          <w:sz w:val="22"/>
        </w:rPr>
        <w:t> </w:t>
      </w:r>
      <w:r>
        <w:rPr>
          <w:color w:val="4C4D4F"/>
          <w:w w:val="110"/>
          <w:sz w:val="22"/>
        </w:rPr>
        <w:t>patients).</w:t>
      </w:r>
      <w:r>
        <w:rPr>
          <w:color w:val="4C4D4F"/>
          <w:w w:val="110"/>
          <w:position w:val="7"/>
          <w:sz w:val="13"/>
        </w:rPr>
        <w:t>30,31,32,33</w:t>
      </w:r>
    </w:p>
    <w:p>
      <w:pPr>
        <w:spacing w:after="0" w:line="264" w:lineRule="exact"/>
        <w:jc w:val="left"/>
        <w:rPr>
          <w:rFonts w:ascii="Arial" w:hAnsi="Arial"/>
          <w:sz w:val="28"/>
        </w:rPr>
        <w:sectPr>
          <w:type w:val="continuous"/>
          <w:pgSz w:w="12240" w:h="15840"/>
          <w:pgMar w:top="540" w:bottom="280" w:left="940" w:right="920"/>
          <w:cols w:num="2" w:equalWidth="0">
            <w:col w:w="4989" w:space="231"/>
            <w:col w:w="5160"/>
          </w:cols>
        </w:sectPr>
      </w:pPr>
    </w:p>
    <w:p>
      <w:pPr>
        <w:pStyle w:val="BodyText"/>
        <w:spacing w:before="6"/>
        <w:rPr>
          <w:sz w:val="2"/>
        </w:rPr>
      </w:pPr>
    </w:p>
    <w:p>
      <w:pPr>
        <w:pStyle w:val="BodyText"/>
        <w:spacing w:line="20" w:lineRule="exact"/>
        <w:ind w:left="135"/>
        <w:rPr>
          <w:sz w:val="2"/>
        </w:rPr>
      </w:pPr>
      <w:r>
        <w:rPr>
          <w:sz w:val="2"/>
        </w:rPr>
        <w:pict>
          <v:group style="width:94.35pt;height:.5pt;mso-position-horizontal-relative:char;mso-position-vertical-relative:line" coordorigin="0,0" coordsize="1887,10">
            <v:line style="position:absolute" from="0,5" to="1886,5" stroked="true" strokeweight=".5pt" strokecolor="#a7a9ac">
              <v:stroke dashstyle="solid"/>
            </v:line>
          </v:group>
        </w:pict>
      </w:r>
      <w:r>
        <w:rPr>
          <w:sz w:val="2"/>
        </w:rPr>
      </w:r>
    </w:p>
    <w:p>
      <w:pPr>
        <w:spacing w:line="247" w:lineRule="auto" w:before="162"/>
        <w:ind w:left="139" w:right="170" w:firstLine="0"/>
        <w:jc w:val="left"/>
        <w:rPr>
          <w:sz w:val="10"/>
        </w:rPr>
      </w:pPr>
      <w:r>
        <w:rPr>
          <w:color w:val="4C4D4F"/>
          <w:w w:val="110"/>
          <w:sz w:val="18"/>
        </w:rPr>
        <w:t>*Methadone or buprenorphine maintenance is recommended for OUD treatment during pregnancy,</w:t>
      </w:r>
      <w:r>
        <w:rPr>
          <w:color w:val="4C4D4F"/>
          <w:w w:val="110"/>
          <w:position w:val="6"/>
          <w:sz w:val="10"/>
        </w:rPr>
        <w:t>34 </w:t>
      </w:r>
      <w:r>
        <w:rPr>
          <w:color w:val="4C4D4F"/>
          <w:w w:val="110"/>
          <w:sz w:val="18"/>
        </w:rPr>
        <w:t>as these medications have better maternal and infant outcomes than no treatment or medically supervised withdrawal.</w:t>
      </w:r>
      <w:r>
        <w:rPr>
          <w:color w:val="4C4D4F"/>
          <w:w w:val="110"/>
          <w:position w:val="6"/>
          <w:sz w:val="10"/>
        </w:rPr>
        <w:t>35,36,37 </w:t>
      </w:r>
      <w:r>
        <w:rPr>
          <w:color w:val="4C4D4F"/>
          <w:w w:val="110"/>
          <w:sz w:val="18"/>
        </w:rPr>
        <w:t>Methadone and buprenorphine are not associated with birth defects and have minimal long-term neurodevelopmental impact on infants.</w:t>
      </w:r>
      <w:r>
        <w:rPr>
          <w:color w:val="4C4D4F"/>
          <w:w w:val="110"/>
          <w:position w:val="6"/>
          <w:sz w:val="10"/>
        </w:rPr>
        <w:t>38 </w:t>
      </w:r>
      <w:r>
        <w:rPr>
          <w:color w:val="4C4D4F"/>
          <w:w w:val="110"/>
          <w:sz w:val="18"/>
        </w:rPr>
        <w:t>However, neonatal abstinence syndrome can occur, which requires hospitalization.</w:t>
      </w:r>
      <w:r>
        <w:rPr>
          <w:color w:val="4C4D4F"/>
          <w:w w:val="110"/>
          <w:position w:val="6"/>
          <w:sz w:val="10"/>
        </w:rPr>
        <w:t>39 </w:t>
      </w:r>
      <w:r>
        <w:rPr>
          <w:color w:val="4C4D4F"/>
          <w:w w:val="110"/>
          <w:sz w:val="18"/>
        </w:rPr>
        <w:t>The American College of Obstetricians and Gynecologists notes that limited data exist on the safety and effectiveness of naltrexone in pregnancy.</w:t>
      </w:r>
      <w:r>
        <w:rPr>
          <w:color w:val="4C4D4F"/>
          <w:w w:val="110"/>
          <w:position w:val="6"/>
          <w:sz w:val="10"/>
        </w:rPr>
        <w:t>40 </w:t>
      </w:r>
      <w:r>
        <w:rPr>
          <w:color w:val="4C4D4F"/>
          <w:w w:val="110"/>
          <w:sz w:val="18"/>
        </w:rPr>
        <w:t>Starting naltrexone rather than opioid agonist treatment in pregnancy is not recommended, given the risk of precipitated withdrawal. An expert panel did not agree on whether women already receiving treatment with naltrexone at the onset of pregnancy should remain on that medication during pregnancy.</w:t>
      </w:r>
      <w:r>
        <w:rPr>
          <w:color w:val="4C4D4F"/>
          <w:w w:val="110"/>
          <w:position w:val="6"/>
          <w:sz w:val="10"/>
        </w:rPr>
        <w:t>41 </w:t>
      </w:r>
      <w:r>
        <w:rPr>
          <w:color w:val="4C4D4F"/>
          <w:w w:val="110"/>
          <w:sz w:val="18"/>
        </w:rPr>
        <w:t>Patients who were taking naltrexone before their pregnancy should weigh with their providers the risks regarding unknown potential harm to the developing fetus versus the potential beneﬁts of continuing this medication during pregnancy.</w:t>
      </w:r>
      <w:r>
        <w:rPr>
          <w:color w:val="4C4D4F"/>
          <w:w w:val="110"/>
          <w:position w:val="6"/>
          <w:sz w:val="10"/>
        </w:rPr>
        <w:t>42 </w:t>
      </w:r>
      <w:r>
        <w:rPr>
          <w:color w:val="4C4D4F"/>
          <w:w w:val="110"/>
          <w:sz w:val="18"/>
        </w:rPr>
        <w:t>Pregnant patients who discontinue naltrexone and return to opioid use should be considered for methadone or buprenorphine treatment.</w:t>
      </w:r>
      <w:r>
        <w:rPr>
          <w:color w:val="4C4D4F"/>
          <w:w w:val="110"/>
          <w:position w:val="6"/>
          <w:sz w:val="10"/>
        </w:rPr>
        <w:t>43</w:t>
      </w:r>
    </w:p>
    <w:p>
      <w:pPr>
        <w:spacing w:after="0" w:line="247" w:lineRule="auto"/>
        <w:jc w:val="left"/>
        <w:rPr>
          <w:sz w:val="10"/>
        </w:rPr>
        <w:sectPr>
          <w:type w:val="continuous"/>
          <w:pgSz w:w="12240" w:h="15840"/>
          <w:pgMar w:top="540" w:bottom="280" w:left="940" w:right="920"/>
        </w:sectPr>
      </w:pPr>
    </w:p>
    <w:p>
      <w:pPr>
        <w:pStyle w:val="BodyText"/>
        <w:rPr>
          <w:sz w:val="26"/>
        </w:rPr>
      </w:pPr>
    </w:p>
    <w:p>
      <w:pPr>
        <w:spacing w:after="0"/>
        <w:rPr>
          <w:sz w:val="26"/>
        </w:rPr>
        <w:sectPr>
          <w:pgSz w:w="12240" w:h="15840"/>
          <w:pgMar w:header="576" w:footer="677" w:top="1340" w:bottom="860" w:left="940" w:right="920"/>
        </w:sectPr>
      </w:pPr>
    </w:p>
    <w:p>
      <w:pPr>
        <w:pStyle w:val="ListParagraph"/>
        <w:numPr>
          <w:ilvl w:val="0"/>
          <w:numId w:val="4"/>
        </w:numPr>
        <w:tabs>
          <w:tab w:pos="410" w:val="left" w:leader="none"/>
        </w:tabs>
        <w:spacing w:line="264" w:lineRule="exact" w:before="109" w:after="0"/>
        <w:ind w:left="410" w:right="410" w:hanging="270"/>
        <w:jc w:val="left"/>
        <w:rPr>
          <w:rFonts w:ascii="Arial" w:hAnsi="Arial"/>
          <w:color w:val="137692"/>
          <w:sz w:val="28"/>
        </w:rPr>
      </w:pPr>
      <w:r>
        <w:rPr>
          <w:color w:val="4D4D4F"/>
          <w:w w:val="110"/>
          <w:sz w:val="22"/>
        </w:rPr>
        <w:t>Patients’ preferences. Respect patients’ preferences for agonist versus antagonist medication. (See Part 2 of this TIP for an indepth discussion of treatment</w:t>
      </w:r>
      <w:r>
        <w:rPr>
          <w:color w:val="4D4D4F"/>
          <w:spacing w:val="44"/>
          <w:w w:val="110"/>
          <w:sz w:val="22"/>
        </w:rPr>
        <w:t> </w:t>
      </w:r>
      <w:r>
        <w:rPr>
          <w:color w:val="4D4D4F"/>
          <w:w w:val="110"/>
          <w:sz w:val="22"/>
        </w:rPr>
        <w:t>planning.)</w:t>
      </w:r>
    </w:p>
    <w:p>
      <w:pPr>
        <w:pStyle w:val="BodyText"/>
        <w:spacing w:before="3"/>
        <w:rPr>
          <w:sz w:val="23"/>
        </w:rPr>
      </w:pPr>
    </w:p>
    <w:p>
      <w:pPr>
        <w:pStyle w:val="Heading3"/>
      </w:pPr>
      <w:bookmarkStart w:name="_TOC_250105" w:id="10"/>
      <w:bookmarkEnd w:id="10"/>
      <w:r>
        <w:rPr>
          <w:color w:val="137692"/>
          <w:w w:val="105"/>
        </w:rPr>
        <w:t>Comparative Effectiveness</w:t>
      </w:r>
    </w:p>
    <w:p>
      <w:pPr>
        <w:pStyle w:val="BodyText"/>
        <w:spacing w:line="247" w:lineRule="auto" w:before="47"/>
        <w:ind w:left="140" w:right="450"/>
      </w:pPr>
      <w:r>
        <w:rPr>
          <w:color w:val="4D4D4F"/>
          <w:w w:val="110"/>
        </w:rPr>
        <w:t>A </w:t>
      </w:r>
      <w:r>
        <w:rPr>
          <w:color w:val="4D4D4F"/>
          <w:spacing w:val="-3"/>
          <w:w w:val="110"/>
        </w:rPr>
        <w:t>Cochrane </w:t>
      </w:r>
      <w:r>
        <w:rPr>
          <w:color w:val="4D4D4F"/>
          <w:spacing w:val="-4"/>
          <w:w w:val="110"/>
        </w:rPr>
        <w:t>review </w:t>
      </w:r>
      <w:r>
        <w:rPr>
          <w:color w:val="4D4D4F"/>
          <w:w w:val="110"/>
        </w:rPr>
        <w:t>of 5 </w:t>
      </w:r>
      <w:r>
        <w:rPr>
          <w:color w:val="4D4D4F"/>
          <w:spacing w:val="-3"/>
          <w:w w:val="110"/>
        </w:rPr>
        <w:t>randomized clinical trials with </w:t>
      </w:r>
      <w:r>
        <w:rPr>
          <w:color w:val="4D4D4F"/>
          <w:w w:val="110"/>
        </w:rPr>
        <w:t>788 </w:t>
      </w:r>
      <w:r>
        <w:rPr>
          <w:color w:val="4D4D4F"/>
          <w:spacing w:val="-3"/>
          <w:w w:val="110"/>
        </w:rPr>
        <w:t>participants found that, when</w:t>
      </w:r>
    </w:p>
    <w:p>
      <w:pPr>
        <w:pStyle w:val="BodyText"/>
        <w:spacing w:line="247" w:lineRule="auto" w:before="3"/>
        <w:ind w:left="140"/>
      </w:pPr>
      <w:r>
        <w:rPr>
          <w:color w:val="4D4D4F"/>
          <w:w w:val="110"/>
        </w:rPr>
        <w:t>provided at ﬂexible doses on an outpatient basis, methadone retained patients in treatment longer than buprenorphine.</w:t>
      </w:r>
      <w:r>
        <w:rPr>
          <w:color w:val="4D4D4F"/>
          <w:w w:val="110"/>
          <w:position w:val="7"/>
          <w:sz w:val="13"/>
        </w:rPr>
        <w:t>44 </w:t>
      </w:r>
      <w:r>
        <w:rPr>
          <w:color w:val="4D4D4F"/>
          <w:w w:val="110"/>
        </w:rPr>
        <w:t>That same review found that methadone and buprenorphine equally reduced illicit opioid use based on 8 studies with urine drug testing data from 1,027 participants and 4 studies with self-reported drug use from 501 participants.</w:t>
      </w:r>
    </w:p>
    <w:p>
      <w:pPr>
        <w:pStyle w:val="BodyText"/>
        <w:spacing w:line="247" w:lineRule="auto" w:before="129"/>
        <w:ind w:left="140" w:right="64"/>
      </w:pPr>
      <w:r>
        <w:rPr>
          <w:color w:val="4D4D4F"/>
          <w:spacing w:val="-4"/>
          <w:w w:val="110"/>
        </w:rPr>
        <w:t>There </w:t>
      </w:r>
      <w:r>
        <w:rPr>
          <w:color w:val="4D4D4F"/>
          <w:w w:val="110"/>
        </w:rPr>
        <w:t>is not yet a </w:t>
      </w:r>
      <w:r>
        <w:rPr>
          <w:color w:val="4D4D4F"/>
          <w:spacing w:val="-3"/>
          <w:w w:val="110"/>
        </w:rPr>
        <w:t>Cochrane </w:t>
      </w:r>
      <w:r>
        <w:rPr>
          <w:color w:val="4D4D4F"/>
          <w:spacing w:val="-4"/>
          <w:w w:val="110"/>
        </w:rPr>
        <w:t>review </w:t>
      </w:r>
      <w:r>
        <w:rPr>
          <w:color w:val="4D4D4F"/>
          <w:w w:val="110"/>
        </w:rPr>
        <w:t>on </w:t>
      </w:r>
      <w:r>
        <w:rPr>
          <w:color w:val="4D4D4F"/>
          <w:spacing w:val="-3"/>
          <w:w w:val="110"/>
        </w:rPr>
        <w:t>the comparative </w:t>
      </w:r>
      <w:r>
        <w:rPr>
          <w:color w:val="4D4D4F"/>
          <w:spacing w:val="-4"/>
          <w:w w:val="110"/>
        </w:rPr>
        <w:t>effectiveness </w:t>
      </w:r>
      <w:r>
        <w:rPr>
          <w:color w:val="4D4D4F"/>
          <w:w w:val="110"/>
        </w:rPr>
        <w:t>of </w:t>
      </w:r>
      <w:r>
        <w:rPr>
          <w:color w:val="4D4D4F"/>
          <w:spacing w:val="-3"/>
          <w:w w:val="110"/>
        </w:rPr>
        <w:t>XR-NTX </w:t>
      </w:r>
      <w:r>
        <w:rPr>
          <w:color w:val="4D4D4F"/>
          <w:w w:val="110"/>
        </w:rPr>
        <w:t>and </w:t>
      </w:r>
      <w:r>
        <w:rPr>
          <w:color w:val="4D4D4F"/>
          <w:spacing w:val="-3"/>
          <w:w w:val="110"/>
        </w:rPr>
        <w:t>bu- </w:t>
      </w:r>
      <w:r>
        <w:rPr>
          <w:color w:val="4D4D4F"/>
          <w:spacing w:val="-4"/>
          <w:w w:val="110"/>
        </w:rPr>
        <w:t>prenorphine. </w:t>
      </w:r>
      <w:r>
        <w:rPr>
          <w:color w:val="4D4D4F"/>
          <w:spacing w:val="-6"/>
          <w:w w:val="110"/>
        </w:rPr>
        <w:t>However, </w:t>
      </w:r>
      <w:r>
        <w:rPr>
          <w:color w:val="4D4D4F"/>
          <w:w w:val="110"/>
        </w:rPr>
        <w:t>in </w:t>
      </w:r>
      <w:r>
        <w:rPr>
          <w:color w:val="4D4D4F"/>
          <w:spacing w:val="-3"/>
          <w:w w:val="110"/>
        </w:rPr>
        <w:t>2017, </w:t>
      </w:r>
      <w:r>
        <w:rPr>
          <w:color w:val="4D4D4F"/>
          <w:w w:val="110"/>
        </w:rPr>
        <w:t>two </w:t>
      </w:r>
      <w:r>
        <w:rPr>
          <w:color w:val="4D4D4F"/>
          <w:spacing w:val="-3"/>
          <w:w w:val="110"/>
        </w:rPr>
        <w:t>randomized </w:t>
      </w:r>
      <w:r>
        <w:rPr>
          <w:color w:val="4D4D4F"/>
          <w:w w:val="110"/>
        </w:rPr>
        <w:t>trials</w:t>
      </w:r>
      <w:r>
        <w:rPr>
          <w:color w:val="4D4D4F"/>
          <w:spacing w:val="-25"/>
          <w:w w:val="110"/>
        </w:rPr>
        <w:t> </w:t>
      </w:r>
      <w:r>
        <w:rPr>
          <w:color w:val="4D4D4F"/>
          <w:w w:val="110"/>
        </w:rPr>
        <w:t>comparing</w:t>
      </w:r>
      <w:r>
        <w:rPr>
          <w:color w:val="4D4D4F"/>
          <w:spacing w:val="-25"/>
          <w:w w:val="110"/>
        </w:rPr>
        <w:t> </w:t>
      </w:r>
      <w:r>
        <w:rPr>
          <w:color w:val="4D4D4F"/>
          <w:w w:val="110"/>
        </w:rPr>
        <w:t>buprenorphine</w:t>
      </w:r>
      <w:r>
        <w:rPr>
          <w:color w:val="4D4D4F"/>
          <w:spacing w:val="-25"/>
          <w:w w:val="110"/>
        </w:rPr>
        <w:t> </w:t>
      </w:r>
      <w:r>
        <w:rPr>
          <w:color w:val="4D4D4F"/>
          <w:w w:val="110"/>
        </w:rPr>
        <w:t>to</w:t>
      </w:r>
      <w:r>
        <w:rPr>
          <w:color w:val="4D4D4F"/>
          <w:spacing w:val="-25"/>
          <w:w w:val="110"/>
        </w:rPr>
        <w:t> </w:t>
      </w:r>
      <w:r>
        <w:rPr>
          <w:color w:val="4D4D4F"/>
          <w:w w:val="110"/>
        </w:rPr>
        <w:t>XR-NTX</w:t>
      </w:r>
      <w:r>
        <w:rPr>
          <w:color w:val="4D4D4F"/>
          <w:spacing w:val="-25"/>
          <w:w w:val="110"/>
        </w:rPr>
        <w:t> </w:t>
      </w:r>
      <w:r>
        <w:rPr>
          <w:color w:val="4D4D4F"/>
          <w:spacing w:val="-6"/>
          <w:w w:val="110"/>
        </w:rPr>
        <w:t>were </w:t>
      </w:r>
      <w:r>
        <w:rPr>
          <w:color w:val="4D4D4F"/>
          <w:w w:val="110"/>
        </w:rPr>
        <w:t>published. A multisite study with 570 partici- pants in the United States compared initiating buprenorphine versus XR-NTX at 8 inpatient treatment programs.</w:t>
      </w:r>
      <w:r>
        <w:rPr>
          <w:color w:val="4D4D4F"/>
          <w:w w:val="110"/>
          <w:position w:val="7"/>
          <w:sz w:val="13"/>
        </w:rPr>
        <w:t>45 </w:t>
      </w:r>
      <w:r>
        <w:rPr>
          <w:color w:val="4D4D4F"/>
          <w:w w:val="110"/>
        </w:rPr>
        <w:t>That study found that patients randomly assigned to start buprenor- phine had signiﬁcantly lower</w:t>
      </w:r>
      <w:r>
        <w:rPr>
          <w:color w:val="4D4D4F"/>
          <w:spacing w:val="-21"/>
          <w:w w:val="110"/>
        </w:rPr>
        <w:t> </w:t>
      </w:r>
      <w:r>
        <w:rPr>
          <w:color w:val="4D4D4F"/>
          <w:w w:val="110"/>
        </w:rPr>
        <w:t>return-to-use</w:t>
      </w:r>
    </w:p>
    <w:p>
      <w:pPr>
        <w:pStyle w:val="BodyText"/>
        <w:spacing w:line="247" w:lineRule="auto" w:before="12"/>
        <w:ind w:left="140" w:right="38"/>
      </w:pPr>
      <w:r>
        <w:rPr>
          <w:color w:val="4D4D4F"/>
          <w:w w:val="110"/>
        </w:rPr>
        <w:t>rates during 24 weeks of outpatient treatment compared with those patients assigned to start XR-NTX. This ﬁnding was due to the known difﬁculty in successfully completing induction in the XR-NTX group. </w:t>
      </w:r>
      <w:r>
        <w:rPr>
          <w:color w:val="4D4D4F"/>
          <w:spacing w:val="-3"/>
          <w:w w:val="110"/>
        </w:rPr>
        <w:t>However, </w:t>
      </w:r>
      <w:r>
        <w:rPr>
          <w:color w:val="4D4D4F"/>
          <w:w w:val="110"/>
        </w:rPr>
        <w:t>comparing only the subgroups of those participants who did start their assigned medication, there were no signiﬁcant between-group differences in return- to-use </w:t>
      </w:r>
      <w:r>
        <w:rPr>
          <w:color w:val="4D4D4F"/>
          <w:spacing w:val="-3"/>
          <w:w w:val="110"/>
        </w:rPr>
        <w:t>rates. </w:t>
      </w:r>
      <w:r>
        <w:rPr>
          <w:color w:val="4D4D4F"/>
          <w:w w:val="110"/>
        </w:rPr>
        <w:t>In a </w:t>
      </w:r>
      <w:r>
        <w:rPr>
          <w:color w:val="4D4D4F"/>
          <w:spacing w:val="-3"/>
          <w:w w:val="110"/>
        </w:rPr>
        <w:t>12-week trial </w:t>
      </w:r>
      <w:r>
        <w:rPr>
          <w:color w:val="4D4D4F"/>
          <w:w w:val="110"/>
        </w:rPr>
        <w:t>in </w:t>
      </w:r>
      <w:r>
        <w:rPr>
          <w:color w:val="4D4D4F"/>
          <w:spacing w:val="-3"/>
          <w:w w:val="110"/>
        </w:rPr>
        <w:t>Norway with </w:t>
      </w:r>
      <w:r>
        <w:rPr>
          <w:color w:val="4D4D4F"/>
          <w:w w:val="110"/>
        </w:rPr>
        <w:t>159 </w:t>
      </w:r>
      <w:r>
        <w:rPr>
          <w:color w:val="4D4D4F"/>
          <w:spacing w:val="-3"/>
          <w:w w:val="110"/>
        </w:rPr>
        <w:t>participants </w:t>
      </w:r>
      <w:r>
        <w:rPr>
          <w:color w:val="4D4D4F"/>
          <w:w w:val="110"/>
        </w:rPr>
        <w:t>who </w:t>
      </w:r>
      <w:r>
        <w:rPr>
          <w:color w:val="4D4D4F"/>
          <w:spacing w:val="-4"/>
          <w:w w:val="110"/>
        </w:rPr>
        <w:t>were </w:t>
      </w:r>
      <w:r>
        <w:rPr>
          <w:color w:val="4D4D4F"/>
          <w:spacing w:val="-3"/>
          <w:w w:val="110"/>
        </w:rPr>
        <w:t>opioid abstinent </w:t>
      </w:r>
      <w:r>
        <w:rPr>
          <w:color w:val="4D4D4F"/>
          <w:w w:val="110"/>
        </w:rPr>
        <w:t>at </w:t>
      </w:r>
      <w:r>
        <w:rPr>
          <w:color w:val="4D4D4F"/>
          <w:spacing w:val="-3"/>
          <w:w w:val="110"/>
        </w:rPr>
        <w:t>the time </w:t>
      </w:r>
      <w:r>
        <w:rPr>
          <w:color w:val="4D4D4F"/>
          <w:w w:val="110"/>
        </w:rPr>
        <w:t>of </w:t>
      </w:r>
      <w:r>
        <w:rPr>
          <w:color w:val="4D4D4F"/>
          <w:spacing w:val="-3"/>
          <w:w w:val="110"/>
        </w:rPr>
        <w:t>random assignment, XR-NTX </w:t>
      </w:r>
      <w:r>
        <w:rPr>
          <w:color w:val="4D4D4F"/>
          <w:w w:val="110"/>
        </w:rPr>
        <w:t>was </w:t>
      </w:r>
      <w:r>
        <w:rPr>
          <w:color w:val="4D4D4F"/>
          <w:spacing w:val="-3"/>
          <w:w w:val="110"/>
        </w:rPr>
        <w:t>found </w:t>
      </w:r>
      <w:r>
        <w:rPr>
          <w:color w:val="4D4D4F"/>
          <w:w w:val="110"/>
        </w:rPr>
        <w:t>to be </w:t>
      </w:r>
      <w:r>
        <w:rPr>
          <w:color w:val="4D4D4F"/>
          <w:spacing w:val="-3"/>
          <w:w w:val="110"/>
        </w:rPr>
        <w:t>noninferior </w:t>
      </w:r>
      <w:r>
        <w:rPr>
          <w:color w:val="4D4D4F"/>
          <w:w w:val="110"/>
        </w:rPr>
        <w:t>to </w:t>
      </w:r>
      <w:r>
        <w:rPr>
          <w:color w:val="4D4D4F"/>
          <w:spacing w:val="-4"/>
          <w:w w:val="110"/>
        </w:rPr>
        <w:t>buprenorphine </w:t>
      </w:r>
      <w:r>
        <w:rPr>
          <w:color w:val="4D4D4F"/>
          <w:w w:val="110"/>
        </w:rPr>
        <w:t>in </w:t>
      </w:r>
      <w:r>
        <w:rPr>
          <w:color w:val="4D4D4F"/>
          <w:spacing w:val="-3"/>
          <w:w w:val="110"/>
        </w:rPr>
        <w:t>terms of </w:t>
      </w:r>
      <w:r>
        <w:rPr>
          <w:color w:val="4D4D4F"/>
          <w:spacing w:val="-4"/>
          <w:w w:val="110"/>
        </w:rPr>
        <w:t>treatment retention </w:t>
      </w:r>
      <w:r>
        <w:rPr>
          <w:color w:val="4D4D4F"/>
          <w:w w:val="110"/>
        </w:rPr>
        <w:t>and </w:t>
      </w:r>
      <w:r>
        <w:rPr>
          <w:color w:val="4D4D4F"/>
          <w:spacing w:val="-3"/>
          <w:w w:val="110"/>
        </w:rPr>
        <w:t>illicit opioid use.</w:t>
      </w:r>
      <w:r>
        <w:rPr>
          <w:color w:val="4D4D4F"/>
          <w:spacing w:val="-3"/>
          <w:w w:val="110"/>
          <w:position w:val="7"/>
          <w:sz w:val="13"/>
        </w:rPr>
        <w:t>46 </w:t>
      </w:r>
      <w:r>
        <w:rPr>
          <w:color w:val="4D4D4F"/>
          <w:spacing w:val="-4"/>
          <w:w w:val="110"/>
        </w:rPr>
        <w:t>There </w:t>
      </w:r>
      <w:r>
        <w:rPr>
          <w:color w:val="4D4D4F"/>
          <w:w w:val="110"/>
        </w:rPr>
        <w:t>is no </w:t>
      </w:r>
      <w:r>
        <w:rPr>
          <w:color w:val="4D4D4F"/>
          <w:spacing w:val="-3"/>
          <w:w w:val="110"/>
        </w:rPr>
        <w:t>extant </w:t>
      </w:r>
      <w:r>
        <w:rPr>
          <w:color w:val="4D4D4F"/>
          <w:spacing w:val="-4"/>
          <w:w w:val="110"/>
        </w:rPr>
        <w:t>literature </w:t>
      </w:r>
      <w:r>
        <w:rPr>
          <w:color w:val="4D4D4F"/>
          <w:spacing w:val="-3"/>
          <w:w w:val="110"/>
        </w:rPr>
        <w:t>evaluating </w:t>
      </w:r>
      <w:r>
        <w:rPr>
          <w:color w:val="4D4D4F"/>
          <w:w w:val="110"/>
        </w:rPr>
        <w:t>the comparative effectiveness</w:t>
      </w:r>
      <w:r>
        <w:rPr>
          <w:color w:val="4D4D4F"/>
          <w:spacing w:val="-17"/>
          <w:w w:val="110"/>
        </w:rPr>
        <w:t> </w:t>
      </w:r>
      <w:r>
        <w:rPr>
          <w:color w:val="4D4D4F"/>
          <w:w w:val="110"/>
        </w:rPr>
        <w:t>of</w:t>
      </w:r>
      <w:r>
        <w:rPr>
          <w:color w:val="4D4D4F"/>
          <w:spacing w:val="-16"/>
          <w:w w:val="110"/>
        </w:rPr>
        <w:t> </w:t>
      </w:r>
      <w:r>
        <w:rPr>
          <w:color w:val="4D4D4F"/>
          <w:w w:val="110"/>
        </w:rPr>
        <w:t>methadone,</w:t>
      </w:r>
      <w:r>
        <w:rPr>
          <w:color w:val="4D4D4F"/>
          <w:spacing w:val="-16"/>
          <w:w w:val="110"/>
        </w:rPr>
        <w:t> </w:t>
      </w:r>
      <w:r>
        <w:rPr>
          <w:color w:val="4D4D4F"/>
          <w:w w:val="110"/>
        </w:rPr>
        <w:t>XR-NTX,</w:t>
      </w:r>
      <w:r>
        <w:rPr>
          <w:color w:val="4D4D4F"/>
          <w:spacing w:val="-16"/>
          <w:w w:val="110"/>
        </w:rPr>
        <w:t> </w:t>
      </w:r>
      <w:r>
        <w:rPr>
          <w:color w:val="4D4D4F"/>
          <w:w w:val="110"/>
        </w:rPr>
        <w:t>buprenor- phine implant, or extended-release buprenor- phine injection to one</w:t>
      </w:r>
      <w:r>
        <w:rPr>
          <w:color w:val="4D4D4F"/>
          <w:spacing w:val="-21"/>
          <w:w w:val="110"/>
        </w:rPr>
        <w:t> </w:t>
      </w:r>
      <w:r>
        <w:rPr>
          <w:color w:val="4D4D4F"/>
          <w:spacing w:val="-3"/>
          <w:w w:val="110"/>
        </w:rPr>
        <w:t>another.</w:t>
      </w:r>
    </w:p>
    <w:p>
      <w:pPr>
        <w:pStyle w:val="Heading3"/>
        <w:spacing w:before="224"/>
      </w:pPr>
      <w:bookmarkStart w:name="_TOC_250104" w:id="11"/>
      <w:bookmarkEnd w:id="11"/>
      <w:r>
        <w:rPr>
          <w:color w:val="137692"/>
          <w:w w:val="105"/>
        </w:rPr>
        <w:t>Duration of Medication</w:t>
      </w:r>
    </w:p>
    <w:p>
      <w:pPr>
        <w:pStyle w:val="Heading7"/>
        <w:spacing w:line="235" w:lineRule="auto" w:before="47"/>
        <w:ind w:right="450"/>
      </w:pPr>
      <w:r>
        <w:rPr>
          <w:color w:val="4D4D4F"/>
          <w:w w:val="110"/>
        </w:rPr>
        <w:t>Continued treatment with buprenorphine or methadone is associated with better outcomes than medically supervised</w:t>
      </w:r>
    </w:p>
    <w:p>
      <w:pPr>
        <w:spacing w:line="304" w:lineRule="auto" w:before="128"/>
        <w:ind w:left="387" w:right="274" w:firstLine="0"/>
        <w:jc w:val="left"/>
        <w:rPr>
          <w:rFonts w:ascii="Arial" w:hAnsi="Arial"/>
          <w:b/>
          <w:sz w:val="22"/>
        </w:rPr>
      </w:pPr>
      <w:r>
        <w:rPr/>
        <w:br w:type="column"/>
      </w:r>
      <w:r>
        <w:rPr>
          <w:rFonts w:ascii="Arial" w:hAnsi="Arial"/>
          <w:b/>
          <w:color w:val="B15651"/>
          <w:w w:val="110"/>
          <w:sz w:val="22"/>
        </w:rPr>
        <w:t>The TIP expert panel recommends offering maintenance therapy with medication, not short-term medically supervised withdrawal. The TIP expert panel also supports maintaining patients on OUD medication for years, decades, and even a lifetime if patients are beneﬁting.</w:t>
      </w:r>
    </w:p>
    <w:p>
      <w:pPr>
        <w:pStyle w:val="BodyText"/>
        <w:spacing w:before="8"/>
        <w:rPr>
          <w:rFonts w:ascii="Arial"/>
          <w:b/>
          <w:sz w:val="24"/>
        </w:rPr>
      </w:pPr>
    </w:p>
    <w:p>
      <w:pPr>
        <w:spacing w:before="0"/>
        <w:ind w:left="140" w:right="594" w:firstLine="0"/>
        <w:jc w:val="left"/>
        <w:rPr>
          <w:sz w:val="22"/>
        </w:rPr>
      </w:pPr>
      <w:r>
        <w:rPr/>
        <w:pict>
          <v:line style="position:absolute;mso-position-horizontal-relative:page;mso-position-vertical-relative:paragraph;z-index:15738880" from="312.980988pt,-20.369792pt" to="312.980988pt,-143.017792pt" stroked="true" strokeweight="1pt" strokecolor="#759eb4">
            <v:stroke dashstyle="solid"/>
            <w10:wrap type="none"/>
          </v:line>
        </w:pict>
      </w:r>
      <w:r>
        <w:rPr>
          <w:rFonts w:ascii="Calibri"/>
          <w:b/>
          <w:color w:val="4D4D4F"/>
          <w:w w:val="110"/>
          <w:sz w:val="22"/>
        </w:rPr>
        <w:t>withdrawal.</w:t>
      </w:r>
      <w:r>
        <w:rPr>
          <w:rFonts w:ascii="Calibri"/>
          <w:b/>
          <w:color w:val="4D4D4F"/>
          <w:w w:val="110"/>
          <w:position w:val="7"/>
          <w:sz w:val="13"/>
        </w:rPr>
        <w:t>47,48,49 </w:t>
      </w:r>
      <w:r>
        <w:rPr>
          <w:color w:val="4D4D4F"/>
          <w:w w:val="110"/>
          <w:sz w:val="22"/>
        </w:rPr>
        <w:t>Continued treatment with XR-NTX is associated with better outcomes</w:t>
      </w:r>
    </w:p>
    <w:p>
      <w:pPr>
        <w:pStyle w:val="BodyText"/>
        <w:spacing w:line="247" w:lineRule="auto" w:before="9"/>
        <w:ind w:left="140" w:right="232" w:hanging="1"/>
      </w:pPr>
      <w:r>
        <w:rPr>
          <w:color w:val="4D4D4F"/>
          <w:w w:val="110"/>
        </w:rPr>
        <w:t>than discontinuing XR-NTX.</w:t>
      </w:r>
      <w:r>
        <w:rPr>
          <w:color w:val="4D4D4F"/>
          <w:w w:val="110"/>
          <w:position w:val="7"/>
          <w:sz w:val="13"/>
        </w:rPr>
        <w:t>50 </w:t>
      </w:r>
      <w:r>
        <w:rPr>
          <w:color w:val="4D4D4F"/>
          <w:w w:val="110"/>
        </w:rPr>
        <w:t>Patients should be informed of the risks and beneﬁts of discontin- uing medication. Buprenorphine or methadone can be used for medically supervised withdrawal over a period of days to weeks (Exhibit 3A.2)</w:t>
      </w:r>
    </w:p>
    <w:p>
      <w:pPr>
        <w:pStyle w:val="BodyText"/>
        <w:spacing w:line="247" w:lineRule="auto" w:before="6"/>
        <w:ind w:left="140" w:right="471"/>
      </w:pPr>
      <w:r>
        <w:rPr>
          <w:color w:val="4D4D4F"/>
          <w:w w:val="115"/>
        </w:rPr>
        <w:t>for patients who prefer it to ongoing opioid agonist</w:t>
      </w:r>
      <w:r>
        <w:rPr>
          <w:color w:val="4D4D4F"/>
          <w:spacing w:val="-31"/>
          <w:w w:val="115"/>
        </w:rPr>
        <w:t> </w:t>
      </w:r>
      <w:r>
        <w:rPr>
          <w:color w:val="4D4D4F"/>
          <w:w w:val="115"/>
        </w:rPr>
        <w:t>treatment.</w:t>
      </w:r>
      <w:r>
        <w:rPr>
          <w:color w:val="4D4D4F"/>
          <w:spacing w:val="-30"/>
          <w:w w:val="115"/>
        </w:rPr>
        <w:t> </w:t>
      </w:r>
      <w:r>
        <w:rPr>
          <w:color w:val="4D4D4F"/>
          <w:w w:val="115"/>
        </w:rPr>
        <w:t>When</w:t>
      </w:r>
      <w:r>
        <w:rPr>
          <w:color w:val="4D4D4F"/>
          <w:spacing w:val="-30"/>
          <w:w w:val="115"/>
        </w:rPr>
        <w:t> </w:t>
      </w:r>
      <w:r>
        <w:rPr>
          <w:color w:val="4D4D4F"/>
          <w:w w:val="115"/>
        </w:rPr>
        <w:t>opioid</w:t>
      </w:r>
      <w:r>
        <w:rPr>
          <w:color w:val="4D4D4F"/>
          <w:spacing w:val="-31"/>
          <w:w w:val="115"/>
        </w:rPr>
        <w:t> </w:t>
      </w:r>
      <w:r>
        <w:rPr>
          <w:color w:val="4D4D4F"/>
          <w:w w:val="115"/>
        </w:rPr>
        <w:t>agonist</w:t>
      </w:r>
      <w:r>
        <w:rPr>
          <w:color w:val="4D4D4F"/>
          <w:spacing w:val="-30"/>
          <w:w w:val="115"/>
        </w:rPr>
        <w:t> </w:t>
      </w:r>
      <w:r>
        <w:rPr>
          <w:color w:val="4D4D4F"/>
          <w:w w:val="115"/>
        </w:rPr>
        <w:t>med- ications</w:t>
      </w:r>
      <w:r>
        <w:rPr>
          <w:color w:val="4D4D4F"/>
          <w:spacing w:val="-31"/>
          <w:w w:val="115"/>
        </w:rPr>
        <w:t> </w:t>
      </w:r>
      <w:r>
        <w:rPr>
          <w:color w:val="4D4D4F"/>
          <w:w w:val="115"/>
        </w:rPr>
        <w:t>are</w:t>
      </w:r>
      <w:r>
        <w:rPr>
          <w:color w:val="4D4D4F"/>
          <w:spacing w:val="-30"/>
          <w:w w:val="115"/>
        </w:rPr>
        <w:t> </w:t>
      </w:r>
      <w:r>
        <w:rPr>
          <w:color w:val="4D4D4F"/>
          <w:w w:val="115"/>
        </w:rPr>
        <w:t>unavailable,</w:t>
      </w:r>
      <w:r>
        <w:rPr>
          <w:color w:val="4D4D4F"/>
          <w:spacing w:val="-30"/>
          <w:w w:val="115"/>
        </w:rPr>
        <w:t> </w:t>
      </w:r>
      <w:r>
        <w:rPr>
          <w:color w:val="4D4D4F"/>
          <w:w w:val="115"/>
        </w:rPr>
        <w:t>the</w:t>
      </w:r>
      <w:r>
        <w:rPr>
          <w:color w:val="4D4D4F"/>
          <w:spacing w:val="-31"/>
          <w:w w:val="115"/>
        </w:rPr>
        <w:t> </w:t>
      </w:r>
      <w:r>
        <w:rPr>
          <w:color w:val="4D4D4F"/>
          <w:w w:val="115"/>
        </w:rPr>
        <w:t>alpha</w:t>
      </w:r>
      <w:r>
        <w:rPr>
          <w:color w:val="4D4D4F"/>
          <w:w w:val="115"/>
          <w:position w:val="-6"/>
          <w:sz w:val="13"/>
        </w:rPr>
        <w:t>2</w:t>
      </w:r>
      <w:r>
        <w:rPr>
          <w:color w:val="4D4D4F"/>
          <w:w w:val="115"/>
        </w:rPr>
        <w:t>-adrenergic</w:t>
      </w:r>
    </w:p>
    <w:p>
      <w:pPr>
        <w:pStyle w:val="BodyText"/>
        <w:spacing w:line="210" w:lineRule="exact"/>
        <w:ind w:left="140"/>
      </w:pPr>
      <w:r>
        <w:rPr>
          <w:color w:val="4D4D4F"/>
          <w:w w:val="110"/>
        </w:rPr>
        <w:t>agonist clonidine can relieve some</w:t>
      </w:r>
      <w:r>
        <w:rPr>
          <w:color w:val="4D4D4F"/>
          <w:spacing w:val="27"/>
          <w:w w:val="110"/>
        </w:rPr>
        <w:t> </w:t>
      </w:r>
      <w:r>
        <w:rPr>
          <w:color w:val="4D4D4F"/>
          <w:w w:val="110"/>
        </w:rPr>
        <w:t>withdrawal</w:t>
      </w:r>
    </w:p>
    <w:p>
      <w:pPr>
        <w:pStyle w:val="BodyText"/>
        <w:spacing w:line="247" w:lineRule="auto" w:before="9"/>
        <w:ind w:left="140" w:right="327"/>
        <w:rPr>
          <w:sz w:val="13"/>
        </w:rPr>
      </w:pPr>
      <w:r>
        <w:rPr>
          <w:color w:val="4D4D4F"/>
          <w:w w:val="115"/>
        </w:rPr>
        <w:t>symptoms, although clinical trials found it less </w:t>
      </w:r>
      <w:r>
        <w:rPr>
          <w:color w:val="4D4D4F"/>
          <w:spacing w:val="-3"/>
          <w:w w:val="115"/>
        </w:rPr>
        <w:t>effective.</w:t>
      </w:r>
      <w:r>
        <w:rPr>
          <w:color w:val="4D4D4F"/>
          <w:spacing w:val="-3"/>
          <w:w w:val="115"/>
          <w:position w:val="7"/>
          <w:sz w:val="13"/>
        </w:rPr>
        <w:t>51</w:t>
      </w:r>
      <w:r>
        <w:rPr>
          <w:color w:val="4D4D4F"/>
          <w:spacing w:val="-20"/>
          <w:w w:val="115"/>
          <w:position w:val="7"/>
          <w:sz w:val="13"/>
        </w:rPr>
        <w:t> </w:t>
      </w:r>
      <w:r>
        <w:rPr>
          <w:color w:val="4D4D4F"/>
          <w:w w:val="115"/>
        </w:rPr>
        <w:t>Pair</w:t>
      </w:r>
      <w:r>
        <w:rPr>
          <w:color w:val="4D4D4F"/>
          <w:spacing w:val="-47"/>
          <w:w w:val="115"/>
        </w:rPr>
        <w:t> </w:t>
      </w:r>
      <w:r>
        <w:rPr>
          <w:color w:val="4D4D4F"/>
          <w:w w:val="115"/>
        </w:rPr>
        <w:t>medically</w:t>
      </w:r>
      <w:r>
        <w:rPr>
          <w:color w:val="4D4D4F"/>
          <w:spacing w:val="-48"/>
          <w:w w:val="115"/>
        </w:rPr>
        <w:t> </w:t>
      </w:r>
      <w:r>
        <w:rPr>
          <w:color w:val="4D4D4F"/>
          <w:w w:val="115"/>
        </w:rPr>
        <w:t>supervised</w:t>
      </w:r>
      <w:r>
        <w:rPr>
          <w:color w:val="4D4D4F"/>
          <w:spacing w:val="-48"/>
          <w:w w:val="115"/>
        </w:rPr>
        <w:t> </w:t>
      </w:r>
      <w:r>
        <w:rPr>
          <w:color w:val="4D4D4F"/>
          <w:w w:val="115"/>
        </w:rPr>
        <w:t>withdrawal </w:t>
      </w:r>
      <w:r>
        <w:rPr>
          <w:color w:val="4D4D4F"/>
          <w:w w:val="110"/>
        </w:rPr>
        <w:t>with</w:t>
      </w:r>
      <w:r>
        <w:rPr>
          <w:color w:val="4D4D4F"/>
          <w:spacing w:val="-22"/>
          <w:w w:val="110"/>
        </w:rPr>
        <w:t> </w:t>
      </w:r>
      <w:r>
        <w:rPr>
          <w:color w:val="4D4D4F"/>
          <w:w w:val="110"/>
        </w:rPr>
        <w:t>the</w:t>
      </w:r>
      <w:r>
        <w:rPr>
          <w:color w:val="4D4D4F"/>
          <w:spacing w:val="-22"/>
          <w:w w:val="110"/>
        </w:rPr>
        <w:t> </w:t>
      </w:r>
      <w:r>
        <w:rPr>
          <w:color w:val="4D4D4F"/>
          <w:w w:val="110"/>
        </w:rPr>
        <w:t>chance</w:t>
      </w:r>
      <w:r>
        <w:rPr>
          <w:color w:val="4D4D4F"/>
          <w:spacing w:val="-22"/>
          <w:w w:val="110"/>
        </w:rPr>
        <w:t> </w:t>
      </w:r>
      <w:r>
        <w:rPr>
          <w:color w:val="4D4D4F"/>
          <w:w w:val="110"/>
        </w:rPr>
        <w:t>to</w:t>
      </w:r>
      <w:r>
        <w:rPr>
          <w:color w:val="4D4D4F"/>
          <w:spacing w:val="-22"/>
          <w:w w:val="110"/>
        </w:rPr>
        <w:t> </w:t>
      </w:r>
      <w:r>
        <w:rPr>
          <w:color w:val="4D4D4F"/>
          <w:w w:val="110"/>
        </w:rPr>
        <w:t>begin</w:t>
      </w:r>
      <w:r>
        <w:rPr>
          <w:color w:val="4D4D4F"/>
          <w:spacing w:val="-22"/>
          <w:w w:val="110"/>
        </w:rPr>
        <w:t> </w:t>
      </w:r>
      <w:r>
        <w:rPr>
          <w:color w:val="4D4D4F"/>
          <w:w w:val="110"/>
        </w:rPr>
        <w:t>XR-NTX.</w:t>
      </w:r>
      <w:r>
        <w:rPr>
          <w:color w:val="4D4D4F"/>
          <w:spacing w:val="-22"/>
          <w:w w:val="110"/>
        </w:rPr>
        <w:t> </w:t>
      </w:r>
      <w:r>
        <w:rPr>
          <w:color w:val="4D4D4F"/>
          <w:spacing w:val="-4"/>
          <w:w w:val="110"/>
        </w:rPr>
        <w:t>Discontinuing </w:t>
      </w:r>
      <w:r>
        <w:rPr>
          <w:color w:val="4D4D4F"/>
          <w:w w:val="115"/>
        </w:rPr>
        <w:t>medication</w:t>
      </w:r>
      <w:r>
        <w:rPr>
          <w:color w:val="4D4D4F"/>
          <w:spacing w:val="-44"/>
          <w:w w:val="115"/>
        </w:rPr>
        <w:t> </w:t>
      </w:r>
      <w:r>
        <w:rPr>
          <w:color w:val="4D4D4F"/>
          <w:spacing w:val="-3"/>
          <w:w w:val="115"/>
        </w:rPr>
        <w:t>increases</w:t>
      </w:r>
      <w:r>
        <w:rPr>
          <w:color w:val="4D4D4F"/>
          <w:spacing w:val="-43"/>
          <w:w w:val="115"/>
        </w:rPr>
        <w:t> </w:t>
      </w:r>
      <w:r>
        <w:rPr>
          <w:color w:val="4D4D4F"/>
          <w:w w:val="115"/>
        </w:rPr>
        <w:t>risk</w:t>
      </w:r>
      <w:r>
        <w:rPr>
          <w:color w:val="4D4D4F"/>
          <w:spacing w:val="-43"/>
          <w:w w:val="115"/>
        </w:rPr>
        <w:t> </w:t>
      </w:r>
      <w:r>
        <w:rPr>
          <w:color w:val="4D4D4F"/>
          <w:w w:val="115"/>
        </w:rPr>
        <w:t>of</w:t>
      </w:r>
      <w:r>
        <w:rPr>
          <w:color w:val="4D4D4F"/>
          <w:spacing w:val="-43"/>
          <w:w w:val="115"/>
        </w:rPr>
        <w:t> </w:t>
      </w:r>
      <w:r>
        <w:rPr>
          <w:color w:val="4D4D4F"/>
          <w:spacing w:val="-3"/>
          <w:w w:val="115"/>
        </w:rPr>
        <w:t>return</w:t>
      </w:r>
      <w:r>
        <w:rPr>
          <w:color w:val="4D4D4F"/>
          <w:spacing w:val="-43"/>
          <w:w w:val="115"/>
        </w:rPr>
        <w:t> </w:t>
      </w:r>
      <w:r>
        <w:rPr>
          <w:color w:val="4D4D4F"/>
          <w:w w:val="115"/>
        </w:rPr>
        <w:t>to</w:t>
      </w:r>
      <w:r>
        <w:rPr>
          <w:color w:val="4D4D4F"/>
          <w:spacing w:val="-43"/>
          <w:w w:val="115"/>
        </w:rPr>
        <w:t> </w:t>
      </w:r>
      <w:r>
        <w:rPr>
          <w:color w:val="4D4D4F"/>
          <w:w w:val="115"/>
        </w:rPr>
        <w:t>substance use and overdose death.</w:t>
      </w:r>
      <w:r>
        <w:rPr>
          <w:color w:val="4D4D4F"/>
          <w:w w:val="115"/>
          <w:position w:val="7"/>
          <w:sz w:val="13"/>
        </w:rPr>
        <w:t>52 </w:t>
      </w:r>
      <w:r>
        <w:rPr>
          <w:color w:val="4D4D4F"/>
          <w:w w:val="115"/>
        </w:rPr>
        <w:t>Stable patients can continue on their selected OUD medication indeﬁnitely</w:t>
      </w:r>
      <w:r>
        <w:rPr>
          <w:color w:val="4D4D4F"/>
          <w:spacing w:val="-13"/>
          <w:w w:val="115"/>
        </w:rPr>
        <w:t> </w:t>
      </w:r>
      <w:r>
        <w:rPr>
          <w:color w:val="4D4D4F"/>
          <w:w w:val="115"/>
        </w:rPr>
        <w:t>as</w:t>
      </w:r>
      <w:r>
        <w:rPr>
          <w:color w:val="4D4D4F"/>
          <w:spacing w:val="-13"/>
          <w:w w:val="115"/>
        </w:rPr>
        <w:t> </w:t>
      </w:r>
      <w:r>
        <w:rPr>
          <w:color w:val="4D4D4F"/>
          <w:w w:val="115"/>
        </w:rPr>
        <w:t>long</w:t>
      </w:r>
      <w:r>
        <w:rPr>
          <w:color w:val="4D4D4F"/>
          <w:spacing w:val="-13"/>
          <w:w w:val="115"/>
        </w:rPr>
        <w:t> </w:t>
      </w:r>
      <w:r>
        <w:rPr>
          <w:color w:val="4D4D4F"/>
          <w:w w:val="115"/>
        </w:rPr>
        <w:t>as</w:t>
      </w:r>
      <w:r>
        <w:rPr>
          <w:color w:val="4D4D4F"/>
          <w:spacing w:val="-13"/>
          <w:w w:val="115"/>
        </w:rPr>
        <w:t> </w:t>
      </w:r>
      <w:r>
        <w:rPr>
          <w:color w:val="4D4D4F"/>
          <w:w w:val="115"/>
        </w:rPr>
        <w:t>it</w:t>
      </w:r>
      <w:r>
        <w:rPr>
          <w:color w:val="4D4D4F"/>
          <w:spacing w:val="-13"/>
          <w:w w:val="115"/>
        </w:rPr>
        <w:t> </w:t>
      </w:r>
      <w:r>
        <w:rPr>
          <w:color w:val="4D4D4F"/>
          <w:w w:val="115"/>
        </w:rPr>
        <w:t>is</w:t>
      </w:r>
      <w:r>
        <w:rPr>
          <w:color w:val="4D4D4F"/>
          <w:spacing w:val="-13"/>
          <w:w w:val="115"/>
        </w:rPr>
        <w:t> </w:t>
      </w:r>
      <w:r>
        <w:rPr>
          <w:color w:val="4D4D4F"/>
          <w:w w:val="115"/>
        </w:rPr>
        <w:t>beneﬁcial.</w:t>
      </w:r>
      <w:r>
        <w:rPr>
          <w:color w:val="4D4D4F"/>
          <w:w w:val="115"/>
          <w:position w:val="7"/>
          <w:sz w:val="13"/>
        </w:rPr>
        <w:t>53,54,55,56</w:t>
      </w:r>
    </w:p>
    <w:p>
      <w:pPr>
        <w:pStyle w:val="BodyText"/>
        <w:spacing w:line="247" w:lineRule="auto" w:before="188"/>
        <w:ind w:left="140"/>
      </w:pPr>
      <w:r>
        <w:rPr>
          <w:color w:val="4D4D4F"/>
          <w:w w:val="110"/>
        </w:rPr>
        <w:t>During medically supervised withdrawal, ancillary medications can treat some of the withdrawal symptoms (Exhibit 3A.3).</w:t>
      </w:r>
    </w:p>
    <w:p>
      <w:pPr>
        <w:pStyle w:val="Heading2"/>
        <w:spacing w:before="217"/>
      </w:pPr>
      <w:bookmarkStart w:name="_TOC_250103" w:id="12"/>
      <w:bookmarkEnd w:id="12"/>
      <w:r>
        <w:rPr>
          <w:color w:val="137692"/>
          <w:w w:val="105"/>
        </w:rPr>
        <w:t>Principles of OUD Pharmacotherapy</w:t>
      </w:r>
    </w:p>
    <w:p>
      <w:pPr>
        <w:pStyle w:val="Heading3"/>
        <w:spacing w:before="114"/>
      </w:pPr>
      <w:bookmarkStart w:name="_TOC_250102" w:id="13"/>
      <w:bookmarkEnd w:id="13"/>
      <w:r>
        <w:rPr>
          <w:color w:val="137692"/>
          <w:w w:val="105"/>
        </w:rPr>
        <w:t>Basic Function</w:t>
      </w:r>
    </w:p>
    <w:p>
      <w:pPr>
        <w:spacing w:line="242" w:lineRule="auto" w:before="43"/>
        <w:ind w:left="140" w:right="0" w:firstLine="0"/>
        <w:jc w:val="left"/>
        <w:rPr>
          <w:sz w:val="13"/>
        </w:rPr>
      </w:pPr>
      <w:r>
        <w:rPr>
          <w:rFonts w:ascii="Calibri" w:hAnsi="Calibri"/>
          <w:b/>
          <w:color w:val="4D4D4F"/>
          <w:w w:val="115"/>
          <w:sz w:val="22"/>
        </w:rPr>
        <w:t>Several factors underlie the development of addiction involving opioids </w:t>
      </w:r>
      <w:r>
        <w:rPr>
          <w:color w:val="4D4D4F"/>
          <w:w w:val="115"/>
          <w:sz w:val="22"/>
        </w:rPr>
        <w:t>and the difﬁculty people have in achieving and maintaining absti- nence from them. These factors include:</w:t>
      </w:r>
      <w:r>
        <w:rPr>
          <w:color w:val="4D4D4F"/>
          <w:w w:val="115"/>
          <w:position w:val="7"/>
          <w:sz w:val="13"/>
        </w:rPr>
        <w:t>57,58</w:t>
      </w:r>
    </w:p>
    <w:p>
      <w:pPr>
        <w:pStyle w:val="ListParagraph"/>
        <w:numPr>
          <w:ilvl w:val="0"/>
          <w:numId w:val="4"/>
        </w:numPr>
        <w:tabs>
          <w:tab w:pos="411" w:val="left" w:leader="none"/>
        </w:tabs>
        <w:spacing w:line="208" w:lineRule="auto" w:before="129" w:after="0"/>
        <w:ind w:left="410" w:right="737" w:hanging="270"/>
        <w:jc w:val="left"/>
        <w:rPr>
          <w:rFonts w:ascii="Arial" w:hAnsi="Arial"/>
          <w:color w:val="137692"/>
          <w:sz w:val="28"/>
        </w:rPr>
      </w:pPr>
      <w:r>
        <w:rPr>
          <w:color w:val="4D4D4F"/>
          <w:w w:val="110"/>
          <w:sz w:val="22"/>
        </w:rPr>
        <w:t>Short-term direct and indirect</w:t>
      </w:r>
      <w:r>
        <w:rPr>
          <w:color w:val="4D4D4F"/>
          <w:spacing w:val="-48"/>
          <w:w w:val="110"/>
          <w:sz w:val="22"/>
        </w:rPr>
        <w:t> </w:t>
      </w:r>
      <w:r>
        <w:rPr>
          <w:color w:val="4D4D4F"/>
          <w:w w:val="110"/>
          <w:sz w:val="22"/>
        </w:rPr>
        <w:t>mu-opioid receptor agonist</w:t>
      </w:r>
      <w:r>
        <w:rPr>
          <w:color w:val="4D4D4F"/>
          <w:spacing w:val="-9"/>
          <w:w w:val="110"/>
          <w:sz w:val="22"/>
        </w:rPr>
        <w:t> </w:t>
      </w:r>
      <w:r>
        <w:rPr>
          <w:color w:val="4D4D4F"/>
          <w:w w:val="110"/>
          <w:sz w:val="22"/>
        </w:rPr>
        <w:t>effects.</w:t>
      </w:r>
    </w:p>
    <w:p>
      <w:pPr>
        <w:pStyle w:val="ListParagraph"/>
        <w:numPr>
          <w:ilvl w:val="0"/>
          <w:numId w:val="4"/>
        </w:numPr>
        <w:tabs>
          <w:tab w:pos="411" w:val="left" w:leader="none"/>
        </w:tabs>
        <w:spacing w:line="315" w:lineRule="exact" w:before="40" w:after="0"/>
        <w:ind w:left="410" w:right="0" w:hanging="271"/>
        <w:jc w:val="left"/>
        <w:rPr>
          <w:rFonts w:ascii="Arial" w:hAnsi="Arial"/>
          <w:color w:val="137692"/>
          <w:sz w:val="28"/>
        </w:rPr>
      </w:pPr>
      <w:r>
        <w:rPr>
          <w:color w:val="4D4D4F"/>
          <w:w w:val="110"/>
          <w:sz w:val="22"/>
        </w:rPr>
        <w:t>Neuroplastic changes in the</w:t>
      </w:r>
      <w:r>
        <w:rPr>
          <w:color w:val="4D4D4F"/>
          <w:spacing w:val="-16"/>
          <w:w w:val="110"/>
          <w:sz w:val="22"/>
        </w:rPr>
        <w:t> </w:t>
      </w:r>
      <w:r>
        <w:rPr>
          <w:color w:val="4D4D4F"/>
          <w:w w:val="110"/>
          <w:sz w:val="22"/>
        </w:rPr>
        <w:t>brain.</w:t>
      </w:r>
    </w:p>
    <w:p>
      <w:pPr>
        <w:pStyle w:val="ListParagraph"/>
        <w:numPr>
          <w:ilvl w:val="0"/>
          <w:numId w:val="4"/>
        </w:numPr>
        <w:tabs>
          <w:tab w:pos="411" w:val="left" w:leader="none"/>
        </w:tabs>
        <w:spacing w:line="264" w:lineRule="exact" w:before="4" w:after="0"/>
        <w:ind w:left="410" w:right="409" w:hanging="270"/>
        <w:jc w:val="left"/>
        <w:rPr>
          <w:rFonts w:ascii="Arial" w:hAnsi="Arial"/>
          <w:color w:val="137692"/>
          <w:sz w:val="28"/>
        </w:rPr>
      </w:pPr>
      <w:r>
        <w:rPr>
          <w:color w:val="4D4D4F"/>
          <w:w w:val="110"/>
          <w:sz w:val="22"/>
        </w:rPr>
        <w:t>Genetic, developmental, and </w:t>
      </w:r>
      <w:r>
        <w:rPr>
          <w:color w:val="4D4D4F"/>
          <w:spacing w:val="-3"/>
          <w:w w:val="110"/>
          <w:sz w:val="22"/>
        </w:rPr>
        <w:t>environmental factors (e.g., </w:t>
      </w:r>
      <w:r>
        <w:rPr>
          <w:color w:val="4D4D4F"/>
          <w:spacing w:val="-4"/>
          <w:w w:val="110"/>
          <w:sz w:val="22"/>
        </w:rPr>
        <w:t>exposure </w:t>
      </w:r>
      <w:r>
        <w:rPr>
          <w:color w:val="4D4D4F"/>
          <w:w w:val="110"/>
          <w:sz w:val="22"/>
        </w:rPr>
        <w:t>to </w:t>
      </w:r>
      <w:r>
        <w:rPr>
          <w:color w:val="4D4D4F"/>
          <w:spacing w:val="-3"/>
          <w:w w:val="110"/>
          <w:sz w:val="22"/>
        </w:rPr>
        <w:t>high-risk </w:t>
      </w:r>
      <w:r>
        <w:rPr>
          <w:color w:val="4D4D4F"/>
          <w:spacing w:val="-4"/>
          <w:w w:val="110"/>
          <w:sz w:val="22"/>
        </w:rPr>
        <w:t>environ- </w:t>
      </w:r>
      <w:r>
        <w:rPr>
          <w:color w:val="4D4D4F"/>
          <w:w w:val="110"/>
          <w:sz w:val="22"/>
        </w:rPr>
        <w:t>ments, effect of stress on the </w:t>
      </w:r>
      <w:r>
        <w:rPr>
          <w:color w:val="4D4D4F"/>
          <w:spacing w:val="-2"/>
          <w:w w:val="110"/>
          <w:sz w:val="22"/>
        </w:rPr>
        <w:t>hypothalamic– </w:t>
      </w:r>
      <w:r>
        <w:rPr>
          <w:color w:val="4D4D4F"/>
          <w:w w:val="110"/>
          <w:sz w:val="22"/>
        </w:rPr>
        <w:t>pituitary–adrenal</w:t>
      </w:r>
      <w:r>
        <w:rPr>
          <w:color w:val="4D4D4F"/>
          <w:spacing w:val="-7"/>
          <w:w w:val="110"/>
          <w:sz w:val="22"/>
        </w:rPr>
        <w:t> </w:t>
      </w:r>
      <w:r>
        <w:rPr>
          <w:color w:val="4D4D4F"/>
          <w:w w:val="110"/>
          <w:sz w:val="22"/>
        </w:rPr>
        <w:t>axis).</w:t>
      </w:r>
    </w:p>
    <w:p>
      <w:pPr>
        <w:spacing w:after="0" w:line="264" w:lineRule="exact"/>
        <w:jc w:val="left"/>
        <w:rPr>
          <w:rFonts w:ascii="Arial" w:hAnsi="Arial"/>
          <w:sz w:val="28"/>
        </w:rPr>
        <w:sectPr>
          <w:type w:val="continuous"/>
          <w:pgSz w:w="12240" w:h="15840"/>
          <w:pgMar w:top="540" w:bottom="280" w:left="940" w:right="920"/>
          <w:cols w:num="2" w:equalWidth="0">
            <w:col w:w="4989" w:space="231"/>
            <w:col w:w="5160"/>
          </w:cols>
        </w:sectPr>
      </w:pPr>
    </w:p>
    <w:p>
      <w:pPr>
        <w:pStyle w:val="BodyText"/>
        <w:rPr>
          <w:sz w:val="20"/>
        </w:rPr>
      </w:pPr>
      <w:r>
        <w:rPr/>
        <w:pict>
          <v:group style="position:absolute;margin-left:52.952999pt;margin-top:536.862976pt;width:505.05pt;height:182.15pt;mso-position-horizontal-relative:page;mso-position-vertical-relative:page;z-index:-19576320" coordorigin="1059,10737" coordsize="10101,3643">
            <v:rect style="position:absolute;left:1064;top:10742;width:10091;height:3633" filled="true" fillcolor="#fff7f2" stroked="false">
              <v:fill type="solid"/>
            </v:rect>
            <v:rect style="position:absolute;left:1064;top:10742;width:10091;height:3633" filled="false" stroked="true" strokeweight=".5pt" strokecolor="#88aabd">
              <v:stroke dashstyle="solid"/>
            </v:rect>
            <v:shape style="position:absolute;left:1059;top:10737;width:10101;height:3643" type="#_x0000_t202" filled="false" stroked="false">
              <v:textbox inset="0,0,0,0">
                <w:txbxContent>
                  <w:p>
                    <w:pPr>
                      <w:spacing w:line="256" w:lineRule="auto" w:before="138"/>
                      <w:ind w:left="189" w:right="0" w:firstLine="0"/>
                      <w:jc w:val="left"/>
                      <w:rPr>
                        <w:rFonts w:ascii="Arial"/>
                        <w:b/>
                        <w:sz w:val="26"/>
                      </w:rPr>
                    </w:pPr>
                    <w:r>
                      <w:rPr>
                        <w:rFonts w:ascii="Arial"/>
                        <w:b/>
                        <w:color w:val="137692"/>
                        <w:w w:val="110"/>
                        <w:sz w:val="26"/>
                      </w:rPr>
                      <w:t>EXHIBIT 3A.3. Medications for Management of Opioid Withdrawal Symptoms</w:t>
                    </w:r>
                  </w:p>
                </w:txbxContent>
              </v:textbox>
              <w10:wrap type="none"/>
            </v:shape>
            <w10:wrap type="none"/>
          </v:group>
        </w:pict>
      </w:r>
    </w:p>
    <w:p>
      <w:pPr>
        <w:pStyle w:val="BodyText"/>
        <w:spacing w:before="3"/>
        <w:rPr>
          <w:sz w:val="19"/>
        </w:rPr>
      </w:pPr>
    </w:p>
    <w:tbl>
      <w:tblPr>
        <w:tblW w:w="0" w:type="auto"/>
        <w:jc w:val="left"/>
        <w:tblInd w:w="150" w:type="dxa"/>
        <w:tblBorders>
          <w:top w:val="single" w:sz="4" w:space="0" w:color="88AABD"/>
          <w:left w:val="single" w:sz="4" w:space="0" w:color="88AABD"/>
          <w:bottom w:val="single" w:sz="4" w:space="0" w:color="88AABD"/>
          <w:right w:val="single" w:sz="4" w:space="0" w:color="88AABD"/>
          <w:insideH w:val="single" w:sz="4" w:space="0" w:color="88AABD"/>
          <w:insideV w:val="single" w:sz="4" w:space="0" w:color="88AABD"/>
        </w:tblBorders>
        <w:tblLayout w:type="fixed"/>
        <w:tblCellMar>
          <w:top w:w="0" w:type="dxa"/>
          <w:left w:w="0" w:type="dxa"/>
          <w:bottom w:w="0" w:type="dxa"/>
          <w:right w:w="0" w:type="dxa"/>
        </w:tblCellMar>
        <w:tblLook w:val="01E0"/>
      </w:tblPr>
      <w:tblGrid>
        <w:gridCol w:w="10068"/>
      </w:tblGrid>
      <w:tr>
        <w:trPr>
          <w:trHeight w:val="3310" w:hRule="atLeast"/>
        </w:trPr>
        <w:tc>
          <w:tcPr>
            <w:tcW w:w="10068" w:type="dxa"/>
            <w:tcBorders>
              <w:bottom w:val="single" w:sz="2" w:space="0" w:color="88AABD"/>
            </w:tcBorders>
            <w:shd w:val="clear" w:color="auto" w:fill="FFF7F2"/>
          </w:tcPr>
          <w:p>
            <w:pPr>
              <w:pStyle w:val="TableParagraph"/>
              <w:spacing w:line="256" w:lineRule="auto" w:before="218" w:after="74"/>
              <w:ind w:left="274" w:right="30"/>
              <w:rPr>
                <w:rFonts w:ascii="Arial"/>
                <w:b/>
                <w:sz w:val="26"/>
              </w:rPr>
            </w:pPr>
            <w:r>
              <w:rPr>
                <w:rFonts w:ascii="Arial"/>
                <w:b/>
                <w:color w:val="137692"/>
                <w:w w:val="110"/>
                <w:sz w:val="26"/>
              </w:rPr>
              <w:t>EXHIBIT 3A.2. Medically Supervised Withdrawal Using Buprenorphine or Methadone</w:t>
            </w:r>
          </w:p>
          <w:p>
            <w:pPr>
              <w:pStyle w:val="TableParagraph"/>
              <w:spacing w:line="40" w:lineRule="exact"/>
              <w:ind w:left="255"/>
              <w:rPr>
                <w:rFonts w:ascii="Gill Sans MT"/>
                <w:sz w:val="4"/>
              </w:rPr>
            </w:pPr>
            <w:r>
              <w:rPr>
                <w:rFonts w:ascii="Gill Sans MT"/>
                <w:position w:val="0"/>
                <w:sz w:val="4"/>
              </w:rPr>
              <w:pict>
                <v:group style="width:475.95pt;height:2pt;mso-position-horizontal-relative:char;mso-position-vertical-relative:line" coordorigin="0,0" coordsize="9519,40">
                  <v:line style="position:absolute" from="0,20" to="9518,20" stroked="true" strokeweight="2pt" strokecolor="#598ea7">
                    <v:stroke dashstyle="solid"/>
                  </v:line>
                </v:group>
              </w:pict>
            </w:r>
            <w:r>
              <w:rPr>
                <w:rFonts w:ascii="Gill Sans MT"/>
                <w:position w:val="0"/>
                <w:sz w:val="4"/>
              </w:rPr>
            </w:r>
          </w:p>
          <w:p>
            <w:pPr>
              <w:pStyle w:val="TableParagraph"/>
              <w:spacing w:before="208"/>
              <w:ind w:left="274"/>
              <w:rPr>
                <w:sz w:val="18"/>
              </w:rPr>
            </w:pPr>
            <w:r>
              <w:rPr>
                <w:color w:val="414142"/>
                <w:w w:val="125"/>
                <w:sz w:val="18"/>
              </w:rPr>
              <w:t>Medically supervised withdrawal using buprenorphine or methadone is appropriate when patients:</w:t>
            </w:r>
          </w:p>
          <w:p>
            <w:pPr>
              <w:pStyle w:val="TableParagraph"/>
              <w:numPr>
                <w:ilvl w:val="0"/>
                <w:numId w:val="10"/>
              </w:numPr>
              <w:tabs>
                <w:tab w:pos="455" w:val="left" w:leader="none"/>
              </w:tabs>
              <w:spacing w:line="213" w:lineRule="auto" w:before="84" w:after="0"/>
              <w:ind w:left="454" w:right="837" w:hanging="180"/>
              <w:jc w:val="left"/>
              <w:rPr>
                <w:sz w:val="18"/>
              </w:rPr>
            </w:pPr>
            <w:r>
              <w:rPr>
                <w:color w:val="4D4D4F"/>
                <w:w w:val="125"/>
                <w:sz w:val="18"/>
              </w:rPr>
              <w:t>Prefer</w:t>
            </w:r>
            <w:r>
              <w:rPr>
                <w:color w:val="4D4D4F"/>
                <w:spacing w:val="-14"/>
                <w:w w:val="125"/>
                <w:sz w:val="18"/>
              </w:rPr>
              <w:t> </w:t>
            </w:r>
            <w:r>
              <w:rPr>
                <w:color w:val="4D4D4F"/>
                <w:w w:val="125"/>
                <w:sz w:val="18"/>
              </w:rPr>
              <w:t>it</w:t>
            </w:r>
            <w:r>
              <w:rPr>
                <w:color w:val="4D4D4F"/>
                <w:spacing w:val="-13"/>
                <w:w w:val="125"/>
                <w:sz w:val="18"/>
              </w:rPr>
              <w:t> </w:t>
            </w:r>
            <w:r>
              <w:rPr>
                <w:color w:val="4D4D4F"/>
                <w:w w:val="125"/>
                <w:sz w:val="18"/>
              </w:rPr>
              <w:t>to</w:t>
            </w:r>
            <w:r>
              <w:rPr>
                <w:color w:val="4D4D4F"/>
                <w:spacing w:val="-13"/>
                <w:w w:val="125"/>
                <w:sz w:val="18"/>
              </w:rPr>
              <w:t> </w:t>
            </w:r>
            <w:r>
              <w:rPr>
                <w:color w:val="4D4D4F"/>
                <w:w w:val="125"/>
                <w:sz w:val="18"/>
              </w:rPr>
              <w:t>treatment</w:t>
            </w:r>
            <w:r>
              <w:rPr>
                <w:color w:val="4D4D4F"/>
                <w:spacing w:val="-13"/>
                <w:w w:val="125"/>
                <w:sz w:val="18"/>
              </w:rPr>
              <w:t> </w:t>
            </w:r>
            <w:r>
              <w:rPr>
                <w:color w:val="4D4D4F"/>
                <w:w w:val="125"/>
                <w:sz w:val="18"/>
              </w:rPr>
              <w:t>without</w:t>
            </w:r>
            <w:r>
              <w:rPr>
                <w:color w:val="4D4D4F"/>
                <w:spacing w:val="-13"/>
                <w:w w:val="125"/>
                <w:sz w:val="18"/>
              </w:rPr>
              <w:t> </w:t>
            </w:r>
            <w:r>
              <w:rPr>
                <w:color w:val="4D4D4F"/>
                <w:w w:val="125"/>
                <w:sz w:val="18"/>
              </w:rPr>
              <w:t>medications,</w:t>
            </w:r>
            <w:r>
              <w:rPr>
                <w:color w:val="4D4D4F"/>
                <w:spacing w:val="-13"/>
                <w:w w:val="125"/>
                <w:sz w:val="18"/>
              </w:rPr>
              <w:t> </w:t>
            </w:r>
            <w:r>
              <w:rPr>
                <w:color w:val="4D4D4F"/>
                <w:w w:val="125"/>
                <w:sz w:val="18"/>
              </w:rPr>
              <w:t>after</w:t>
            </w:r>
            <w:r>
              <w:rPr>
                <w:color w:val="4D4D4F"/>
                <w:spacing w:val="-13"/>
                <w:w w:val="125"/>
                <w:sz w:val="18"/>
              </w:rPr>
              <w:t> </w:t>
            </w:r>
            <w:r>
              <w:rPr>
                <w:color w:val="4D4D4F"/>
                <w:w w:val="125"/>
                <w:sz w:val="18"/>
              </w:rPr>
              <w:t>they</w:t>
            </w:r>
            <w:r>
              <w:rPr>
                <w:color w:val="4D4D4F"/>
                <w:spacing w:val="-13"/>
                <w:w w:val="125"/>
                <w:sz w:val="18"/>
              </w:rPr>
              <w:t> </w:t>
            </w:r>
            <w:r>
              <w:rPr>
                <w:color w:val="4D4D4F"/>
                <w:w w:val="125"/>
                <w:sz w:val="18"/>
              </w:rPr>
              <w:t>have</w:t>
            </w:r>
            <w:r>
              <w:rPr>
                <w:color w:val="4D4D4F"/>
                <w:spacing w:val="-13"/>
                <w:w w:val="125"/>
                <w:sz w:val="18"/>
              </w:rPr>
              <w:t> </w:t>
            </w:r>
            <w:r>
              <w:rPr>
                <w:color w:val="4D4D4F"/>
                <w:w w:val="125"/>
                <w:sz w:val="18"/>
              </w:rPr>
              <w:t>been</w:t>
            </w:r>
            <w:r>
              <w:rPr>
                <w:color w:val="4D4D4F"/>
                <w:spacing w:val="-13"/>
                <w:w w:val="125"/>
                <w:sz w:val="18"/>
              </w:rPr>
              <w:t> </w:t>
            </w:r>
            <w:r>
              <w:rPr>
                <w:color w:val="4D4D4F"/>
                <w:w w:val="125"/>
                <w:sz w:val="18"/>
              </w:rPr>
              <w:t>told</w:t>
            </w:r>
            <w:r>
              <w:rPr>
                <w:color w:val="4D4D4F"/>
                <w:spacing w:val="-13"/>
                <w:w w:val="125"/>
                <w:sz w:val="18"/>
              </w:rPr>
              <w:t> </w:t>
            </w:r>
            <w:r>
              <w:rPr>
                <w:color w:val="4D4D4F"/>
                <w:w w:val="125"/>
                <w:sz w:val="18"/>
              </w:rPr>
              <w:t>the</w:t>
            </w:r>
            <w:r>
              <w:rPr>
                <w:color w:val="4D4D4F"/>
                <w:spacing w:val="-13"/>
                <w:w w:val="125"/>
                <w:sz w:val="18"/>
              </w:rPr>
              <w:t> </w:t>
            </w:r>
            <w:r>
              <w:rPr>
                <w:color w:val="4D4D4F"/>
                <w:w w:val="125"/>
                <w:sz w:val="18"/>
              </w:rPr>
              <w:t>risks</w:t>
            </w:r>
            <w:r>
              <w:rPr>
                <w:color w:val="4D4D4F"/>
                <w:spacing w:val="-13"/>
                <w:w w:val="125"/>
                <w:sz w:val="18"/>
              </w:rPr>
              <w:t> </w:t>
            </w:r>
            <w:r>
              <w:rPr>
                <w:color w:val="4D4D4F"/>
                <w:w w:val="125"/>
                <w:sz w:val="18"/>
              </w:rPr>
              <w:t>and</w:t>
            </w:r>
            <w:r>
              <w:rPr>
                <w:color w:val="4D4D4F"/>
                <w:spacing w:val="-13"/>
                <w:w w:val="125"/>
                <w:sz w:val="18"/>
              </w:rPr>
              <w:t> </w:t>
            </w:r>
            <w:r>
              <w:rPr>
                <w:color w:val="4D4D4F"/>
                <w:w w:val="125"/>
                <w:sz w:val="18"/>
              </w:rPr>
              <w:t>beneﬁts</w:t>
            </w:r>
            <w:r>
              <w:rPr>
                <w:color w:val="4D4D4F"/>
                <w:spacing w:val="-13"/>
                <w:w w:val="125"/>
                <w:sz w:val="18"/>
              </w:rPr>
              <w:t> </w:t>
            </w:r>
            <w:r>
              <w:rPr>
                <w:color w:val="4D4D4F"/>
                <w:w w:val="125"/>
                <w:sz w:val="18"/>
              </w:rPr>
              <w:t>of</w:t>
            </w:r>
            <w:r>
              <w:rPr>
                <w:color w:val="4D4D4F"/>
                <w:spacing w:val="-13"/>
                <w:w w:val="125"/>
                <w:sz w:val="18"/>
              </w:rPr>
              <w:t> </w:t>
            </w:r>
            <w:r>
              <w:rPr>
                <w:color w:val="4D4D4F"/>
                <w:w w:val="125"/>
                <w:sz w:val="18"/>
              </w:rPr>
              <w:t>this approach compared with treatment with</w:t>
            </w:r>
            <w:r>
              <w:rPr>
                <w:color w:val="4D4D4F"/>
                <w:spacing w:val="-23"/>
                <w:w w:val="125"/>
                <w:sz w:val="18"/>
              </w:rPr>
              <w:t> </w:t>
            </w:r>
            <w:r>
              <w:rPr>
                <w:color w:val="4D4D4F"/>
                <w:w w:val="125"/>
                <w:sz w:val="18"/>
              </w:rPr>
              <w:t>medications.</w:t>
            </w:r>
          </w:p>
          <w:p>
            <w:pPr>
              <w:pStyle w:val="TableParagraph"/>
              <w:numPr>
                <w:ilvl w:val="0"/>
                <w:numId w:val="10"/>
              </w:numPr>
              <w:tabs>
                <w:tab w:pos="455" w:val="left" w:leader="none"/>
              </w:tabs>
              <w:spacing w:line="295" w:lineRule="exact" w:before="2" w:after="0"/>
              <w:ind w:left="455" w:right="0" w:hanging="180"/>
              <w:jc w:val="left"/>
              <w:rPr>
                <w:sz w:val="18"/>
              </w:rPr>
            </w:pPr>
            <w:r>
              <w:rPr>
                <w:color w:val="4D4D4F"/>
                <w:w w:val="125"/>
                <w:sz w:val="18"/>
              </w:rPr>
              <w:t>Wish</w:t>
            </w:r>
            <w:r>
              <w:rPr>
                <w:color w:val="4D4D4F"/>
                <w:spacing w:val="-8"/>
                <w:w w:val="125"/>
                <w:sz w:val="18"/>
              </w:rPr>
              <w:t> </w:t>
            </w:r>
            <w:r>
              <w:rPr>
                <w:color w:val="4D4D4F"/>
                <w:w w:val="125"/>
                <w:sz w:val="18"/>
              </w:rPr>
              <w:t>to</w:t>
            </w:r>
            <w:r>
              <w:rPr>
                <w:color w:val="4D4D4F"/>
                <w:spacing w:val="-7"/>
                <w:w w:val="125"/>
                <w:sz w:val="18"/>
              </w:rPr>
              <w:t> </w:t>
            </w:r>
            <w:r>
              <w:rPr>
                <w:color w:val="4D4D4F"/>
                <w:w w:val="125"/>
                <w:sz w:val="18"/>
              </w:rPr>
              <w:t>start</w:t>
            </w:r>
            <w:r>
              <w:rPr>
                <w:color w:val="4D4D4F"/>
                <w:spacing w:val="-7"/>
                <w:w w:val="125"/>
                <w:sz w:val="18"/>
              </w:rPr>
              <w:t> </w:t>
            </w:r>
            <w:r>
              <w:rPr>
                <w:color w:val="4D4D4F"/>
                <w:w w:val="125"/>
                <w:sz w:val="18"/>
              </w:rPr>
              <w:t>XR-NTX,</w:t>
            </w:r>
            <w:r>
              <w:rPr>
                <w:color w:val="4D4D4F"/>
                <w:spacing w:val="-7"/>
                <w:w w:val="125"/>
                <w:sz w:val="18"/>
              </w:rPr>
              <w:t> </w:t>
            </w:r>
            <w:r>
              <w:rPr>
                <w:color w:val="4D4D4F"/>
                <w:w w:val="125"/>
                <w:sz w:val="18"/>
              </w:rPr>
              <w:t>which</w:t>
            </w:r>
            <w:r>
              <w:rPr>
                <w:color w:val="4D4D4F"/>
                <w:spacing w:val="-7"/>
                <w:w w:val="125"/>
                <w:sz w:val="18"/>
              </w:rPr>
              <w:t> </w:t>
            </w:r>
            <w:r>
              <w:rPr>
                <w:color w:val="4D4D4F"/>
                <w:w w:val="125"/>
                <w:sz w:val="18"/>
              </w:rPr>
              <w:t>is</w:t>
            </w:r>
            <w:r>
              <w:rPr>
                <w:color w:val="4D4D4F"/>
                <w:spacing w:val="-7"/>
                <w:w w:val="125"/>
                <w:sz w:val="18"/>
              </w:rPr>
              <w:t> </w:t>
            </w:r>
            <w:r>
              <w:rPr>
                <w:color w:val="4D4D4F"/>
                <w:w w:val="125"/>
                <w:sz w:val="18"/>
              </w:rPr>
              <w:t>also</w:t>
            </w:r>
            <w:r>
              <w:rPr>
                <w:color w:val="4D4D4F"/>
                <w:spacing w:val="-7"/>
                <w:w w:val="125"/>
                <w:sz w:val="18"/>
              </w:rPr>
              <w:t> </w:t>
            </w:r>
            <w:r>
              <w:rPr>
                <w:color w:val="4D4D4F"/>
                <w:w w:val="125"/>
                <w:sz w:val="18"/>
              </w:rPr>
              <w:t>FDA</w:t>
            </w:r>
            <w:r>
              <w:rPr>
                <w:color w:val="4D4D4F"/>
                <w:spacing w:val="-7"/>
                <w:w w:val="125"/>
                <w:sz w:val="18"/>
              </w:rPr>
              <w:t> </w:t>
            </w:r>
            <w:r>
              <w:rPr>
                <w:color w:val="4D4D4F"/>
                <w:w w:val="125"/>
                <w:sz w:val="18"/>
              </w:rPr>
              <w:t>approved</w:t>
            </w:r>
            <w:r>
              <w:rPr>
                <w:color w:val="4D4D4F"/>
                <w:spacing w:val="-7"/>
                <w:w w:val="125"/>
                <w:sz w:val="18"/>
              </w:rPr>
              <w:t> </w:t>
            </w:r>
            <w:r>
              <w:rPr>
                <w:color w:val="4D4D4F"/>
                <w:w w:val="125"/>
                <w:sz w:val="18"/>
              </w:rPr>
              <w:t>for</w:t>
            </w:r>
            <w:r>
              <w:rPr>
                <w:color w:val="4D4D4F"/>
                <w:spacing w:val="-7"/>
                <w:w w:val="125"/>
                <w:sz w:val="18"/>
              </w:rPr>
              <w:t> </w:t>
            </w:r>
            <w:r>
              <w:rPr>
                <w:color w:val="4D4D4F"/>
                <w:w w:val="125"/>
                <w:sz w:val="18"/>
              </w:rPr>
              <w:t>the</w:t>
            </w:r>
            <w:r>
              <w:rPr>
                <w:color w:val="4D4D4F"/>
                <w:spacing w:val="-7"/>
                <w:w w:val="125"/>
                <w:sz w:val="18"/>
              </w:rPr>
              <w:t> </w:t>
            </w:r>
            <w:r>
              <w:rPr>
                <w:color w:val="4D4D4F"/>
                <w:w w:val="125"/>
                <w:sz w:val="18"/>
              </w:rPr>
              <w:t>treatment</w:t>
            </w:r>
            <w:r>
              <w:rPr>
                <w:color w:val="4D4D4F"/>
                <w:spacing w:val="-7"/>
                <w:w w:val="125"/>
                <w:sz w:val="18"/>
              </w:rPr>
              <w:t> </w:t>
            </w:r>
            <w:r>
              <w:rPr>
                <w:color w:val="4D4D4F"/>
                <w:w w:val="125"/>
                <w:sz w:val="18"/>
              </w:rPr>
              <w:t>of</w:t>
            </w:r>
            <w:r>
              <w:rPr>
                <w:color w:val="4D4D4F"/>
                <w:spacing w:val="-8"/>
                <w:w w:val="125"/>
                <w:sz w:val="18"/>
              </w:rPr>
              <w:t> </w:t>
            </w:r>
            <w:r>
              <w:rPr>
                <w:color w:val="4D4D4F"/>
                <w:w w:val="125"/>
                <w:sz w:val="18"/>
              </w:rPr>
              <w:t>alcohol</w:t>
            </w:r>
            <w:r>
              <w:rPr>
                <w:color w:val="4D4D4F"/>
                <w:spacing w:val="-7"/>
                <w:w w:val="125"/>
                <w:sz w:val="18"/>
              </w:rPr>
              <w:t> </w:t>
            </w:r>
            <w:r>
              <w:rPr>
                <w:color w:val="4D4D4F"/>
                <w:w w:val="125"/>
                <w:sz w:val="18"/>
              </w:rPr>
              <w:t>dependence.</w:t>
            </w:r>
          </w:p>
          <w:p>
            <w:pPr>
              <w:pStyle w:val="TableParagraph"/>
              <w:numPr>
                <w:ilvl w:val="0"/>
                <w:numId w:val="10"/>
              </w:numPr>
              <w:tabs>
                <w:tab w:pos="455" w:val="left" w:leader="none"/>
              </w:tabs>
              <w:spacing w:line="295" w:lineRule="exact" w:before="0" w:after="0"/>
              <w:ind w:left="455" w:right="0" w:hanging="180"/>
              <w:jc w:val="left"/>
              <w:rPr>
                <w:sz w:val="18"/>
              </w:rPr>
            </w:pPr>
            <w:r>
              <w:rPr>
                <w:color w:val="4D4D4F"/>
                <w:w w:val="125"/>
                <w:sz w:val="18"/>
              </w:rPr>
              <w:t>Are</w:t>
            </w:r>
            <w:r>
              <w:rPr>
                <w:color w:val="4D4D4F"/>
                <w:spacing w:val="-7"/>
                <w:w w:val="125"/>
                <w:sz w:val="18"/>
              </w:rPr>
              <w:t> </w:t>
            </w:r>
            <w:r>
              <w:rPr>
                <w:color w:val="4D4D4F"/>
                <w:w w:val="125"/>
                <w:sz w:val="18"/>
              </w:rPr>
              <w:t>entering</w:t>
            </w:r>
            <w:r>
              <w:rPr>
                <w:color w:val="4D4D4F"/>
                <w:spacing w:val="-6"/>
                <w:w w:val="125"/>
                <w:sz w:val="18"/>
              </w:rPr>
              <w:t> </w:t>
            </w:r>
            <w:r>
              <w:rPr>
                <w:color w:val="4D4D4F"/>
                <w:w w:val="125"/>
                <w:sz w:val="18"/>
              </w:rPr>
              <w:t>a</w:t>
            </w:r>
            <w:r>
              <w:rPr>
                <w:color w:val="4D4D4F"/>
                <w:spacing w:val="-6"/>
                <w:w w:val="125"/>
                <w:sz w:val="18"/>
              </w:rPr>
              <w:t> </w:t>
            </w:r>
            <w:r>
              <w:rPr>
                <w:color w:val="4D4D4F"/>
                <w:w w:val="125"/>
                <w:sz w:val="18"/>
              </w:rPr>
              <w:t>controlled</w:t>
            </w:r>
            <w:r>
              <w:rPr>
                <w:color w:val="4D4D4F"/>
                <w:spacing w:val="-6"/>
                <w:w w:val="125"/>
                <w:sz w:val="18"/>
              </w:rPr>
              <w:t> </w:t>
            </w:r>
            <w:r>
              <w:rPr>
                <w:color w:val="4D4D4F"/>
                <w:w w:val="125"/>
                <w:sz w:val="18"/>
              </w:rPr>
              <w:t>environment</w:t>
            </w:r>
            <w:r>
              <w:rPr>
                <w:color w:val="4D4D4F"/>
                <w:spacing w:val="-7"/>
                <w:w w:val="125"/>
                <w:sz w:val="18"/>
              </w:rPr>
              <w:t> </w:t>
            </w:r>
            <w:r>
              <w:rPr>
                <w:color w:val="4D4D4F"/>
                <w:w w:val="125"/>
                <w:sz w:val="18"/>
              </w:rPr>
              <w:t>or</w:t>
            </w:r>
            <w:r>
              <w:rPr>
                <w:color w:val="4D4D4F"/>
                <w:spacing w:val="-6"/>
                <w:w w:val="125"/>
                <w:sz w:val="18"/>
              </w:rPr>
              <w:t> </w:t>
            </w:r>
            <w:r>
              <w:rPr>
                <w:color w:val="4D4D4F"/>
                <w:w w:val="125"/>
                <w:sz w:val="18"/>
              </w:rPr>
              <w:t>workplace</w:t>
            </w:r>
            <w:r>
              <w:rPr>
                <w:color w:val="4D4D4F"/>
                <w:spacing w:val="-6"/>
                <w:w w:val="125"/>
                <w:sz w:val="18"/>
              </w:rPr>
              <w:t> </w:t>
            </w:r>
            <w:r>
              <w:rPr>
                <w:color w:val="4D4D4F"/>
                <w:w w:val="125"/>
                <w:sz w:val="18"/>
              </w:rPr>
              <w:t>that</w:t>
            </w:r>
            <w:r>
              <w:rPr>
                <w:color w:val="4D4D4F"/>
                <w:spacing w:val="-7"/>
                <w:w w:val="125"/>
                <w:sz w:val="18"/>
              </w:rPr>
              <w:t> </w:t>
            </w:r>
            <w:r>
              <w:rPr>
                <w:color w:val="4D4D4F"/>
                <w:w w:val="125"/>
                <w:sz w:val="18"/>
              </w:rPr>
              <w:t>disallows</w:t>
            </w:r>
            <w:r>
              <w:rPr>
                <w:color w:val="4D4D4F"/>
                <w:spacing w:val="-6"/>
                <w:w w:val="125"/>
                <w:sz w:val="18"/>
              </w:rPr>
              <w:t> </w:t>
            </w:r>
            <w:r>
              <w:rPr>
                <w:color w:val="4D4D4F"/>
                <w:w w:val="125"/>
                <w:sz w:val="18"/>
              </w:rPr>
              <w:t>opioid</w:t>
            </w:r>
            <w:r>
              <w:rPr>
                <w:color w:val="4D4D4F"/>
                <w:spacing w:val="-6"/>
                <w:w w:val="125"/>
                <w:sz w:val="18"/>
              </w:rPr>
              <w:t> </w:t>
            </w:r>
            <w:r>
              <w:rPr>
                <w:color w:val="4D4D4F"/>
                <w:w w:val="125"/>
                <w:sz w:val="18"/>
              </w:rPr>
              <w:t>agonists.</w:t>
            </w:r>
          </w:p>
          <w:p>
            <w:pPr>
              <w:pStyle w:val="TableParagraph"/>
              <w:spacing w:line="261" w:lineRule="auto" w:before="113"/>
              <w:ind w:left="274" w:right="30"/>
              <w:rPr>
                <w:sz w:val="10"/>
              </w:rPr>
            </w:pPr>
            <w:r>
              <w:rPr>
                <w:color w:val="414142"/>
                <w:w w:val="120"/>
                <w:sz w:val="18"/>
              </w:rPr>
              <w:t>Data conﬂict on the ideal duration of medically supervised withdrawal.</w:t>
            </w:r>
            <w:r>
              <w:rPr>
                <w:color w:val="414142"/>
                <w:w w:val="120"/>
                <w:position w:val="6"/>
                <w:sz w:val="10"/>
              </w:rPr>
              <w:t>59,60,61 </w:t>
            </w:r>
            <w:r>
              <w:rPr>
                <w:color w:val="414142"/>
                <w:w w:val="120"/>
                <w:sz w:val="18"/>
              </w:rPr>
              <w:t>Even so, shorter term dose reductions alone (formerly, “detoxiﬁcation”) are rarely effective.</w:t>
            </w:r>
            <w:r>
              <w:rPr>
                <w:color w:val="414142"/>
                <w:w w:val="120"/>
                <w:position w:val="6"/>
                <w:sz w:val="10"/>
              </w:rPr>
              <w:t>62,63,64</w:t>
            </w:r>
          </w:p>
        </w:tc>
      </w:tr>
      <w:tr>
        <w:trPr>
          <w:trHeight w:val="1889" w:hRule="atLeast"/>
        </w:trPr>
        <w:tc>
          <w:tcPr>
            <w:tcW w:w="10068" w:type="dxa"/>
            <w:tcBorders>
              <w:top w:val="single" w:sz="2" w:space="0" w:color="88AABD"/>
              <w:bottom w:val="single" w:sz="2" w:space="0" w:color="88AABD"/>
            </w:tcBorders>
            <w:shd w:val="clear" w:color="auto" w:fill="FFF7F2"/>
          </w:tcPr>
          <w:p>
            <w:pPr>
              <w:pStyle w:val="TableParagraph"/>
              <w:spacing w:line="278" w:lineRule="auto" w:before="185"/>
              <w:ind w:left="274" w:right="386"/>
              <w:rPr>
                <w:rFonts w:ascii="Arial"/>
                <w:b/>
                <w:sz w:val="18"/>
              </w:rPr>
            </w:pPr>
            <w:r>
              <w:rPr>
                <w:rFonts w:ascii="Arial"/>
                <w:b/>
                <w:color w:val="414142"/>
                <w:w w:val="110"/>
                <w:sz w:val="18"/>
              </w:rPr>
              <w:t>The TIP expert panel does not recommend short-term medically supervised withdrawal alone because of its high rates of return to illicit opioid use.</w:t>
            </w:r>
            <w:r>
              <w:rPr>
                <w:rFonts w:ascii="Arial"/>
                <w:b/>
                <w:color w:val="414142"/>
                <w:w w:val="110"/>
                <w:position w:val="6"/>
                <w:sz w:val="10"/>
              </w:rPr>
              <w:t>65,66,67 </w:t>
            </w:r>
            <w:r>
              <w:rPr>
                <w:rFonts w:ascii="Arial"/>
                <w:b/>
                <w:color w:val="414142"/>
                <w:w w:val="110"/>
                <w:sz w:val="18"/>
              </w:rPr>
              <w:t>If patients prefer this approach, it should be provided with psychosocial treatment.</w:t>
            </w:r>
            <w:r>
              <w:rPr>
                <w:rFonts w:ascii="Arial"/>
                <w:b/>
                <w:color w:val="414142"/>
                <w:w w:val="110"/>
                <w:position w:val="6"/>
                <w:sz w:val="10"/>
              </w:rPr>
              <w:t>68 </w:t>
            </w:r>
            <w:r>
              <w:rPr>
                <w:rFonts w:ascii="Arial"/>
                <w:b/>
                <w:color w:val="414142"/>
                <w:w w:val="110"/>
                <w:sz w:val="18"/>
              </w:rPr>
              <w:t>XR-NTX treatment should always be considered to reduce the likelihood of return to use after medically supervised withdrawal is completed and an adequate period of abstinence achieved,</w:t>
            </w:r>
            <w:r>
              <w:rPr>
                <w:rFonts w:ascii="Arial"/>
                <w:b/>
                <w:color w:val="414142"/>
                <w:w w:val="110"/>
                <w:position w:val="6"/>
                <w:sz w:val="10"/>
              </w:rPr>
              <w:t>69 </w:t>
            </w:r>
            <w:r>
              <w:rPr>
                <w:rFonts w:ascii="Arial"/>
                <w:b/>
                <w:color w:val="414142"/>
                <w:w w:val="110"/>
                <w:sz w:val="18"/>
              </w:rPr>
              <w:t>as well as to reduce the likelihood of overdose death upon a return to opioid use.</w:t>
            </w:r>
          </w:p>
        </w:tc>
      </w:tr>
      <w:tr>
        <w:trPr>
          <w:trHeight w:val="3238" w:hRule="atLeast"/>
        </w:trPr>
        <w:tc>
          <w:tcPr>
            <w:tcW w:w="10068" w:type="dxa"/>
            <w:tcBorders>
              <w:top w:val="single" w:sz="2" w:space="0" w:color="88AABD"/>
            </w:tcBorders>
            <w:shd w:val="clear" w:color="auto" w:fill="FFF7F2"/>
          </w:tcPr>
          <w:p>
            <w:pPr>
              <w:pStyle w:val="TableParagraph"/>
              <w:spacing w:before="192"/>
              <w:ind w:left="274"/>
              <w:jc w:val="both"/>
              <w:rPr>
                <w:sz w:val="18"/>
              </w:rPr>
            </w:pPr>
            <w:r>
              <w:rPr>
                <w:color w:val="414142"/>
                <w:w w:val="120"/>
                <w:sz w:val="18"/>
              </w:rPr>
              <w:t>If withdrawal is appropriate for the patient, the TIP expert panel recommends the following strategies:</w:t>
            </w:r>
          </w:p>
          <w:p>
            <w:pPr>
              <w:pStyle w:val="TableParagraph"/>
              <w:numPr>
                <w:ilvl w:val="0"/>
                <w:numId w:val="11"/>
              </w:numPr>
              <w:tabs>
                <w:tab w:pos="455" w:val="left" w:leader="none"/>
              </w:tabs>
              <w:spacing w:line="213" w:lineRule="auto" w:before="83" w:after="0"/>
              <w:ind w:left="454" w:right="363" w:hanging="180"/>
              <w:jc w:val="both"/>
              <w:rPr>
                <w:sz w:val="18"/>
              </w:rPr>
            </w:pPr>
            <w:r>
              <w:rPr>
                <w:color w:val="4D4D4F"/>
                <w:w w:val="125"/>
                <w:sz w:val="18"/>
              </w:rPr>
              <w:t>Individualize</w:t>
            </w:r>
            <w:r>
              <w:rPr>
                <w:color w:val="4D4D4F"/>
                <w:spacing w:val="-16"/>
                <w:w w:val="125"/>
                <w:sz w:val="18"/>
              </w:rPr>
              <w:t> </w:t>
            </w:r>
            <w:r>
              <w:rPr>
                <w:color w:val="4D4D4F"/>
                <w:w w:val="125"/>
                <w:sz w:val="18"/>
              </w:rPr>
              <w:t>supervised</w:t>
            </w:r>
            <w:r>
              <w:rPr>
                <w:color w:val="4D4D4F"/>
                <w:spacing w:val="-16"/>
                <w:w w:val="125"/>
                <w:sz w:val="18"/>
              </w:rPr>
              <w:t> </w:t>
            </w:r>
            <w:r>
              <w:rPr>
                <w:color w:val="4D4D4F"/>
                <w:w w:val="125"/>
                <w:sz w:val="18"/>
              </w:rPr>
              <w:t>withdrawal</w:t>
            </w:r>
            <w:r>
              <w:rPr>
                <w:color w:val="4D4D4F"/>
                <w:spacing w:val="-16"/>
                <w:w w:val="125"/>
                <w:sz w:val="18"/>
              </w:rPr>
              <w:t> </w:t>
            </w:r>
            <w:r>
              <w:rPr>
                <w:color w:val="4D4D4F"/>
                <w:w w:val="125"/>
                <w:sz w:val="18"/>
              </w:rPr>
              <w:t>duration</w:t>
            </w:r>
            <w:r>
              <w:rPr>
                <w:color w:val="4D4D4F"/>
                <w:spacing w:val="-16"/>
                <w:w w:val="125"/>
                <w:sz w:val="18"/>
              </w:rPr>
              <w:t> </w:t>
            </w:r>
            <w:r>
              <w:rPr>
                <w:color w:val="4D4D4F"/>
                <w:w w:val="125"/>
                <w:sz w:val="18"/>
              </w:rPr>
              <w:t>per</w:t>
            </w:r>
            <w:r>
              <w:rPr>
                <w:color w:val="4D4D4F"/>
                <w:spacing w:val="-16"/>
                <w:w w:val="125"/>
                <w:sz w:val="18"/>
              </w:rPr>
              <w:t> </w:t>
            </w:r>
            <w:r>
              <w:rPr>
                <w:color w:val="4D4D4F"/>
                <w:w w:val="125"/>
                <w:sz w:val="18"/>
              </w:rPr>
              <w:t>patient</w:t>
            </w:r>
            <w:r>
              <w:rPr>
                <w:color w:val="4D4D4F"/>
                <w:spacing w:val="-15"/>
                <w:w w:val="125"/>
                <w:sz w:val="18"/>
              </w:rPr>
              <w:t> </w:t>
            </w:r>
            <w:r>
              <w:rPr>
                <w:color w:val="4D4D4F"/>
                <w:w w:val="125"/>
                <w:sz w:val="18"/>
              </w:rPr>
              <w:t>preference</w:t>
            </w:r>
            <w:r>
              <w:rPr>
                <w:color w:val="4D4D4F"/>
                <w:spacing w:val="-16"/>
                <w:w w:val="125"/>
                <w:sz w:val="18"/>
              </w:rPr>
              <w:t> </w:t>
            </w:r>
            <w:r>
              <w:rPr>
                <w:color w:val="4D4D4F"/>
                <w:w w:val="125"/>
                <w:sz w:val="18"/>
              </w:rPr>
              <w:t>and</w:t>
            </w:r>
            <w:r>
              <w:rPr>
                <w:color w:val="4D4D4F"/>
                <w:spacing w:val="-16"/>
                <w:w w:val="125"/>
                <w:sz w:val="18"/>
              </w:rPr>
              <w:t> </w:t>
            </w:r>
            <w:r>
              <w:rPr>
                <w:color w:val="4D4D4F"/>
                <w:w w:val="125"/>
                <w:sz w:val="18"/>
              </w:rPr>
              <w:t>response</w:t>
            </w:r>
            <w:r>
              <w:rPr>
                <w:color w:val="4D4D4F"/>
                <w:spacing w:val="-16"/>
                <w:w w:val="125"/>
                <w:sz w:val="18"/>
              </w:rPr>
              <w:t> </w:t>
            </w:r>
            <w:r>
              <w:rPr>
                <w:color w:val="4D4D4F"/>
                <w:w w:val="125"/>
                <w:sz w:val="18"/>
              </w:rPr>
              <w:t>to</w:t>
            </w:r>
            <w:r>
              <w:rPr>
                <w:color w:val="4D4D4F"/>
                <w:spacing w:val="-16"/>
                <w:w w:val="125"/>
                <w:sz w:val="18"/>
              </w:rPr>
              <w:t> </w:t>
            </w:r>
            <w:r>
              <w:rPr>
                <w:color w:val="4D4D4F"/>
                <w:w w:val="125"/>
                <w:sz w:val="18"/>
              </w:rPr>
              <w:t>lower</w:t>
            </w:r>
            <w:r>
              <w:rPr>
                <w:color w:val="4D4D4F"/>
                <w:spacing w:val="-15"/>
                <w:w w:val="125"/>
                <w:sz w:val="18"/>
              </w:rPr>
              <w:t> </w:t>
            </w:r>
            <w:r>
              <w:rPr>
                <w:color w:val="4D4D4F"/>
                <w:w w:val="125"/>
                <w:sz w:val="18"/>
              </w:rPr>
              <w:t>medication doses.</w:t>
            </w:r>
          </w:p>
          <w:p>
            <w:pPr>
              <w:pStyle w:val="TableParagraph"/>
              <w:numPr>
                <w:ilvl w:val="0"/>
                <w:numId w:val="11"/>
              </w:numPr>
              <w:tabs>
                <w:tab w:pos="455" w:val="left" w:leader="none"/>
              </w:tabs>
              <w:spacing w:line="235" w:lineRule="auto" w:before="7" w:after="0"/>
              <w:ind w:left="454" w:right="500" w:hanging="180"/>
              <w:jc w:val="both"/>
              <w:rPr>
                <w:sz w:val="18"/>
              </w:rPr>
            </w:pPr>
            <w:r>
              <w:rPr>
                <w:color w:val="4D4D4F"/>
                <w:w w:val="125"/>
                <w:sz w:val="18"/>
              </w:rPr>
              <w:t>Note</w:t>
            </w:r>
            <w:r>
              <w:rPr>
                <w:color w:val="4D4D4F"/>
                <w:spacing w:val="-18"/>
                <w:w w:val="125"/>
                <w:sz w:val="18"/>
              </w:rPr>
              <w:t> </w:t>
            </w:r>
            <w:r>
              <w:rPr>
                <w:color w:val="4D4D4F"/>
                <w:w w:val="125"/>
                <w:sz w:val="18"/>
              </w:rPr>
              <w:t>that</w:t>
            </w:r>
            <w:r>
              <w:rPr>
                <w:color w:val="4D4D4F"/>
                <w:spacing w:val="-17"/>
                <w:w w:val="125"/>
                <w:sz w:val="18"/>
              </w:rPr>
              <w:t> </w:t>
            </w:r>
            <w:r>
              <w:rPr>
                <w:color w:val="4D4D4F"/>
                <w:w w:val="125"/>
                <w:sz w:val="18"/>
              </w:rPr>
              <w:t>patients</w:t>
            </w:r>
            <w:r>
              <w:rPr>
                <w:color w:val="4D4D4F"/>
                <w:spacing w:val="-17"/>
                <w:w w:val="125"/>
                <w:sz w:val="18"/>
              </w:rPr>
              <w:t> </w:t>
            </w:r>
            <w:r>
              <w:rPr>
                <w:color w:val="4D4D4F"/>
                <w:w w:val="125"/>
                <w:sz w:val="18"/>
              </w:rPr>
              <w:t>may</w:t>
            </w:r>
            <w:r>
              <w:rPr>
                <w:color w:val="4D4D4F"/>
                <w:spacing w:val="-18"/>
                <w:w w:val="125"/>
                <w:sz w:val="18"/>
              </w:rPr>
              <w:t> </w:t>
            </w:r>
            <w:r>
              <w:rPr>
                <w:color w:val="4D4D4F"/>
                <w:w w:val="125"/>
                <w:sz w:val="18"/>
              </w:rPr>
              <w:t>beneﬁt</w:t>
            </w:r>
            <w:r>
              <w:rPr>
                <w:color w:val="4D4D4F"/>
                <w:spacing w:val="-17"/>
                <w:w w:val="125"/>
                <w:sz w:val="18"/>
              </w:rPr>
              <w:t> </w:t>
            </w:r>
            <w:r>
              <w:rPr>
                <w:color w:val="4D4D4F"/>
                <w:spacing w:val="2"/>
                <w:w w:val="125"/>
                <w:sz w:val="18"/>
              </w:rPr>
              <w:t>from</w:t>
            </w:r>
            <w:r>
              <w:rPr>
                <w:color w:val="4D4D4F"/>
                <w:spacing w:val="-17"/>
                <w:w w:val="125"/>
                <w:sz w:val="18"/>
              </w:rPr>
              <w:t> </w:t>
            </w:r>
            <w:r>
              <w:rPr>
                <w:color w:val="4D4D4F"/>
                <w:w w:val="125"/>
                <w:sz w:val="18"/>
              </w:rPr>
              <w:t>nonopioid</w:t>
            </w:r>
            <w:r>
              <w:rPr>
                <w:color w:val="4D4D4F"/>
                <w:spacing w:val="-17"/>
                <w:w w:val="125"/>
                <w:sz w:val="18"/>
              </w:rPr>
              <w:t> </w:t>
            </w:r>
            <w:r>
              <w:rPr>
                <w:color w:val="4D4D4F"/>
                <w:w w:val="125"/>
                <w:sz w:val="18"/>
              </w:rPr>
              <w:t>medication</w:t>
            </w:r>
            <w:r>
              <w:rPr>
                <w:color w:val="4D4D4F"/>
                <w:spacing w:val="-18"/>
                <w:w w:val="125"/>
                <w:sz w:val="18"/>
              </w:rPr>
              <w:t> </w:t>
            </w:r>
            <w:r>
              <w:rPr>
                <w:color w:val="4D4D4F"/>
                <w:w w:val="125"/>
                <w:sz w:val="18"/>
              </w:rPr>
              <w:t>(e.g.,</w:t>
            </w:r>
            <w:r>
              <w:rPr>
                <w:color w:val="4D4D4F"/>
                <w:spacing w:val="-17"/>
                <w:w w:val="125"/>
                <w:sz w:val="18"/>
              </w:rPr>
              <w:t> </w:t>
            </w:r>
            <w:r>
              <w:rPr>
                <w:color w:val="4D4D4F"/>
                <w:w w:val="125"/>
                <w:sz w:val="18"/>
              </w:rPr>
              <w:t>clonidine,</w:t>
            </w:r>
            <w:r>
              <w:rPr>
                <w:color w:val="4D4D4F"/>
                <w:spacing w:val="-17"/>
                <w:w w:val="125"/>
                <w:sz w:val="18"/>
              </w:rPr>
              <w:t> </w:t>
            </w:r>
            <w:r>
              <w:rPr>
                <w:color w:val="4D4D4F"/>
                <w:w w:val="125"/>
                <w:sz w:val="18"/>
              </w:rPr>
              <w:t>ondansetron,</w:t>
            </w:r>
            <w:r>
              <w:rPr>
                <w:color w:val="4D4D4F"/>
                <w:spacing w:val="-17"/>
                <w:w w:val="125"/>
                <w:sz w:val="18"/>
              </w:rPr>
              <w:t> </w:t>
            </w:r>
            <w:r>
              <w:rPr>
                <w:color w:val="4D4D4F"/>
                <w:w w:val="125"/>
                <w:sz w:val="18"/>
              </w:rPr>
              <w:t>loperamide) or</w:t>
            </w:r>
            <w:r>
              <w:rPr>
                <w:color w:val="4D4D4F"/>
                <w:spacing w:val="-10"/>
                <w:w w:val="125"/>
                <w:sz w:val="18"/>
              </w:rPr>
              <w:t> </w:t>
            </w:r>
            <w:r>
              <w:rPr>
                <w:color w:val="4D4D4F"/>
                <w:w w:val="125"/>
                <w:sz w:val="18"/>
              </w:rPr>
              <w:t>nonsteroidal</w:t>
            </w:r>
            <w:r>
              <w:rPr>
                <w:color w:val="4D4D4F"/>
                <w:spacing w:val="-10"/>
                <w:w w:val="125"/>
                <w:sz w:val="18"/>
              </w:rPr>
              <w:t> </w:t>
            </w:r>
            <w:r>
              <w:rPr>
                <w:color w:val="4D4D4F"/>
                <w:w w:val="125"/>
                <w:sz w:val="18"/>
              </w:rPr>
              <w:t>anti-inﬂammatory</w:t>
            </w:r>
            <w:r>
              <w:rPr>
                <w:color w:val="4D4D4F"/>
                <w:spacing w:val="-10"/>
                <w:w w:val="125"/>
                <w:sz w:val="18"/>
              </w:rPr>
              <w:t> </w:t>
            </w:r>
            <w:r>
              <w:rPr>
                <w:color w:val="4D4D4F"/>
                <w:w w:val="125"/>
                <w:sz w:val="18"/>
              </w:rPr>
              <w:t>medications</w:t>
            </w:r>
            <w:r>
              <w:rPr>
                <w:color w:val="4D4D4F"/>
                <w:spacing w:val="-10"/>
                <w:w w:val="125"/>
                <w:sz w:val="18"/>
              </w:rPr>
              <w:t> </w:t>
            </w:r>
            <w:r>
              <w:rPr>
                <w:color w:val="4D4D4F"/>
                <w:w w:val="125"/>
                <w:sz w:val="18"/>
              </w:rPr>
              <w:t>to</w:t>
            </w:r>
            <w:r>
              <w:rPr>
                <w:color w:val="4D4D4F"/>
                <w:spacing w:val="-10"/>
                <w:w w:val="125"/>
                <w:sz w:val="18"/>
              </w:rPr>
              <w:t> </w:t>
            </w:r>
            <w:r>
              <w:rPr>
                <w:color w:val="4D4D4F"/>
                <w:w w:val="125"/>
                <w:sz w:val="18"/>
              </w:rPr>
              <w:t>manage</w:t>
            </w:r>
            <w:r>
              <w:rPr>
                <w:color w:val="4D4D4F"/>
                <w:spacing w:val="-10"/>
                <w:w w:val="125"/>
                <w:sz w:val="18"/>
              </w:rPr>
              <w:t> </w:t>
            </w:r>
            <w:r>
              <w:rPr>
                <w:color w:val="4D4D4F"/>
                <w:w w:val="125"/>
                <w:sz w:val="18"/>
              </w:rPr>
              <w:t>withdrawal</w:t>
            </w:r>
            <w:r>
              <w:rPr>
                <w:color w:val="4D4D4F"/>
                <w:spacing w:val="-10"/>
                <w:w w:val="125"/>
                <w:sz w:val="18"/>
              </w:rPr>
              <w:t> </w:t>
            </w:r>
            <w:r>
              <w:rPr>
                <w:color w:val="4D4D4F"/>
                <w:w w:val="125"/>
                <w:sz w:val="18"/>
              </w:rPr>
              <w:t>symptoms</w:t>
            </w:r>
            <w:r>
              <w:rPr>
                <w:color w:val="4D4D4F"/>
                <w:spacing w:val="-10"/>
                <w:w w:val="125"/>
                <w:sz w:val="18"/>
              </w:rPr>
              <w:t> </w:t>
            </w:r>
            <w:r>
              <w:rPr>
                <w:color w:val="4D4D4F"/>
                <w:w w:val="125"/>
                <w:sz w:val="18"/>
              </w:rPr>
              <w:t>near</w:t>
            </w:r>
            <w:r>
              <w:rPr>
                <w:color w:val="4D4D4F"/>
                <w:spacing w:val="-10"/>
                <w:w w:val="125"/>
                <w:sz w:val="18"/>
              </w:rPr>
              <w:t> </w:t>
            </w:r>
            <w:r>
              <w:rPr>
                <w:color w:val="4D4D4F"/>
                <w:w w:val="125"/>
                <w:sz w:val="18"/>
              </w:rPr>
              <w:t>the</w:t>
            </w:r>
            <w:r>
              <w:rPr>
                <w:color w:val="4D4D4F"/>
                <w:spacing w:val="-10"/>
                <w:w w:val="125"/>
                <w:sz w:val="18"/>
              </w:rPr>
              <w:t> </w:t>
            </w:r>
            <w:r>
              <w:rPr>
                <w:color w:val="4D4D4F"/>
                <w:w w:val="125"/>
                <w:sz w:val="18"/>
              </w:rPr>
              <w:t>end</w:t>
            </w:r>
            <w:r>
              <w:rPr>
                <w:color w:val="4D4D4F"/>
                <w:spacing w:val="-10"/>
                <w:w w:val="125"/>
                <w:sz w:val="18"/>
              </w:rPr>
              <w:t> </w:t>
            </w:r>
            <w:r>
              <w:rPr>
                <w:color w:val="4D4D4F"/>
                <w:w w:val="125"/>
                <w:sz w:val="18"/>
              </w:rPr>
              <w:t>of</w:t>
            </w:r>
            <w:r>
              <w:rPr>
                <w:color w:val="4D4D4F"/>
                <w:spacing w:val="-10"/>
                <w:w w:val="125"/>
                <w:sz w:val="18"/>
              </w:rPr>
              <w:t> </w:t>
            </w:r>
            <w:r>
              <w:rPr>
                <w:color w:val="4D4D4F"/>
                <w:w w:val="125"/>
                <w:sz w:val="18"/>
              </w:rPr>
              <w:t>the taper.</w:t>
            </w:r>
          </w:p>
          <w:p>
            <w:pPr>
              <w:pStyle w:val="TableParagraph"/>
              <w:numPr>
                <w:ilvl w:val="0"/>
                <w:numId w:val="11"/>
              </w:numPr>
              <w:tabs>
                <w:tab w:pos="455" w:val="left" w:leader="none"/>
              </w:tabs>
              <w:spacing w:line="213" w:lineRule="auto" w:before="22" w:after="0"/>
              <w:ind w:left="454" w:right="960" w:hanging="180"/>
              <w:jc w:val="left"/>
              <w:rPr>
                <w:sz w:val="18"/>
              </w:rPr>
            </w:pPr>
            <w:r>
              <w:rPr>
                <w:color w:val="4D4D4F"/>
                <w:w w:val="125"/>
                <w:sz w:val="18"/>
              </w:rPr>
              <w:t>Consider</w:t>
            </w:r>
            <w:r>
              <w:rPr>
                <w:color w:val="4D4D4F"/>
                <w:spacing w:val="-6"/>
                <w:w w:val="125"/>
                <w:sz w:val="18"/>
              </w:rPr>
              <w:t> </w:t>
            </w:r>
            <w:r>
              <w:rPr>
                <w:color w:val="4D4D4F"/>
                <w:w w:val="125"/>
                <w:sz w:val="18"/>
              </w:rPr>
              <w:t>discontinuing</w:t>
            </w:r>
            <w:r>
              <w:rPr>
                <w:color w:val="4D4D4F"/>
                <w:spacing w:val="-5"/>
                <w:w w:val="125"/>
                <w:sz w:val="18"/>
              </w:rPr>
              <w:t> </w:t>
            </w:r>
            <w:r>
              <w:rPr>
                <w:color w:val="4D4D4F"/>
                <w:w w:val="125"/>
                <w:sz w:val="18"/>
              </w:rPr>
              <w:t>dose</w:t>
            </w:r>
            <w:r>
              <w:rPr>
                <w:color w:val="4D4D4F"/>
                <w:spacing w:val="-5"/>
                <w:w w:val="125"/>
                <w:sz w:val="18"/>
              </w:rPr>
              <w:t> </w:t>
            </w:r>
            <w:r>
              <w:rPr>
                <w:color w:val="4D4D4F"/>
                <w:w w:val="125"/>
                <w:sz w:val="18"/>
              </w:rPr>
              <w:t>reduction</w:t>
            </w:r>
            <w:r>
              <w:rPr>
                <w:color w:val="4D4D4F"/>
                <w:spacing w:val="-5"/>
                <w:w w:val="125"/>
                <w:sz w:val="18"/>
              </w:rPr>
              <w:t> </w:t>
            </w:r>
            <w:r>
              <w:rPr>
                <w:color w:val="4D4D4F"/>
                <w:w w:val="125"/>
                <w:sz w:val="18"/>
              </w:rPr>
              <w:t>and</w:t>
            </w:r>
            <w:r>
              <w:rPr>
                <w:color w:val="4D4D4F"/>
                <w:spacing w:val="-5"/>
                <w:w w:val="125"/>
                <w:sz w:val="18"/>
              </w:rPr>
              <w:t> </w:t>
            </w:r>
            <w:r>
              <w:rPr>
                <w:color w:val="4D4D4F"/>
                <w:w w:val="125"/>
                <w:sz w:val="18"/>
              </w:rPr>
              <w:t>increasing</w:t>
            </w:r>
            <w:r>
              <w:rPr>
                <w:color w:val="4D4D4F"/>
                <w:spacing w:val="-5"/>
                <w:w w:val="125"/>
                <w:sz w:val="18"/>
              </w:rPr>
              <w:t> </w:t>
            </w:r>
            <w:r>
              <w:rPr>
                <w:color w:val="4D4D4F"/>
                <w:w w:val="125"/>
                <w:sz w:val="18"/>
              </w:rPr>
              <w:t>the</w:t>
            </w:r>
            <w:r>
              <w:rPr>
                <w:color w:val="4D4D4F"/>
                <w:spacing w:val="-5"/>
                <w:w w:val="125"/>
                <w:sz w:val="18"/>
              </w:rPr>
              <w:t> </w:t>
            </w:r>
            <w:r>
              <w:rPr>
                <w:color w:val="4D4D4F"/>
                <w:w w:val="125"/>
                <w:sz w:val="18"/>
              </w:rPr>
              <w:t>dose</w:t>
            </w:r>
            <w:r>
              <w:rPr>
                <w:color w:val="4D4D4F"/>
                <w:spacing w:val="-5"/>
                <w:w w:val="125"/>
                <w:sz w:val="18"/>
              </w:rPr>
              <w:t> </w:t>
            </w:r>
            <w:r>
              <w:rPr>
                <w:color w:val="4D4D4F"/>
                <w:w w:val="125"/>
                <w:sz w:val="18"/>
              </w:rPr>
              <w:t>if</w:t>
            </w:r>
            <w:r>
              <w:rPr>
                <w:color w:val="4D4D4F"/>
                <w:spacing w:val="-6"/>
                <w:w w:val="125"/>
                <w:sz w:val="18"/>
              </w:rPr>
              <w:t> </w:t>
            </w:r>
            <w:r>
              <w:rPr>
                <w:color w:val="4D4D4F"/>
                <w:w w:val="125"/>
                <w:sz w:val="18"/>
              </w:rPr>
              <w:t>the</w:t>
            </w:r>
            <w:r>
              <w:rPr>
                <w:color w:val="4D4D4F"/>
                <w:spacing w:val="-5"/>
                <w:w w:val="125"/>
                <w:sz w:val="18"/>
              </w:rPr>
              <w:t> </w:t>
            </w:r>
            <w:r>
              <w:rPr>
                <w:color w:val="4D4D4F"/>
                <w:w w:val="125"/>
                <w:sz w:val="18"/>
              </w:rPr>
              <w:t>patient</w:t>
            </w:r>
            <w:r>
              <w:rPr>
                <w:color w:val="4D4D4F"/>
                <w:spacing w:val="-5"/>
                <w:w w:val="125"/>
                <w:sz w:val="18"/>
              </w:rPr>
              <w:t> </w:t>
            </w:r>
            <w:r>
              <w:rPr>
                <w:color w:val="4D4D4F"/>
                <w:w w:val="125"/>
                <w:sz w:val="18"/>
              </w:rPr>
              <w:t>begins</w:t>
            </w:r>
            <w:r>
              <w:rPr>
                <w:color w:val="4D4D4F"/>
                <w:spacing w:val="-5"/>
                <w:w w:val="125"/>
                <w:sz w:val="18"/>
              </w:rPr>
              <w:t> </w:t>
            </w:r>
            <w:r>
              <w:rPr>
                <w:color w:val="4D4D4F"/>
                <w:w w:val="125"/>
                <w:sz w:val="18"/>
              </w:rPr>
              <w:t>to</w:t>
            </w:r>
            <w:r>
              <w:rPr>
                <w:color w:val="4D4D4F"/>
                <w:spacing w:val="-5"/>
                <w:w w:val="125"/>
                <w:sz w:val="18"/>
              </w:rPr>
              <w:t> </w:t>
            </w:r>
            <w:r>
              <w:rPr>
                <w:color w:val="4D4D4F"/>
                <w:w w:val="125"/>
                <w:sz w:val="18"/>
              </w:rPr>
              <w:t>use</w:t>
            </w:r>
            <w:r>
              <w:rPr>
                <w:color w:val="4D4D4F"/>
                <w:spacing w:val="-5"/>
                <w:w w:val="125"/>
                <w:sz w:val="18"/>
              </w:rPr>
              <w:t> </w:t>
            </w:r>
            <w:r>
              <w:rPr>
                <w:color w:val="4D4D4F"/>
                <w:w w:val="125"/>
                <w:sz w:val="18"/>
              </w:rPr>
              <w:t>illicit opioids.</w:t>
            </w:r>
          </w:p>
          <w:p>
            <w:pPr>
              <w:pStyle w:val="TableParagraph"/>
              <w:numPr>
                <w:ilvl w:val="0"/>
                <w:numId w:val="11"/>
              </w:numPr>
              <w:tabs>
                <w:tab w:pos="455" w:val="left" w:leader="none"/>
              </w:tabs>
              <w:spacing w:line="213" w:lineRule="auto" w:before="27" w:after="0"/>
              <w:ind w:left="454" w:right="330" w:hanging="180"/>
              <w:jc w:val="left"/>
              <w:rPr>
                <w:sz w:val="18"/>
              </w:rPr>
            </w:pPr>
            <w:r>
              <w:rPr>
                <w:color w:val="4D4D4F"/>
                <w:w w:val="125"/>
                <w:sz w:val="18"/>
              </w:rPr>
              <w:t>Encourage</w:t>
            </w:r>
            <w:r>
              <w:rPr>
                <w:color w:val="4D4D4F"/>
                <w:spacing w:val="-10"/>
                <w:w w:val="125"/>
                <w:sz w:val="18"/>
              </w:rPr>
              <w:t> </w:t>
            </w:r>
            <w:r>
              <w:rPr>
                <w:color w:val="4D4D4F"/>
                <w:w w:val="125"/>
                <w:sz w:val="18"/>
              </w:rPr>
              <w:t>patients</w:t>
            </w:r>
            <w:r>
              <w:rPr>
                <w:color w:val="4D4D4F"/>
                <w:spacing w:val="-9"/>
                <w:w w:val="125"/>
                <w:sz w:val="18"/>
              </w:rPr>
              <w:t> </w:t>
            </w:r>
            <w:r>
              <w:rPr>
                <w:color w:val="4D4D4F"/>
                <w:w w:val="125"/>
                <w:sz w:val="18"/>
              </w:rPr>
              <w:t>to</w:t>
            </w:r>
            <w:r>
              <w:rPr>
                <w:color w:val="4D4D4F"/>
                <w:spacing w:val="-10"/>
                <w:w w:val="125"/>
                <w:sz w:val="18"/>
              </w:rPr>
              <w:t> </w:t>
            </w:r>
            <w:r>
              <w:rPr>
                <w:color w:val="4D4D4F"/>
                <w:w w:val="125"/>
                <w:sz w:val="18"/>
              </w:rPr>
              <w:t>continue</w:t>
            </w:r>
            <w:r>
              <w:rPr>
                <w:color w:val="4D4D4F"/>
                <w:spacing w:val="-9"/>
                <w:w w:val="125"/>
                <w:sz w:val="18"/>
              </w:rPr>
              <w:t> </w:t>
            </w:r>
            <w:r>
              <w:rPr>
                <w:color w:val="4D4D4F"/>
                <w:w w:val="125"/>
                <w:sz w:val="18"/>
              </w:rPr>
              <w:t>receiving</w:t>
            </w:r>
            <w:r>
              <w:rPr>
                <w:color w:val="4D4D4F"/>
                <w:spacing w:val="-10"/>
                <w:w w:val="125"/>
                <w:sz w:val="18"/>
              </w:rPr>
              <w:t> </w:t>
            </w:r>
            <w:r>
              <w:rPr>
                <w:color w:val="4D4D4F"/>
                <w:w w:val="125"/>
                <w:sz w:val="18"/>
              </w:rPr>
              <w:t>counseling,</w:t>
            </w:r>
            <w:r>
              <w:rPr>
                <w:color w:val="4D4D4F"/>
                <w:spacing w:val="-9"/>
                <w:w w:val="125"/>
                <w:sz w:val="18"/>
              </w:rPr>
              <w:t> </w:t>
            </w:r>
            <w:r>
              <w:rPr>
                <w:color w:val="4D4D4F"/>
                <w:w w:val="125"/>
                <w:sz w:val="18"/>
              </w:rPr>
              <w:t>monitoring,</w:t>
            </w:r>
            <w:r>
              <w:rPr>
                <w:color w:val="4D4D4F"/>
                <w:spacing w:val="-9"/>
                <w:w w:val="125"/>
                <w:sz w:val="18"/>
              </w:rPr>
              <w:t> </w:t>
            </w:r>
            <w:r>
              <w:rPr>
                <w:color w:val="4D4D4F"/>
                <w:w w:val="125"/>
                <w:sz w:val="18"/>
              </w:rPr>
              <w:t>and</w:t>
            </w:r>
            <w:r>
              <w:rPr>
                <w:color w:val="4D4D4F"/>
                <w:spacing w:val="-10"/>
                <w:w w:val="125"/>
                <w:sz w:val="18"/>
              </w:rPr>
              <w:t> </w:t>
            </w:r>
            <w:r>
              <w:rPr>
                <w:color w:val="4D4D4F"/>
                <w:w w:val="125"/>
                <w:sz w:val="18"/>
              </w:rPr>
              <w:t>other</w:t>
            </w:r>
            <w:r>
              <w:rPr>
                <w:color w:val="4D4D4F"/>
                <w:spacing w:val="-9"/>
                <w:w w:val="125"/>
                <w:sz w:val="18"/>
              </w:rPr>
              <w:t> </w:t>
            </w:r>
            <w:r>
              <w:rPr>
                <w:color w:val="4D4D4F"/>
                <w:w w:val="125"/>
                <w:sz w:val="18"/>
              </w:rPr>
              <w:t>psychosocial</w:t>
            </w:r>
            <w:r>
              <w:rPr>
                <w:color w:val="4D4D4F"/>
                <w:spacing w:val="-10"/>
                <w:w w:val="125"/>
                <w:sz w:val="18"/>
              </w:rPr>
              <w:t> </w:t>
            </w:r>
            <w:r>
              <w:rPr>
                <w:color w:val="4D4D4F"/>
                <w:w w:val="125"/>
                <w:sz w:val="18"/>
              </w:rPr>
              <w:t>support</w:t>
            </w:r>
            <w:r>
              <w:rPr>
                <w:color w:val="4D4D4F"/>
                <w:spacing w:val="-9"/>
                <w:w w:val="125"/>
                <w:sz w:val="18"/>
              </w:rPr>
              <w:t> </w:t>
            </w:r>
            <w:r>
              <w:rPr>
                <w:color w:val="4D4D4F"/>
                <w:w w:val="125"/>
                <w:sz w:val="18"/>
              </w:rPr>
              <w:t>after medication</w:t>
            </w:r>
            <w:r>
              <w:rPr>
                <w:color w:val="4D4D4F"/>
                <w:spacing w:val="-5"/>
                <w:w w:val="125"/>
                <w:sz w:val="18"/>
              </w:rPr>
              <w:t> </w:t>
            </w:r>
            <w:r>
              <w:rPr>
                <w:color w:val="4D4D4F"/>
                <w:w w:val="125"/>
                <w:sz w:val="18"/>
              </w:rPr>
              <w:t>discontinuation.</w:t>
            </w:r>
          </w:p>
          <w:p>
            <w:pPr>
              <w:pStyle w:val="TableParagraph"/>
              <w:numPr>
                <w:ilvl w:val="0"/>
                <w:numId w:val="11"/>
              </w:numPr>
              <w:tabs>
                <w:tab w:pos="455" w:val="left" w:leader="none"/>
              </w:tabs>
              <w:spacing w:line="240" w:lineRule="auto" w:before="2" w:after="0"/>
              <w:ind w:left="455" w:right="0" w:hanging="180"/>
              <w:jc w:val="left"/>
              <w:rPr>
                <w:sz w:val="18"/>
              </w:rPr>
            </w:pPr>
            <w:r>
              <w:rPr>
                <w:color w:val="4D4D4F"/>
                <w:w w:val="125"/>
                <w:sz w:val="18"/>
              </w:rPr>
              <w:t>Urge</w:t>
            </w:r>
            <w:r>
              <w:rPr>
                <w:color w:val="4D4D4F"/>
                <w:spacing w:val="-11"/>
                <w:w w:val="125"/>
                <w:sz w:val="18"/>
              </w:rPr>
              <w:t> </w:t>
            </w:r>
            <w:r>
              <w:rPr>
                <w:color w:val="4D4D4F"/>
                <w:w w:val="125"/>
                <w:sz w:val="18"/>
              </w:rPr>
              <w:t>patients</w:t>
            </w:r>
            <w:r>
              <w:rPr>
                <w:color w:val="4D4D4F"/>
                <w:spacing w:val="-11"/>
                <w:w w:val="125"/>
                <w:sz w:val="18"/>
              </w:rPr>
              <w:t> </w:t>
            </w:r>
            <w:r>
              <w:rPr>
                <w:color w:val="4D4D4F"/>
                <w:w w:val="125"/>
                <w:sz w:val="18"/>
              </w:rPr>
              <w:t>to</w:t>
            </w:r>
            <w:r>
              <w:rPr>
                <w:color w:val="4D4D4F"/>
                <w:spacing w:val="-11"/>
                <w:w w:val="125"/>
                <w:sz w:val="18"/>
              </w:rPr>
              <w:t> </w:t>
            </w:r>
            <w:r>
              <w:rPr>
                <w:color w:val="4D4D4F"/>
                <w:w w:val="125"/>
                <w:sz w:val="18"/>
              </w:rPr>
              <w:t>reenter</w:t>
            </w:r>
            <w:r>
              <w:rPr>
                <w:color w:val="4D4D4F"/>
                <w:spacing w:val="-11"/>
                <w:w w:val="125"/>
                <w:sz w:val="18"/>
              </w:rPr>
              <w:t> </w:t>
            </w:r>
            <w:r>
              <w:rPr>
                <w:color w:val="4D4D4F"/>
                <w:w w:val="125"/>
                <w:sz w:val="18"/>
              </w:rPr>
              <w:t>treatment</w:t>
            </w:r>
            <w:r>
              <w:rPr>
                <w:color w:val="4D4D4F"/>
                <w:spacing w:val="-11"/>
                <w:w w:val="125"/>
                <w:sz w:val="18"/>
              </w:rPr>
              <w:t> </w:t>
            </w:r>
            <w:r>
              <w:rPr>
                <w:color w:val="4D4D4F"/>
                <w:w w:val="125"/>
                <w:sz w:val="18"/>
              </w:rPr>
              <w:t>promptly</w:t>
            </w:r>
            <w:r>
              <w:rPr>
                <w:color w:val="4D4D4F"/>
                <w:spacing w:val="-11"/>
                <w:w w:val="125"/>
                <w:sz w:val="18"/>
              </w:rPr>
              <w:t> </w:t>
            </w:r>
            <w:r>
              <w:rPr>
                <w:color w:val="4D4D4F"/>
                <w:w w:val="125"/>
                <w:sz w:val="18"/>
              </w:rPr>
              <w:t>if</w:t>
            </w:r>
            <w:r>
              <w:rPr>
                <w:color w:val="4D4D4F"/>
                <w:spacing w:val="-11"/>
                <w:w w:val="125"/>
                <w:sz w:val="18"/>
              </w:rPr>
              <w:t> </w:t>
            </w:r>
            <w:r>
              <w:rPr>
                <w:color w:val="4D4D4F"/>
                <w:w w:val="125"/>
                <w:sz w:val="18"/>
              </w:rPr>
              <w:t>they</w:t>
            </w:r>
            <w:r>
              <w:rPr>
                <w:color w:val="4D4D4F"/>
                <w:spacing w:val="-11"/>
                <w:w w:val="125"/>
                <w:sz w:val="18"/>
              </w:rPr>
              <w:t> </w:t>
            </w:r>
            <w:r>
              <w:rPr>
                <w:color w:val="4D4D4F"/>
                <w:w w:val="125"/>
                <w:sz w:val="18"/>
              </w:rPr>
              <w:t>return</w:t>
            </w:r>
            <w:r>
              <w:rPr>
                <w:color w:val="4D4D4F"/>
                <w:spacing w:val="-11"/>
                <w:w w:val="125"/>
                <w:sz w:val="18"/>
              </w:rPr>
              <w:t> </w:t>
            </w:r>
            <w:r>
              <w:rPr>
                <w:color w:val="4D4D4F"/>
                <w:w w:val="125"/>
                <w:sz w:val="18"/>
              </w:rPr>
              <w:t>or</w:t>
            </w:r>
            <w:r>
              <w:rPr>
                <w:color w:val="4D4D4F"/>
                <w:spacing w:val="-11"/>
                <w:w w:val="125"/>
                <w:sz w:val="18"/>
              </w:rPr>
              <w:t> </w:t>
            </w:r>
            <w:r>
              <w:rPr>
                <w:color w:val="4D4D4F"/>
                <w:w w:val="125"/>
                <w:sz w:val="18"/>
              </w:rPr>
              <w:t>think</w:t>
            </w:r>
            <w:r>
              <w:rPr>
                <w:color w:val="4D4D4F"/>
                <w:spacing w:val="-10"/>
                <w:w w:val="125"/>
                <w:sz w:val="18"/>
              </w:rPr>
              <w:t> </w:t>
            </w:r>
            <w:r>
              <w:rPr>
                <w:color w:val="4D4D4F"/>
                <w:w w:val="125"/>
                <w:sz w:val="18"/>
              </w:rPr>
              <w:t>they</w:t>
            </w:r>
            <w:r>
              <w:rPr>
                <w:color w:val="4D4D4F"/>
                <w:spacing w:val="-11"/>
                <w:w w:val="125"/>
                <w:sz w:val="18"/>
              </w:rPr>
              <w:t> </w:t>
            </w:r>
            <w:r>
              <w:rPr>
                <w:color w:val="4D4D4F"/>
                <w:w w:val="125"/>
                <w:sz w:val="18"/>
              </w:rPr>
              <w:t>may</w:t>
            </w:r>
            <w:r>
              <w:rPr>
                <w:color w:val="4D4D4F"/>
                <w:spacing w:val="-11"/>
                <w:w w:val="125"/>
                <w:sz w:val="18"/>
              </w:rPr>
              <w:t> </w:t>
            </w:r>
            <w:r>
              <w:rPr>
                <w:color w:val="4D4D4F"/>
                <w:w w:val="125"/>
                <w:sz w:val="18"/>
              </w:rPr>
              <w:t>return</w:t>
            </w:r>
            <w:r>
              <w:rPr>
                <w:color w:val="4D4D4F"/>
                <w:spacing w:val="-11"/>
                <w:w w:val="125"/>
                <w:sz w:val="18"/>
              </w:rPr>
              <w:t> </w:t>
            </w:r>
            <w:r>
              <w:rPr>
                <w:color w:val="4D4D4F"/>
                <w:w w:val="125"/>
                <w:sz w:val="18"/>
              </w:rPr>
              <w:t>to</w:t>
            </w:r>
            <w:r>
              <w:rPr>
                <w:color w:val="4D4D4F"/>
                <w:spacing w:val="-11"/>
                <w:w w:val="125"/>
                <w:sz w:val="18"/>
              </w:rPr>
              <w:t> </w:t>
            </w:r>
            <w:r>
              <w:rPr>
                <w:color w:val="4D4D4F"/>
                <w:w w:val="125"/>
                <w:sz w:val="18"/>
              </w:rPr>
              <w:t>illicit</w:t>
            </w:r>
            <w:r>
              <w:rPr>
                <w:color w:val="4D4D4F"/>
                <w:spacing w:val="-11"/>
                <w:w w:val="125"/>
                <w:sz w:val="18"/>
              </w:rPr>
              <w:t> </w:t>
            </w:r>
            <w:r>
              <w:rPr>
                <w:color w:val="4D4D4F"/>
                <w:w w:val="125"/>
                <w:sz w:val="18"/>
              </w:rPr>
              <w:t>opioid</w:t>
            </w:r>
            <w:r>
              <w:rPr>
                <w:color w:val="4D4D4F"/>
                <w:spacing w:val="-11"/>
                <w:w w:val="125"/>
                <w:sz w:val="18"/>
              </w:rPr>
              <w:t> </w:t>
            </w:r>
            <w:r>
              <w:rPr>
                <w:color w:val="4D4D4F"/>
                <w:w w:val="125"/>
                <w:sz w:val="18"/>
              </w:rPr>
              <w:t>use.</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after="1"/>
        <w:rPr>
          <w:sz w:val="20"/>
        </w:rPr>
      </w:pPr>
    </w:p>
    <w:tbl>
      <w:tblPr>
        <w:tblW w:w="0" w:type="auto"/>
        <w:jc w:val="left"/>
        <w:tblInd w:w="30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828"/>
        <w:gridCol w:w="6884"/>
      </w:tblGrid>
      <w:tr>
        <w:trPr>
          <w:trHeight w:val="453" w:hRule="atLeast"/>
        </w:trPr>
        <w:tc>
          <w:tcPr>
            <w:tcW w:w="9712" w:type="dxa"/>
            <w:gridSpan w:val="2"/>
            <w:shd w:val="clear" w:color="auto" w:fill="377F9A"/>
          </w:tcPr>
          <w:p>
            <w:pPr>
              <w:pStyle w:val="TableParagraph"/>
              <w:tabs>
                <w:tab w:pos="5689" w:val="left" w:leader="none"/>
              </w:tabs>
              <w:spacing w:before="151"/>
              <w:ind w:left="98"/>
              <w:rPr>
                <w:rFonts w:ascii="Arial"/>
                <w:b/>
                <w:sz w:val="17"/>
              </w:rPr>
            </w:pPr>
            <w:r>
              <w:rPr>
                <w:rFonts w:ascii="Arial"/>
                <w:b/>
                <w:color w:val="FFFFFF"/>
                <w:w w:val="110"/>
                <w:sz w:val="17"/>
              </w:rPr>
              <w:t>SYMPTOM</w:t>
              <w:tab/>
              <w:t>MEDICATION</w:t>
            </w:r>
          </w:p>
        </w:tc>
      </w:tr>
      <w:tr>
        <w:trPr>
          <w:trHeight w:val="401" w:hRule="atLeast"/>
        </w:trPr>
        <w:tc>
          <w:tcPr>
            <w:tcW w:w="2828"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8"/>
              </w:rPr>
            </w:pPr>
            <w:r>
              <w:rPr>
                <w:rFonts w:ascii="Arial"/>
                <w:b/>
                <w:color w:val="231F20"/>
                <w:w w:val="110"/>
                <w:sz w:val="18"/>
              </w:rPr>
              <w:t>Nausea</w:t>
            </w:r>
          </w:p>
        </w:tc>
        <w:tc>
          <w:tcPr>
            <w:tcW w:w="6884" w:type="dxa"/>
            <w:tcBorders>
              <w:left w:val="single" w:sz="2" w:space="0" w:color="759EB4"/>
              <w:bottom w:val="single" w:sz="2" w:space="0" w:color="759EB4"/>
              <w:right w:val="nil"/>
            </w:tcBorders>
            <w:shd w:val="clear" w:color="auto" w:fill="FFF7F2"/>
          </w:tcPr>
          <w:p>
            <w:pPr>
              <w:pStyle w:val="TableParagraph"/>
              <w:spacing w:before="89"/>
              <w:ind w:left="97"/>
              <w:rPr>
                <w:sz w:val="18"/>
              </w:rPr>
            </w:pPr>
            <w:r>
              <w:rPr>
                <w:color w:val="414142"/>
                <w:w w:val="120"/>
                <w:sz w:val="18"/>
              </w:rPr>
              <w:t>Ondansetron, metoclopramide (avoid promethazine; it potentiates opioids)</w:t>
            </w:r>
          </w:p>
        </w:tc>
      </w:tr>
      <w:tr>
        <w:trPr>
          <w:trHeight w:val="403" w:hRule="atLeast"/>
        </w:trPr>
        <w:tc>
          <w:tcPr>
            <w:tcW w:w="282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Diarrhea</w:t>
            </w:r>
          </w:p>
        </w:tc>
        <w:tc>
          <w:tcPr>
            <w:tcW w:w="6884"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color w:val="414142"/>
                <w:w w:val="125"/>
                <w:sz w:val="18"/>
              </w:rPr>
              <w:t>Loperamide</w:t>
            </w:r>
          </w:p>
        </w:tc>
      </w:tr>
      <w:tr>
        <w:trPr>
          <w:trHeight w:val="403" w:hRule="atLeast"/>
        </w:trPr>
        <w:tc>
          <w:tcPr>
            <w:tcW w:w="282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Anxiety, irritability, sweating</w:t>
            </w:r>
          </w:p>
        </w:tc>
        <w:tc>
          <w:tcPr>
            <w:tcW w:w="6884"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color w:val="414142"/>
                <w:w w:val="125"/>
                <w:sz w:val="18"/>
              </w:rPr>
              <w:t>Clonidine</w:t>
            </w:r>
          </w:p>
        </w:tc>
      </w:tr>
      <w:tr>
        <w:trPr>
          <w:trHeight w:val="403" w:hRule="atLeast"/>
        </w:trPr>
        <w:tc>
          <w:tcPr>
            <w:tcW w:w="282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Insomnia</w:t>
            </w:r>
          </w:p>
        </w:tc>
        <w:tc>
          <w:tcPr>
            <w:tcW w:w="6884"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color w:val="414142"/>
                <w:w w:val="125"/>
                <w:sz w:val="18"/>
              </w:rPr>
              <w:t>Diphenhydramine, trazodone</w:t>
            </w:r>
          </w:p>
        </w:tc>
      </w:tr>
      <w:tr>
        <w:trPr>
          <w:trHeight w:val="383" w:hRule="atLeast"/>
        </w:trPr>
        <w:tc>
          <w:tcPr>
            <w:tcW w:w="2828"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Pain</w:t>
            </w:r>
          </w:p>
        </w:tc>
        <w:tc>
          <w:tcPr>
            <w:tcW w:w="6884" w:type="dxa"/>
            <w:tcBorders>
              <w:top w:val="single" w:sz="2" w:space="0" w:color="759EB4"/>
              <w:left w:val="single" w:sz="2" w:space="0" w:color="759EB4"/>
              <w:bottom w:val="single" w:sz="18" w:space="0" w:color="377F9A"/>
              <w:right w:val="nil"/>
            </w:tcBorders>
            <w:shd w:val="clear" w:color="auto" w:fill="FFF7F2"/>
          </w:tcPr>
          <w:p>
            <w:pPr>
              <w:pStyle w:val="TableParagraph"/>
              <w:spacing w:before="90"/>
              <w:ind w:left="97"/>
              <w:rPr>
                <w:sz w:val="18"/>
              </w:rPr>
            </w:pPr>
            <w:r>
              <w:rPr>
                <w:color w:val="414142"/>
                <w:w w:val="125"/>
                <w:sz w:val="18"/>
              </w:rPr>
              <w:t>Nonsteroidal anti-inﬂammatory drugs</w:t>
            </w:r>
          </w:p>
        </w:tc>
      </w:tr>
    </w:tbl>
    <w:p>
      <w:pPr>
        <w:spacing w:after="0"/>
        <w:rPr>
          <w:sz w:val="18"/>
        </w:rPr>
        <w:sectPr>
          <w:pgSz w:w="12240" w:h="15840"/>
          <w:pgMar w:header="576" w:footer="677" w:top="1340" w:bottom="860" w:left="940" w:right="920"/>
        </w:sectPr>
      </w:pPr>
    </w:p>
    <w:p>
      <w:pPr>
        <w:pStyle w:val="BodyText"/>
        <w:spacing w:before="10"/>
        <w:rPr>
          <w:sz w:val="26"/>
        </w:rPr>
      </w:pPr>
    </w:p>
    <w:p>
      <w:pPr>
        <w:spacing w:after="0"/>
        <w:rPr>
          <w:sz w:val="26"/>
        </w:rPr>
        <w:sectPr>
          <w:pgSz w:w="12240" w:h="15840"/>
          <w:pgMar w:header="576" w:footer="677" w:top="1340" w:bottom="860" w:left="940" w:right="920"/>
        </w:sectPr>
      </w:pPr>
    </w:p>
    <w:p>
      <w:pPr>
        <w:pStyle w:val="BodyText"/>
        <w:spacing w:line="247" w:lineRule="auto" w:before="106"/>
        <w:ind w:left="140" w:right="90"/>
      </w:pPr>
      <w:r>
        <w:rPr>
          <w:color w:val="4D4D4F"/>
          <w:w w:val="110"/>
        </w:rPr>
        <w:t>Methadone, buprenorphine, and  naltrexone bind to the mu-opioid receptors in the central and peripheral nervous systems, gastrointestinal tract, and vascular system. In the brain, these receptors mediate opioids’ analgesic and other effects (e.g., euphoria, respiratory depression, meiosis).</w:t>
      </w:r>
      <w:r>
        <w:rPr>
          <w:color w:val="4D4D4F"/>
          <w:w w:val="110"/>
          <w:position w:val="7"/>
          <w:sz w:val="13"/>
        </w:rPr>
        <w:t>70,71,72 </w:t>
      </w:r>
      <w:r>
        <w:rPr>
          <w:color w:val="4D4D4F"/>
          <w:w w:val="110"/>
        </w:rPr>
        <w:t>Through modulation of mu-opioid receptor activity in the brain, these medications exert therapeutic efﬁcacy in treating</w:t>
      </w:r>
      <w:r>
        <w:rPr>
          <w:color w:val="4D4D4F"/>
          <w:spacing w:val="-33"/>
          <w:w w:val="110"/>
        </w:rPr>
        <w:t> </w:t>
      </w:r>
      <w:r>
        <w:rPr>
          <w:color w:val="4D4D4F"/>
          <w:w w:val="110"/>
        </w:rPr>
        <w:t>OUD.</w:t>
      </w:r>
    </w:p>
    <w:p>
      <w:pPr>
        <w:pStyle w:val="BodyText"/>
        <w:spacing w:before="7"/>
        <w:rPr>
          <w:sz w:val="23"/>
        </w:rPr>
      </w:pPr>
    </w:p>
    <w:p>
      <w:pPr>
        <w:pStyle w:val="Heading3"/>
      </w:pPr>
      <w:bookmarkStart w:name="_TOC_250101" w:id="14"/>
      <w:bookmarkEnd w:id="14"/>
      <w:r>
        <w:rPr>
          <w:color w:val="137692"/>
          <w:w w:val="110"/>
        </w:rPr>
        <w:t>Intrinsic Activity</w:t>
      </w:r>
    </w:p>
    <w:p>
      <w:pPr>
        <w:pStyle w:val="BodyText"/>
        <w:spacing w:line="247" w:lineRule="auto" w:before="47"/>
        <w:ind w:left="140" w:right="142"/>
      </w:pPr>
      <w:r>
        <w:rPr>
          <w:color w:val="4D4D4F"/>
          <w:w w:val="110"/>
        </w:rPr>
        <w:t>Intrinsic activity at the mu-opioid receptor varies based on whether the medication is a full agonist, partial agonist, or antagonist (Exhibit 3A.4). The amount of intrinsic activity corre-</w:t>
      </w:r>
    </w:p>
    <w:p>
      <w:pPr>
        <w:pStyle w:val="BodyText"/>
        <w:spacing w:before="5"/>
        <w:ind w:left="140"/>
      </w:pPr>
      <w:r>
        <w:rPr>
          <w:color w:val="4D4D4F"/>
          <w:w w:val="110"/>
        </w:rPr>
        <w:t>sponds to the amount of opioid receptor agonist</w:t>
      </w:r>
    </w:p>
    <w:p>
      <w:pPr>
        <w:spacing w:line="237" w:lineRule="auto" w:before="103"/>
        <w:ind w:left="140" w:right="253" w:firstLine="0"/>
        <w:jc w:val="left"/>
        <w:rPr>
          <w:sz w:val="22"/>
        </w:rPr>
      </w:pPr>
      <w:r>
        <w:rPr/>
        <w:br w:type="column"/>
      </w:r>
      <w:r>
        <w:rPr>
          <w:color w:val="4D4D4F"/>
          <w:w w:val="115"/>
          <w:sz w:val="22"/>
        </w:rPr>
        <w:t>effects. </w:t>
      </w:r>
      <w:r>
        <w:rPr>
          <w:rFonts w:ascii="Calibri"/>
          <w:b/>
          <w:color w:val="4D4D4F"/>
          <w:w w:val="115"/>
          <w:sz w:val="22"/>
        </w:rPr>
        <w:t>A full agonist exerts maximal effects at increasing doses. A partial agonist has a ceiling effect. </w:t>
      </w:r>
      <w:r>
        <w:rPr>
          <w:color w:val="4D4D4F"/>
          <w:w w:val="115"/>
          <w:sz w:val="22"/>
        </w:rPr>
        <w:t>Its opioid effects increase as the </w:t>
      </w:r>
      <w:r>
        <w:rPr>
          <w:color w:val="4D4D4F"/>
          <w:spacing w:val="-3"/>
          <w:w w:val="115"/>
          <w:sz w:val="22"/>
        </w:rPr>
        <w:t>dose</w:t>
      </w:r>
      <w:r>
        <w:rPr>
          <w:color w:val="4D4D4F"/>
          <w:spacing w:val="-25"/>
          <w:w w:val="115"/>
          <w:sz w:val="22"/>
        </w:rPr>
        <w:t> </w:t>
      </w:r>
      <w:r>
        <w:rPr>
          <w:color w:val="4D4D4F"/>
          <w:spacing w:val="-4"/>
          <w:w w:val="115"/>
          <w:sz w:val="22"/>
        </w:rPr>
        <w:t>increases,</w:t>
      </w:r>
      <w:r>
        <w:rPr>
          <w:color w:val="4D4D4F"/>
          <w:spacing w:val="-24"/>
          <w:w w:val="115"/>
          <w:sz w:val="22"/>
        </w:rPr>
        <w:t> </w:t>
      </w:r>
      <w:r>
        <w:rPr>
          <w:color w:val="4D4D4F"/>
          <w:w w:val="115"/>
          <w:sz w:val="22"/>
        </w:rPr>
        <w:t>but</w:t>
      </w:r>
      <w:r>
        <w:rPr>
          <w:color w:val="4D4D4F"/>
          <w:spacing w:val="-24"/>
          <w:w w:val="115"/>
          <w:sz w:val="22"/>
        </w:rPr>
        <w:t> </w:t>
      </w:r>
      <w:r>
        <w:rPr>
          <w:color w:val="4D4D4F"/>
          <w:spacing w:val="-3"/>
          <w:w w:val="115"/>
          <w:sz w:val="22"/>
        </w:rPr>
        <w:t>only</w:t>
      </w:r>
      <w:r>
        <w:rPr>
          <w:color w:val="4D4D4F"/>
          <w:spacing w:val="-24"/>
          <w:w w:val="115"/>
          <w:sz w:val="22"/>
        </w:rPr>
        <w:t> </w:t>
      </w:r>
      <w:r>
        <w:rPr>
          <w:color w:val="4D4D4F"/>
          <w:w w:val="115"/>
          <w:sz w:val="22"/>
        </w:rPr>
        <w:t>up</w:t>
      </w:r>
      <w:r>
        <w:rPr>
          <w:color w:val="4D4D4F"/>
          <w:spacing w:val="-24"/>
          <w:w w:val="115"/>
          <w:sz w:val="22"/>
        </w:rPr>
        <w:t> </w:t>
      </w:r>
      <w:r>
        <w:rPr>
          <w:color w:val="4D4D4F"/>
          <w:w w:val="115"/>
          <w:sz w:val="22"/>
        </w:rPr>
        <w:t>to</w:t>
      </w:r>
      <w:r>
        <w:rPr>
          <w:color w:val="4D4D4F"/>
          <w:spacing w:val="-25"/>
          <w:w w:val="115"/>
          <w:sz w:val="22"/>
        </w:rPr>
        <w:t> </w:t>
      </w:r>
      <w:r>
        <w:rPr>
          <w:color w:val="4D4D4F"/>
          <w:w w:val="115"/>
          <w:sz w:val="22"/>
        </w:rPr>
        <w:t>a</w:t>
      </w:r>
      <w:r>
        <w:rPr>
          <w:color w:val="4D4D4F"/>
          <w:spacing w:val="-24"/>
          <w:w w:val="115"/>
          <w:sz w:val="22"/>
        </w:rPr>
        <w:t> </w:t>
      </w:r>
      <w:r>
        <w:rPr>
          <w:color w:val="4D4D4F"/>
          <w:spacing w:val="-3"/>
          <w:w w:val="115"/>
          <w:sz w:val="22"/>
        </w:rPr>
        <w:t>certain</w:t>
      </w:r>
      <w:r>
        <w:rPr>
          <w:color w:val="4D4D4F"/>
          <w:spacing w:val="-24"/>
          <w:w w:val="115"/>
          <w:sz w:val="22"/>
        </w:rPr>
        <w:t> </w:t>
      </w:r>
      <w:r>
        <w:rPr>
          <w:color w:val="4D4D4F"/>
          <w:spacing w:val="-3"/>
          <w:w w:val="115"/>
          <w:sz w:val="22"/>
        </w:rPr>
        <w:t>point.</w:t>
      </w:r>
      <w:r>
        <w:rPr>
          <w:color w:val="4D4D4F"/>
          <w:spacing w:val="-24"/>
          <w:w w:val="115"/>
          <w:sz w:val="22"/>
        </w:rPr>
        <w:t> </w:t>
      </w:r>
      <w:r>
        <w:rPr>
          <w:rFonts w:ascii="Calibri"/>
          <w:b/>
          <w:color w:val="4D4D4F"/>
          <w:spacing w:val="-3"/>
          <w:w w:val="115"/>
          <w:sz w:val="22"/>
        </w:rPr>
        <w:t>An </w:t>
      </w:r>
      <w:r>
        <w:rPr>
          <w:rFonts w:ascii="Calibri"/>
          <w:b/>
          <w:color w:val="4D4D4F"/>
          <w:w w:val="115"/>
          <w:sz w:val="22"/>
        </w:rPr>
        <w:t>antagonist binds to the opioid receptor but </w:t>
      </w:r>
      <w:r>
        <w:rPr>
          <w:rFonts w:ascii="Calibri"/>
          <w:b/>
          <w:color w:val="4D4D4F"/>
          <w:spacing w:val="-3"/>
          <w:w w:val="115"/>
          <w:sz w:val="22"/>
        </w:rPr>
        <w:t>does </w:t>
      </w:r>
      <w:r>
        <w:rPr>
          <w:rFonts w:ascii="Calibri"/>
          <w:b/>
          <w:color w:val="4D4D4F"/>
          <w:w w:val="115"/>
          <w:sz w:val="22"/>
        </w:rPr>
        <w:t>not </w:t>
      </w:r>
      <w:r>
        <w:rPr>
          <w:rFonts w:ascii="Calibri"/>
          <w:b/>
          <w:color w:val="4D4D4F"/>
          <w:spacing w:val="-3"/>
          <w:w w:val="115"/>
          <w:sz w:val="22"/>
        </w:rPr>
        <w:t>stimulate </w:t>
      </w:r>
      <w:r>
        <w:rPr>
          <w:rFonts w:ascii="Calibri"/>
          <w:b/>
          <w:color w:val="4D4D4F"/>
          <w:w w:val="115"/>
          <w:sz w:val="22"/>
        </w:rPr>
        <w:t>the </w:t>
      </w:r>
      <w:r>
        <w:rPr>
          <w:rFonts w:ascii="Calibri"/>
          <w:b/>
          <w:color w:val="4D4D4F"/>
          <w:spacing w:val="-4"/>
          <w:w w:val="115"/>
          <w:sz w:val="22"/>
        </w:rPr>
        <w:t>receptor </w:t>
      </w:r>
      <w:r>
        <w:rPr>
          <w:rFonts w:ascii="Calibri"/>
          <w:b/>
          <w:color w:val="4D4D4F"/>
          <w:w w:val="115"/>
          <w:sz w:val="22"/>
        </w:rPr>
        <w:t>at </w:t>
      </w:r>
      <w:r>
        <w:rPr>
          <w:rFonts w:ascii="Calibri"/>
          <w:b/>
          <w:color w:val="4D4D4F"/>
          <w:spacing w:val="-3"/>
          <w:w w:val="115"/>
          <w:sz w:val="22"/>
        </w:rPr>
        <w:t>all. </w:t>
      </w:r>
      <w:r>
        <w:rPr>
          <w:color w:val="4D4D4F"/>
          <w:spacing w:val="-3"/>
          <w:w w:val="115"/>
          <w:sz w:val="22"/>
        </w:rPr>
        <w:t>Thus, it </w:t>
      </w:r>
      <w:r>
        <w:rPr>
          <w:color w:val="4D4D4F"/>
          <w:w w:val="115"/>
          <w:sz w:val="22"/>
        </w:rPr>
        <w:t>has</w:t>
      </w:r>
      <w:r>
        <w:rPr>
          <w:color w:val="4D4D4F"/>
          <w:spacing w:val="-21"/>
          <w:w w:val="115"/>
          <w:sz w:val="22"/>
        </w:rPr>
        <w:t> </w:t>
      </w:r>
      <w:r>
        <w:rPr>
          <w:color w:val="4D4D4F"/>
          <w:w w:val="115"/>
          <w:sz w:val="22"/>
        </w:rPr>
        <w:t>no</w:t>
      </w:r>
      <w:r>
        <w:rPr>
          <w:color w:val="4D4D4F"/>
          <w:spacing w:val="-20"/>
          <w:w w:val="115"/>
          <w:sz w:val="22"/>
        </w:rPr>
        <w:t> </w:t>
      </w:r>
      <w:r>
        <w:rPr>
          <w:color w:val="4D4D4F"/>
          <w:w w:val="115"/>
          <w:sz w:val="22"/>
        </w:rPr>
        <w:t>intrinsic</w:t>
      </w:r>
      <w:r>
        <w:rPr>
          <w:color w:val="4D4D4F"/>
          <w:spacing w:val="-21"/>
          <w:w w:val="115"/>
          <w:sz w:val="22"/>
        </w:rPr>
        <w:t> </w:t>
      </w:r>
      <w:r>
        <w:rPr>
          <w:color w:val="4D4D4F"/>
          <w:w w:val="115"/>
          <w:sz w:val="22"/>
        </w:rPr>
        <w:t>activity</w:t>
      </w:r>
      <w:r>
        <w:rPr>
          <w:color w:val="4D4D4F"/>
          <w:spacing w:val="-20"/>
          <w:w w:val="115"/>
          <w:sz w:val="22"/>
        </w:rPr>
        <w:t> </w:t>
      </w:r>
      <w:r>
        <w:rPr>
          <w:color w:val="4D4D4F"/>
          <w:w w:val="115"/>
          <w:sz w:val="22"/>
        </w:rPr>
        <w:t>regardless</w:t>
      </w:r>
      <w:r>
        <w:rPr>
          <w:color w:val="4D4D4F"/>
          <w:spacing w:val="-20"/>
          <w:w w:val="115"/>
          <w:sz w:val="22"/>
        </w:rPr>
        <w:t> </w:t>
      </w:r>
      <w:r>
        <w:rPr>
          <w:color w:val="4D4D4F"/>
          <w:w w:val="115"/>
          <w:sz w:val="22"/>
        </w:rPr>
        <w:t>of</w:t>
      </w:r>
      <w:r>
        <w:rPr>
          <w:color w:val="4D4D4F"/>
          <w:spacing w:val="-21"/>
          <w:w w:val="115"/>
          <w:sz w:val="22"/>
        </w:rPr>
        <w:t> </w:t>
      </w:r>
      <w:r>
        <w:rPr>
          <w:color w:val="4D4D4F"/>
          <w:w w:val="115"/>
          <w:sz w:val="22"/>
        </w:rPr>
        <w:t>its</w:t>
      </w:r>
      <w:r>
        <w:rPr>
          <w:color w:val="4D4D4F"/>
          <w:spacing w:val="-20"/>
          <w:w w:val="115"/>
          <w:sz w:val="22"/>
        </w:rPr>
        <w:t> </w:t>
      </w:r>
      <w:r>
        <w:rPr>
          <w:color w:val="4D4D4F"/>
          <w:w w:val="115"/>
          <w:sz w:val="22"/>
        </w:rPr>
        <w:t>dose.</w:t>
      </w:r>
    </w:p>
    <w:p>
      <w:pPr>
        <w:pStyle w:val="BodyText"/>
      </w:pPr>
    </w:p>
    <w:p>
      <w:pPr>
        <w:pStyle w:val="Heading2"/>
        <w:spacing w:line="208" w:lineRule="auto" w:before="1"/>
        <w:ind w:right="1563"/>
      </w:pPr>
      <w:bookmarkStart w:name="_TOC_250100" w:id="15"/>
      <w:r>
        <w:rPr>
          <w:color w:val="137692"/>
          <w:w w:val="110"/>
        </w:rPr>
        <w:t>Overview</w:t>
      </w:r>
      <w:r>
        <w:rPr>
          <w:color w:val="137692"/>
          <w:spacing w:val="-46"/>
          <w:w w:val="110"/>
        </w:rPr>
        <w:t> </w:t>
      </w:r>
      <w:r>
        <w:rPr>
          <w:color w:val="137692"/>
          <w:w w:val="110"/>
        </w:rPr>
        <w:t>of</w:t>
      </w:r>
      <w:r>
        <w:rPr>
          <w:color w:val="137692"/>
          <w:spacing w:val="-45"/>
          <w:w w:val="110"/>
        </w:rPr>
        <w:t> </w:t>
      </w:r>
      <w:r>
        <w:rPr>
          <w:color w:val="137692"/>
          <w:w w:val="110"/>
        </w:rPr>
        <w:t>Medication Indications and</w:t>
      </w:r>
      <w:r>
        <w:rPr>
          <w:color w:val="137692"/>
          <w:spacing w:val="-25"/>
          <w:w w:val="110"/>
        </w:rPr>
        <w:t> </w:t>
      </w:r>
      <w:bookmarkEnd w:id="15"/>
      <w:r>
        <w:rPr>
          <w:color w:val="137692"/>
          <w:spacing w:val="-2"/>
          <w:w w:val="110"/>
        </w:rPr>
        <w:t>Dosing</w:t>
      </w:r>
    </w:p>
    <w:p>
      <w:pPr>
        <w:pStyle w:val="BodyText"/>
        <w:spacing w:line="247" w:lineRule="auto" w:before="42"/>
        <w:ind w:left="140" w:right="237"/>
      </w:pPr>
      <w:r>
        <w:rPr/>
        <w:pict>
          <v:group style="position:absolute;margin-left:54.048pt;margin-top:112.644814pt;width:503.95pt;height:360.45pt;mso-position-horizontal-relative:page;mso-position-vertical-relative:paragraph;z-index:15740416" coordorigin="1081,2253" coordsize="10079,7209">
            <v:rect style="position:absolute;left:1085;top:2257;width:10069;height:7199" filled="true" fillcolor="#fff7f2" stroked="false">
              <v:fill type="solid"/>
            </v:rect>
            <v:rect style="position:absolute;left:1085;top:2257;width:10069;height:7199" filled="false" stroked="true" strokeweight=".5pt" strokecolor="#88aabd">
              <v:stroke dashstyle="solid"/>
            </v:rect>
            <v:line style="position:absolute" from="1361,2895" to="10879,2895" stroked="true" strokeweight="2pt" strokecolor="#598ea7">
              <v:stroke dashstyle="solid"/>
            </v:line>
            <v:shape style="position:absolute;left:2969;top:3599;width:6590;height:4841" coordorigin="2970,3599" coordsize="6590,4841" path="m9559,3599l9392,3599,9392,3670,9242,3670,9242,3599,8892,3599,8892,3670,8742,3670,8742,3599,8358,3599,8358,3670,8207,3670,8207,3599,7849,3599,7849,3670,7698,3670,7698,3599,2970,3599,2970,3670,2970,8328,2970,8440,9559,8440,9559,8328,9559,3670,9559,3599xe" filled="true" fillcolor="#e2eaeb" stroked="false">
              <v:path arrowok="t"/>
              <v:fill type="solid"/>
            </v:shape>
            <v:rect style="position:absolute;left:2969;top:3599;width:6590;height:4841" filled="false" stroked="true" strokeweight=".94pt" strokecolor="#137692">
              <v:stroke dashstyle="solid"/>
            </v:rect>
            <v:line style="position:absolute" from="2987,4079" to="3044,4079" stroked="true" strokeweight=".939pt" strokecolor="#a6c6c9">
              <v:stroke dashstyle="solid"/>
            </v:line>
            <v:line style="position:absolute" from="3137,4079" to="9455,4079" stroked="true" strokeweight=".939pt" strokecolor="#a6c6c9">
              <v:stroke dashstyle="shortdash"/>
            </v:line>
            <v:line style="position:absolute" from="9502,4079" to="9558,4079" stroked="true" strokeweight=".939pt" strokecolor="#a6c6c9">
              <v:stroke dashstyle="solid"/>
            </v:line>
            <v:line style="position:absolute" from="2981,4566" to="3037,4566" stroked="true" strokeweight=".939pt" strokecolor="#a6c6c9">
              <v:stroke dashstyle="solid"/>
            </v:line>
            <v:shape style="position:absolute;left:3130;top:4557;width:6319;height:10" coordorigin="3130,4557" coordsize="6319,10" path="m3130,4567l9448,4567m3130,4557l9448,4557e" filled="false" stroked="true" strokeweight=".8675pt" strokecolor="#a6c6c9">
              <v:path arrowok="t"/>
              <v:stroke dashstyle="shortdash"/>
            </v:shape>
            <v:line style="position:absolute" from="9495,4566" to="9551,4566" stroked="true" strokeweight=".939pt" strokecolor="#a6c6c9">
              <v:stroke dashstyle="solid"/>
            </v:line>
            <v:line style="position:absolute" from="2987,5036" to="3044,5036" stroked="true" strokeweight=".939pt" strokecolor="#a6c6c9">
              <v:stroke dashstyle="solid"/>
            </v:line>
            <v:line style="position:absolute" from="3137,5036" to="9455,5036" stroked="true" strokeweight=".939pt" strokecolor="#a6c6c9">
              <v:stroke dashstyle="shortdash"/>
            </v:line>
            <v:line style="position:absolute" from="9502,5036" to="9558,5036" stroked="true" strokeweight=".939pt" strokecolor="#a6c6c9">
              <v:stroke dashstyle="solid"/>
            </v:line>
            <v:line style="position:absolute" from="2981,5540" to="3037,5540" stroked="true" strokeweight=".939pt" strokecolor="#a6c6c9">
              <v:stroke dashstyle="solid"/>
            </v:line>
            <v:line style="position:absolute" from="3130,5540" to="9448,5540" stroked="true" strokeweight=".939pt" strokecolor="#a6c6c9">
              <v:stroke dashstyle="shortdash"/>
            </v:line>
            <v:line style="position:absolute" from="9495,5540" to="9551,5540" stroked="true" strokeweight=".939pt" strokecolor="#a6c6c9">
              <v:stroke dashstyle="solid"/>
            </v:line>
            <v:line style="position:absolute" from="2995,6023" to="3052,6023" stroked="true" strokeweight=".939pt" strokecolor="#a6c6c9">
              <v:stroke dashstyle="solid"/>
            </v:line>
            <v:line style="position:absolute" from="3145,6023" to="9463,6023" stroked="true" strokeweight=".939pt" strokecolor="#a6c6c9">
              <v:stroke dashstyle="shortdash"/>
            </v:line>
            <v:line style="position:absolute" from="9510,6023" to="9566,6023" stroked="true" strokeweight=".939pt" strokecolor="#a6c6c9">
              <v:stroke dashstyle="solid"/>
            </v:line>
            <v:line style="position:absolute" from="2978,6512" to="3034,6512" stroked="true" strokeweight=".939pt" strokecolor="#a6c6c9">
              <v:stroke dashstyle="solid"/>
            </v:line>
            <v:line style="position:absolute" from="3128,6512" to="9446,6512" stroked="true" strokeweight=".939pt" strokecolor="#a6c6c9">
              <v:stroke dashstyle="shortdash"/>
            </v:line>
            <v:line style="position:absolute" from="9492,6512" to="9549,6512" stroked="true" strokeweight=".939pt" strokecolor="#a6c6c9">
              <v:stroke dashstyle="solid"/>
            </v:line>
            <v:line style="position:absolute" from="2997,7001" to="3053,7001" stroked="true" strokeweight=".939pt" strokecolor="#a6c6c9">
              <v:stroke dashstyle="solid"/>
            </v:line>
            <v:shape style="position:absolute;left:3146;top:7000;width:6319;height:2" coordorigin="3146,7001" coordsize="6319,0" path="m3146,7001l5118,7001m5268,7001l9464,7001e" filled="false" stroked="true" strokeweight=".939pt" strokecolor="#a6c6c9">
              <v:path arrowok="t"/>
              <v:stroke dashstyle="shortdash"/>
            </v:shape>
            <v:line style="position:absolute" from="9511,7001" to="9567,7001" stroked="true" strokeweight=".939pt" strokecolor="#a6c6c9">
              <v:stroke dashstyle="solid"/>
            </v:line>
            <v:line style="position:absolute" from="2979,7480" to="3036,7480" stroked="true" strokeweight=".939pt" strokecolor="#a6c6c9">
              <v:stroke dashstyle="solid"/>
            </v:line>
            <v:line style="position:absolute" from="3129,7480" to="9447,7480" stroked="true" strokeweight=".939pt" strokecolor="#a6c6c9">
              <v:stroke dashstyle="shortdash"/>
            </v:line>
            <v:line style="position:absolute" from="9494,7480" to="9550,7480" stroked="true" strokeweight=".939pt" strokecolor="#a6c6c9">
              <v:stroke dashstyle="solid"/>
            </v:line>
            <v:line style="position:absolute" from="2987,7950" to="3044,7950" stroked="true" strokeweight=".939pt" strokecolor="#a6c6c9">
              <v:stroke dashstyle="solid"/>
            </v:line>
            <v:shape style="position:absolute;left:3136;top:7950;width:6319;height:2" coordorigin="3137,7950" coordsize="6319,0" path="m3137,7950l4606,7950m4756,7950l9455,7950e" filled="false" stroked="true" strokeweight=".939pt" strokecolor="#a6c6c9">
              <v:path arrowok="t"/>
              <v:stroke dashstyle="shortdash"/>
            </v:shape>
            <v:line style="position:absolute" from="9502,7950" to="9558,7950" stroked="true" strokeweight=".939pt" strokecolor="#a6c6c9">
              <v:stroke dashstyle="solid"/>
            </v:line>
            <v:shape style="position:absolute;left:4172;top:3600;width:5145;height:4825" coordorigin="4172,3600" coordsize="5145,4825" path="m4172,8424l4681,7933,5193,7016,5705,5625,6236,4633,6739,3801,7275,3600,9317,3600e" filled="false" stroked="true" strokeweight=".94pt" strokecolor="#b15651">
              <v:path arrowok="t"/>
              <v:stroke dashstyle="solid"/>
            </v:shape>
            <v:shape style="position:absolute;left:4213;top:6483;width:5093;height:1923" coordorigin="4213,6483" coordsize="5093,1923" path="m4213,8406l4684,8289,5190,8094,5711,7715,6228,7292,6725,6861,7259,6483,9306,6483e" filled="false" stroked="true" strokeweight=".94pt" strokecolor="#b15651">
              <v:path arrowok="t"/>
              <v:stroke dashstyle="solid"/>
            </v:shape>
            <v:line style="position:absolute" from="4253,8440" to="8817,8440" stroked="true" strokeweight=".956pt" strokecolor="#942758">
              <v:stroke dashstyle="solid"/>
            </v:line>
            <v:shape style="position:absolute;left:4102;top:3519;width:5290;height:4959" coordorigin="4103,3519" coordsize="5290,4959" path="m4253,8328l4103,8328,4103,8478,4253,8478,4253,8328xm4756,7858l4606,7858,4606,8008,4756,8008,4756,7858xm5268,6941l5118,6941,5118,7091,5268,7091,5268,6941xm5781,5550l5630,5550,5630,5700,5781,5700,5781,5550xm6312,4558l6161,4558,6161,4709,6312,4709,6312,4558xm6815,3726l6664,3726,6664,3877,6815,3877,6815,3726xm7350,3519l7200,3519,7200,3670,7350,3670,7350,3519xm7849,3524l7698,3524,7698,3675,7849,3675,7849,3524xm8358,3519l8207,3519,8207,3670,8358,3670,8358,3519xm8892,3523l8742,3523,8742,3673,8892,3673,8892,3523xm9392,3519l9242,3519,9242,3670,9392,3670,9392,3519xe" filled="true" fillcolor="#b15651" stroked="false">
              <v:path arrowok="t"/>
              <v:fill type="solid"/>
            </v:shape>
            <v:shape style="position:absolute;left:5120;top:8024;width:139;height:139" type="#_x0000_t75" stroked="false">
              <v:imagedata r:id="rId31" o:title=""/>
            </v:shape>
            <v:shape style="position:absolute;left:4614;top:8219;width:139;height:139" coordorigin="4615,8219" coordsize="139,139" path="m4684,8219l4657,8225,4635,8240,4620,8262,4615,8289,4620,8316,4635,8338,4657,8353,4684,8358,4711,8353,4733,8338,4748,8316,4754,8289,4748,8262,4733,8240,4711,8225,4684,8219xe" filled="true" fillcolor="#b15651" stroked="false">
              <v:path arrowok="t"/>
              <v:fill type="solid"/>
            </v:shape>
            <v:shape style="position:absolute;left:5641;top:7646;width:139;height:139" type="#_x0000_t75" stroked="false">
              <v:imagedata r:id="rId32" o:title=""/>
            </v:shape>
            <v:shape style="position:absolute;left:6158;top:7223;width:139;height:139" type="#_x0000_t75" stroked="false">
              <v:imagedata r:id="rId33" o:title=""/>
            </v:shape>
            <v:shape style="position:absolute;left:6656;top:6781;width:139;height:139" type="#_x0000_t75" stroked="false">
              <v:imagedata r:id="rId33" o:title=""/>
            </v:shape>
            <v:shape style="position:absolute;left:7697;top:6415;width:139;height:139" type="#_x0000_t75" stroked="false">
              <v:imagedata r:id="rId34" o:title=""/>
            </v:shape>
            <v:shape style="position:absolute;left:7189;top:6422;width:139;height:139" type="#_x0000_t75" stroked="false">
              <v:imagedata r:id="rId35" o:title=""/>
            </v:shape>
            <v:shape style="position:absolute;left:8223;top:6415;width:139;height:139" type="#_x0000_t75" stroked="false">
              <v:imagedata r:id="rId36" o:title=""/>
            </v:shape>
            <v:shape style="position:absolute;left:8733;top:6408;width:139;height:139" type="#_x0000_t75" stroked="false">
              <v:imagedata r:id="rId37" o:title=""/>
            </v:shape>
            <v:shape style="position:absolute;left:9236;top:6408;width:139;height:139" type="#_x0000_t75" stroked="false">
              <v:imagedata r:id="rId38" o:title=""/>
            </v:shape>
            <v:shape style="position:absolute;left:4591;top:8314;width:4303;height:165" coordorigin="4591,8315" coordsize="4303,165" path="m4771,8479l4681,8324,4591,8479,4681,8479,4771,8479xm5278,8476l5189,8320,5099,8476,5189,8476,5278,8476xm5807,8476l5717,8320,5628,8476,5717,8476,5807,8476xm6322,8473l6232,8318,6142,8473,6232,8473,6322,8473xm6822,8472l6733,8316,6643,8472,6733,8472,6822,8472xm7363,8474l7273,8318,7183,8474,7273,8474,7363,8474xm7856,8470l7767,8315,7677,8470,7767,8470,7856,8470xm8365,8472l8275,8317,8185,8472,8275,8472,8365,8472xm8894,8471l8804,8315,8714,8471,8804,8471,8894,8471xe" filled="true" fillcolor="#b15651" stroked="false">
              <v:path arrowok="t"/>
              <v:fill type="solid"/>
            </v:shape>
            <v:line style="position:absolute" from="3402,8309" to="3402,8610" stroked="true" strokeweight=".94pt" strokecolor="#137692">
              <v:stroke dashstyle="solid"/>
            </v:line>
            <v:line style="position:absolute" from="3922,8302" to="3922,8603" stroked="true" strokeweight=".94pt" strokecolor="#137692">
              <v:stroke dashstyle="solid"/>
            </v:line>
            <v:line style="position:absolute" from="4436,8315" to="4436,8616" stroked="true" strokeweight=".94pt" strokecolor="#137692">
              <v:stroke dashstyle="solid"/>
            </v:line>
            <v:line style="position:absolute" from="4938,8321" to="4938,8622" stroked="true" strokeweight=".94pt" strokecolor="#137692">
              <v:stroke dashstyle="solid"/>
            </v:line>
            <v:line style="position:absolute" from="5471,8323" to="5471,8624" stroked="true" strokeweight=".94pt" strokecolor="#137692">
              <v:stroke dashstyle="solid"/>
            </v:line>
            <v:line style="position:absolute" from="5979,8323" to="5979,8624" stroked="true" strokeweight=".94pt" strokecolor="#137692">
              <v:stroke dashstyle="solid"/>
            </v:line>
            <v:line style="position:absolute" from="6485,8317" to="6485,8617" stroked="true" strokeweight=".94pt" strokecolor="#137692">
              <v:stroke dashstyle="solid"/>
            </v:line>
            <v:line style="position:absolute" from="7024,8297" to="7024,8598" stroked="true" strokeweight=".94pt" strokecolor="#137692">
              <v:stroke dashstyle="solid"/>
            </v:line>
            <v:line style="position:absolute" from="7525,8324" to="7525,8625" stroked="true" strokeweight=".94pt" strokecolor="#137692">
              <v:stroke dashstyle="solid"/>
            </v:line>
            <v:line style="position:absolute" from="8058,8310" to="8058,8610" stroked="true" strokeweight=".94pt" strokecolor="#137692">
              <v:stroke dashstyle="solid"/>
            </v:line>
            <v:line style="position:absolute" from="8565,8310" to="8565,8610" stroked="true" strokeweight=".94pt" strokecolor="#137692">
              <v:stroke dashstyle="solid"/>
            </v:line>
            <v:line style="position:absolute" from="9079,8318" to="9079,8618" stroked="true" strokeweight=".94pt" strokecolor="#137692">
              <v:stroke dashstyle="solid"/>
            </v:line>
            <v:shape style="position:absolute;left:1360;top:2444;width:7148;height:349" type="#_x0000_t202" filled="false" stroked="false">
              <v:textbox inset="0,0,0,0">
                <w:txbxContent>
                  <w:p>
                    <w:pPr>
                      <w:spacing w:before="36"/>
                      <w:ind w:left="0" w:right="0" w:firstLine="0"/>
                      <w:jc w:val="left"/>
                      <w:rPr>
                        <w:rFonts w:ascii="Arial"/>
                        <w:b/>
                        <w:sz w:val="15"/>
                      </w:rPr>
                    </w:pPr>
                    <w:r>
                      <w:rPr>
                        <w:rFonts w:ascii="Arial"/>
                        <w:b/>
                        <w:color w:val="137692"/>
                        <w:w w:val="110"/>
                        <w:sz w:val="26"/>
                      </w:rPr>
                      <w:t>EXHIBIT</w:t>
                    </w:r>
                    <w:r>
                      <w:rPr>
                        <w:rFonts w:ascii="Arial"/>
                        <w:b/>
                        <w:color w:val="137692"/>
                        <w:spacing w:val="-11"/>
                        <w:w w:val="110"/>
                        <w:sz w:val="26"/>
                      </w:rPr>
                      <w:t> </w:t>
                    </w:r>
                    <w:r>
                      <w:rPr>
                        <w:rFonts w:ascii="Arial"/>
                        <w:b/>
                        <w:color w:val="137692"/>
                        <w:spacing w:val="2"/>
                        <w:w w:val="110"/>
                        <w:sz w:val="26"/>
                      </w:rPr>
                      <w:t>3A.4.</w:t>
                    </w:r>
                    <w:r>
                      <w:rPr>
                        <w:rFonts w:ascii="Arial"/>
                        <w:b/>
                        <w:color w:val="137692"/>
                        <w:spacing w:val="-10"/>
                        <w:w w:val="110"/>
                        <w:sz w:val="26"/>
                      </w:rPr>
                      <w:t> </w:t>
                    </w:r>
                    <w:r>
                      <w:rPr>
                        <w:rFonts w:ascii="Arial"/>
                        <w:b/>
                        <w:color w:val="137692"/>
                        <w:w w:val="110"/>
                        <w:sz w:val="26"/>
                      </w:rPr>
                      <w:t>Intrinsic</w:t>
                    </w:r>
                    <w:r>
                      <w:rPr>
                        <w:rFonts w:ascii="Arial"/>
                        <w:b/>
                        <w:color w:val="137692"/>
                        <w:spacing w:val="-11"/>
                        <w:w w:val="110"/>
                        <w:sz w:val="26"/>
                      </w:rPr>
                      <w:t> </w:t>
                    </w:r>
                    <w:r>
                      <w:rPr>
                        <w:rFonts w:ascii="Arial"/>
                        <w:b/>
                        <w:color w:val="137692"/>
                        <w:w w:val="110"/>
                        <w:sz w:val="26"/>
                      </w:rPr>
                      <w:t>Activity</w:t>
                    </w:r>
                    <w:r>
                      <w:rPr>
                        <w:rFonts w:ascii="Arial"/>
                        <w:b/>
                        <w:color w:val="137692"/>
                        <w:spacing w:val="-10"/>
                        <w:w w:val="110"/>
                        <w:sz w:val="26"/>
                      </w:rPr>
                      <w:t> </w:t>
                    </w:r>
                    <w:r>
                      <w:rPr>
                        <w:rFonts w:ascii="Arial"/>
                        <w:b/>
                        <w:color w:val="137692"/>
                        <w:w w:val="110"/>
                        <w:sz w:val="26"/>
                      </w:rPr>
                      <w:t>of</w:t>
                    </w:r>
                    <w:r>
                      <w:rPr>
                        <w:rFonts w:ascii="Arial"/>
                        <w:b/>
                        <w:color w:val="137692"/>
                        <w:spacing w:val="-11"/>
                        <w:w w:val="110"/>
                        <w:sz w:val="26"/>
                      </w:rPr>
                      <w:t> </w:t>
                    </w:r>
                    <w:r>
                      <w:rPr>
                        <w:rFonts w:ascii="Arial"/>
                        <w:b/>
                        <w:color w:val="137692"/>
                        <w:w w:val="110"/>
                        <w:sz w:val="26"/>
                      </w:rPr>
                      <w:t>OUD</w:t>
                    </w:r>
                    <w:r>
                      <w:rPr>
                        <w:rFonts w:ascii="Arial"/>
                        <w:b/>
                        <w:color w:val="137692"/>
                        <w:spacing w:val="-10"/>
                        <w:w w:val="110"/>
                        <w:sz w:val="26"/>
                      </w:rPr>
                      <w:t> </w:t>
                    </w:r>
                    <w:r>
                      <w:rPr>
                        <w:rFonts w:ascii="Arial"/>
                        <w:b/>
                        <w:color w:val="137692"/>
                        <w:w w:val="110"/>
                        <w:sz w:val="26"/>
                      </w:rPr>
                      <w:t>Medications</w:t>
                    </w:r>
                    <w:r>
                      <w:rPr>
                        <w:rFonts w:ascii="Arial"/>
                        <w:b/>
                        <w:color w:val="137692"/>
                        <w:w w:val="110"/>
                        <w:position w:val="9"/>
                        <w:sz w:val="15"/>
                      </w:rPr>
                      <w:t>73</w:t>
                    </w:r>
                  </w:p>
                </w:txbxContent>
              </v:textbox>
              <w10:wrap type="none"/>
            </v:shape>
            <v:shape style="position:absolute;left:2601;top:3458;width:309;height:1182" type="#_x0000_t202" filled="false" stroked="false">
              <v:textbox inset="0,0,0,0">
                <w:txbxContent>
                  <w:p>
                    <w:pPr>
                      <w:spacing w:before="18"/>
                      <w:ind w:left="0" w:right="0" w:firstLine="0"/>
                      <w:jc w:val="left"/>
                      <w:rPr>
                        <w:rFonts w:ascii="Arial"/>
                        <w:sz w:val="17"/>
                      </w:rPr>
                    </w:pPr>
                    <w:r>
                      <w:rPr>
                        <w:rFonts w:ascii="Arial"/>
                        <w:color w:val="414142"/>
                        <w:sz w:val="17"/>
                      </w:rPr>
                      <w:t>100</w:t>
                    </w:r>
                  </w:p>
                  <w:p>
                    <w:pPr>
                      <w:spacing w:line="240" w:lineRule="auto" w:before="8"/>
                      <w:rPr>
                        <w:rFonts w:ascii="Arial"/>
                        <w:sz w:val="24"/>
                      </w:rPr>
                    </w:pPr>
                  </w:p>
                  <w:p>
                    <w:pPr>
                      <w:spacing w:before="0"/>
                      <w:ind w:left="71" w:right="0" w:firstLine="0"/>
                      <w:jc w:val="left"/>
                      <w:rPr>
                        <w:rFonts w:ascii="Arial"/>
                        <w:sz w:val="17"/>
                      </w:rPr>
                    </w:pPr>
                    <w:r>
                      <w:rPr>
                        <w:rFonts w:ascii="Arial"/>
                        <w:color w:val="414142"/>
                        <w:w w:val="115"/>
                        <w:sz w:val="17"/>
                      </w:rPr>
                      <w:t>90</w:t>
                    </w:r>
                  </w:p>
                  <w:p>
                    <w:pPr>
                      <w:spacing w:line="240" w:lineRule="auto" w:before="8"/>
                      <w:rPr>
                        <w:rFonts w:ascii="Arial"/>
                        <w:sz w:val="24"/>
                      </w:rPr>
                    </w:pPr>
                  </w:p>
                  <w:p>
                    <w:pPr>
                      <w:spacing w:before="0"/>
                      <w:ind w:left="66" w:right="0" w:firstLine="0"/>
                      <w:jc w:val="left"/>
                      <w:rPr>
                        <w:rFonts w:ascii="Arial"/>
                        <w:sz w:val="17"/>
                      </w:rPr>
                    </w:pPr>
                    <w:r>
                      <w:rPr>
                        <w:rFonts w:ascii="Arial"/>
                        <w:color w:val="414142"/>
                        <w:w w:val="115"/>
                        <w:sz w:val="17"/>
                      </w:rPr>
                      <w:t>80</w:t>
                    </w:r>
                  </w:p>
                </w:txbxContent>
              </v:textbox>
              <w10:wrap type="none"/>
            </v:shape>
            <v:shape style="position:absolute;left:6568;top:4077;width:1128;height:411" type="#_x0000_t202" filled="false" stroked="false">
              <v:textbox inset="0,0,0,0">
                <w:txbxContent>
                  <w:p>
                    <w:pPr>
                      <w:spacing w:line="172" w:lineRule="auto" w:before="44"/>
                      <w:ind w:left="0" w:right="0" w:firstLine="42"/>
                      <w:jc w:val="left"/>
                      <w:rPr>
                        <w:rFonts w:ascii="Arial"/>
                        <w:sz w:val="17"/>
                      </w:rPr>
                    </w:pPr>
                    <w:r>
                      <w:rPr>
                        <w:rFonts w:ascii="Arial"/>
                        <w:color w:val="414142"/>
                        <w:w w:val="115"/>
                        <w:sz w:val="17"/>
                      </w:rPr>
                      <w:t>Full Agoni</w:t>
                    </w:r>
                    <w:r>
                      <w:rPr>
                        <w:rFonts w:ascii="Lucida Sans Unicode"/>
                        <w:color w:val="414142"/>
                        <w:w w:val="115"/>
                        <w:sz w:val="17"/>
                      </w:rPr>
                      <w:t>s</w:t>
                    </w:r>
                    <w:r>
                      <w:rPr>
                        <w:rFonts w:ascii="Arial"/>
                        <w:color w:val="414142"/>
                        <w:w w:val="115"/>
                        <w:sz w:val="17"/>
                      </w:rPr>
                      <w:t>t </w:t>
                    </w:r>
                    <w:r>
                      <w:rPr>
                        <w:rFonts w:ascii="Arial"/>
                        <w:color w:val="414142"/>
                        <w:w w:val="110"/>
                        <w:sz w:val="17"/>
                      </w:rPr>
                      <w:t>(</w:t>
                    </w:r>
                    <w:r>
                      <w:rPr>
                        <w:rFonts w:ascii="Lucida Sans Unicode"/>
                        <w:color w:val="414142"/>
                        <w:w w:val="110"/>
                        <w:sz w:val="17"/>
                      </w:rPr>
                      <w:t>M</w:t>
                    </w:r>
                    <w:r>
                      <w:rPr>
                        <w:rFonts w:ascii="Arial"/>
                        <w:color w:val="414142"/>
                        <w:w w:val="110"/>
                        <w:sz w:val="17"/>
                      </w:rPr>
                      <w:t>ethadone)</w:t>
                    </w:r>
                  </w:p>
                </w:txbxContent>
              </v:textbox>
              <w10:wrap type="none"/>
            </v:shape>
            <v:shape style="position:absolute;left:2664;top:4896;width:247;height:1661" type="#_x0000_t202" filled="false" stroked="false">
              <v:textbox inset="0,0,0,0">
                <w:txbxContent>
                  <w:p>
                    <w:pPr>
                      <w:spacing w:before="18"/>
                      <w:ind w:left="15" w:right="0" w:firstLine="0"/>
                      <w:jc w:val="left"/>
                      <w:rPr>
                        <w:rFonts w:ascii="Arial"/>
                        <w:sz w:val="17"/>
                      </w:rPr>
                    </w:pPr>
                    <w:r>
                      <w:rPr>
                        <w:rFonts w:ascii="Arial"/>
                        <w:color w:val="414142"/>
                        <w:spacing w:val="-4"/>
                        <w:w w:val="115"/>
                        <w:sz w:val="17"/>
                      </w:rPr>
                      <w:t>70</w:t>
                    </w:r>
                  </w:p>
                  <w:p>
                    <w:pPr>
                      <w:spacing w:line="240" w:lineRule="auto" w:before="8"/>
                      <w:rPr>
                        <w:rFonts w:ascii="Arial"/>
                        <w:sz w:val="24"/>
                      </w:rPr>
                    </w:pPr>
                  </w:p>
                  <w:p>
                    <w:pPr>
                      <w:spacing w:before="0"/>
                      <w:ind w:left="8" w:right="0" w:firstLine="0"/>
                      <w:jc w:val="left"/>
                      <w:rPr>
                        <w:rFonts w:ascii="Arial"/>
                        <w:sz w:val="17"/>
                      </w:rPr>
                    </w:pPr>
                    <w:r>
                      <w:rPr>
                        <w:rFonts w:ascii="Arial"/>
                        <w:color w:val="414142"/>
                        <w:w w:val="115"/>
                        <w:sz w:val="17"/>
                      </w:rPr>
                      <w:t>60</w:t>
                    </w:r>
                  </w:p>
                  <w:p>
                    <w:pPr>
                      <w:spacing w:line="240" w:lineRule="auto" w:before="8"/>
                      <w:rPr>
                        <w:rFonts w:ascii="Arial"/>
                        <w:sz w:val="24"/>
                      </w:rPr>
                    </w:pPr>
                  </w:p>
                  <w:p>
                    <w:pPr>
                      <w:spacing w:before="0"/>
                      <w:ind w:left="16" w:right="0" w:firstLine="0"/>
                      <w:jc w:val="left"/>
                      <w:rPr>
                        <w:rFonts w:ascii="Arial"/>
                        <w:sz w:val="17"/>
                      </w:rPr>
                    </w:pPr>
                    <w:r>
                      <w:rPr>
                        <w:rFonts w:ascii="Arial"/>
                        <w:color w:val="414142"/>
                        <w:w w:val="110"/>
                        <w:sz w:val="17"/>
                      </w:rPr>
                      <w:t>50</w:t>
                    </w:r>
                  </w:p>
                  <w:p>
                    <w:pPr>
                      <w:spacing w:line="240" w:lineRule="auto" w:before="8"/>
                      <w:rPr>
                        <w:rFonts w:ascii="Arial"/>
                        <w:sz w:val="24"/>
                      </w:rPr>
                    </w:pPr>
                  </w:p>
                  <w:p>
                    <w:pPr>
                      <w:spacing w:before="0"/>
                      <w:ind w:left="0" w:right="0" w:firstLine="0"/>
                      <w:jc w:val="left"/>
                      <w:rPr>
                        <w:rFonts w:ascii="Arial"/>
                        <w:sz w:val="17"/>
                      </w:rPr>
                    </w:pPr>
                    <w:r>
                      <w:rPr>
                        <w:rFonts w:ascii="Arial"/>
                        <w:color w:val="414142"/>
                        <w:w w:val="120"/>
                        <w:sz w:val="17"/>
                      </w:rPr>
                      <w:t>40</w:t>
                    </w:r>
                  </w:p>
                </w:txbxContent>
              </v:textbox>
              <w10:wrap type="none"/>
            </v:shape>
            <v:shape style="position:absolute;left:6633;top:6006;width:1452;height:411" type="#_x0000_t202" filled="false" stroked="false">
              <v:textbox inset="0,0,0,0">
                <w:txbxContent>
                  <w:p>
                    <w:pPr>
                      <w:spacing w:line="192" w:lineRule="auto" w:before="29"/>
                      <w:ind w:left="0" w:right="0" w:firstLine="81"/>
                      <w:jc w:val="left"/>
                      <w:rPr>
                        <w:rFonts w:ascii="Arial"/>
                        <w:sz w:val="17"/>
                      </w:rPr>
                    </w:pPr>
                    <w:r>
                      <w:rPr>
                        <w:rFonts w:ascii="Arial"/>
                        <w:color w:val="414142"/>
                        <w:w w:val="120"/>
                        <w:sz w:val="17"/>
                      </w:rPr>
                      <w:t>Partial Agoni</w:t>
                    </w:r>
                    <w:r>
                      <w:rPr>
                        <w:rFonts w:ascii="Lucida Sans Unicode"/>
                        <w:color w:val="414142"/>
                        <w:w w:val="120"/>
                        <w:sz w:val="17"/>
                      </w:rPr>
                      <w:t>s</w:t>
                    </w:r>
                    <w:r>
                      <w:rPr>
                        <w:rFonts w:ascii="Arial"/>
                        <w:color w:val="414142"/>
                        <w:w w:val="120"/>
                        <w:sz w:val="17"/>
                      </w:rPr>
                      <w:t>t </w:t>
                    </w:r>
                    <w:r>
                      <w:rPr>
                        <w:rFonts w:ascii="Arial"/>
                        <w:color w:val="414142"/>
                        <w:w w:val="115"/>
                        <w:sz w:val="17"/>
                      </w:rPr>
                      <w:t>(Buprenorphine)</w:t>
                    </w:r>
                  </w:p>
                </w:txbxContent>
              </v:textbox>
              <w10:wrap type="none"/>
            </v:shape>
            <v:shape style="position:absolute;left:2680;top:6814;width:230;height:1182" type="#_x0000_t202" filled="false" stroked="false">
              <v:textbox inset="0,0,0,0">
                <w:txbxContent>
                  <w:p>
                    <w:pPr>
                      <w:spacing w:before="18"/>
                      <w:ind w:left="0" w:right="0" w:firstLine="0"/>
                      <w:jc w:val="left"/>
                      <w:rPr>
                        <w:rFonts w:ascii="Arial"/>
                        <w:sz w:val="17"/>
                      </w:rPr>
                    </w:pPr>
                    <w:r>
                      <w:rPr>
                        <w:rFonts w:ascii="Arial"/>
                        <w:color w:val="414142"/>
                        <w:w w:val="110"/>
                        <w:sz w:val="17"/>
                      </w:rPr>
                      <w:t>30</w:t>
                    </w:r>
                  </w:p>
                  <w:p>
                    <w:pPr>
                      <w:spacing w:line="240" w:lineRule="auto" w:before="8"/>
                      <w:rPr>
                        <w:rFonts w:ascii="Arial"/>
                        <w:sz w:val="24"/>
                      </w:rPr>
                    </w:pPr>
                  </w:p>
                  <w:p>
                    <w:pPr>
                      <w:spacing w:before="0"/>
                      <w:ind w:left="0" w:right="0" w:firstLine="0"/>
                      <w:jc w:val="left"/>
                      <w:rPr>
                        <w:rFonts w:ascii="Arial"/>
                        <w:sz w:val="17"/>
                      </w:rPr>
                    </w:pPr>
                    <w:r>
                      <w:rPr>
                        <w:rFonts w:ascii="Arial"/>
                        <w:color w:val="414142"/>
                        <w:w w:val="110"/>
                        <w:sz w:val="17"/>
                      </w:rPr>
                      <w:t>20</w:t>
                    </w:r>
                  </w:p>
                  <w:p>
                    <w:pPr>
                      <w:spacing w:line="240" w:lineRule="auto" w:before="8"/>
                      <w:rPr>
                        <w:rFonts w:ascii="Arial"/>
                        <w:sz w:val="24"/>
                      </w:rPr>
                    </w:pPr>
                  </w:p>
                  <w:p>
                    <w:pPr>
                      <w:spacing w:before="0"/>
                      <w:ind w:left="34" w:right="0" w:firstLine="0"/>
                      <w:jc w:val="left"/>
                      <w:rPr>
                        <w:rFonts w:ascii="Arial"/>
                        <w:sz w:val="17"/>
                      </w:rPr>
                    </w:pPr>
                    <w:r>
                      <w:rPr>
                        <w:rFonts w:ascii="Arial"/>
                        <w:color w:val="414142"/>
                        <w:sz w:val="17"/>
                      </w:rPr>
                      <w:t>10</w:t>
                    </w:r>
                  </w:p>
                </w:txbxContent>
              </v:textbox>
              <w10:wrap type="none"/>
            </v:shape>
            <v:shape style="position:absolute;left:5380;top:8006;width:2075;height:223" type="#_x0000_t202" filled="false" stroked="false">
              <v:textbox inset="0,0,0,0">
                <w:txbxContent>
                  <w:p>
                    <w:pPr>
                      <w:spacing w:line="223" w:lineRule="exact" w:before="0"/>
                      <w:ind w:left="0" w:right="0" w:firstLine="0"/>
                      <w:jc w:val="left"/>
                      <w:rPr>
                        <w:rFonts w:ascii="Arial"/>
                        <w:sz w:val="17"/>
                      </w:rPr>
                    </w:pPr>
                    <w:r>
                      <w:rPr>
                        <w:rFonts w:ascii="Arial"/>
                        <w:color w:val="414142"/>
                        <w:w w:val="115"/>
                        <w:sz w:val="17"/>
                      </w:rPr>
                      <w:t>Antagoni</w:t>
                    </w:r>
                    <w:r>
                      <w:rPr>
                        <w:rFonts w:ascii="Lucida Sans Unicode"/>
                        <w:color w:val="414142"/>
                        <w:w w:val="115"/>
                        <w:sz w:val="17"/>
                      </w:rPr>
                      <w:t>s</w:t>
                    </w:r>
                    <w:r>
                      <w:rPr>
                        <w:rFonts w:ascii="Arial"/>
                        <w:color w:val="414142"/>
                        <w:w w:val="115"/>
                        <w:sz w:val="17"/>
                      </w:rPr>
                      <w:t>t (Naltrexone)</w:t>
                    </w:r>
                  </w:p>
                </w:txbxContent>
              </v:textbox>
              <w10:wrap type="none"/>
            </v:shape>
            <v:shape style="position:absolute;left:2777;top:8252;width:133;height:223" type="#_x0000_t202" filled="false" stroked="false">
              <v:textbox inset="0,0,0,0">
                <w:txbxContent>
                  <w:p>
                    <w:pPr>
                      <w:spacing w:before="18"/>
                      <w:ind w:left="0" w:right="0" w:firstLine="0"/>
                      <w:jc w:val="left"/>
                      <w:rPr>
                        <w:rFonts w:ascii="Arial"/>
                        <w:sz w:val="17"/>
                      </w:rPr>
                    </w:pPr>
                    <w:r>
                      <w:rPr>
                        <w:rFonts w:ascii="Arial"/>
                        <w:color w:val="414142"/>
                        <w:w w:val="119"/>
                        <w:sz w:val="17"/>
                      </w:rPr>
                      <w:t>0</w:t>
                    </w:r>
                  </w:p>
                </w:txbxContent>
              </v:textbox>
              <w10:wrap type="none"/>
            </v:shape>
            <v:shape style="position:absolute;left:3055;top:8572;width:258;height:223" type="#_x0000_t202" filled="false" stroked="false">
              <v:textbox inset="0,0,0,0">
                <w:txbxContent>
                  <w:p>
                    <w:pPr>
                      <w:spacing w:before="18"/>
                      <w:ind w:left="0" w:right="0" w:firstLine="0"/>
                      <w:jc w:val="left"/>
                      <w:rPr>
                        <w:rFonts w:ascii="Arial"/>
                        <w:sz w:val="17"/>
                      </w:rPr>
                    </w:pPr>
                    <w:r>
                      <w:rPr>
                        <w:rFonts w:ascii="Arial"/>
                        <w:color w:val="414142"/>
                        <w:sz w:val="17"/>
                      </w:rPr>
                      <w:t>-10</w:t>
                    </w:r>
                  </w:p>
                </w:txbxContent>
              </v:textbox>
              <w10:wrap type="none"/>
            </v:shape>
            <v:shape style="position:absolute;left:4080;top:8572;width:190;height:223" type="#_x0000_t202" filled="false" stroked="false">
              <v:textbox inset="0,0,0,0">
                <w:txbxContent>
                  <w:p>
                    <w:pPr>
                      <w:spacing w:before="18"/>
                      <w:ind w:left="0" w:right="0" w:firstLine="0"/>
                      <w:jc w:val="left"/>
                      <w:rPr>
                        <w:rFonts w:ascii="Arial"/>
                        <w:sz w:val="17"/>
                      </w:rPr>
                    </w:pPr>
                    <w:r>
                      <w:rPr>
                        <w:rFonts w:ascii="Arial"/>
                        <w:color w:val="414142"/>
                        <w:w w:val="110"/>
                        <w:sz w:val="17"/>
                      </w:rPr>
                      <w:t>-9</w:t>
                    </w:r>
                  </w:p>
                </w:txbxContent>
              </v:textbox>
              <w10:wrap type="none"/>
            </v:shape>
            <v:shape style="position:absolute;left:5132;top:8572;width:194;height:223" type="#_x0000_t202" filled="false" stroked="false">
              <v:textbox inset="0,0,0,0">
                <w:txbxContent>
                  <w:p>
                    <w:pPr>
                      <w:spacing w:before="18"/>
                      <w:ind w:left="0" w:right="0" w:firstLine="0"/>
                      <w:jc w:val="left"/>
                      <w:rPr>
                        <w:rFonts w:ascii="Arial"/>
                        <w:sz w:val="17"/>
                      </w:rPr>
                    </w:pPr>
                    <w:r>
                      <w:rPr>
                        <w:rFonts w:ascii="Arial"/>
                        <w:color w:val="414142"/>
                        <w:w w:val="115"/>
                        <w:sz w:val="17"/>
                      </w:rPr>
                      <w:t>-8</w:t>
                    </w:r>
                  </w:p>
                </w:txbxContent>
              </v:textbox>
              <w10:wrap type="none"/>
            </v:shape>
            <v:shape style="position:absolute;left:5425;top:8572;width:1659;height:508" type="#_x0000_t202" filled="false" stroked="false">
              <v:textbox inset="0,0,0,0">
                <w:txbxContent>
                  <w:p>
                    <w:pPr>
                      <w:spacing w:before="18"/>
                      <w:ind w:left="0" w:right="47" w:firstLine="0"/>
                      <w:jc w:val="center"/>
                      <w:rPr>
                        <w:rFonts w:ascii="Arial"/>
                        <w:sz w:val="17"/>
                      </w:rPr>
                    </w:pPr>
                    <w:r>
                      <w:rPr>
                        <w:rFonts w:ascii="Arial"/>
                        <w:color w:val="414142"/>
                        <w:w w:val="110"/>
                        <w:sz w:val="17"/>
                      </w:rPr>
                      <w:t>-7</w:t>
                    </w:r>
                  </w:p>
                  <w:p>
                    <w:pPr>
                      <w:spacing w:line="231" w:lineRule="exact" w:before="63"/>
                      <w:ind w:left="0" w:right="18" w:firstLine="0"/>
                      <w:jc w:val="center"/>
                      <w:rPr>
                        <w:rFonts w:ascii="Arial"/>
                        <w:sz w:val="17"/>
                      </w:rPr>
                    </w:pPr>
                    <w:r>
                      <w:rPr>
                        <w:rFonts w:ascii="Arial"/>
                        <w:color w:val="414142"/>
                        <w:w w:val="115"/>
                        <w:sz w:val="17"/>
                      </w:rPr>
                      <w:t>Log Do</w:t>
                    </w:r>
                    <w:r>
                      <w:rPr>
                        <w:rFonts w:ascii="Lucida Sans Unicode"/>
                        <w:color w:val="414142"/>
                        <w:w w:val="115"/>
                        <w:sz w:val="17"/>
                      </w:rPr>
                      <w:t>s</w:t>
                    </w:r>
                    <w:r>
                      <w:rPr>
                        <w:rFonts w:ascii="Arial"/>
                        <w:color w:val="414142"/>
                        <w:w w:val="115"/>
                        <w:sz w:val="17"/>
                      </w:rPr>
                      <w:t>e of</w:t>
                    </w:r>
                    <w:r>
                      <w:rPr>
                        <w:rFonts w:ascii="Arial"/>
                        <w:color w:val="414142"/>
                        <w:spacing w:val="-37"/>
                        <w:w w:val="115"/>
                        <w:sz w:val="17"/>
                      </w:rPr>
                      <w:t> </w:t>
                    </w:r>
                    <w:r>
                      <w:rPr>
                        <w:rFonts w:ascii="Arial"/>
                        <w:color w:val="414142"/>
                        <w:spacing w:val="-3"/>
                        <w:w w:val="115"/>
                        <w:sz w:val="17"/>
                      </w:rPr>
                      <w:t>Opioid</w:t>
                    </w:r>
                  </w:p>
                </w:txbxContent>
              </v:textbox>
              <w10:wrap type="none"/>
            </v:shape>
            <v:shape style="position:absolute;left:7181;top:8572;width:191;height:223" type="#_x0000_t202" filled="false" stroked="false">
              <v:textbox inset="0,0,0,0">
                <w:txbxContent>
                  <w:p>
                    <w:pPr>
                      <w:spacing w:before="18"/>
                      <w:ind w:left="0" w:right="0" w:firstLine="0"/>
                      <w:jc w:val="left"/>
                      <w:rPr>
                        <w:rFonts w:ascii="Arial"/>
                        <w:sz w:val="17"/>
                      </w:rPr>
                    </w:pPr>
                    <w:r>
                      <w:rPr>
                        <w:rFonts w:ascii="Arial"/>
                        <w:color w:val="414142"/>
                        <w:w w:val="110"/>
                        <w:sz w:val="17"/>
                      </w:rPr>
                      <w:t>-6</w:t>
                    </w:r>
                  </w:p>
                </w:txbxContent>
              </v:textbox>
              <w10:wrap type="none"/>
            </v:shape>
            <v:shape style="position:absolute;left:8206;top:8572;width:182;height:223" type="#_x0000_t202" filled="false" stroked="false">
              <v:textbox inset="0,0,0,0">
                <w:txbxContent>
                  <w:p>
                    <w:pPr>
                      <w:spacing w:before="18"/>
                      <w:ind w:left="0" w:right="0" w:firstLine="0"/>
                      <w:jc w:val="left"/>
                      <w:rPr>
                        <w:rFonts w:ascii="Arial"/>
                        <w:sz w:val="17"/>
                      </w:rPr>
                    </w:pPr>
                    <w:r>
                      <w:rPr>
                        <w:rFonts w:ascii="Arial"/>
                        <w:color w:val="414142"/>
                        <w:w w:val="105"/>
                        <w:sz w:val="17"/>
                      </w:rPr>
                      <w:t>-5</w:t>
                    </w:r>
                  </w:p>
                </w:txbxContent>
              </v:textbox>
              <w10:wrap type="none"/>
            </v:shape>
            <v:shape style="position:absolute;left:9231;top:8572;width:200;height:223" type="#_x0000_t202" filled="false" stroked="false">
              <v:textbox inset="0,0,0,0">
                <w:txbxContent>
                  <w:p>
                    <w:pPr>
                      <w:spacing w:before="18"/>
                      <w:ind w:left="0" w:right="0" w:firstLine="0"/>
                      <w:jc w:val="left"/>
                      <w:rPr>
                        <w:rFonts w:ascii="Arial"/>
                        <w:sz w:val="17"/>
                      </w:rPr>
                    </w:pPr>
                    <w:r>
                      <w:rPr>
                        <w:rFonts w:ascii="Arial"/>
                        <w:color w:val="414142"/>
                        <w:w w:val="115"/>
                        <w:sz w:val="17"/>
                      </w:rPr>
                      <w:t>-4</w:t>
                    </w:r>
                  </w:p>
                </w:txbxContent>
              </v:textbox>
              <w10:wrap type="none"/>
            </v:shape>
            <w10:wrap type="none"/>
          </v:group>
        </w:pict>
      </w:r>
      <w:r>
        <w:rPr>
          <w:color w:val="4D4D4F"/>
          <w:spacing w:val="-4"/>
          <w:w w:val="110"/>
        </w:rPr>
        <w:t>Healthcare professionals </w:t>
      </w:r>
      <w:r>
        <w:rPr>
          <w:color w:val="4D4D4F"/>
          <w:spacing w:val="-3"/>
          <w:w w:val="110"/>
        </w:rPr>
        <w:t>should consider pharma- cotherapy </w:t>
      </w:r>
      <w:r>
        <w:rPr>
          <w:color w:val="4D4D4F"/>
          <w:w w:val="110"/>
        </w:rPr>
        <w:t>for all </w:t>
      </w:r>
      <w:r>
        <w:rPr>
          <w:color w:val="4D4D4F"/>
          <w:spacing w:val="-3"/>
          <w:w w:val="110"/>
        </w:rPr>
        <w:t>patients with OUD. </w:t>
      </w:r>
      <w:r>
        <w:rPr>
          <w:color w:val="4D4D4F"/>
          <w:spacing w:val="-4"/>
          <w:w w:val="110"/>
        </w:rPr>
        <w:t>Prescribers </w:t>
      </w:r>
      <w:r>
        <w:rPr>
          <w:color w:val="4D4D4F"/>
          <w:spacing w:val="-3"/>
          <w:w w:val="110"/>
        </w:rPr>
        <w:t>must </w:t>
      </w:r>
      <w:r>
        <w:rPr>
          <w:color w:val="4D4D4F"/>
          <w:spacing w:val="-4"/>
          <w:w w:val="110"/>
        </w:rPr>
        <w:t>read </w:t>
      </w:r>
      <w:r>
        <w:rPr>
          <w:color w:val="4D4D4F"/>
          <w:w w:val="110"/>
        </w:rPr>
        <w:t>FDA </w:t>
      </w:r>
      <w:r>
        <w:rPr>
          <w:color w:val="4D4D4F"/>
          <w:spacing w:val="-3"/>
          <w:w w:val="110"/>
        </w:rPr>
        <w:t>labels (i.e., package inserts) for  </w:t>
      </w:r>
      <w:r>
        <w:rPr>
          <w:color w:val="4D4D4F"/>
          <w:w w:val="110"/>
        </w:rPr>
        <w:t>the </w:t>
      </w:r>
      <w:r>
        <w:rPr>
          <w:color w:val="4D4D4F"/>
          <w:spacing w:val="-3"/>
          <w:w w:val="110"/>
        </w:rPr>
        <w:t>medications they </w:t>
      </w:r>
      <w:r>
        <w:rPr>
          <w:color w:val="4D4D4F"/>
          <w:spacing w:val="-4"/>
          <w:w w:val="110"/>
        </w:rPr>
        <w:t>prescribe. </w:t>
      </w:r>
      <w:r>
        <w:rPr>
          <w:color w:val="4D4D4F"/>
          <w:spacing w:val="-3"/>
          <w:w w:val="110"/>
        </w:rPr>
        <w:t>They must also evaluate patients clinically </w:t>
      </w:r>
      <w:r>
        <w:rPr>
          <w:color w:val="4D4D4F"/>
          <w:w w:val="110"/>
        </w:rPr>
        <w:t>to </w:t>
      </w:r>
      <w:r>
        <w:rPr>
          <w:color w:val="4D4D4F"/>
          <w:spacing w:val="-3"/>
          <w:w w:val="110"/>
        </w:rPr>
        <w:t>determine </w:t>
      </w:r>
      <w:r>
        <w:rPr>
          <w:color w:val="4D4D4F"/>
          <w:w w:val="110"/>
        </w:rPr>
        <w:t>the </w:t>
      </w:r>
      <w:r>
        <w:rPr>
          <w:color w:val="4D4D4F"/>
          <w:spacing w:val="-3"/>
          <w:w w:val="110"/>
        </w:rPr>
        <w:t>safety </w:t>
      </w:r>
      <w:r>
        <w:rPr>
          <w:color w:val="4D4D4F"/>
          <w:w w:val="110"/>
        </w:rPr>
        <w:t>and </w:t>
      </w:r>
      <w:r>
        <w:rPr>
          <w:color w:val="4D4D4F"/>
          <w:spacing w:val="-4"/>
          <w:w w:val="110"/>
        </w:rPr>
        <w:t>effectiveness </w:t>
      </w:r>
      <w:r>
        <w:rPr>
          <w:color w:val="4D4D4F"/>
          <w:w w:val="110"/>
        </w:rPr>
        <w:t>of the </w:t>
      </w:r>
      <w:r>
        <w:rPr>
          <w:color w:val="4D4D4F"/>
          <w:spacing w:val="-3"/>
          <w:w w:val="110"/>
        </w:rPr>
        <w:t>medication </w:t>
      </w:r>
      <w:r>
        <w:rPr>
          <w:color w:val="4D4D4F"/>
          <w:w w:val="110"/>
        </w:rPr>
        <w:t>and</w:t>
      </w:r>
      <w:r>
        <w:rPr>
          <w:color w:val="4D4D4F"/>
          <w:spacing w:val="3"/>
          <w:w w:val="110"/>
        </w:rPr>
        <w:t> </w:t>
      </w:r>
      <w:r>
        <w:rPr>
          <w:color w:val="4D4D4F"/>
          <w:spacing w:val="-3"/>
          <w:w w:val="110"/>
        </w:rPr>
        <w:t>dose.</w:t>
      </w:r>
    </w:p>
    <w:p>
      <w:pPr>
        <w:spacing w:after="0" w:line="247" w:lineRule="auto"/>
        <w:sectPr>
          <w:type w:val="continuous"/>
          <w:pgSz w:w="12240" w:h="15840"/>
          <w:pgMar w:top="540" w:bottom="280" w:left="940" w:right="920"/>
          <w:cols w:num="2" w:equalWidth="0">
            <w:col w:w="5008" w:space="212"/>
            <w:col w:w="5160"/>
          </w:cols>
        </w:sectPr>
      </w:pPr>
    </w:p>
    <w:p>
      <w:pPr>
        <w:rPr>
          <w:sz w:val="2"/>
          <w:szCs w:val="2"/>
        </w:rPr>
      </w:pPr>
      <w:r>
        <w:rPr/>
        <w:pict>
          <v:shape style="position:absolute;margin-left:118.892822pt;margin-top:489.710083pt;width:13.15pt;height:71.3pt;mso-position-horizontal-relative:page;mso-position-vertical-relative:page;z-index:15740928" type="#_x0000_t202" filled="false" stroked="false">
            <v:textbox inset="0,0,0,0" style="layout-flow:vertical;mso-layout-flow-alt:bottom-to-top">
              <w:txbxContent>
                <w:p>
                  <w:pPr>
                    <w:spacing w:line="251" w:lineRule="exact" w:before="11"/>
                    <w:ind w:left="20" w:right="0" w:firstLine="0"/>
                    <w:jc w:val="left"/>
                    <w:rPr>
                      <w:rFonts w:ascii="Arial"/>
                      <w:sz w:val="17"/>
                    </w:rPr>
                  </w:pPr>
                  <w:r>
                    <w:rPr>
                      <w:rFonts w:ascii="Arial"/>
                      <w:color w:val="414142"/>
                      <w:w w:val="120"/>
                      <w:sz w:val="17"/>
                    </w:rPr>
                    <w:t>Intrin</w:t>
                  </w:r>
                  <w:r>
                    <w:rPr>
                      <w:rFonts w:ascii="Lucida Sans Unicode"/>
                      <w:color w:val="414142"/>
                      <w:w w:val="120"/>
                      <w:sz w:val="17"/>
                    </w:rPr>
                    <w:t>s</w:t>
                  </w:r>
                  <w:r>
                    <w:rPr>
                      <w:rFonts w:ascii="Arial"/>
                      <w:color w:val="414142"/>
                      <w:w w:val="120"/>
                      <w:sz w:val="17"/>
                    </w:rPr>
                    <w:t>ic</w:t>
                  </w:r>
                  <w:r>
                    <w:rPr>
                      <w:rFonts w:ascii="Arial"/>
                      <w:color w:val="414142"/>
                      <w:spacing w:val="-20"/>
                      <w:w w:val="120"/>
                      <w:sz w:val="17"/>
                    </w:rPr>
                    <w:t> </w:t>
                  </w:r>
                  <w:r>
                    <w:rPr>
                      <w:rFonts w:ascii="Arial"/>
                      <w:color w:val="414142"/>
                      <w:w w:val="120"/>
                      <w:sz w:val="17"/>
                    </w:rPr>
                    <w:t>Activity</w:t>
                  </w:r>
                </w:p>
              </w:txbxContent>
            </v:textbox>
            <w10:wrap type="none"/>
          </v:shape>
        </w:pict>
      </w:r>
    </w:p>
    <w:p>
      <w:pPr>
        <w:spacing w:after="0"/>
        <w:rPr>
          <w:sz w:val="2"/>
          <w:szCs w:val="2"/>
        </w:rPr>
        <w:sectPr>
          <w:type w:val="continuous"/>
          <w:pgSz w:w="12240" w:h="15840"/>
          <w:pgMar w:top="540" w:bottom="280" w:left="940" w:right="920"/>
        </w:sectPr>
      </w:pPr>
    </w:p>
    <w:p>
      <w:pPr>
        <w:pStyle w:val="BodyText"/>
        <w:spacing w:before="6"/>
        <w:rPr>
          <w:sz w:val="26"/>
        </w:rPr>
      </w:pPr>
    </w:p>
    <w:p>
      <w:pPr>
        <w:spacing w:after="0"/>
        <w:rPr>
          <w:sz w:val="26"/>
        </w:rPr>
        <w:sectPr>
          <w:pgSz w:w="12240" w:h="15840"/>
          <w:pgMar w:header="576" w:footer="677" w:top="1340" w:bottom="860" w:left="940" w:right="920"/>
        </w:sectPr>
      </w:pPr>
    </w:p>
    <w:p>
      <w:pPr>
        <w:pStyle w:val="BodyText"/>
        <w:spacing w:line="247" w:lineRule="auto" w:before="110"/>
        <w:ind w:left="140" w:right="-14"/>
      </w:pPr>
      <w:r>
        <w:rPr>
          <w:color w:val="4D4D4F"/>
          <w:spacing w:val="-3"/>
          <w:w w:val="110"/>
        </w:rPr>
        <w:t>Exhibit 3A.5 summarizes </w:t>
      </w:r>
      <w:r>
        <w:rPr>
          <w:color w:val="4D4D4F"/>
          <w:w w:val="110"/>
        </w:rPr>
        <w:t>OUD </w:t>
      </w:r>
      <w:r>
        <w:rPr>
          <w:color w:val="4D4D4F"/>
          <w:spacing w:val="-3"/>
          <w:w w:val="110"/>
        </w:rPr>
        <w:t>medication formu- lations, indications, </w:t>
      </w:r>
      <w:r>
        <w:rPr>
          <w:color w:val="4D4D4F"/>
          <w:w w:val="110"/>
        </w:rPr>
        <w:t>and </w:t>
      </w:r>
      <w:r>
        <w:rPr>
          <w:color w:val="4D4D4F"/>
          <w:spacing w:val="-3"/>
          <w:w w:val="110"/>
        </w:rPr>
        <w:t>dosing.</w:t>
      </w:r>
    </w:p>
    <w:p>
      <w:pPr>
        <w:pStyle w:val="BodyText"/>
        <w:spacing w:line="247" w:lineRule="auto" w:before="182"/>
        <w:ind w:left="139" w:right="-14"/>
      </w:pPr>
      <w:r>
        <w:rPr/>
        <w:pict>
          <v:shape style="position:absolute;margin-left:549.815979pt;margin-top:131.193863pt;width:.15pt;height:35.85pt;mso-position-horizontal-relative:page;mso-position-vertical-relative:paragraph;z-index:-19574784" coordorigin="10996,2624" coordsize="3,717" path="m10998,2624l10998,3336m10996,3340l10999,3340e" filled="false" stroked="true" strokeweight=".125pt" strokecolor="#ffffff">
            <v:path arrowok="t"/>
            <v:stroke dashstyle="solid"/>
            <w10:wrap type="none"/>
          </v:shape>
        </w:pict>
      </w:r>
      <w:r>
        <w:rPr>
          <w:color w:val="4D4D4F"/>
          <w:w w:val="110"/>
        </w:rPr>
        <w:t>The dosing guidance in subsequent chapters for methadone (Chapter 3B), naltrexone (Chapter 3C), and buprenorphine (Chapter 3D) is for healthcare professionals in general medical and addiction treatment settings. This guidance is based on:</w:t>
      </w:r>
    </w:p>
    <w:p>
      <w:pPr>
        <w:pStyle w:val="ListParagraph"/>
        <w:numPr>
          <w:ilvl w:val="0"/>
          <w:numId w:val="4"/>
        </w:numPr>
        <w:tabs>
          <w:tab w:pos="410" w:val="left" w:leader="none"/>
        </w:tabs>
        <w:spacing w:line="315" w:lineRule="exact" w:before="91" w:after="0"/>
        <w:ind w:left="409" w:right="0" w:hanging="271"/>
        <w:jc w:val="left"/>
        <w:rPr>
          <w:rFonts w:ascii="Arial" w:hAnsi="Arial"/>
          <w:color w:val="137692"/>
          <w:sz w:val="28"/>
        </w:rPr>
      </w:pPr>
      <w:r>
        <w:rPr>
          <w:color w:val="4D4D4F"/>
          <w:w w:val="105"/>
          <w:sz w:val="22"/>
        </w:rPr>
        <w:br w:type="column"/>
      </w:r>
      <w:r>
        <w:rPr>
          <w:color w:val="4D4D4F"/>
          <w:w w:val="110"/>
          <w:sz w:val="22"/>
        </w:rPr>
        <w:t>A review of the</w:t>
      </w:r>
      <w:r>
        <w:rPr>
          <w:color w:val="4D4D4F"/>
          <w:spacing w:val="-28"/>
          <w:w w:val="110"/>
          <w:sz w:val="22"/>
        </w:rPr>
        <w:t> </w:t>
      </w:r>
      <w:r>
        <w:rPr>
          <w:color w:val="4D4D4F"/>
          <w:w w:val="110"/>
          <w:sz w:val="22"/>
        </w:rPr>
        <w:t>literature.</w:t>
      </w:r>
    </w:p>
    <w:p>
      <w:pPr>
        <w:pStyle w:val="ListParagraph"/>
        <w:numPr>
          <w:ilvl w:val="0"/>
          <w:numId w:val="4"/>
        </w:numPr>
        <w:tabs>
          <w:tab w:pos="410" w:val="left" w:leader="none"/>
        </w:tabs>
        <w:spacing w:line="208" w:lineRule="auto" w:before="22" w:after="0"/>
        <w:ind w:left="409" w:right="1050" w:hanging="270"/>
        <w:jc w:val="left"/>
        <w:rPr>
          <w:rFonts w:ascii="Arial" w:hAnsi="Arial"/>
          <w:color w:val="137692"/>
          <w:sz w:val="28"/>
        </w:rPr>
      </w:pPr>
      <w:r>
        <w:rPr>
          <w:color w:val="4D4D4F"/>
          <w:w w:val="115"/>
          <w:sz w:val="22"/>
        </w:rPr>
        <w:t>A</w:t>
      </w:r>
      <w:r>
        <w:rPr>
          <w:color w:val="4D4D4F"/>
          <w:spacing w:val="-32"/>
          <w:w w:val="115"/>
          <w:sz w:val="22"/>
        </w:rPr>
        <w:t> </w:t>
      </w:r>
      <w:r>
        <w:rPr>
          <w:color w:val="4D4D4F"/>
          <w:w w:val="115"/>
          <w:sz w:val="22"/>
        </w:rPr>
        <w:t>review</w:t>
      </w:r>
      <w:r>
        <w:rPr>
          <w:color w:val="4D4D4F"/>
          <w:spacing w:val="-32"/>
          <w:w w:val="115"/>
          <w:sz w:val="22"/>
        </w:rPr>
        <w:t> </w:t>
      </w:r>
      <w:r>
        <w:rPr>
          <w:color w:val="4D4D4F"/>
          <w:w w:val="115"/>
          <w:sz w:val="22"/>
        </w:rPr>
        <w:t>of</w:t>
      </w:r>
      <w:r>
        <w:rPr>
          <w:color w:val="4D4D4F"/>
          <w:spacing w:val="-31"/>
          <w:w w:val="115"/>
          <w:sz w:val="22"/>
        </w:rPr>
        <w:t> </w:t>
      </w:r>
      <w:r>
        <w:rPr>
          <w:color w:val="4D4D4F"/>
          <w:w w:val="115"/>
          <w:sz w:val="22"/>
        </w:rPr>
        <w:t>national</w:t>
      </w:r>
      <w:r>
        <w:rPr>
          <w:color w:val="4D4D4F"/>
          <w:spacing w:val="-32"/>
          <w:w w:val="115"/>
          <w:sz w:val="22"/>
        </w:rPr>
        <w:t> </w:t>
      </w:r>
      <w:r>
        <w:rPr>
          <w:color w:val="4D4D4F"/>
          <w:w w:val="115"/>
          <w:sz w:val="22"/>
        </w:rPr>
        <w:t>and</w:t>
      </w:r>
      <w:r>
        <w:rPr>
          <w:color w:val="4D4D4F"/>
          <w:spacing w:val="-32"/>
          <w:w w:val="115"/>
          <w:sz w:val="22"/>
        </w:rPr>
        <w:t> </w:t>
      </w:r>
      <w:r>
        <w:rPr>
          <w:color w:val="4D4D4F"/>
          <w:spacing w:val="-2"/>
          <w:w w:val="115"/>
          <w:sz w:val="22"/>
        </w:rPr>
        <w:t>international </w:t>
      </w:r>
      <w:r>
        <w:rPr>
          <w:color w:val="4D4D4F"/>
          <w:w w:val="115"/>
          <w:sz w:val="22"/>
        </w:rPr>
        <w:t>organizations’</w:t>
      </w:r>
      <w:r>
        <w:rPr>
          <w:color w:val="4D4D4F"/>
          <w:spacing w:val="-10"/>
          <w:w w:val="115"/>
          <w:sz w:val="22"/>
        </w:rPr>
        <w:t> </w:t>
      </w:r>
      <w:r>
        <w:rPr>
          <w:color w:val="4D4D4F"/>
          <w:w w:val="115"/>
          <w:sz w:val="22"/>
        </w:rPr>
        <w:t>guidelines.</w:t>
      </w:r>
    </w:p>
    <w:p>
      <w:pPr>
        <w:pStyle w:val="ListParagraph"/>
        <w:numPr>
          <w:ilvl w:val="0"/>
          <w:numId w:val="4"/>
        </w:numPr>
        <w:tabs>
          <w:tab w:pos="410" w:val="left" w:leader="none"/>
        </w:tabs>
        <w:spacing w:line="315" w:lineRule="exact" w:before="40" w:after="0"/>
        <w:ind w:left="409" w:right="0" w:hanging="271"/>
        <w:jc w:val="left"/>
        <w:rPr>
          <w:rFonts w:ascii="Arial" w:hAnsi="Arial"/>
          <w:color w:val="137692"/>
          <w:sz w:val="28"/>
        </w:rPr>
      </w:pPr>
      <w:r>
        <w:rPr>
          <w:color w:val="4D4D4F"/>
          <w:w w:val="115"/>
          <w:sz w:val="22"/>
        </w:rPr>
        <w:t>FDA-approved medication</w:t>
      </w:r>
      <w:r>
        <w:rPr>
          <w:color w:val="4D4D4F"/>
          <w:spacing w:val="-24"/>
          <w:w w:val="115"/>
          <w:sz w:val="22"/>
        </w:rPr>
        <w:t> </w:t>
      </w:r>
      <w:r>
        <w:rPr>
          <w:color w:val="4D4D4F"/>
          <w:w w:val="115"/>
          <w:sz w:val="22"/>
        </w:rPr>
        <w:t>labels.</w:t>
      </w:r>
    </w:p>
    <w:p>
      <w:pPr>
        <w:pStyle w:val="ListParagraph"/>
        <w:numPr>
          <w:ilvl w:val="0"/>
          <w:numId w:val="4"/>
        </w:numPr>
        <w:tabs>
          <w:tab w:pos="410" w:val="left" w:leader="none"/>
        </w:tabs>
        <w:spacing w:line="315" w:lineRule="exact" w:before="0" w:after="0"/>
        <w:ind w:left="409" w:right="0" w:hanging="271"/>
        <w:jc w:val="left"/>
        <w:rPr>
          <w:rFonts w:ascii="Arial" w:hAnsi="Arial"/>
          <w:color w:val="137692"/>
          <w:sz w:val="28"/>
        </w:rPr>
      </w:pPr>
      <w:r>
        <w:rPr>
          <w:color w:val="4D4D4F"/>
          <w:w w:val="110"/>
          <w:sz w:val="22"/>
        </w:rPr>
        <w:t>The TIP expert </w:t>
      </w:r>
      <w:r>
        <w:rPr>
          <w:color w:val="4D4D4F"/>
          <w:spacing w:val="-3"/>
          <w:w w:val="110"/>
          <w:sz w:val="22"/>
        </w:rPr>
        <w:t>panel’s</w:t>
      </w:r>
      <w:r>
        <w:rPr>
          <w:color w:val="4D4D4F"/>
          <w:spacing w:val="-18"/>
          <w:w w:val="110"/>
          <w:sz w:val="22"/>
        </w:rPr>
        <w:t> </w:t>
      </w:r>
      <w:r>
        <w:rPr>
          <w:color w:val="4D4D4F"/>
          <w:w w:val="110"/>
          <w:sz w:val="22"/>
        </w:rPr>
        <w:t>recommendations.</w:t>
      </w:r>
    </w:p>
    <w:p>
      <w:pPr>
        <w:spacing w:after="0" w:line="315" w:lineRule="exact"/>
        <w:jc w:val="left"/>
        <w:rPr>
          <w:rFonts w:ascii="Arial" w:hAnsi="Arial"/>
          <w:sz w:val="28"/>
        </w:rPr>
        <w:sectPr>
          <w:type w:val="continuous"/>
          <w:pgSz w:w="12240" w:h="15840"/>
          <w:pgMar w:top="540" w:bottom="280" w:left="940" w:right="920"/>
          <w:cols w:num="2" w:equalWidth="0">
            <w:col w:w="4940" w:space="281"/>
            <w:col w:w="5159"/>
          </w:cols>
        </w:sectPr>
      </w:pPr>
    </w:p>
    <w:p>
      <w:pPr>
        <w:pStyle w:val="BodyText"/>
        <w:spacing w:before="10"/>
        <w:rPr>
          <w:sz w:val="21"/>
        </w:rPr>
      </w:pPr>
    </w:p>
    <w:tbl>
      <w:tblPr>
        <w:tblW w:w="0" w:type="auto"/>
        <w:jc w:val="left"/>
        <w:tblInd w:w="140" w:type="dxa"/>
        <w:tblBorders>
          <w:top w:val="single" w:sz="4" w:space="0" w:color="88AABD"/>
          <w:left w:val="single" w:sz="4" w:space="0" w:color="88AABD"/>
          <w:bottom w:val="single" w:sz="4" w:space="0" w:color="88AABD"/>
          <w:right w:val="single" w:sz="4" w:space="0" w:color="88AABD"/>
          <w:insideH w:val="single" w:sz="4" w:space="0" w:color="88AABD"/>
          <w:insideV w:val="single" w:sz="4" w:space="0" w:color="88AABD"/>
        </w:tblBorders>
        <w:tblLayout w:type="fixed"/>
        <w:tblCellMar>
          <w:top w:w="0" w:type="dxa"/>
          <w:left w:w="0" w:type="dxa"/>
          <w:bottom w:w="0" w:type="dxa"/>
          <w:right w:w="0" w:type="dxa"/>
        </w:tblCellMar>
        <w:tblLook w:val="01E0"/>
      </w:tblPr>
      <w:tblGrid>
        <w:gridCol w:w="186"/>
        <w:gridCol w:w="1671"/>
        <w:gridCol w:w="1728"/>
        <w:gridCol w:w="2074"/>
        <w:gridCol w:w="2333"/>
        <w:gridCol w:w="1931"/>
        <w:gridCol w:w="158"/>
      </w:tblGrid>
      <w:tr>
        <w:trPr>
          <w:trHeight w:val="601" w:hRule="atLeast"/>
        </w:trPr>
        <w:tc>
          <w:tcPr>
            <w:tcW w:w="9923" w:type="dxa"/>
            <w:gridSpan w:val="6"/>
            <w:tcBorders>
              <w:bottom w:val="nil"/>
            </w:tcBorders>
            <w:shd w:val="clear" w:color="auto" w:fill="FFF7F2"/>
          </w:tcPr>
          <w:p>
            <w:pPr>
              <w:pStyle w:val="TableParagraph"/>
              <w:spacing w:before="127"/>
              <w:ind w:left="185"/>
              <w:rPr>
                <w:rFonts w:ascii="Arial"/>
                <w:b/>
                <w:sz w:val="15"/>
              </w:rPr>
            </w:pPr>
            <w:r>
              <w:rPr>
                <w:rFonts w:ascii="Arial"/>
                <w:b/>
                <w:color w:val="137692"/>
                <w:w w:val="110"/>
                <w:sz w:val="26"/>
              </w:rPr>
              <w:t>EXHIBIT 3A.5. OUD Medications: Formulations</w:t>
            </w:r>
            <w:r>
              <w:rPr>
                <w:rFonts w:ascii="Arial"/>
                <w:b/>
                <w:color w:val="137692"/>
                <w:w w:val="110"/>
                <w:position w:val="9"/>
                <w:sz w:val="15"/>
              </w:rPr>
              <w:t>74,75</w:t>
            </w:r>
          </w:p>
        </w:tc>
        <w:tc>
          <w:tcPr>
            <w:tcW w:w="158" w:type="dxa"/>
            <w:tcBorders>
              <w:bottom w:val="nil"/>
              <w:right w:val="nil"/>
            </w:tcBorders>
            <w:shd w:val="clear" w:color="auto" w:fill="FFF7F2"/>
          </w:tcPr>
          <w:p>
            <w:pPr>
              <w:pStyle w:val="TableParagraph"/>
              <w:rPr>
                <w:rFonts w:ascii="Times New Roman"/>
                <w:sz w:val="18"/>
              </w:rPr>
            </w:pPr>
          </w:p>
        </w:tc>
      </w:tr>
      <w:tr>
        <w:trPr>
          <w:trHeight w:val="370" w:hRule="atLeast"/>
        </w:trPr>
        <w:tc>
          <w:tcPr>
            <w:tcW w:w="186" w:type="dxa"/>
            <w:tcBorders>
              <w:top w:val="nil"/>
              <w:bottom w:val="nil"/>
              <w:right w:val="single" w:sz="2" w:space="0" w:color="FFFFFF"/>
            </w:tcBorders>
            <w:shd w:val="clear" w:color="auto" w:fill="FFF7F2"/>
          </w:tcPr>
          <w:p>
            <w:pPr>
              <w:pStyle w:val="TableParagraph"/>
              <w:rPr>
                <w:rFonts w:ascii="Times New Roman"/>
                <w:sz w:val="18"/>
              </w:rPr>
            </w:pPr>
          </w:p>
        </w:tc>
        <w:tc>
          <w:tcPr>
            <w:tcW w:w="1671" w:type="dxa"/>
            <w:tcBorders>
              <w:top w:val="single" w:sz="2" w:space="0" w:color="FFFFFF"/>
              <w:left w:val="single" w:sz="2" w:space="0" w:color="FFFFFF"/>
              <w:bottom w:val="nil"/>
              <w:right w:val="nil"/>
            </w:tcBorders>
            <w:shd w:val="clear" w:color="auto" w:fill="377F9A"/>
          </w:tcPr>
          <w:p>
            <w:pPr>
              <w:pStyle w:val="TableParagraph"/>
              <w:spacing w:before="151"/>
              <w:ind w:left="84"/>
              <w:rPr>
                <w:rFonts w:ascii="Arial"/>
                <w:b/>
                <w:sz w:val="17"/>
              </w:rPr>
            </w:pPr>
            <w:r>
              <w:rPr>
                <w:rFonts w:ascii="Arial"/>
                <w:b/>
                <w:color w:val="FFFFFF"/>
                <w:w w:val="110"/>
                <w:sz w:val="17"/>
              </w:rPr>
              <w:t>GENERIC/</w:t>
            </w:r>
          </w:p>
        </w:tc>
        <w:tc>
          <w:tcPr>
            <w:tcW w:w="1728" w:type="dxa"/>
            <w:tcBorders>
              <w:top w:val="single" w:sz="2" w:space="0" w:color="FFFFFF"/>
              <w:left w:val="nil"/>
              <w:bottom w:val="nil"/>
              <w:right w:val="nil"/>
            </w:tcBorders>
            <w:shd w:val="clear" w:color="auto" w:fill="377F9A"/>
          </w:tcPr>
          <w:p>
            <w:pPr>
              <w:pStyle w:val="TableParagraph"/>
              <w:rPr>
                <w:rFonts w:ascii="Times New Roman"/>
                <w:sz w:val="18"/>
              </w:rPr>
            </w:pPr>
          </w:p>
        </w:tc>
        <w:tc>
          <w:tcPr>
            <w:tcW w:w="2074" w:type="dxa"/>
            <w:tcBorders>
              <w:top w:val="single" w:sz="2" w:space="0" w:color="FFFFFF"/>
              <w:left w:val="nil"/>
              <w:bottom w:val="nil"/>
              <w:right w:val="nil"/>
            </w:tcBorders>
            <w:shd w:val="clear" w:color="auto" w:fill="377F9A"/>
          </w:tcPr>
          <w:p>
            <w:pPr>
              <w:pStyle w:val="TableParagraph"/>
              <w:spacing w:before="151"/>
              <w:ind w:left="300" w:right="290"/>
              <w:jc w:val="center"/>
              <w:rPr>
                <w:rFonts w:ascii="Arial"/>
                <w:b/>
                <w:sz w:val="17"/>
              </w:rPr>
            </w:pPr>
            <w:r>
              <w:rPr>
                <w:rFonts w:ascii="Arial"/>
                <w:b/>
                <w:color w:val="FFFFFF"/>
                <w:w w:val="110"/>
                <w:sz w:val="17"/>
              </w:rPr>
              <w:t>ACTION AT THE</w:t>
            </w:r>
          </w:p>
        </w:tc>
        <w:tc>
          <w:tcPr>
            <w:tcW w:w="2333" w:type="dxa"/>
            <w:tcBorders>
              <w:top w:val="single" w:sz="2" w:space="0" w:color="FFFFFF"/>
              <w:left w:val="nil"/>
              <w:bottom w:val="nil"/>
              <w:right w:val="nil"/>
            </w:tcBorders>
            <w:shd w:val="clear" w:color="auto" w:fill="377F9A"/>
          </w:tcPr>
          <w:p>
            <w:pPr>
              <w:pStyle w:val="TableParagraph"/>
              <w:rPr>
                <w:rFonts w:ascii="Times New Roman"/>
                <w:sz w:val="18"/>
              </w:rPr>
            </w:pPr>
          </w:p>
        </w:tc>
        <w:tc>
          <w:tcPr>
            <w:tcW w:w="1931" w:type="dxa"/>
            <w:tcBorders>
              <w:top w:val="single" w:sz="2" w:space="0" w:color="FFFFFF"/>
              <w:left w:val="nil"/>
              <w:bottom w:val="nil"/>
            </w:tcBorders>
            <w:shd w:val="clear" w:color="auto" w:fill="377F9A"/>
          </w:tcPr>
          <w:p>
            <w:pPr>
              <w:pStyle w:val="TableParagraph"/>
              <w:rPr>
                <w:rFonts w:ascii="Times New Roman"/>
                <w:sz w:val="18"/>
              </w:rPr>
            </w:pPr>
          </w:p>
        </w:tc>
        <w:tc>
          <w:tcPr>
            <w:tcW w:w="158" w:type="dxa"/>
            <w:tcBorders>
              <w:top w:val="nil"/>
              <w:bottom w:val="nil"/>
              <w:right w:val="nil"/>
            </w:tcBorders>
            <w:shd w:val="clear" w:color="auto" w:fill="FFF7F2"/>
          </w:tcPr>
          <w:p>
            <w:pPr>
              <w:pStyle w:val="TableParagraph"/>
              <w:rPr>
                <w:rFonts w:ascii="Times New Roman"/>
                <w:sz w:val="18"/>
              </w:rPr>
            </w:pPr>
          </w:p>
        </w:tc>
      </w:tr>
      <w:tr>
        <w:trPr>
          <w:trHeight w:val="343" w:hRule="atLeast"/>
        </w:trPr>
        <w:tc>
          <w:tcPr>
            <w:tcW w:w="186" w:type="dxa"/>
            <w:tcBorders>
              <w:top w:val="nil"/>
              <w:bottom w:val="nil"/>
              <w:right w:val="single" w:sz="2" w:space="0" w:color="FFFFFF"/>
            </w:tcBorders>
            <w:shd w:val="clear" w:color="auto" w:fill="FFF7F2"/>
          </w:tcPr>
          <w:p>
            <w:pPr>
              <w:pStyle w:val="TableParagraph"/>
              <w:rPr>
                <w:rFonts w:ascii="Times New Roman"/>
                <w:sz w:val="18"/>
              </w:rPr>
            </w:pPr>
          </w:p>
        </w:tc>
        <w:tc>
          <w:tcPr>
            <w:tcW w:w="1671" w:type="dxa"/>
            <w:tcBorders>
              <w:top w:val="nil"/>
              <w:left w:val="single" w:sz="2" w:space="0" w:color="FFFFFF"/>
              <w:bottom w:val="single" w:sz="2" w:space="0" w:color="FFFFFF"/>
              <w:right w:val="nil"/>
            </w:tcBorders>
            <w:shd w:val="clear" w:color="auto" w:fill="377F9A"/>
          </w:tcPr>
          <w:p>
            <w:pPr>
              <w:pStyle w:val="TableParagraph"/>
              <w:spacing w:before="41"/>
              <w:ind w:left="84"/>
              <w:rPr>
                <w:rFonts w:ascii="Arial"/>
                <w:b/>
                <w:sz w:val="17"/>
              </w:rPr>
            </w:pPr>
            <w:r>
              <w:rPr>
                <w:rFonts w:ascii="Arial"/>
                <w:b/>
                <w:color w:val="FFFFFF"/>
                <w:w w:val="110"/>
                <w:sz w:val="17"/>
              </w:rPr>
              <w:t>TRADE NAME</w:t>
            </w:r>
          </w:p>
        </w:tc>
        <w:tc>
          <w:tcPr>
            <w:tcW w:w="1728" w:type="dxa"/>
            <w:tcBorders>
              <w:top w:val="nil"/>
              <w:left w:val="nil"/>
              <w:bottom w:val="single" w:sz="2" w:space="0" w:color="FFFFFF"/>
              <w:right w:val="nil"/>
            </w:tcBorders>
            <w:shd w:val="clear" w:color="auto" w:fill="377F9A"/>
          </w:tcPr>
          <w:p>
            <w:pPr>
              <w:pStyle w:val="TableParagraph"/>
              <w:spacing w:before="41"/>
              <w:ind w:left="137"/>
              <w:rPr>
                <w:rFonts w:ascii="Arial"/>
                <w:b/>
                <w:sz w:val="17"/>
              </w:rPr>
            </w:pPr>
            <w:r>
              <w:rPr>
                <w:rFonts w:ascii="Arial"/>
                <w:b/>
                <w:color w:val="FFFFFF"/>
                <w:w w:val="110"/>
                <w:sz w:val="17"/>
              </w:rPr>
              <w:t>FORMULATIONS</w:t>
            </w:r>
          </w:p>
        </w:tc>
        <w:tc>
          <w:tcPr>
            <w:tcW w:w="2074" w:type="dxa"/>
            <w:tcBorders>
              <w:top w:val="nil"/>
              <w:left w:val="nil"/>
              <w:bottom w:val="single" w:sz="2" w:space="0" w:color="FFFFFF"/>
              <w:right w:val="nil"/>
            </w:tcBorders>
            <w:shd w:val="clear" w:color="auto" w:fill="377F9A"/>
          </w:tcPr>
          <w:p>
            <w:pPr>
              <w:pStyle w:val="TableParagraph"/>
              <w:spacing w:before="41"/>
              <w:ind w:left="300" w:right="290"/>
              <w:jc w:val="center"/>
              <w:rPr>
                <w:rFonts w:ascii="Arial"/>
                <w:b/>
                <w:sz w:val="17"/>
              </w:rPr>
            </w:pPr>
            <w:r>
              <w:rPr>
                <w:rFonts w:ascii="Arial"/>
                <w:b/>
                <w:color w:val="FFFFFF"/>
                <w:w w:val="105"/>
                <w:sz w:val="17"/>
              </w:rPr>
              <w:t>RECEPTOR</w:t>
            </w:r>
          </w:p>
        </w:tc>
        <w:tc>
          <w:tcPr>
            <w:tcW w:w="2333" w:type="dxa"/>
            <w:tcBorders>
              <w:top w:val="nil"/>
              <w:left w:val="nil"/>
              <w:bottom w:val="single" w:sz="2" w:space="0" w:color="FFFFFF"/>
              <w:right w:val="nil"/>
            </w:tcBorders>
            <w:shd w:val="clear" w:color="auto" w:fill="377F9A"/>
          </w:tcPr>
          <w:p>
            <w:pPr>
              <w:pStyle w:val="TableParagraph"/>
              <w:spacing w:before="41"/>
              <w:ind w:left="342"/>
              <w:rPr>
                <w:rFonts w:ascii="Arial"/>
                <w:b/>
                <w:sz w:val="17"/>
              </w:rPr>
            </w:pPr>
            <w:r>
              <w:rPr>
                <w:rFonts w:ascii="Arial"/>
                <w:b/>
                <w:color w:val="FFFFFF"/>
                <w:w w:val="110"/>
                <w:sz w:val="17"/>
              </w:rPr>
              <w:t>FDA INDICATIONS</w:t>
            </w:r>
          </w:p>
        </w:tc>
        <w:tc>
          <w:tcPr>
            <w:tcW w:w="1931" w:type="dxa"/>
            <w:tcBorders>
              <w:top w:val="nil"/>
              <w:left w:val="nil"/>
              <w:bottom w:val="nil"/>
            </w:tcBorders>
            <w:shd w:val="clear" w:color="auto" w:fill="377F9A"/>
          </w:tcPr>
          <w:p>
            <w:pPr>
              <w:pStyle w:val="TableParagraph"/>
              <w:spacing w:before="41"/>
              <w:ind w:left="144"/>
              <w:rPr>
                <w:rFonts w:ascii="Arial"/>
                <w:b/>
                <w:sz w:val="17"/>
              </w:rPr>
            </w:pPr>
            <w:r>
              <w:rPr>
                <w:rFonts w:ascii="Arial"/>
                <w:b/>
                <w:color w:val="FFFFFF"/>
                <w:w w:val="110"/>
                <w:sz w:val="17"/>
              </w:rPr>
              <w:t>DOSING REGIMEN</w:t>
            </w:r>
          </w:p>
        </w:tc>
        <w:tc>
          <w:tcPr>
            <w:tcW w:w="158" w:type="dxa"/>
            <w:tcBorders>
              <w:top w:val="nil"/>
              <w:bottom w:val="nil"/>
              <w:right w:val="nil"/>
            </w:tcBorders>
            <w:shd w:val="clear" w:color="auto" w:fill="FFF7F2"/>
          </w:tcPr>
          <w:p>
            <w:pPr>
              <w:pStyle w:val="TableParagraph"/>
              <w:rPr>
                <w:rFonts w:ascii="Times New Roman"/>
                <w:sz w:val="18"/>
              </w:rPr>
            </w:pPr>
          </w:p>
        </w:tc>
      </w:tr>
      <w:tr>
        <w:trPr>
          <w:trHeight w:val="1913" w:hRule="atLeast"/>
        </w:trPr>
        <w:tc>
          <w:tcPr>
            <w:tcW w:w="186" w:type="dxa"/>
            <w:tcBorders>
              <w:top w:val="nil"/>
              <w:bottom w:val="nil"/>
              <w:right w:val="nil"/>
            </w:tcBorders>
            <w:shd w:val="clear" w:color="auto" w:fill="FFF7F2"/>
          </w:tcPr>
          <w:p>
            <w:pPr>
              <w:pStyle w:val="TableParagraph"/>
              <w:rPr>
                <w:rFonts w:ascii="Times New Roman"/>
                <w:sz w:val="18"/>
              </w:rPr>
            </w:pPr>
          </w:p>
        </w:tc>
        <w:tc>
          <w:tcPr>
            <w:tcW w:w="1671" w:type="dxa"/>
            <w:tcBorders>
              <w:top w:val="single" w:sz="2" w:space="0" w:color="FFFFFF"/>
              <w:left w:val="nil"/>
              <w:bottom w:val="single" w:sz="2" w:space="0" w:color="759EB4"/>
              <w:right w:val="single" w:sz="2" w:space="0" w:color="759EB4"/>
            </w:tcBorders>
            <w:shd w:val="clear" w:color="auto" w:fill="FFF7F2"/>
          </w:tcPr>
          <w:p>
            <w:pPr>
              <w:pStyle w:val="TableParagraph"/>
              <w:spacing w:line="242" w:lineRule="auto" w:before="91"/>
              <w:ind w:left="96" w:right="458"/>
              <w:jc w:val="both"/>
              <w:rPr>
                <w:sz w:val="18"/>
              </w:rPr>
            </w:pPr>
            <w:r>
              <w:rPr>
                <w:rFonts w:ascii="Arial"/>
                <w:b/>
                <w:color w:val="231F20"/>
                <w:w w:val="115"/>
                <w:sz w:val="18"/>
              </w:rPr>
              <w:t>Methadone </w:t>
            </w:r>
            <w:r>
              <w:rPr>
                <w:color w:val="231F20"/>
                <w:w w:val="115"/>
                <w:sz w:val="18"/>
              </w:rPr>
              <w:t>(Methadose, </w:t>
            </w:r>
            <w:r>
              <w:rPr>
                <w:color w:val="231F20"/>
                <w:w w:val="120"/>
                <w:sz w:val="18"/>
              </w:rPr>
              <w:t>Dolophine)</w:t>
            </w:r>
          </w:p>
        </w:tc>
        <w:tc>
          <w:tcPr>
            <w:tcW w:w="1728" w:type="dxa"/>
            <w:tcBorders>
              <w:top w:val="single" w:sz="2" w:space="0" w:color="FFFFFF"/>
              <w:left w:val="single" w:sz="2" w:space="0" w:color="759EB4"/>
              <w:bottom w:val="single" w:sz="2" w:space="0" w:color="759EB4"/>
              <w:right w:val="single" w:sz="2" w:space="0" w:color="759EB4"/>
            </w:tcBorders>
            <w:shd w:val="clear" w:color="auto" w:fill="FFF6F1"/>
          </w:tcPr>
          <w:p>
            <w:pPr>
              <w:pStyle w:val="TableParagraph"/>
              <w:spacing w:line="235" w:lineRule="auto" w:before="92"/>
              <w:ind w:left="93" w:right="189"/>
              <w:rPr>
                <w:sz w:val="18"/>
              </w:rPr>
            </w:pPr>
            <w:r>
              <w:rPr>
                <w:color w:val="414142"/>
                <w:w w:val="120"/>
                <w:sz w:val="18"/>
              </w:rPr>
              <w:t>Orally as liquid concentrate, tablet, or oral solution of powder or dispersible tablet</w:t>
            </w:r>
          </w:p>
        </w:tc>
        <w:tc>
          <w:tcPr>
            <w:tcW w:w="2074" w:type="dxa"/>
            <w:tcBorders>
              <w:top w:val="single" w:sz="2" w:space="0" w:color="FFFFFF"/>
              <w:left w:val="single" w:sz="2" w:space="0" w:color="759EB4"/>
              <w:bottom w:val="single" w:sz="2" w:space="0" w:color="759EB4"/>
              <w:right w:val="single" w:sz="2" w:space="0" w:color="759EB4"/>
            </w:tcBorders>
            <w:shd w:val="clear" w:color="auto" w:fill="FFF6F1"/>
          </w:tcPr>
          <w:p>
            <w:pPr>
              <w:pStyle w:val="TableParagraph"/>
              <w:spacing w:line="235" w:lineRule="auto" w:before="92"/>
              <w:ind w:left="93" w:right="160"/>
              <w:rPr>
                <w:sz w:val="18"/>
              </w:rPr>
            </w:pPr>
            <w:r>
              <w:rPr>
                <w:color w:val="414142"/>
                <w:w w:val="120"/>
                <w:sz w:val="18"/>
              </w:rPr>
              <w:t>Mu-opioid receptor full agonist</w:t>
            </w:r>
          </w:p>
        </w:tc>
        <w:tc>
          <w:tcPr>
            <w:tcW w:w="2333" w:type="dxa"/>
            <w:tcBorders>
              <w:top w:val="single" w:sz="2" w:space="0" w:color="FFFFFF"/>
              <w:left w:val="single" w:sz="2" w:space="0" w:color="759EB4"/>
              <w:bottom w:val="single" w:sz="2" w:space="0" w:color="759EB4"/>
              <w:right w:val="single" w:sz="2" w:space="0" w:color="759EB4"/>
            </w:tcBorders>
            <w:shd w:val="clear" w:color="auto" w:fill="FFF6F1"/>
          </w:tcPr>
          <w:p>
            <w:pPr>
              <w:pStyle w:val="TableParagraph"/>
              <w:spacing w:line="235" w:lineRule="auto" w:before="92"/>
              <w:ind w:left="92" w:right="92"/>
              <w:rPr>
                <w:sz w:val="18"/>
              </w:rPr>
            </w:pPr>
            <w:r>
              <w:rPr>
                <w:color w:val="414142"/>
                <w:w w:val="125"/>
                <w:sz w:val="18"/>
              </w:rPr>
              <w:t>Medically supervised withdrawal and maintenance treatment of opioid dependence;</w:t>
            </w:r>
            <w:r>
              <w:rPr>
                <w:color w:val="414142"/>
                <w:spacing w:val="-30"/>
                <w:w w:val="125"/>
                <w:sz w:val="18"/>
              </w:rPr>
              <w:t> </w:t>
            </w:r>
            <w:r>
              <w:rPr>
                <w:color w:val="414142"/>
                <w:w w:val="125"/>
                <w:sz w:val="18"/>
              </w:rPr>
              <w:t>additional formulations FDA approved for pain are not a focus of this</w:t>
            </w:r>
            <w:r>
              <w:rPr>
                <w:color w:val="414142"/>
                <w:spacing w:val="-33"/>
                <w:w w:val="125"/>
                <w:sz w:val="18"/>
              </w:rPr>
              <w:t> </w:t>
            </w:r>
            <w:r>
              <w:rPr>
                <w:color w:val="414142"/>
                <w:w w:val="125"/>
                <w:sz w:val="18"/>
              </w:rPr>
              <w:t>TIP</w:t>
            </w:r>
          </w:p>
        </w:tc>
        <w:tc>
          <w:tcPr>
            <w:tcW w:w="1931" w:type="dxa"/>
            <w:tcBorders>
              <w:top w:val="nil"/>
              <w:left w:val="single" w:sz="2" w:space="0" w:color="759EB4"/>
              <w:bottom w:val="single" w:sz="2" w:space="0" w:color="759EB4"/>
            </w:tcBorders>
            <w:shd w:val="clear" w:color="auto" w:fill="FFF6F1"/>
          </w:tcPr>
          <w:p>
            <w:pPr>
              <w:pStyle w:val="TableParagraph"/>
              <w:spacing w:line="235" w:lineRule="auto" w:before="92"/>
              <w:ind w:left="92" w:right="195"/>
              <w:rPr>
                <w:sz w:val="18"/>
              </w:rPr>
            </w:pPr>
            <w:r>
              <w:rPr>
                <w:color w:val="414142"/>
                <w:w w:val="120"/>
                <w:sz w:val="18"/>
              </w:rPr>
              <w:t>Once daily (also off-label dosing regimens if appropriate, such as split dose twice daily)</w:t>
            </w:r>
          </w:p>
        </w:tc>
        <w:tc>
          <w:tcPr>
            <w:tcW w:w="158" w:type="dxa"/>
            <w:tcBorders>
              <w:top w:val="nil"/>
              <w:bottom w:val="nil"/>
              <w:right w:val="nil"/>
            </w:tcBorders>
            <w:shd w:val="clear" w:color="auto" w:fill="FFF7F2"/>
          </w:tcPr>
          <w:p>
            <w:pPr>
              <w:pStyle w:val="TableParagraph"/>
              <w:rPr>
                <w:rFonts w:ascii="Times New Roman"/>
                <w:sz w:val="18"/>
              </w:rPr>
            </w:pPr>
          </w:p>
        </w:tc>
      </w:tr>
      <w:tr>
        <w:trPr>
          <w:trHeight w:val="1267" w:hRule="atLeast"/>
        </w:trPr>
        <w:tc>
          <w:tcPr>
            <w:tcW w:w="186" w:type="dxa"/>
            <w:tcBorders>
              <w:top w:val="nil"/>
              <w:bottom w:val="nil"/>
              <w:right w:val="nil"/>
            </w:tcBorders>
            <w:shd w:val="clear" w:color="auto" w:fill="FFF7F2"/>
          </w:tcPr>
          <w:p>
            <w:pPr>
              <w:pStyle w:val="TableParagraph"/>
              <w:rPr>
                <w:rFonts w:ascii="Times New Roman"/>
                <w:sz w:val="18"/>
              </w:rPr>
            </w:pPr>
          </w:p>
        </w:tc>
        <w:tc>
          <w:tcPr>
            <w:tcW w:w="1671"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96" w:right="155"/>
              <w:rPr>
                <w:rFonts w:ascii="Arial"/>
                <w:b/>
                <w:sz w:val="18"/>
              </w:rPr>
            </w:pPr>
            <w:r>
              <w:rPr>
                <w:rFonts w:ascii="Arial"/>
                <w:b/>
                <w:color w:val="231F20"/>
                <w:w w:val="110"/>
                <w:sz w:val="18"/>
              </w:rPr>
              <w:t>Generic buprenorphine monoproduct</w:t>
            </w:r>
          </w:p>
        </w:tc>
        <w:tc>
          <w:tcPr>
            <w:tcW w:w="1728"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3"/>
              <w:ind w:left="93" w:right="189"/>
              <w:rPr>
                <w:sz w:val="18"/>
              </w:rPr>
            </w:pPr>
            <w:r>
              <w:rPr>
                <w:color w:val="414142"/>
                <w:w w:val="125"/>
                <w:sz w:val="18"/>
              </w:rPr>
              <w:t>Sublingual tablet, ﬁlm</w:t>
            </w:r>
          </w:p>
        </w:tc>
        <w:tc>
          <w:tcPr>
            <w:tcW w:w="2074"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3"/>
              <w:ind w:left="93" w:right="160"/>
              <w:rPr>
                <w:sz w:val="18"/>
              </w:rPr>
            </w:pPr>
            <w:r>
              <w:rPr>
                <w:color w:val="414142"/>
                <w:w w:val="125"/>
                <w:sz w:val="18"/>
              </w:rPr>
              <w:t>Mu-opioid receptor partial agonist</w:t>
            </w:r>
          </w:p>
        </w:tc>
        <w:tc>
          <w:tcPr>
            <w:tcW w:w="2333"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3"/>
              <w:ind w:left="92"/>
              <w:rPr>
                <w:sz w:val="18"/>
              </w:rPr>
            </w:pPr>
            <w:r>
              <w:rPr>
                <w:color w:val="414142"/>
                <w:w w:val="125"/>
                <w:sz w:val="18"/>
              </w:rPr>
              <w:t>Treatment of opioid dependence; additional formulations FDA approved for pain are not a focus of this TIP</w:t>
            </w:r>
          </w:p>
        </w:tc>
        <w:tc>
          <w:tcPr>
            <w:tcW w:w="1931" w:type="dxa"/>
            <w:tcBorders>
              <w:top w:val="single" w:sz="2" w:space="0" w:color="759EB4"/>
              <w:left w:val="single" w:sz="2" w:space="0" w:color="759EB4"/>
              <w:bottom w:val="single" w:sz="2" w:space="0" w:color="759EB4"/>
            </w:tcBorders>
            <w:shd w:val="clear" w:color="auto" w:fill="FFF6F1"/>
          </w:tcPr>
          <w:p>
            <w:pPr>
              <w:pStyle w:val="TableParagraph"/>
              <w:spacing w:line="235" w:lineRule="auto" w:before="93"/>
              <w:ind w:left="92" w:right="75"/>
              <w:rPr>
                <w:sz w:val="18"/>
              </w:rPr>
            </w:pPr>
            <w:r>
              <w:rPr>
                <w:color w:val="414142"/>
                <w:w w:val="120"/>
                <w:sz w:val="18"/>
              </w:rPr>
              <w:t>Once daily (also alternative off-label regimens)</w:t>
            </w:r>
          </w:p>
        </w:tc>
        <w:tc>
          <w:tcPr>
            <w:tcW w:w="158" w:type="dxa"/>
            <w:tcBorders>
              <w:top w:val="nil"/>
              <w:bottom w:val="nil"/>
              <w:right w:val="nil"/>
            </w:tcBorders>
            <w:shd w:val="clear" w:color="auto" w:fill="FFF7F2"/>
          </w:tcPr>
          <w:p>
            <w:pPr>
              <w:pStyle w:val="TableParagraph"/>
              <w:rPr>
                <w:rFonts w:ascii="Times New Roman"/>
                <w:sz w:val="18"/>
              </w:rPr>
            </w:pPr>
          </w:p>
        </w:tc>
      </w:tr>
      <w:tr>
        <w:trPr>
          <w:trHeight w:val="1759" w:hRule="atLeast"/>
        </w:trPr>
        <w:tc>
          <w:tcPr>
            <w:tcW w:w="186" w:type="dxa"/>
            <w:tcBorders>
              <w:top w:val="nil"/>
              <w:bottom w:val="nil"/>
              <w:right w:val="nil"/>
            </w:tcBorders>
            <w:shd w:val="clear" w:color="auto" w:fill="FFF7F2"/>
          </w:tcPr>
          <w:p>
            <w:pPr>
              <w:pStyle w:val="TableParagraph"/>
              <w:rPr>
                <w:rFonts w:ascii="Times New Roman"/>
                <w:sz w:val="18"/>
              </w:rPr>
            </w:pPr>
          </w:p>
        </w:tc>
        <w:tc>
          <w:tcPr>
            <w:tcW w:w="1671"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96"/>
              <w:rPr>
                <w:rFonts w:ascii="Arial"/>
                <w:b/>
                <w:sz w:val="18"/>
              </w:rPr>
            </w:pPr>
            <w:r>
              <w:rPr>
                <w:rFonts w:ascii="Arial"/>
                <w:b/>
                <w:color w:val="231F20"/>
                <w:w w:val="110"/>
                <w:sz w:val="18"/>
              </w:rPr>
              <w:t>Generic buprenorphine/ naloxone combination product</w:t>
            </w:r>
          </w:p>
        </w:tc>
        <w:tc>
          <w:tcPr>
            <w:tcW w:w="1728"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before="90"/>
              <w:ind w:left="93"/>
              <w:rPr>
                <w:sz w:val="18"/>
              </w:rPr>
            </w:pPr>
            <w:r>
              <w:rPr>
                <w:color w:val="414142"/>
                <w:w w:val="125"/>
                <w:sz w:val="18"/>
              </w:rPr>
              <w:t>Sublingual tablet</w:t>
            </w:r>
          </w:p>
        </w:tc>
        <w:tc>
          <w:tcPr>
            <w:tcW w:w="2074"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3"/>
              <w:ind w:left="93" w:right="161" w:hanging="1"/>
              <w:rPr>
                <w:sz w:val="18"/>
              </w:rPr>
            </w:pPr>
            <w:r>
              <w:rPr>
                <w:color w:val="414142"/>
                <w:w w:val="125"/>
                <w:sz w:val="18"/>
              </w:rPr>
              <w:t>Mu-opioid receptor partial agonist combined with</w:t>
            </w:r>
          </w:p>
          <w:p>
            <w:pPr>
              <w:pStyle w:val="TableParagraph"/>
              <w:spacing w:line="235" w:lineRule="auto" w:before="2"/>
              <w:ind w:left="93" w:right="21"/>
              <w:rPr>
                <w:sz w:val="18"/>
              </w:rPr>
            </w:pPr>
            <w:r>
              <w:rPr>
                <w:color w:val="414142"/>
                <w:w w:val="125"/>
                <w:sz w:val="18"/>
              </w:rPr>
              <w:t>mu-opioid receptor antagonist; the latter is not absorbed sublingually</w:t>
            </w:r>
          </w:p>
        </w:tc>
        <w:tc>
          <w:tcPr>
            <w:tcW w:w="2333"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3"/>
              <w:ind w:left="92" w:right="381"/>
              <w:rPr>
                <w:sz w:val="18"/>
              </w:rPr>
            </w:pPr>
            <w:r>
              <w:rPr>
                <w:color w:val="414142"/>
                <w:w w:val="125"/>
                <w:sz w:val="18"/>
              </w:rPr>
              <w:t>Treatment of opioid dependence</w:t>
            </w:r>
          </w:p>
        </w:tc>
        <w:tc>
          <w:tcPr>
            <w:tcW w:w="1931" w:type="dxa"/>
            <w:tcBorders>
              <w:top w:val="single" w:sz="2" w:space="0" w:color="759EB4"/>
              <w:left w:val="single" w:sz="2" w:space="0" w:color="759EB4"/>
              <w:bottom w:val="single" w:sz="2" w:space="0" w:color="759EB4"/>
            </w:tcBorders>
            <w:shd w:val="clear" w:color="auto" w:fill="FFF6F1"/>
          </w:tcPr>
          <w:p>
            <w:pPr>
              <w:pStyle w:val="TableParagraph"/>
              <w:spacing w:line="235" w:lineRule="auto" w:before="93"/>
              <w:ind w:left="92" w:right="75"/>
              <w:rPr>
                <w:sz w:val="18"/>
              </w:rPr>
            </w:pPr>
            <w:r>
              <w:rPr>
                <w:color w:val="414142"/>
                <w:w w:val="120"/>
                <w:sz w:val="18"/>
              </w:rPr>
              <w:t>Once daily (also alternative off-label regimens)</w:t>
            </w:r>
          </w:p>
        </w:tc>
        <w:tc>
          <w:tcPr>
            <w:tcW w:w="158" w:type="dxa"/>
            <w:tcBorders>
              <w:top w:val="nil"/>
              <w:bottom w:val="nil"/>
              <w:right w:val="nil"/>
            </w:tcBorders>
            <w:shd w:val="clear" w:color="auto" w:fill="FFF7F2"/>
          </w:tcPr>
          <w:p>
            <w:pPr>
              <w:pStyle w:val="TableParagraph"/>
              <w:rPr>
                <w:rFonts w:ascii="Times New Roman"/>
                <w:sz w:val="18"/>
              </w:rPr>
            </w:pPr>
          </w:p>
        </w:tc>
      </w:tr>
      <w:tr>
        <w:trPr>
          <w:trHeight w:val="1737" w:hRule="atLeast"/>
        </w:trPr>
        <w:tc>
          <w:tcPr>
            <w:tcW w:w="186" w:type="dxa"/>
            <w:tcBorders>
              <w:top w:val="nil"/>
              <w:bottom w:val="nil"/>
              <w:right w:val="nil"/>
            </w:tcBorders>
            <w:shd w:val="clear" w:color="auto" w:fill="FFF7F2"/>
          </w:tcPr>
          <w:p>
            <w:pPr>
              <w:pStyle w:val="TableParagraph"/>
              <w:rPr>
                <w:rFonts w:ascii="Times New Roman"/>
                <w:sz w:val="18"/>
              </w:rPr>
            </w:pPr>
          </w:p>
        </w:tc>
        <w:tc>
          <w:tcPr>
            <w:tcW w:w="1671"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96" w:right="78"/>
              <w:rPr>
                <w:sz w:val="18"/>
              </w:rPr>
            </w:pPr>
            <w:r>
              <w:rPr>
                <w:rFonts w:ascii="Arial"/>
                <w:b/>
                <w:color w:val="231F20"/>
                <w:w w:val="110"/>
                <w:sz w:val="18"/>
              </w:rPr>
              <w:t>Buprenorphine/ naloxone </w:t>
            </w:r>
            <w:r>
              <w:rPr>
                <w:color w:val="231F20"/>
                <w:w w:val="110"/>
                <w:sz w:val="18"/>
              </w:rPr>
              <w:t>(Zubsolv)</w:t>
            </w:r>
          </w:p>
        </w:tc>
        <w:tc>
          <w:tcPr>
            <w:tcW w:w="1728"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before="90"/>
              <w:ind w:left="93"/>
              <w:rPr>
                <w:sz w:val="18"/>
              </w:rPr>
            </w:pPr>
            <w:r>
              <w:rPr>
                <w:color w:val="414142"/>
                <w:w w:val="125"/>
                <w:sz w:val="18"/>
              </w:rPr>
              <w:t>Sublingual tablet</w:t>
            </w:r>
          </w:p>
        </w:tc>
        <w:tc>
          <w:tcPr>
            <w:tcW w:w="2074"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4"/>
              <w:ind w:left="93" w:right="161" w:hanging="1"/>
              <w:rPr>
                <w:sz w:val="18"/>
              </w:rPr>
            </w:pPr>
            <w:r>
              <w:rPr>
                <w:color w:val="414142"/>
                <w:w w:val="125"/>
                <w:sz w:val="18"/>
              </w:rPr>
              <w:t>Mu-opioid receptor partial agonist combined with</w:t>
            </w:r>
          </w:p>
          <w:p>
            <w:pPr>
              <w:pStyle w:val="TableParagraph"/>
              <w:spacing w:line="235" w:lineRule="auto" w:before="2"/>
              <w:ind w:left="93" w:right="21"/>
              <w:rPr>
                <w:sz w:val="18"/>
              </w:rPr>
            </w:pPr>
            <w:r>
              <w:rPr>
                <w:color w:val="414142"/>
                <w:w w:val="125"/>
                <w:sz w:val="18"/>
              </w:rPr>
              <w:t>mu-opioid receptor antagonist; the latter is not absorbed sublingually</w:t>
            </w:r>
          </w:p>
        </w:tc>
        <w:tc>
          <w:tcPr>
            <w:tcW w:w="2333" w:type="dxa"/>
            <w:tcBorders>
              <w:top w:val="single" w:sz="2" w:space="0" w:color="759EB4"/>
              <w:left w:val="single" w:sz="2" w:space="0" w:color="759EB4"/>
              <w:bottom w:val="single" w:sz="2" w:space="0" w:color="759EB4"/>
              <w:right w:val="single" w:sz="2" w:space="0" w:color="759EB4"/>
            </w:tcBorders>
            <w:shd w:val="clear" w:color="auto" w:fill="FFF6F1"/>
          </w:tcPr>
          <w:p>
            <w:pPr>
              <w:pStyle w:val="TableParagraph"/>
              <w:spacing w:line="235" w:lineRule="auto" w:before="94"/>
              <w:ind w:left="92" w:right="381"/>
              <w:rPr>
                <w:sz w:val="18"/>
              </w:rPr>
            </w:pPr>
            <w:r>
              <w:rPr>
                <w:color w:val="414142"/>
                <w:w w:val="125"/>
                <w:sz w:val="18"/>
              </w:rPr>
              <w:t>Treatment of opioid dependence</w:t>
            </w:r>
          </w:p>
        </w:tc>
        <w:tc>
          <w:tcPr>
            <w:tcW w:w="1931" w:type="dxa"/>
            <w:tcBorders>
              <w:top w:val="single" w:sz="2" w:space="0" w:color="759EB4"/>
              <w:left w:val="single" w:sz="2" w:space="0" w:color="759EB4"/>
              <w:bottom w:val="single" w:sz="2" w:space="0" w:color="759EB4"/>
            </w:tcBorders>
            <w:shd w:val="clear" w:color="auto" w:fill="FFF6F1"/>
          </w:tcPr>
          <w:p>
            <w:pPr>
              <w:pStyle w:val="TableParagraph"/>
              <w:spacing w:line="235" w:lineRule="auto" w:before="94"/>
              <w:ind w:left="92" w:right="75"/>
              <w:rPr>
                <w:sz w:val="18"/>
              </w:rPr>
            </w:pPr>
            <w:r>
              <w:rPr>
                <w:color w:val="414142"/>
                <w:w w:val="120"/>
                <w:sz w:val="18"/>
              </w:rPr>
              <w:t>Once daily (also alternative off-label regimens)</w:t>
            </w:r>
          </w:p>
        </w:tc>
        <w:tc>
          <w:tcPr>
            <w:tcW w:w="158" w:type="dxa"/>
            <w:tcBorders>
              <w:top w:val="nil"/>
              <w:bottom w:val="nil"/>
              <w:right w:val="nil"/>
            </w:tcBorders>
            <w:shd w:val="clear" w:color="auto" w:fill="FFF7F2"/>
          </w:tcPr>
          <w:p>
            <w:pPr>
              <w:pStyle w:val="TableParagraph"/>
              <w:rPr>
                <w:rFonts w:ascii="Times New Roman"/>
                <w:sz w:val="18"/>
              </w:rPr>
            </w:pPr>
          </w:p>
        </w:tc>
      </w:tr>
      <w:tr>
        <w:trPr>
          <w:trHeight w:val="1711" w:hRule="atLeast"/>
        </w:trPr>
        <w:tc>
          <w:tcPr>
            <w:tcW w:w="186" w:type="dxa"/>
            <w:tcBorders>
              <w:top w:val="nil"/>
              <w:bottom w:val="nil"/>
              <w:right w:val="nil"/>
            </w:tcBorders>
            <w:shd w:val="clear" w:color="auto" w:fill="FFF7F2"/>
          </w:tcPr>
          <w:p>
            <w:pPr>
              <w:pStyle w:val="TableParagraph"/>
              <w:rPr>
                <w:rFonts w:ascii="Times New Roman"/>
                <w:sz w:val="18"/>
              </w:rPr>
            </w:pPr>
          </w:p>
        </w:tc>
        <w:tc>
          <w:tcPr>
            <w:tcW w:w="1671" w:type="dxa"/>
            <w:tcBorders>
              <w:top w:val="single" w:sz="2" w:space="0" w:color="759EB4"/>
              <w:left w:val="nil"/>
              <w:bottom w:val="single" w:sz="18" w:space="0" w:color="377F9A"/>
              <w:right w:val="single" w:sz="2" w:space="0" w:color="759EB4"/>
            </w:tcBorders>
            <w:shd w:val="clear" w:color="auto" w:fill="FFF7F2"/>
          </w:tcPr>
          <w:p>
            <w:pPr>
              <w:pStyle w:val="TableParagraph"/>
              <w:spacing w:line="249" w:lineRule="auto" w:before="93"/>
              <w:ind w:left="96" w:right="78"/>
              <w:rPr>
                <w:sz w:val="18"/>
              </w:rPr>
            </w:pPr>
            <w:r>
              <w:rPr>
                <w:rFonts w:ascii="Arial"/>
                <w:b/>
                <w:color w:val="231F20"/>
                <w:w w:val="110"/>
                <w:sz w:val="18"/>
              </w:rPr>
              <w:t>Buprenorphine/ naloxone </w:t>
            </w:r>
            <w:r>
              <w:rPr>
                <w:color w:val="231F20"/>
                <w:w w:val="110"/>
                <w:sz w:val="18"/>
              </w:rPr>
              <w:t>(Bunavail)</w:t>
            </w:r>
          </w:p>
        </w:tc>
        <w:tc>
          <w:tcPr>
            <w:tcW w:w="1728" w:type="dxa"/>
            <w:tcBorders>
              <w:top w:val="single" w:sz="2" w:space="0" w:color="759EB4"/>
              <w:left w:val="single" w:sz="2" w:space="0" w:color="759EB4"/>
              <w:bottom w:val="single" w:sz="18" w:space="0" w:color="377F9A"/>
              <w:right w:val="single" w:sz="2" w:space="0" w:color="759EB4"/>
            </w:tcBorders>
            <w:shd w:val="clear" w:color="auto" w:fill="FFF6F1"/>
          </w:tcPr>
          <w:p>
            <w:pPr>
              <w:pStyle w:val="TableParagraph"/>
              <w:spacing w:before="90"/>
              <w:ind w:left="93"/>
              <w:rPr>
                <w:sz w:val="18"/>
              </w:rPr>
            </w:pPr>
            <w:r>
              <w:rPr>
                <w:color w:val="414142"/>
                <w:w w:val="130"/>
                <w:sz w:val="18"/>
              </w:rPr>
              <w:t>Buccal ﬁlm</w:t>
            </w:r>
          </w:p>
        </w:tc>
        <w:tc>
          <w:tcPr>
            <w:tcW w:w="2074" w:type="dxa"/>
            <w:tcBorders>
              <w:top w:val="single" w:sz="2" w:space="0" w:color="759EB4"/>
              <w:left w:val="single" w:sz="2" w:space="0" w:color="759EB4"/>
              <w:bottom w:val="single" w:sz="18" w:space="0" w:color="377F9A"/>
              <w:right w:val="single" w:sz="2" w:space="0" w:color="759EB4"/>
            </w:tcBorders>
            <w:shd w:val="clear" w:color="auto" w:fill="FFF6F1"/>
          </w:tcPr>
          <w:p>
            <w:pPr>
              <w:pStyle w:val="TableParagraph"/>
              <w:spacing w:line="235" w:lineRule="auto" w:before="94"/>
              <w:ind w:left="93" w:right="160"/>
              <w:rPr>
                <w:sz w:val="18"/>
              </w:rPr>
            </w:pPr>
            <w:r>
              <w:rPr>
                <w:color w:val="414142"/>
                <w:w w:val="125"/>
                <w:sz w:val="18"/>
              </w:rPr>
              <w:t>Mu-opioid receptor partial agonist combined with</w:t>
            </w:r>
          </w:p>
          <w:p>
            <w:pPr>
              <w:pStyle w:val="TableParagraph"/>
              <w:spacing w:line="235" w:lineRule="auto" w:before="2"/>
              <w:ind w:left="93" w:right="21"/>
              <w:rPr>
                <w:sz w:val="18"/>
              </w:rPr>
            </w:pPr>
            <w:r>
              <w:rPr>
                <w:color w:val="414142"/>
                <w:w w:val="125"/>
                <w:sz w:val="18"/>
              </w:rPr>
              <w:t>mu-opioid receptor antagonist; the latter is not absorbed sublingually</w:t>
            </w:r>
          </w:p>
        </w:tc>
        <w:tc>
          <w:tcPr>
            <w:tcW w:w="2333" w:type="dxa"/>
            <w:tcBorders>
              <w:top w:val="single" w:sz="2" w:space="0" w:color="759EB4"/>
              <w:left w:val="single" w:sz="2" w:space="0" w:color="759EB4"/>
              <w:bottom w:val="single" w:sz="18" w:space="0" w:color="377F9A"/>
              <w:right w:val="single" w:sz="2" w:space="0" w:color="759EB4"/>
            </w:tcBorders>
            <w:shd w:val="clear" w:color="auto" w:fill="FFF6F1"/>
          </w:tcPr>
          <w:p>
            <w:pPr>
              <w:pStyle w:val="TableParagraph"/>
              <w:spacing w:line="235" w:lineRule="auto" w:before="94"/>
              <w:ind w:left="92" w:right="381"/>
              <w:rPr>
                <w:sz w:val="18"/>
              </w:rPr>
            </w:pPr>
            <w:r>
              <w:rPr>
                <w:color w:val="414142"/>
                <w:w w:val="125"/>
                <w:sz w:val="18"/>
              </w:rPr>
              <w:t>Treatment of opioid dependence</w:t>
            </w:r>
          </w:p>
        </w:tc>
        <w:tc>
          <w:tcPr>
            <w:tcW w:w="1931" w:type="dxa"/>
            <w:tcBorders>
              <w:top w:val="single" w:sz="2" w:space="0" w:color="759EB4"/>
              <w:left w:val="single" w:sz="2" w:space="0" w:color="759EB4"/>
              <w:bottom w:val="single" w:sz="18" w:space="0" w:color="377F9A"/>
            </w:tcBorders>
            <w:shd w:val="clear" w:color="auto" w:fill="FFF6F1"/>
          </w:tcPr>
          <w:p>
            <w:pPr>
              <w:pStyle w:val="TableParagraph"/>
              <w:spacing w:line="235" w:lineRule="auto" w:before="94"/>
              <w:ind w:left="92" w:right="75"/>
              <w:rPr>
                <w:sz w:val="18"/>
              </w:rPr>
            </w:pPr>
            <w:r>
              <w:rPr>
                <w:color w:val="414142"/>
                <w:w w:val="120"/>
                <w:sz w:val="18"/>
              </w:rPr>
              <w:t>Once daily (also alternative off-label regimens)</w:t>
            </w:r>
          </w:p>
        </w:tc>
        <w:tc>
          <w:tcPr>
            <w:tcW w:w="158" w:type="dxa"/>
            <w:tcBorders>
              <w:top w:val="nil"/>
              <w:bottom w:val="nil"/>
              <w:right w:val="nil"/>
            </w:tcBorders>
            <w:shd w:val="clear" w:color="auto" w:fill="FFF7F2"/>
          </w:tcPr>
          <w:p>
            <w:pPr>
              <w:pStyle w:val="TableParagraph"/>
              <w:rPr>
                <w:rFonts w:ascii="Times New Roman"/>
                <w:sz w:val="18"/>
              </w:rPr>
            </w:pPr>
          </w:p>
        </w:tc>
      </w:tr>
      <w:tr>
        <w:trPr>
          <w:trHeight w:val="378" w:hRule="atLeast"/>
        </w:trPr>
        <w:tc>
          <w:tcPr>
            <w:tcW w:w="9923" w:type="dxa"/>
            <w:gridSpan w:val="6"/>
            <w:tcBorders>
              <w:top w:val="nil"/>
            </w:tcBorders>
            <w:shd w:val="clear" w:color="auto" w:fill="FFF7F2"/>
          </w:tcPr>
          <w:p>
            <w:pPr>
              <w:pStyle w:val="TableParagraph"/>
              <w:spacing w:before="79"/>
              <w:ind w:left="185"/>
              <w:rPr>
                <w:sz w:val="16"/>
              </w:rPr>
            </w:pPr>
            <w:r>
              <w:rPr>
                <w:color w:val="4D4D4F"/>
                <w:w w:val="125"/>
                <w:sz w:val="16"/>
              </w:rPr>
              <w:t>Continued on next page</w:t>
            </w:r>
          </w:p>
        </w:tc>
        <w:tc>
          <w:tcPr>
            <w:tcW w:w="158" w:type="dxa"/>
            <w:tcBorders>
              <w:top w:val="nil"/>
              <w:right w:val="nil"/>
            </w:tcBorders>
            <w:shd w:val="clear" w:color="auto" w:fill="FFF7F2"/>
          </w:tcPr>
          <w:p>
            <w:pPr>
              <w:pStyle w:val="TableParagraph"/>
              <w:rPr>
                <w:rFonts w:ascii="Times New Roman"/>
                <w:sz w:val="18"/>
              </w:rPr>
            </w:pPr>
          </w:p>
        </w:tc>
      </w:tr>
    </w:tbl>
    <w:p>
      <w:pPr>
        <w:spacing w:after="0"/>
        <w:rPr>
          <w:rFonts w:ascii="Times New Roman"/>
          <w:sz w:val="18"/>
        </w:rPr>
        <w:sectPr>
          <w:type w:val="continuous"/>
          <w:pgSz w:w="12240" w:h="15840"/>
          <w:pgMar w:top="540" w:bottom="280" w:left="940" w:right="920"/>
        </w:sectPr>
      </w:pPr>
    </w:p>
    <w:p>
      <w:pPr>
        <w:pStyle w:val="BodyText"/>
        <w:rPr>
          <w:sz w:val="20"/>
        </w:rPr>
      </w:pPr>
      <w:r>
        <w:rPr/>
        <w:pict>
          <v:group style="position:absolute;margin-left:54pt;margin-top:90pt;width:504.55pt;height:439.25pt;mso-position-horizontal-relative:page;mso-position-vertical-relative:page;z-index:-19574272" coordorigin="1080,1800" coordsize="10091,8785">
            <v:rect style="position:absolute;left:1085;top:1805;width:10081;height:8775" filled="true" fillcolor="#fff7f2" stroked="false">
              <v:fill type="solid"/>
            </v:rect>
            <v:shape style="position:absolute;left:2942;top:3131;width:8059;height:7226" type="#_x0000_t75" stroked="false">
              <v:imagedata r:id="rId39" o:title=""/>
            </v:shape>
            <v:rect style="position:absolute;left:1085;top:1805;width:10081;height:8775" filled="false" stroked="true" strokeweight=".5pt" strokecolor="#88aabd">
              <v:stroke dashstyle="solid"/>
            </v:rect>
            <v:shape style="position:absolute;left:1270;top:1901;width:7535;height:349" type="#_x0000_t202" filled="false" stroked="false">
              <v:textbox inset="0,0,0,0">
                <w:txbxContent>
                  <w:p>
                    <w:pPr>
                      <w:spacing w:before="36"/>
                      <w:ind w:left="0" w:right="0" w:firstLine="0"/>
                      <w:jc w:val="left"/>
                      <w:rPr>
                        <w:rFonts w:ascii="Arial"/>
                        <w:b/>
                        <w:sz w:val="20"/>
                      </w:rPr>
                    </w:pPr>
                    <w:r>
                      <w:rPr>
                        <w:rFonts w:ascii="Arial"/>
                        <w:b/>
                        <w:color w:val="137692"/>
                        <w:w w:val="110"/>
                        <w:sz w:val="26"/>
                      </w:rPr>
                      <w:t>EXHIBIT</w:t>
                    </w:r>
                    <w:r>
                      <w:rPr>
                        <w:rFonts w:ascii="Arial"/>
                        <w:b/>
                        <w:color w:val="137692"/>
                        <w:spacing w:val="-18"/>
                        <w:w w:val="110"/>
                        <w:sz w:val="26"/>
                      </w:rPr>
                      <w:t> </w:t>
                    </w:r>
                    <w:r>
                      <w:rPr>
                        <w:rFonts w:ascii="Arial"/>
                        <w:b/>
                        <w:color w:val="137692"/>
                        <w:w w:val="110"/>
                        <w:sz w:val="26"/>
                      </w:rPr>
                      <w:t>3A.5.</w:t>
                    </w:r>
                    <w:r>
                      <w:rPr>
                        <w:rFonts w:ascii="Arial"/>
                        <w:b/>
                        <w:color w:val="137692"/>
                        <w:spacing w:val="-17"/>
                        <w:w w:val="110"/>
                        <w:sz w:val="26"/>
                      </w:rPr>
                      <w:t> </w:t>
                    </w:r>
                    <w:r>
                      <w:rPr>
                        <w:rFonts w:ascii="Arial"/>
                        <w:b/>
                        <w:color w:val="137692"/>
                        <w:w w:val="110"/>
                        <w:sz w:val="26"/>
                      </w:rPr>
                      <w:t>OUD</w:t>
                    </w:r>
                    <w:r>
                      <w:rPr>
                        <w:rFonts w:ascii="Arial"/>
                        <w:b/>
                        <w:color w:val="137692"/>
                        <w:spacing w:val="-17"/>
                        <w:w w:val="110"/>
                        <w:sz w:val="26"/>
                      </w:rPr>
                      <w:t> </w:t>
                    </w:r>
                    <w:r>
                      <w:rPr>
                        <w:rFonts w:ascii="Arial"/>
                        <w:b/>
                        <w:color w:val="137692"/>
                        <w:w w:val="110"/>
                        <w:sz w:val="26"/>
                      </w:rPr>
                      <w:t>Medications:</w:t>
                    </w:r>
                    <w:r>
                      <w:rPr>
                        <w:rFonts w:ascii="Arial"/>
                        <w:b/>
                        <w:color w:val="137692"/>
                        <w:spacing w:val="-18"/>
                        <w:w w:val="110"/>
                        <w:sz w:val="26"/>
                      </w:rPr>
                      <w:t> </w:t>
                    </w:r>
                    <w:r>
                      <w:rPr>
                        <w:rFonts w:ascii="Arial"/>
                        <w:b/>
                        <w:color w:val="137692"/>
                        <w:w w:val="110"/>
                        <w:sz w:val="26"/>
                      </w:rPr>
                      <w:t>Formulations</w:t>
                    </w:r>
                    <w:r>
                      <w:rPr>
                        <w:rFonts w:ascii="Arial"/>
                        <w:b/>
                        <w:color w:val="137692"/>
                        <w:spacing w:val="-18"/>
                        <w:w w:val="110"/>
                        <w:sz w:val="26"/>
                      </w:rPr>
                      <w:t> </w:t>
                    </w:r>
                    <w:r>
                      <w:rPr>
                        <w:rFonts w:ascii="Arial"/>
                        <w:b/>
                        <w:color w:val="137692"/>
                        <w:w w:val="110"/>
                        <w:sz w:val="20"/>
                      </w:rPr>
                      <w:t>(continued)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12"/>
        </w:rPr>
      </w:pPr>
    </w:p>
    <w:tbl>
      <w:tblPr>
        <w:tblW w:w="0" w:type="auto"/>
        <w:jc w:val="left"/>
        <w:tblInd w:w="3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1671"/>
        <w:gridCol w:w="1728"/>
        <w:gridCol w:w="2133"/>
        <w:gridCol w:w="2268"/>
        <w:gridCol w:w="1931"/>
      </w:tblGrid>
      <w:tr>
        <w:trPr>
          <w:trHeight w:val="713" w:hRule="atLeast"/>
        </w:trPr>
        <w:tc>
          <w:tcPr>
            <w:tcW w:w="1671" w:type="dxa"/>
            <w:tcBorders>
              <w:right w:val="nil"/>
            </w:tcBorders>
            <w:shd w:val="clear" w:color="auto" w:fill="377F9A"/>
          </w:tcPr>
          <w:p>
            <w:pPr>
              <w:pStyle w:val="TableParagraph"/>
              <w:spacing w:line="319" w:lineRule="auto" w:before="151"/>
              <w:ind w:left="98" w:right="155"/>
              <w:rPr>
                <w:rFonts w:ascii="Arial"/>
                <w:b/>
                <w:sz w:val="17"/>
              </w:rPr>
            </w:pPr>
            <w:r>
              <w:rPr>
                <w:rFonts w:ascii="Arial"/>
                <w:b/>
                <w:color w:val="FFFFFF"/>
                <w:w w:val="110"/>
                <w:sz w:val="17"/>
              </w:rPr>
              <w:t>GENERIC/ TRADE NAME</w:t>
            </w:r>
          </w:p>
        </w:tc>
        <w:tc>
          <w:tcPr>
            <w:tcW w:w="1728" w:type="dxa"/>
            <w:tcBorders>
              <w:left w:val="nil"/>
              <w:right w:val="nil"/>
            </w:tcBorders>
            <w:shd w:val="clear" w:color="auto" w:fill="377F9A"/>
          </w:tcPr>
          <w:p>
            <w:pPr>
              <w:pStyle w:val="TableParagraph"/>
              <w:rPr>
                <w:rFonts w:ascii="Gill Sans MT"/>
                <w:sz w:val="22"/>
              </w:rPr>
            </w:pPr>
          </w:p>
          <w:p>
            <w:pPr>
              <w:pStyle w:val="TableParagraph"/>
              <w:spacing w:before="156"/>
              <w:ind w:left="152"/>
              <w:rPr>
                <w:rFonts w:ascii="Arial"/>
                <w:b/>
                <w:sz w:val="17"/>
              </w:rPr>
            </w:pPr>
            <w:r>
              <w:rPr>
                <w:rFonts w:ascii="Arial"/>
                <w:b/>
                <w:color w:val="FFFFFF"/>
                <w:w w:val="110"/>
                <w:sz w:val="17"/>
              </w:rPr>
              <w:t>FORMULATIONS</w:t>
            </w:r>
          </w:p>
        </w:tc>
        <w:tc>
          <w:tcPr>
            <w:tcW w:w="2133" w:type="dxa"/>
            <w:tcBorders>
              <w:left w:val="nil"/>
              <w:right w:val="nil"/>
            </w:tcBorders>
            <w:shd w:val="clear" w:color="auto" w:fill="377F9A"/>
          </w:tcPr>
          <w:p>
            <w:pPr>
              <w:pStyle w:val="TableParagraph"/>
              <w:spacing w:line="319" w:lineRule="auto" w:before="151"/>
              <w:ind w:left="588" w:hanging="210"/>
              <w:rPr>
                <w:rFonts w:ascii="Arial"/>
                <w:b/>
                <w:sz w:val="17"/>
              </w:rPr>
            </w:pPr>
            <w:r>
              <w:rPr>
                <w:rFonts w:ascii="Arial"/>
                <w:b/>
                <w:color w:val="FFFFFF"/>
                <w:w w:val="110"/>
                <w:sz w:val="17"/>
              </w:rPr>
              <w:t>ACTION AT THE RECEPTOR</w:t>
            </w:r>
          </w:p>
        </w:tc>
        <w:tc>
          <w:tcPr>
            <w:tcW w:w="2268" w:type="dxa"/>
            <w:tcBorders>
              <w:left w:val="nil"/>
              <w:right w:val="nil"/>
            </w:tcBorders>
            <w:shd w:val="clear" w:color="auto" w:fill="377F9A"/>
          </w:tcPr>
          <w:p>
            <w:pPr>
              <w:pStyle w:val="TableParagraph"/>
              <w:rPr>
                <w:rFonts w:ascii="Gill Sans MT"/>
                <w:sz w:val="22"/>
              </w:rPr>
            </w:pPr>
          </w:p>
          <w:p>
            <w:pPr>
              <w:pStyle w:val="TableParagraph"/>
              <w:spacing w:before="156"/>
              <w:ind w:left="325"/>
              <w:rPr>
                <w:rFonts w:ascii="Arial"/>
                <w:b/>
                <w:sz w:val="17"/>
              </w:rPr>
            </w:pPr>
            <w:r>
              <w:rPr>
                <w:rFonts w:ascii="Arial"/>
                <w:b/>
                <w:color w:val="FFFFFF"/>
                <w:w w:val="110"/>
                <w:sz w:val="17"/>
              </w:rPr>
              <w:t>FDA INDICATIONS</w:t>
            </w:r>
          </w:p>
        </w:tc>
        <w:tc>
          <w:tcPr>
            <w:tcW w:w="1931" w:type="dxa"/>
            <w:tcBorders>
              <w:left w:val="nil"/>
            </w:tcBorders>
            <w:shd w:val="clear" w:color="auto" w:fill="377F9A"/>
          </w:tcPr>
          <w:p>
            <w:pPr>
              <w:pStyle w:val="TableParagraph"/>
              <w:rPr>
                <w:rFonts w:ascii="Gill Sans MT"/>
                <w:sz w:val="22"/>
              </w:rPr>
            </w:pPr>
          </w:p>
          <w:p>
            <w:pPr>
              <w:pStyle w:val="TableParagraph"/>
              <w:spacing w:before="156"/>
              <w:ind w:left="159"/>
              <w:rPr>
                <w:rFonts w:ascii="Arial"/>
                <w:b/>
                <w:sz w:val="17"/>
              </w:rPr>
            </w:pPr>
            <w:r>
              <w:rPr>
                <w:rFonts w:ascii="Arial"/>
                <w:b/>
                <w:color w:val="FFFFFF"/>
                <w:w w:val="110"/>
                <w:sz w:val="17"/>
              </w:rPr>
              <w:t>DOSING REGIMEN</w:t>
            </w:r>
          </w:p>
        </w:tc>
      </w:tr>
      <w:tr>
        <w:trPr>
          <w:trHeight w:val="1698" w:hRule="atLeast"/>
        </w:trPr>
        <w:tc>
          <w:tcPr>
            <w:tcW w:w="1671" w:type="dxa"/>
            <w:tcBorders>
              <w:left w:val="nil"/>
              <w:bottom w:val="single" w:sz="2" w:space="0" w:color="759EB4"/>
              <w:right w:val="single" w:sz="2" w:space="0" w:color="759EB4"/>
            </w:tcBorders>
            <w:shd w:val="clear" w:color="auto" w:fill="FFF7F2"/>
          </w:tcPr>
          <w:p>
            <w:pPr>
              <w:pStyle w:val="TableParagraph"/>
              <w:spacing w:line="249" w:lineRule="auto" w:before="91"/>
              <w:ind w:left="111" w:right="63"/>
              <w:rPr>
                <w:sz w:val="18"/>
              </w:rPr>
            </w:pPr>
            <w:r>
              <w:rPr>
                <w:rFonts w:ascii="Arial"/>
                <w:b/>
                <w:color w:val="231F20"/>
                <w:w w:val="110"/>
                <w:sz w:val="18"/>
              </w:rPr>
              <w:t>Buprenorphine/ </w:t>
            </w:r>
            <w:r>
              <w:rPr>
                <w:rFonts w:ascii="Arial"/>
                <w:b/>
                <w:color w:val="231F20"/>
                <w:w w:val="115"/>
                <w:sz w:val="18"/>
              </w:rPr>
              <w:t>naloxone </w:t>
            </w:r>
            <w:r>
              <w:rPr>
                <w:color w:val="231F20"/>
                <w:w w:val="115"/>
                <w:sz w:val="18"/>
              </w:rPr>
              <w:t>(Suboxone)</w:t>
            </w:r>
          </w:p>
        </w:tc>
        <w:tc>
          <w:tcPr>
            <w:tcW w:w="1728" w:type="dxa"/>
            <w:tcBorders>
              <w:left w:val="single" w:sz="2" w:space="0" w:color="759EB4"/>
              <w:bottom w:val="single" w:sz="2" w:space="0" w:color="759EB4"/>
              <w:right w:val="single" w:sz="2" w:space="0" w:color="759EB4"/>
            </w:tcBorders>
          </w:tcPr>
          <w:p>
            <w:pPr>
              <w:pStyle w:val="TableParagraph"/>
              <w:spacing w:line="235" w:lineRule="auto" w:before="92"/>
              <w:ind w:left="107" w:right="189"/>
              <w:rPr>
                <w:sz w:val="18"/>
              </w:rPr>
            </w:pPr>
            <w:r>
              <w:rPr>
                <w:color w:val="414142"/>
                <w:w w:val="125"/>
                <w:sz w:val="18"/>
              </w:rPr>
              <w:t>Sublingual ﬁlm; may also be administered buccally</w:t>
            </w:r>
          </w:p>
        </w:tc>
        <w:tc>
          <w:tcPr>
            <w:tcW w:w="2133" w:type="dxa"/>
            <w:tcBorders>
              <w:left w:val="single" w:sz="2" w:space="0" w:color="759EB4"/>
              <w:bottom w:val="single" w:sz="2" w:space="0" w:color="759EB4"/>
              <w:right w:val="single" w:sz="2" w:space="0" w:color="759EB4"/>
            </w:tcBorders>
          </w:tcPr>
          <w:p>
            <w:pPr>
              <w:pStyle w:val="TableParagraph"/>
              <w:spacing w:line="235" w:lineRule="auto" w:before="92"/>
              <w:ind w:left="107" w:right="205"/>
              <w:rPr>
                <w:sz w:val="18"/>
              </w:rPr>
            </w:pPr>
            <w:r>
              <w:rPr>
                <w:color w:val="414142"/>
                <w:w w:val="125"/>
                <w:sz w:val="18"/>
              </w:rPr>
              <w:t>Mu-opioid receptor partial agonist combined with</w:t>
            </w:r>
          </w:p>
          <w:p>
            <w:pPr>
              <w:pStyle w:val="TableParagraph"/>
              <w:spacing w:line="235" w:lineRule="auto" w:before="2"/>
              <w:ind w:left="107" w:right="66"/>
              <w:rPr>
                <w:sz w:val="18"/>
              </w:rPr>
            </w:pPr>
            <w:r>
              <w:rPr>
                <w:color w:val="414142"/>
                <w:w w:val="125"/>
                <w:sz w:val="18"/>
              </w:rPr>
              <w:t>mu-opioid receptor antagonist; the latter is not absorbed sublingually</w:t>
            </w:r>
          </w:p>
        </w:tc>
        <w:tc>
          <w:tcPr>
            <w:tcW w:w="2268" w:type="dxa"/>
            <w:tcBorders>
              <w:left w:val="single" w:sz="2" w:space="0" w:color="759EB4"/>
              <w:bottom w:val="single" w:sz="2" w:space="0" w:color="759EB4"/>
              <w:right w:val="single" w:sz="2" w:space="0" w:color="759EB4"/>
            </w:tcBorders>
          </w:tcPr>
          <w:p>
            <w:pPr>
              <w:pStyle w:val="TableParagraph"/>
              <w:spacing w:line="235" w:lineRule="auto" w:before="92"/>
              <w:ind w:left="108" w:right="300"/>
              <w:rPr>
                <w:sz w:val="18"/>
              </w:rPr>
            </w:pPr>
            <w:r>
              <w:rPr>
                <w:color w:val="414142"/>
                <w:w w:val="125"/>
                <w:sz w:val="18"/>
              </w:rPr>
              <w:t>Treatment of opioid dependence</w:t>
            </w:r>
          </w:p>
        </w:tc>
        <w:tc>
          <w:tcPr>
            <w:tcW w:w="1931" w:type="dxa"/>
            <w:tcBorders>
              <w:left w:val="single" w:sz="2" w:space="0" w:color="759EB4"/>
              <w:bottom w:val="single" w:sz="2" w:space="0" w:color="759EB4"/>
              <w:right w:val="nil"/>
            </w:tcBorders>
          </w:tcPr>
          <w:p>
            <w:pPr>
              <w:pStyle w:val="TableParagraph"/>
              <w:spacing w:line="235" w:lineRule="auto" w:before="92"/>
              <w:ind w:left="108" w:right="64"/>
              <w:rPr>
                <w:sz w:val="18"/>
              </w:rPr>
            </w:pPr>
            <w:r>
              <w:rPr>
                <w:color w:val="414142"/>
                <w:w w:val="120"/>
                <w:sz w:val="18"/>
              </w:rPr>
              <w:t>Once daily (also alternative off-label regimens)</w:t>
            </w:r>
          </w:p>
        </w:tc>
      </w:tr>
      <w:tr>
        <w:trPr>
          <w:trHeight w:val="1699" w:hRule="atLeast"/>
        </w:trPr>
        <w:tc>
          <w:tcPr>
            <w:tcW w:w="1671"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11"/>
              <w:rPr>
                <w:rFonts w:ascii="Arial"/>
                <w:b/>
                <w:sz w:val="18"/>
              </w:rPr>
            </w:pPr>
            <w:r>
              <w:rPr>
                <w:rFonts w:ascii="Arial"/>
                <w:b/>
                <w:color w:val="231F20"/>
                <w:w w:val="110"/>
                <w:sz w:val="18"/>
              </w:rPr>
              <w:t>Buprenorphine</w:t>
            </w:r>
          </w:p>
          <w:p>
            <w:pPr>
              <w:pStyle w:val="TableParagraph"/>
              <w:spacing w:before="6"/>
              <w:ind w:left="111"/>
              <w:rPr>
                <w:sz w:val="18"/>
              </w:rPr>
            </w:pPr>
            <w:r>
              <w:rPr>
                <w:color w:val="231F20"/>
                <w:w w:val="125"/>
                <w:sz w:val="18"/>
              </w:rPr>
              <w:t>(Probuphine)</w:t>
            </w:r>
          </w:p>
        </w:tc>
        <w:tc>
          <w:tcPr>
            <w:tcW w:w="1728" w:type="dxa"/>
            <w:tcBorders>
              <w:top w:val="single" w:sz="2" w:space="0" w:color="759EB4"/>
              <w:left w:val="single" w:sz="2" w:space="0" w:color="759EB4"/>
              <w:bottom w:val="single" w:sz="2" w:space="0" w:color="759EB4"/>
              <w:right w:val="single" w:sz="2" w:space="0" w:color="759EB4"/>
            </w:tcBorders>
          </w:tcPr>
          <w:p>
            <w:pPr>
              <w:pStyle w:val="TableParagraph"/>
              <w:spacing w:before="90"/>
              <w:ind w:left="107"/>
              <w:rPr>
                <w:sz w:val="18"/>
              </w:rPr>
            </w:pPr>
            <w:r>
              <w:rPr>
                <w:color w:val="414142"/>
                <w:w w:val="125"/>
                <w:sz w:val="18"/>
              </w:rPr>
              <w:t>Implants</w:t>
            </w:r>
          </w:p>
        </w:tc>
        <w:tc>
          <w:tcPr>
            <w:tcW w:w="2133"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205"/>
              <w:rPr>
                <w:sz w:val="18"/>
              </w:rPr>
            </w:pPr>
            <w:r>
              <w:rPr>
                <w:color w:val="414142"/>
                <w:w w:val="125"/>
                <w:sz w:val="18"/>
              </w:rPr>
              <w:t>Mu-opioid receptor partial agonist</w:t>
            </w:r>
          </w:p>
        </w:tc>
        <w:tc>
          <w:tcPr>
            <w:tcW w:w="2268"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49"/>
              <w:rPr>
                <w:sz w:val="18"/>
              </w:rPr>
            </w:pPr>
            <w:r>
              <w:rPr>
                <w:color w:val="414142"/>
                <w:w w:val="125"/>
                <w:sz w:val="18"/>
              </w:rPr>
              <w:t>Maintenance treatment of opioid dependence in clinically stable patients taking 8 mg/day or less of Suboxone equivalents</w:t>
            </w:r>
          </w:p>
        </w:tc>
        <w:tc>
          <w:tcPr>
            <w:tcW w:w="1931" w:type="dxa"/>
            <w:tcBorders>
              <w:top w:val="single" w:sz="2" w:space="0" w:color="759EB4"/>
              <w:left w:val="single" w:sz="2" w:space="0" w:color="759EB4"/>
              <w:bottom w:val="single" w:sz="2" w:space="0" w:color="759EB4"/>
              <w:right w:val="nil"/>
            </w:tcBorders>
          </w:tcPr>
          <w:p>
            <w:pPr>
              <w:pStyle w:val="TableParagraph"/>
              <w:spacing w:line="235" w:lineRule="auto" w:before="93"/>
              <w:ind w:left="107" w:right="241"/>
              <w:rPr>
                <w:sz w:val="18"/>
              </w:rPr>
            </w:pPr>
            <w:r>
              <w:rPr>
                <w:color w:val="414142"/>
                <w:w w:val="120"/>
                <w:sz w:val="18"/>
              </w:rPr>
              <w:t>Implants last  for 6 months and </w:t>
            </w:r>
            <w:r>
              <w:rPr>
                <w:color w:val="414142"/>
                <w:spacing w:val="-6"/>
                <w:w w:val="120"/>
                <w:sz w:val="18"/>
              </w:rPr>
              <w:t>are </w:t>
            </w:r>
            <w:r>
              <w:rPr>
                <w:color w:val="414142"/>
                <w:w w:val="120"/>
                <w:sz w:val="18"/>
              </w:rPr>
              <w:t>then removed, after which</w:t>
            </w:r>
            <w:r>
              <w:rPr>
                <w:color w:val="414142"/>
                <w:spacing w:val="-1"/>
                <w:w w:val="120"/>
                <w:sz w:val="18"/>
              </w:rPr>
              <w:t> </w:t>
            </w:r>
            <w:r>
              <w:rPr>
                <w:color w:val="414142"/>
                <w:w w:val="120"/>
                <w:sz w:val="18"/>
              </w:rPr>
              <w:t>a</w:t>
            </w:r>
          </w:p>
          <w:p>
            <w:pPr>
              <w:pStyle w:val="TableParagraph"/>
              <w:spacing w:line="235" w:lineRule="auto" w:before="3"/>
              <w:ind w:left="107"/>
              <w:rPr>
                <w:sz w:val="18"/>
              </w:rPr>
            </w:pPr>
            <w:r>
              <w:rPr>
                <w:color w:val="414142"/>
                <w:w w:val="125"/>
                <w:sz w:val="18"/>
              </w:rPr>
              <w:t>second set can be inserted</w:t>
            </w:r>
          </w:p>
        </w:tc>
      </w:tr>
      <w:tr>
        <w:trPr>
          <w:trHeight w:val="1699" w:hRule="atLeast"/>
        </w:trPr>
        <w:tc>
          <w:tcPr>
            <w:tcW w:w="1671"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10" w:right="141"/>
              <w:rPr>
                <w:sz w:val="18"/>
              </w:rPr>
            </w:pPr>
            <w:r>
              <w:rPr>
                <w:rFonts w:ascii="Arial"/>
                <w:b/>
                <w:color w:val="231F20"/>
                <w:w w:val="110"/>
                <w:sz w:val="18"/>
              </w:rPr>
              <w:t>Extended- release injection buprenorphine </w:t>
            </w:r>
            <w:r>
              <w:rPr>
                <w:color w:val="231F20"/>
                <w:w w:val="110"/>
                <w:sz w:val="18"/>
              </w:rPr>
              <w:t>(Sublocade)</w:t>
            </w:r>
          </w:p>
        </w:tc>
        <w:tc>
          <w:tcPr>
            <w:tcW w:w="1728"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283"/>
              <w:rPr>
                <w:sz w:val="18"/>
              </w:rPr>
            </w:pPr>
            <w:r>
              <w:rPr>
                <w:color w:val="414142"/>
                <w:w w:val="125"/>
                <w:sz w:val="18"/>
              </w:rPr>
              <w:t>Subcutaneous injection in the abdominal region</w:t>
            </w:r>
          </w:p>
        </w:tc>
        <w:tc>
          <w:tcPr>
            <w:tcW w:w="2133"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205"/>
              <w:rPr>
                <w:sz w:val="18"/>
              </w:rPr>
            </w:pPr>
            <w:r>
              <w:rPr>
                <w:color w:val="414142"/>
                <w:w w:val="125"/>
                <w:sz w:val="18"/>
              </w:rPr>
              <w:t>Mu-opioid receptor partial agonist</w:t>
            </w:r>
          </w:p>
        </w:tc>
        <w:tc>
          <w:tcPr>
            <w:tcW w:w="2268"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219"/>
              <w:rPr>
                <w:sz w:val="18"/>
              </w:rPr>
            </w:pPr>
            <w:r>
              <w:rPr>
                <w:color w:val="414142"/>
                <w:w w:val="125"/>
                <w:sz w:val="18"/>
              </w:rPr>
              <w:t>Treatment of moderate-to-severe OUD among patients initiated and taking transmucosal buprenorphine for at least 7 days</w:t>
            </w:r>
          </w:p>
        </w:tc>
        <w:tc>
          <w:tcPr>
            <w:tcW w:w="1931" w:type="dxa"/>
            <w:tcBorders>
              <w:top w:val="single" w:sz="2" w:space="0" w:color="759EB4"/>
              <w:left w:val="single" w:sz="2" w:space="0" w:color="759EB4"/>
              <w:bottom w:val="single" w:sz="2" w:space="0" w:color="759EB4"/>
              <w:right w:val="nil"/>
            </w:tcBorders>
          </w:tcPr>
          <w:p>
            <w:pPr>
              <w:pStyle w:val="TableParagraph"/>
              <w:spacing w:before="90"/>
              <w:ind w:left="107"/>
              <w:rPr>
                <w:sz w:val="18"/>
              </w:rPr>
            </w:pPr>
            <w:r>
              <w:rPr>
                <w:color w:val="414142"/>
                <w:w w:val="120"/>
                <w:sz w:val="18"/>
              </w:rPr>
              <w:t>Monthly</w:t>
            </w:r>
          </w:p>
        </w:tc>
      </w:tr>
      <w:tr>
        <w:trPr>
          <w:trHeight w:val="835" w:hRule="atLeast"/>
        </w:trPr>
        <w:tc>
          <w:tcPr>
            <w:tcW w:w="1671" w:type="dxa"/>
            <w:tcBorders>
              <w:top w:val="single" w:sz="2" w:space="0" w:color="759EB4"/>
              <w:left w:val="nil"/>
              <w:bottom w:val="single" w:sz="2" w:space="0" w:color="759EB4"/>
              <w:right w:val="single" w:sz="2" w:space="0" w:color="759EB4"/>
            </w:tcBorders>
            <w:shd w:val="clear" w:color="auto" w:fill="FFF7F2"/>
          </w:tcPr>
          <w:p>
            <w:pPr>
              <w:pStyle w:val="TableParagraph"/>
              <w:spacing w:line="242" w:lineRule="auto" w:before="93"/>
              <w:ind w:left="110"/>
              <w:rPr>
                <w:sz w:val="18"/>
              </w:rPr>
            </w:pPr>
            <w:r>
              <w:rPr>
                <w:rFonts w:ascii="Arial"/>
                <w:b/>
                <w:color w:val="231F20"/>
                <w:w w:val="110"/>
                <w:sz w:val="18"/>
              </w:rPr>
              <w:t>Oral naltrexone </w:t>
            </w:r>
            <w:r>
              <w:rPr>
                <w:color w:val="231F20"/>
                <w:w w:val="120"/>
                <w:sz w:val="18"/>
              </w:rPr>
              <w:t>(Naltrexone hydrochloride)</w:t>
            </w:r>
          </w:p>
        </w:tc>
        <w:tc>
          <w:tcPr>
            <w:tcW w:w="1728" w:type="dxa"/>
            <w:tcBorders>
              <w:top w:val="single" w:sz="2" w:space="0" w:color="759EB4"/>
              <w:left w:val="single" w:sz="2" w:space="0" w:color="759EB4"/>
              <w:bottom w:val="single" w:sz="2" w:space="0" w:color="759EB4"/>
              <w:right w:val="single" w:sz="2" w:space="0" w:color="759EB4"/>
            </w:tcBorders>
          </w:tcPr>
          <w:p>
            <w:pPr>
              <w:pStyle w:val="TableParagraph"/>
              <w:spacing w:before="90"/>
              <w:ind w:left="107"/>
              <w:rPr>
                <w:sz w:val="18"/>
              </w:rPr>
            </w:pPr>
            <w:r>
              <w:rPr>
                <w:color w:val="414142"/>
                <w:w w:val="120"/>
                <w:sz w:val="18"/>
              </w:rPr>
              <w:t>Oral tablet</w:t>
            </w:r>
          </w:p>
        </w:tc>
        <w:tc>
          <w:tcPr>
            <w:tcW w:w="2133"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205"/>
              <w:rPr>
                <w:sz w:val="18"/>
              </w:rPr>
            </w:pPr>
            <w:r>
              <w:rPr>
                <w:color w:val="414142"/>
                <w:w w:val="125"/>
                <w:sz w:val="18"/>
              </w:rPr>
              <w:t>Mu-opioid receptor antagonist</w:t>
            </w:r>
          </w:p>
        </w:tc>
        <w:tc>
          <w:tcPr>
            <w:tcW w:w="2268" w:type="dxa"/>
            <w:tcBorders>
              <w:top w:val="single" w:sz="2" w:space="0" w:color="759EB4"/>
              <w:left w:val="single" w:sz="2" w:space="0" w:color="759EB4"/>
              <w:bottom w:val="single" w:sz="2" w:space="0" w:color="759EB4"/>
              <w:right w:val="single" w:sz="2" w:space="0" w:color="759EB4"/>
            </w:tcBorders>
          </w:tcPr>
          <w:p>
            <w:pPr>
              <w:pStyle w:val="TableParagraph"/>
              <w:spacing w:line="235" w:lineRule="auto" w:before="93"/>
              <w:ind w:left="107" w:right="49"/>
              <w:rPr>
                <w:sz w:val="18"/>
              </w:rPr>
            </w:pPr>
            <w:r>
              <w:rPr>
                <w:color w:val="414142"/>
                <w:w w:val="125"/>
                <w:sz w:val="18"/>
              </w:rPr>
              <w:t>Block the effects of administered opioid agonists</w:t>
            </w:r>
          </w:p>
        </w:tc>
        <w:tc>
          <w:tcPr>
            <w:tcW w:w="1931" w:type="dxa"/>
            <w:tcBorders>
              <w:top w:val="single" w:sz="2" w:space="0" w:color="759EB4"/>
              <w:left w:val="single" w:sz="2" w:space="0" w:color="759EB4"/>
              <w:bottom w:val="single" w:sz="2" w:space="0" w:color="759EB4"/>
              <w:right w:val="nil"/>
            </w:tcBorders>
          </w:tcPr>
          <w:p>
            <w:pPr>
              <w:pStyle w:val="TableParagraph"/>
              <w:spacing w:line="235" w:lineRule="auto" w:before="93"/>
              <w:ind w:left="107" w:right="65"/>
              <w:rPr>
                <w:sz w:val="18"/>
              </w:rPr>
            </w:pPr>
            <w:r>
              <w:rPr>
                <w:color w:val="414142"/>
                <w:w w:val="120"/>
                <w:sz w:val="18"/>
              </w:rPr>
              <w:t>Once daily (also alternative off-label regimens)</w:t>
            </w:r>
          </w:p>
        </w:tc>
      </w:tr>
      <w:tr>
        <w:trPr>
          <w:trHeight w:val="1247" w:hRule="atLeast"/>
        </w:trPr>
        <w:tc>
          <w:tcPr>
            <w:tcW w:w="1671" w:type="dxa"/>
            <w:tcBorders>
              <w:top w:val="single" w:sz="2" w:space="0" w:color="759EB4"/>
              <w:left w:val="nil"/>
              <w:bottom w:val="single" w:sz="18" w:space="0" w:color="377F9A"/>
              <w:right w:val="single" w:sz="2" w:space="0" w:color="759EB4"/>
            </w:tcBorders>
            <w:shd w:val="clear" w:color="auto" w:fill="FFF7F2"/>
          </w:tcPr>
          <w:p>
            <w:pPr>
              <w:pStyle w:val="TableParagraph"/>
              <w:spacing w:before="90"/>
              <w:ind w:left="110"/>
              <w:rPr>
                <w:sz w:val="18"/>
              </w:rPr>
            </w:pPr>
            <w:r>
              <w:rPr>
                <w:rFonts w:ascii="Arial"/>
                <w:b/>
                <w:color w:val="231F20"/>
                <w:w w:val="115"/>
                <w:sz w:val="18"/>
              </w:rPr>
              <w:t>XR-NTX </w:t>
            </w:r>
            <w:r>
              <w:rPr>
                <w:color w:val="231F20"/>
                <w:w w:val="115"/>
                <w:sz w:val="18"/>
              </w:rPr>
              <w:t>(Vivitrol)</w:t>
            </w:r>
          </w:p>
        </w:tc>
        <w:tc>
          <w:tcPr>
            <w:tcW w:w="1728" w:type="dxa"/>
            <w:tcBorders>
              <w:top w:val="single" w:sz="2" w:space="0" w:color="759EB4"/>
              <w:left w:val="single" w:sz="2" w:space="0" w:color="759EB4"/>
              <w:bottom w:val="single" w:sz="18" w:space="0" w:color="377F9A"/>
              <w:right w:val="single" w:sz="2" w:space="0" w:color="759EB4"/>
            </w:tcBorders>
          </w:tcPr>
          <w:p>
            <w:pPr>
              <w:pStyle w:val="TableParagraph"/>
              <w:spacing w:line="235" w:lineRule="auto" w:before="93"/>
              <w:ind w:left="107" w:right="322"/>
              <w:rPr>
                <w:sz w:val="18"/>
              </w:rPr>
            </w:pPr>
            <w:r>
              <w:rPr>
                <w:color w:val="414142"/>
                <w:w w:val="125"/>
                <w:sz w:val="18"/>
              </w:rPr>
              <w:t>Intramuscular injection</w:t>
            </w:r>
          </w:p>
        </w:tc>
        <w:tc>
          <w:tcPr>
            <w:tcW w:w="2133" w:type="dxa"/>
            <w:tcBorders>
              <w:top w:val="single" w:sz="2" w:space="0" w:color="759EB4"/>
              <w:left w:val="single" w:sz="2" w:space="0" w:color="759EB4"/>
              <w:bottom w:val="single" w:sz="18" w:space="0" w:color="377F9A"/>
              <w:right w:val="single" w:sz="2" w:space="0" w:color="759EB4"/>
            </w:tcBorders>
          </w:tcPr>
          <w:p>
            <w:pPr>
              <w:pStyle w:val="TableParagraph"/>
              <w:spacing w:line="235" w:lineRule="auto" w:before="93"/>
              <w:ind w:left="107" w:right="205"/>
              <w:rPr>
                <w:sz w:val="18"/>
              </w:rPr>
            </w:pPr>
            <w:r>
              <w:rPr>
                <w:color w:val="414142"/>
                <w:w w:val="125"/>
                <w:sz w:val="18"/>
              </w:rPr>
              <w:t>Mu-opioid receptor antagonist</w:t>
            </w:r>
          </w:p>
        </w:tc>
        <w:tc>
          <w:tcPr>
            <w:tcW w:w="2268" w:type="dxa"/>
            <w:tcBorders>
              <w:top w:val="single" w:sz="2" w:space="0" w:color="759EB4"/>
              <w:left w:val="single" w:sz="2" w:space="0" w:color="759EB4"/>
              <w:bottom w:val="single" w:sz="18" w:space="0" w:color="377F9A"/>
              <w:right w:val="single" w:sz="2" w:space="0" w:color="759EB4"/>
            </w:tcBorders>
          </w:tcPr>
          <w:p>
            <w:pPr>
              <w:pStyle w:val="TableParagraph"/>
              <w:spacing w:line="235" w:lineRule="auto" w:before="93"/>
              <w:ind w:left="107" w:right="374"/>
              <w:rPr>
                <w:sz w:val="18"/>
              </w:rPr>
            </w:pPr>
            <w:r>
              <w:rPr>
                <w:color w:val="414142"/>
                <w:w w:val="125"/>
                <w:sz w:val="18"/>
              </w:rPr>
              <w:t>Prevent return to opioid dependence after medically supervised opioid withdrawal</w:t>
            </w:r>
          </w:p>
        </w:tc>
        <w:tc>
          <w:tcPr>
            <w:tcW w:w="1931" w:type="dxa"/>
            <w:tcBorders>
              <w:top w:val="single" w:sz="2" w:space="0" w:color="759EB4"/>
              <w:left w:val="single" w:sz="2" w:space="0" w:color="759EB4"/>
              <w:bottom w:val="single" w:sz="18" w:space="0" w:color="377F9A"/>
              <w:right w:val="nil"/>
            </w:tcBorders>
          </w:tcPr>
          <w:p>
            <w:pPr>
              <w:pStyle w:val="TableParagraph"/>
              <w:spacing w:line="235" w:lineRule="auto" w:before="93"/>
              <w:ind w:left="107" w:right="241"/>
              <w:rPr>
                <w:sz w:val="18"/>
              </w:rPr>
            </w:pPr>
            <w:r>
              <w:rPr>
                <w:color w:val="414142"/>
                <w:w w:val="125"/>
                <w:sz w:val="18"/>
              </w:rPr>
              <w:t>Once monthly by injection</w:t>
            </w:r>
          </w:p>
        </w:tc>
      </w:tr>
    </w:tbl>
    <w:p>
      <w:pPr>
        <w:spacing w:after="0" w:line="235" w:lineRule="auto"/>
        <w:rPr>
          <w:sz w:val="18"/>
        </w:rPr>
        <w:sectPr>
          <w:pgSz w:w="12240" w:h="15840"/>
          <w:pgMar w:header="576" w:footer="677" w:top="1340" w:bottom="860" w:left="940" w:right="9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9"/>
        </w:rPr>
      </w:pPr>
    </w:p>
    <w:p>
      <w:pPr>
        <w:spacing w:before="121"/>
        <w:ind w:left="3471" w:right="3489" w:firstLine="0"/>
        <w:jc w:val="center"/>
        <w:rPr>
          <w:rFonts w:ascii="Arial"/>
          <w:sz w:val="18"/>
        </w:rPr>
      </w:pPr>
      <w:r>
        <w:rPr>
          <w:rFonts w:ascii="Arial"/>
          <w:color w:val="414042"/>
          <w:w w:val="120"/>
          <w:sz w:val="18"/>
        </w:rPr>
        <w:t>This page intentionally left blank.</w:t>
      </w:r>
    </w:p>
    <w:p>
      <w:pPr>
        <w:spacing w:after="0"/>
        <w:jc w:val="center"/>
        <w:rPr>
          <w:rFonts w:ascii="Arial"/>
          <w:sz w:val="18"/>
        </w:rPr>
        <w:sectPr>
          <w:headerReference w:type="even" r:id="rId40"/>
          <w:footerReference w:type="even" r:id="rId41"/>
          <w:pgSz w:w="12240" w:h="15840"/>
          <w:pgMar w:header="0" w:footer="0" w:top="1500" w:bottom="280" w:left="940" w:right="920"/>
        </w:sectPr>
      </w:pPr>
    </w:p>
    <w:p>
      <w:pPr>
        <w:pStyle w:val="BodyText"/>
        <w:spacing w:before="4"/>
        <w:rPr>
          <w:rFonts w:ascii="Arial"/>
          <w:sz w:val="24"/>
        </w:rPr>
      </w:pPr>
    </w:p>
    <w:p>
      <w:pPr>
        <w:pStyle w:val="Heading1"/>
        <w:spacing w:before="78"/>
      </w:pPr>
      <w:bookmarkStart w:name="_TOC_250099" w:id="16"/>
      <w:bookmarkEnd w:id="16"/>
      <w:r>
        <w:rPr>
          <w:color w:val="414142"/>
          <w:w w:val="105"/>
        </w:rPr>
        <w:t>Chapter 3B: Methadone</w:t>
      </w:r>
    </w:p>
    <w:p>
      <w:pPr>
        <w:pStyle w:val="BodyText"/>
        <w:spacing w:before="2"/>
        <w:rPr>
          <w:rFonts w:ascii="Calibri"/>
          <w:b/>
          <w:sz w:val="18"/>
        </w:rPr>
      </w:pPr>
      <w:r>
        <w:rPr/>
        <w:pict>
          <v:shape style="position:absolute;margin-left:54.25pt;margin-top:13.329594pt;width:504.05pt;height:62.25pt;mso-position-horizontal-relative:page;mso-position-vertical-relative:paragraph;z-index:-15714816;mso-wrap-distance-left:0;mso-wrap-distance-right:0" type="#_x0000_t202" filled="false" stroked="true" strokeweight=".5pt" strokecolor="#88aabd">
            <v:textbox inset="0,0,0,0">
              <w:txbxContent>
                <w:p>
                  <w:pPr>
                    <w:spacing w:line="247" w:lineRule="auto" w:before="229"/>
                    <w:ind w:left="270" w:right="924" w:firstLine="0"/>
                    <w:jc w:val="left"/>
                    <w:rPr>
                      <w:rFonts w:ascii="Trebuchet MS"/>
                      <w:b/>
                      <w:i/>
                      <w:sz w:val="22"/>
                    </w:rPr>
                  </w:pPr>
                  <w:r>
                    <w:rPr>
                      <w:rFonts w:ascii="Trebuchet MS"/>
                      <w:b/>
                      <w:i/>
                      <w:color w:val="137692"/>
                      <w:sz w:val="22"/>
                    </w:rPr>
                    <w:t>Chapter 3B provides </w:t>
                  </w:r>
                  <w:r>
                    <w:rPr>
                      <w:rFonts w:ascii="Trebuchet MS"/>
                      <w:b/>
                      <w:i/>
                      <w:color w:val="4D4D4F"/>
                      <w:sz w:val="22"/>
                    </w:rPr>
                    <w:t>an overview of methadone </w:t>
                  </w:r>
                  <w:r>
                    <w:rPr>
                      <w:rFonts w:ascii="Trebuchet MS"/>
                      <w:b/>
                      <w:i/>
                      <w:color w:val="4D4D4F"/>
                      <w:spacing w:val="2"/>
                      <w:sz w:val="22"/>
                    </w:rPr>
                    <w:t>pharmacology </w:t>
                  </w:r>
                  <w:r>
                    <w:rPr>
                      <w:rFonts w:ascii="Trebuchet MS"/>
                      <w:b/>
                      <w:i/>
                      <w:color w:val="4D4D4F"/>
                      <w:sz w:val="22"/>
                    </w:rPr>
                    <w:t>and discussion of  </w:t>
                  </w:r>
                  <w:r>
                    <w:rPr>
                      <w:rFonts w:ascii="Trebuchet MS"/>
                      <w:b/>
                      <w:i/>
                      <w:color w:val="4D4D4F"/>
                      <w:sz w:val="22"/>
                    </w:rPr>
                    <w:t>key methadone dosing considerations for healthcare professionals working in </w:t>
                  </w:r>
                  <w:r>
                    <w:rPr>
                      <w:rFonts w:ascii="Trebuchet MS"/>
                      <w:b/>
                      <w:i/>
                      <w:color w:val="4D4D4F"/>
                      <w:spacing w:val="2"/>
                      <w:sz w:val="22"/>
                    </w:rPr>
                    <w:t>opioid </w:t>
                  </w:r>
                  <w:r>
                    <w:rPr>
                      <w:rFonts w:ascii="Trebuchet MS"/>
                      <w:b/>
                      <w:i/>
                      <w:color w:val="4D4D4F"/>
                      <w:sz w:val="22"/>
                    </w:rPr>
                    <w:t>treatment programs</w:t>
                  </w:r>
                  <w:r>
                    <w:rPr>
                      <w:rFonts w:ascii="Trebuchet MS"/>
                      <w:b/>
                      <w:i/>
                      <w:color w:val="4D4D4F"/>
                      <w:spacing w:val="5"/>
                      <w:sz w:val="22"/>
                    </w:rPr>
                    <w:t> </w:t>
                  </w:r>
                  <w:r>
                    <w:rPr>
                      <w:rFonts w:ascii="Trebuchet MS"/>
                      <w:b/>
                      <w:i/>
                      <w:color w:val="4D4D4F"/>
                      <w:sz w:val="22"/>
                    </w:rPr>
                    <w:t>(OTPs).</w:t>
                  </w:r>
                </w:p>
              </w:txbxContent>
            </v:textbox>
            <v:stroke dashstyle="solid"/>
            <w10:wrap type="topAndBottom"/>
          </v:shape>
        </w:pict>
      </w:r>
    </w:p>
    <w:p>
      <w:pPr>
        <w:pStyle w:val="BodyText"/>
        <w:spacing w:before="1"/>
        <w:rPr>
          <w:rFonts w:ascii="Calibri"/>
          <w:b/>
          <w:sz w:val="28"/>
        </w:rPr>
      </w:pPr>
    </w:p>
    <w:p>
      <w:pPr>
        <w:spacing w:after="0"/>
        <w:rPr>
          <w:rFonts w:ascii="Calibri"/>
          <w:sz w:val="28"/>
        </w:rPr>
        <w:sectPr>
          <w:headerReference w:type="default" r:id="rId42"/>
          <w:headerReference w:type="even" r:id="rId43"/>
          <w:footerReference w:type="default" r:id="rId44"/>
          <w:footerReference w:type="even" r:id="rId45"/>
          <w:pgSz w:w="12240" w:h="15840"/>
          <w:pgMar w:header="576" w:footer="677" w:top="1340" w:bottom="860" w:left="940" w:right="920"/>
          <w:pgNumType w:start="17"/>
        </w:sectPr>
      </w:pPr>
    </w:p>
    <w:p>
      <w:pPr>
        <w:pStyle w:val="BodyText"/>
        <w:spacing w:line="247" w:lineRule="auto" w:before="111"/>
        <w:ind w:left="139" w:right="173"/>
      </w:pPr>
      <w:r>
        <w:rPr>
          <w:color w:val="4D4D4F"/>
          <w:w w:val="110"/>
        </w:rPr>
        <w:t>Methadone is the most studied pharmacother- apy</w:t>
      </w:r>
      <w:r>
        <w:rPr>
          <w:color w:val="4D4D4F"/>
          <w:spacing w:val="-17"/>
          <w:w w:val="110"/>
        </w:rPr>
        <w:t> </w:t>
      </w:r>
      <w:r>
        <w:rPr>
          <w:color w:val="4D4D4F"/>
          <w:w w:val="110"/>
        </w:rPr>
        <w:t>for</w:t>
      </w:r>
      <w:r>
        <w:rPr>
          <w:color w:val="4D4D4F"/>
          <w:spacing w:val="-16"/>
          <w:w w:val="110"/>
        </w:rPr>
        <w:t> </w:t>
      </w:r>
      <w:r>
        <w:rPr>
          <w:color w:val="4D4D4F"/>
          <w:w w:val="110"/>
        </w:rPr>
        <w:t>opioid</w:t>
      </w:r>
      <w:r>
        <w:rPr>
          <w:color w:val="4D4D4F"/>
          <w:spacing w:val="-16"/>
          <w:w w:val="110"/>
        </w:rPr>
        <w:t> </w:t>
      </w:r>
      <w:r>
        <w:rPr>
          <w:color w:val="4D4D4F"/>
          <w:w w:val="110"/>
        </w:rPr>
        <w:t>use</w:t>
      </w:r>
      <w:r>
        <w:rPr>
          <w:color w:val="4D4D4F"/>
          <w:spacing w:val="-16"/>
          <w:w w:val="110"/>
        </w:rPr>
        <w:t> </w:t>
      </w:r>
      <w:r>
        <w:rPr>
          <w:color w:val="4D4D4F"/>
          <w:w w:val="110"/>
        </w:rPr>
        <w:t>disorder</w:t>
      </w:r>
      <w:r>
        <w:rPr>
          <w:color w:val="4D4D4F"/>
          <w:spacing w:val="-17"/>
          <w:w w:val="110"/>
        </w:rPr>
        <w:t> </w:t>
      </w:r>
      <w:r>
        <w:rPr>
          <w:color w:val="4D4D4F"/>
          <w:w w:val="110"/>
        </w:rPr>
        <w:t>(OUD).</w:t>
      </w:r>
      <w:r>
        <w:rPr>
          <w:color w:val="4D4D4F"/>
          <w:spacing w:val="-16"/>
          <w:w w:val="110"/>
        </w:rPr>
        <w:t> </w:t>
      </w:r>
      <w:r>
        <w:rPr>
          <w:color w:val="4D4D4F"/>
          <w:w w:val="110"/>
        </w:rPr>
        <w:t>Of</w:t>
      </w:r>
      <w:r>
        <w:rPr>
          <w:color w:val="4D4D4F"/>
          <w:spacing w:val="-16"/>
          <w:w w:val="110"/>
        </w:rPr>
        <w:t> </w:t>
      </w:r>
      <w:r>
        <w:rPr>
          <w:color w:val="4D4D4F"/>
          <w:w w:val="110"/>
        </w:rPr>
        <w:t>all</w:t>
      </w:r>
      <w:r>
        <w:rPr>
          <w:color w:val="4D4D4F"/>
          <w:spacing w:val="-16"/>
          <w:w w:val="110"/>
        </w:rPr>
        <w:t> </w:t>
      </w:r>
      <w:r>
        <w:rPr>
          <w:color w:val="4D4D4F"/>
          <w:w w:val="110"/>
        </w:rPr>
        <w:t>OUD pharmacotherapies, it is used to treat the most people throughout the world and has by far  the longest track record (nearly 50 years).</w:t>
      </w:r>
      <w:r>
        <w:rPr>
          <w:color w:val="4D4D4F"/>
          <w:w w:val="110"/>
          <w:position w:val="7"/>
          <w:sz w:val="13"/>
        </w:rPr>
        <w:t>76,77 </w:t>
      </w:r>
      <w:r>
        <w:rPr>
          <w:color w:val="4D4D4F"/>
          <w:w w:val="110"/>
        </w:rPr>
        <w:t>Numerous clinical trials and meta-analyses </w:t>
      </w:r>
      <w:r>
        <w:rPr>
          <w:color w:val="4D4D4F"/>
          <w:spacing w:val="-5"/>
          <w:w w:val="110"/>
        </w:rPr>
        <w:t>have </w:t>
      </w:r>
      <w:r>
        <w:rPr>
          <w:color w:val="4D4D4F"/>
          <w:w w:val="110"/>
        </w:rPr>
        <w:t>shown that methadone treatment is associated with signiﬁcantly higher rates of treatment retention and lower rates of illicit opioid</w:t>
      </w:r>
      <w:r>
        <w:rPr>
          <w:color w:val="4D4D4F"/>
          <w:spacing w:val="-40"/>
          <w:w w:val="110"/>
        </w:rPr>
        <w:t> </w:t>
      </w:r>
      <w:r>
        <w:rPr>
          <w:color w:val="4D4D4F"/>
          <w:w w:val="110"/>
        </w:rPr>
        <w:t>use</w:t>
      </w:r>
    </w:p>
    <w:p>
      <w:pPr>
        <w:pStyle w:val="BodyText"/>
        <w:spacing w:line="247" w:lineRule="auto" w:before="11"/>
        <w:ind w:left="139" w:hanging="1"/>
      </w:pPr>
      <w:r>
        <w:rPr>
          <w:color w:val="4D4D4F"/>
          <w:w w:val="110"/>
        </w:rPr>
        <w:t>compared with placebo and with no treatment.</w:t>
      </w:r>
      <w:r>
        <w:rPr>
          <w:color w:val="4D4D4F"/>
          <w:w w:val="110"/>
          <w:position w:val="7"/>
          <w:sz w:val="13"/>
        </w:rPr>
        <w:t>78 </w:t>
      </w:r>
      <w:r>
        <w:rPr>
          <w:color w:val="4D4D4F"/>
          <w:w w:val="110"/>
        </w:rPr>
        <w:t>Other research associates methadone treatment with reduced mortality, criminal behavior, and HIV seroconversion.</w:t>
      </w:r>
      <w:r>
        <w:rPr>
          <w:color w:val="4D4D4F"/>
          <w:w w:val="110"/>
          <w:position w:val="7"/>
          <w:sz w:val="13"/>
        </w:rPr>
        <w:t>79,80,81 </w:t>
      </w:r>
      <w:r>
        <w:rPr>
          <w:color w:val="4D4D4F"/>
          <w:w w:val="110"/>
        </w:rPr>
        <w:t>A Cochrane meta- analysis found that, at ﬂexible doses, methadone compared with buprenorphine retains patients</w:t>
      </w:r>
    </w:p>
    <w:p>
      <w:pPr>
        <w:pStyle w:val="BodyText"/>
        <w:spacing w:line="247" w:lineRule="auto" w:before="7"/>
        <w:ind w:left="139" w:right="533"/>
        <w:rPr>
          <w:sz w:val="13"/>
        </w:rPr>
      </w:pPr>
      <w:r>
        <w:rPr>
          <w:color w:val="4D4D4F"/>
          <w:w w:val="115"/>
        </w:rPr>
        <w:t>in</w:t>
      </w:r>
      <w:r>
        <w:rPr>
          <w:color w:val="4D4D4F"/>
          <w:spacing w:val="-22"/>
          <w:w w:val="115"/>
        </w:rPr>
        <w:t> </w:t>
      </w:r>
      <w:r>
        <w:rPr>
          <w:color w:val="4D4D4F"/>
          <w:w w:val="115"/>
        </w:rPr>
        <w:t>treatment</w:t>
      </w:r>
      <w:r>
        <w:rPr>
          <w:color w:val="4D4D4F"/>
          <w:spacing w:val="-22"/>
          <w:w w:val="115"/>
        </w:rPr>
        <w:t> </w:t>
      </w:r>
      <w:r>
        <w:rPr>
          <w:color w:val="4D4D4F"/>
          <w:w w:val="115"/>
        </w:rPr>
        <w:t>signiﬁcantly</w:t>
      </w:r>
      <w:r>
        <w:rPr>
          <w:color w:val="4D4D4F"/>
          <w:spacing w:val="-22"/>
          <w:w w:val="115"/>
        </w:rPr>
        <w:t> </w:t>
      </w:r>
      <w:r>
        <w:rPr>
          <w:color w:val="4D4D4F"/>
          <w:w w:val="115"/>
        </w:rPr>
        <w:t>longer</w:t>
      </w:r>
      <w:r>
        <w:rPr>
          <w:color w:val="4D4D4F"/>
          <w:spacing w:val="-22"/>
          <w:w w:val="115"/>
        </w:rPr>
        <w:t> </w:t>
      </w:r>
      <w:r>
        <w:rPr>
          <w:color w:val="4D4D4F"/>
          <w:w w:val="115"/>
        </w:rPr>
        <w:t>and</w:t>
      </w:r>
      <w:r>
        <w:rPr>
          <w:color w:val="4D4D4F"/>
          <w:spacing w:val="-22"/>
          <w:w w:val="115"/>
        </w:rPr>
        <w:t> </w:t>
      </w:r>
      <w:r>
        <w:rPr>
          <w:color w:val="4D4D4F"/>
          <w:spacing w:val="-3"/>
          <w:w w:val="115"/>
        </w:rPr>
        <w:t>equally </w:t>
      </w:r>
      <w:r>
        <w:rPr>
          <w:color w:val="4D4D4F"/>
          <w:w w:val="115"/>
        </w:rPr>
        <w:t>reduces illicit opioid</w:t>
      </w:r>
      <w:r>
        <w:rPr>
          <w:color w:val="4D4D4F"/>
          <w:spacing w:val="-35"/>
          <w:w w:val="115"/>
        </w:rPr>
        <w:t> </w:t>
      </w:r>
      <w:r>
        <w:rPr>
          <w:color w:val="4D4D4F"/>
          <w:w w:val="115"/>
        </w:rPr>
        <w:t>use.</w:t>
      </w:r>
      <w:r>
        <w:rPr>
          <w:color w:val="4D4D4F"/>
          <w:w w:val="115"/>
          <w:position w:val="7"/>
          <w:sz w:val="13"/>
        </w:rPr>
        <w:t>82</w:t>
      </w:r>
    </w:p>
    <w:p>
      <w:pPr>
        <w:spacing w:line="235" w:lineRule="auto" w:before="182"/>
        <w:ind w:left="140" w:right="173" w:firstLine="0"/>
        <w:jc w:val="left"/>
        <w:rPr>
          <w:rFonts w:ascii="Calibri"/>
          <w:b/>
          <w:sz w:val="22"/>
        </w:rPr>
      </w:pPr>
      <w:r>
        <w:rPr>
          <w:rFonts w:ascii="Calibri"/>
          <w:b/>
          <w:color w:val="4D4D4F"/>
          <w:w w:val="115"/>
          <w:sz w:val="22"/>
        </w:rPr>
        <w:t>In the United States, OTPs can offer methadone to treat OUD, but all providers who may care for patients with OUD should be familiar with this treatment.</w:t>
      </w:r>
    </w:p>
    <w:p>
      <w:pPr>
        <w:pStyle w:val="Heading2"/>
        <w:spacing w:before="217"/>
      </w:pPr>
      <w:bookmarkStart w:name="_TOC_250098" w:id="17"/>
      <w:bookmarkEnd w:id="17"/>
      <w:r>
        <w:rPr>
          <w:color w:val="137692"/>
          <w:w w:val="105"/>
        </w:rPr>
        <w:t>Formulations</w:t>
      </w:r>
    </w:p>
    <w:p>
      <w:pPr>
        <w:pStyle w:val="BodyText"/>
        <w:spacing w:before="31"/>
        <w:ind w:left="140"/>
      </w:pPr>
      <w:r>
        <w:rPr>
          <w:color w:val="4D4D4F"/>
          <w:w w:val="110"/>
        </w:rPr>
        <w:t>There are several formulations of methadone:</w:t>
      </w:r>
    </w:p>
    <w:p>
      <w:pPr>
        <w:pStyle w:val="ListParagraph"/>
        <w:numPr>
          <w:ilvl w:val="0"/>
          <w:numId w:val="4"/>
        </w:numPr>
        <w:tabs>
          <w:tab w:pos="410" w:val="left" w:leader="none"/>
        </w:tabs>
        <w:spacing w:line="208" w:lineRule="auto" w:before="135" w:after="0"/>
        <w:ind w:left="410" w:right="142" w:hanging="270"/>
        <w:jc w:val="left"/>
        <w:rPr>
          <w:rFonts w:ascii="Arial" w:hAnsi="Arial"/>
          <w:color w:val="137692"/>
          <w:sz w:val="28"/>
        </w:rPr>
      </w:pPr>
      <w:r>
        <w:rPr>
          <w:color w:val="4D4D4F"/>
          <w:w w:val="110"/>
          <w:sz w:val="22"/>
        </w:rPr>
        <w:t>Liquid concentrate, which is the formulation most commonly used in treatment</w:t>
      </w:r>
      <w:r>
        <w:rPr>
          <w:color w:val="4D4D4F"/>
          <w:spacing w:val="5"/>
          <w:w w:val="110"/>
          <w:sz w:val="22"/>
        </w:rPr>
        <w:t> </w:t>
      </w:r>
      <w:r>
        <w:rPr>
          <w:color w:val="4D4D4F"/>
          <w:spacing w:val="-3"/>
          <w:w w:val="110"/>
          <w:sz w:val="22"/>
        </w:rPr>
        <w:t>programs.</w:t>
      </w:r>
    </w:p>
    <w:p>
      <w:pPr>
        <w:pStyle w:val="ListParagraph"/>
        <w:numPr>
          <w:ilvl w:val="0"/>
          <w:numId w:val="4"/>
        </w:numPr>
        <w:tabs>
          <w:tab w:pos="410" w:val="left" w:leader="none"/>
        </w:tabs>
        <w:spacing w:line="208" w:lineRule="auto" w:before="69" w:after="0"/>
        <w:ind w:left="410" w:right="689" w:hanging="270"/>
        <w:jc w:val="left"/>
        <w:rPr>
          <w:rFonts w:ascii="Arial" w:hAnsi="Arial"/>
          <w:color w:val="137692"/>
          <w:sz w:val="28"/>
        </w:rPr>
      </w:pPr>
      <w:r>
        <w:rPr>
          <w:color w:val="4D4D4F"/>
          <w:spacing w:val="-3"/>
          <w:w w:val="115"/>
          <w:sz w:val="22"/>
        </w:rPr>
        <w:t>Powder,</w:t>
      </w:r>
      <w:r>
        <w:rPr>
          <w:color w:val="4D4D4F"/>
          <w:spacing w:val="-30"/>
          <w:w w:val="115"/>
          <w:sz w:val="22"/>
        </w:rPr>
        <w:t> </w:t>
      </w:r>
      <w:r>
        <w:rPr>
          <w:color w:val="4D4D4F"/>
          <w:w w:val="115"/>
          <w:sz w:val="22"/>
        </w:rPr>
        <w:t>which</w:t>
      </w:r>
      <w:r>
        <w:rPr>
          <w:color w:val="4D4D4F"/>
          <w:spacing w:val="-30"/>
          <w:w w:val="115"/>
          <w:sz w:val="22"/>
        </w:rPr>
        <w:t> </w:t>
      </w:r>
      <w:r>
        <w:rPr>
          <w:color w:val="4D4D4F"/>
          <w:w w:val="115"/>
          <w:sz w:val="22"/>
        </w:rPr>
        <w:t>is</w:t>
      </w:r>
      <w:r>
        <w:rPr>
          <w:color w:val="4D4D4F"/>
          <w:spacing w:val="-30"/>
          <w:w w:val="115"/>
          <w:sz w:val="22"/>
        </w:rPr>
        <w:t> </w:t>
      </w:r>
      <w:r>
        <w:rPr>
          <w:color w:val="4D4D4F"/>
          <w:w w:val="115"/>
          <w:sz w:val="22"/>
        </w:rPr>
        <w:t>dissolved</w:t>
      </w:r>
      <w:r>
        <w:rPr>
          <w:color w:val="4D4D4F"/>
          <w:spacing w:val="-30"/>
          <w:w w:val="115"/>
          <w:sz w:val="22"/>
        </w:rPr>
        <w:t> </w:t>
      </w:r>
      <w:r>
        <w:rPr>
          <w:color w:val="4D4D4F"/>
          <w:w w:val="115"/>
          <w:sz w:val="22"/>
        </w:rPr>
        <w:t>in</w:t>
      </w:r>
      <w:r>
        <w:rPr>
          <w:color w:val="4D4D4F"/>
          <w:spacing w:val="-30"/>
          <w:w w:val="115"/>
          <w:sz w:val="22"/>
        </w:rPr>
        <w:t> </w:t>
      </w:r>
      <w:r>
        <w:rPr>
          <w:color w:val="4D4D4F"/>
          <w:w w:val="115"/>
          <w:sz w:val="22"/>
        </w:rPr>
        <w:t>water</w:t>
      </w:r>
      <w:r>
        <w:rPr>
          <w:color w:val="4D4D4F"/>
          <w:spacing w:val="-29"/>
          <w:w w:val="115"/>
          <w:sz w:val="22"/>
        </w:rPr>
        <w:t> </w:t>
      </w:r>
      <w:r>
        <w:rPr>
          <w:color w:val="4D4D4F"/>
          <w:spacing w:val="-6"/>
          <w:w w:val="115"/>
          <w:sz w:val="22"/>
        </w:rPr>
        <w:t>and </w:t>
      </w:r>
      <w:r>
        <w:rPr>
          <w:color w:val="4D4D4F"/>
          <w:w w:val="115"/>
          <w:sz w:val="22"/>
        </w:rPr>
        <w:t>administered as a</w:t>
      </w:r>
      <w:r>
        <w:rPr>
          <w:color w:val="4D4D4F"/>
          <w:spacing w:val="-30"/>
          <w:w w:val="115"/>
          <w:sz w:val="22"/>
        </w:rPr>
        <w:t> </w:t>
      </w:r>
      <w:r>
        <w:rPr>
          <w:color w:val="4D4D4F"/>
          <w:w w:val="115"/>
          <w:sz w:val="22"/>
        </w:rPr>
        <w:t>liquid.</w:t>
      </w:r>
    </w:p>
    <w:p>
      <w:pPr>
        <w:pStyle w:val="ListParagraph"/>
        <w:numPr>
          <w:ilvl w:val="0"/>
          <w:numId w:val="4"/>
        </w:numPr>
        <w:tabs>
          <w:tab w:pos="410" w:val="left" w:leader="none"/>
        </w:tabs>
        <w:spacing w:line="208" w:lineRule="auto" w:before="69" w:after="0"/>
        <w:ind w:left="410" w:right="241" w:hanging="270"/>
        <w:jc w:val="left"/>
        <w:rPr>
          <w:rFonts w:ascii="Arial" w:hAnsi="Arial"/>
          <w:color w:val="137692"/>
          <w:sz w:val="28"/>
        </w:rPr>
      </w:pPr>
      <w:r>
        <w:rPr>
          <w:color w:val="4D4D4F"/>
          <w:w w:val="110"/>
          <w:sz w:val="22"/>
        </w:rPr>
        <w:t>Dispersible tablets, which are scored </w:t>
      </w:r>
      <w:r>
        <w:rPr>
          <w:color w:val="4D4D4F"/>
          <w:spacing w:val="-3"/>
          <w:w w:val="110"/>
          <w:sz w:val="22"/>
        </w:rPr>
        <w:t>tablets </w:t>
      </w:r>
      <w:r>
        <w:rPr>
          <w:color w:val="4D4D4F"/>
          <w:w w:val="110"/>
          <w:sz w:val="22"/>
        </w:rPr>
        <w:t>that are dissolved in</w:t>
      </w:r>
      <w:r>
        <w:rPr>
          <w:color w:val="4D4D4F"/>
          <w:spacing w:val="-22"/>
          <w:w w:val="110"/>
          <w:sz w:val="22"/>
        </w:rPr>
        <w:t> </w:t>
      </w:r>
      <w:r>
        <w:rPr>
          <w:color w:val="4D4D4F"/>
          <w:spacing w:val="-4"/>
          <w:w w:val="110"/>
          <w:sz w:val="22"/>
        </w:rPr>
        <w:t>water.</w:t>
      </w:r>
    </w:p>
    <w:p>
      <w:pPr>
        <w:pStyle w:val="ListParagraph"/>
        <w:numPr>
          <w:ilvl w:val="0"/>
          <w:numId w:val="4"/>
        </w:numPr>
        <w:tabs>
          <w:tab w:pos="410" w:val="left" w:leader="none"/>
        </w:tabs>
        <w:spacing w:line="208" w:lineRule="auto" w:before="69" w:after="0"/>
        <w:ind w:left="410" w:right="664" w:hanging="270"/>
        <w:jc w:val="left"/>
        <w:rPr>
          <w:rFonts w:ascii="Arial" w:hAnsi="Arial"/>
          <w:color w:val="137692"/>
          <w:sz w:val="28"/>
        </w:rPr>
      </w:pPr>
      <w:r>
        <w:rPr>
          <w:color w:val="4D4D4F"/>
          <w:spacing w:val="-4"/>
          <w:w w:val="110"/>
          <w:sz w:val="22"/>
        </w:rPr>
        <w:t>Tablets, </w:t>
      </w:r>
      <w:r>
        <w:rPr>
          <w:color w:val="4D4D4F"/>
          <w:w w:val="110"/>
          <w:sz w:val="22"/>
        </w:rPr>
        <w:t>which are most commonly </w:t>
      </w:r>
      <w:r>
        <w:rPr>
          <w:color w:val="4D4D4F"/>
          <w:spacing w:val="-5"/>
          <w:w w:val="110"/>
          <w:sz w:val="22"/>
        </w:rPr>
        <w:t>used </w:t>
      </w:r>
      <w:r>
        <w:rPr>
          <w:color w:val="4D4D4F"/>
          <w:w w:val="110"/>
          <w:sz w:val="22"/>
        </w:rPr>
        <w:t>outside of OTPs for</w:t>
      </w:r>
      <w:r>
        <w:rPr>
          <w:color w:val="4D4D4F"/>
          <w:spacing w:val="-13"/>
          <w:w w:val="110"/>
          <w:sz w:val="22"/>
        </w:rPr>
        <w:t> </w:t>
      </w:r>
      <w:r>
        <w:rPr>
          <w:color w:val="4D4D4F"/>
          <w:w w:val="110"/>
          <w:sz w:val="22"/>
        </w:rPr>
        <w:t>analgesia.</w:t>
      </w:r>
    </w:p>
    <w:p>
      <w:pPr>
        <w:pStyle w:val="Heading2"/>
        <w:ind w:left="139"/>
      </w:pPr>
      <w:bookmarkStart w:name="_TOC_250097" w:id="18"/>
      <w:r>
        <w:rPr>
          <w:b w:val="0"/>
        </w:rPr>
        <w:br w:type="column"/>
      </w:r>
      <w:bookmarkEnd w:id="18"/>
      <w:r>
        <w:rPr>
          <w:color w:val="137692"/>
          <w:w w:val="110"/>
        </w:rPr>
        <w:t>Pharmacology</w:t>
      </w:r>
    </w:p>
    <w:p>
      <w:pPr>
        <w:spacing w:line="244" w:lineRule="auto" w:before="31"/>
        <w:ind w:left="139" w:right="200" w:firstLine="0"/>
        <w:jc w:val="left"/>
        <w:rPr>
          <w:rFonts w:ascii="Calibri" w:hAnsi="Calibri"/>
          <w:b/>
          <w:sz w:val="22"/>
        </w:rPr>
      </w:pPr>
      <w:r>
        <w:rPr>
          <w:color w:val="4D4D4F"/>
          <w:w w:val="110"/>
          <w:sz w:val="22"/>
        </w:rPr>
        <w:t>Methadone, a long-acting mu-opioid receptor  full agonist, is a schedule II controlled medica- tion. It is highly plasma–protein bound and </w:t>
      </w:r>
      <w:r>
        <w:rPr>
          <w:color w:val="4D4D4F"/>
          <w:spacing w:val="-4"/>
          <w:w w:val="110"/>
          <w:sz w:val="22"/>
        </w:rPr>
        <w:t>binds </w:t>
      </w:r>
      <w:r>
        <w:rPr>
          <w:color w:val="4D4D4F"/>
          <w:w w:val="110"/>
          <w:sz w:val="22"/>
        </w:rPr>
        <w:t>to proteins within tissues throughout the </w:t>
      </w:r>
      <w:r>
        <w:rPr>
          <w:color w:val="4D4D4F"/>
          <w:spacing w:val="-3"/>
          <w:w w:val="110"/>
          <w:sz w:val="22"/>
        </w:rPr>
        <w:t>body.</w:t>
      </w:r>
      <w:r>
        <w:rPr>
          <w:color w:val="4D4D4F"/>
          <w:spacing w:val="-3"/>
          <w:w w:val="110"/>
          <w:position w:val="7"/>
          <w:sz w:val="13"/>
        </w:rPr>
        <w:t>83 </w:t>
      </w:r>
      <w:r>
        <w:rPr>
          <w:color w:val="4D4D4F"/>
          <w:w w:val="110"/>
          <w:sz w:val="22"/>
        </w:rPr>
        <w:t>Through mu-opioid receptor binding and opioid cross-tolerance to other mu-opioid agonists, at adequate doses, </w:t>
      </w:r>
      <w:r>
        <w:rPr>
          <w:rFonts w:ascii="Calibri" w:hAnsi="Calibri"/>
          <w:b/>
          <w:color w:val="4D4D4F"/>
          <w:w w:val="110"/>
          <w:sz w:val="22"/>
        </w:rPr>
        <w:t>methadone reduces opioid craving and withdrawal and blunts or blocks the effects of illicit</w:t>
      </w:r>
      <w:r>
        <w:rPr>
          <w:rFonts w:ascii="Calibri" w:hAnsi="Calibri"/>
          <w:b/>
          <w:color w:val="4D4D4F"/>
          <w:spacing w:val="48"/>
          <w:w w:val="110"/>
          <w:sz w:val="22"/>
        </w:rPr>
        <w:t> </w:t>
      </w:r>
      <w:r>
        <w:rPr>
          <w:rFonts w:ascii="Calibri" w:hAnsi="Calibri"/>
          <w:b/>
          <w:color w:val="4D4D4F"/>
          <w:w w:val="110"/>
          <w:sz w:val="22"/>
        </w:rPr>
        <w:t>opioids.</w:t>
      </w:r>
    </w:p>
    <w:p>
      <w:pPr>
        <w:spacing w:line="242" w:lineRule="auto" w:before="168"/>
        <w:ind w:left="139" w:right="578" w:firstLine="0"/>
        <w:jc w:val="left"/>
        <w:rPr>
          <w:sz w:val="13"/>
        </w:rPr>
      </w:pPr>
      <w:r>
        <w:rPr>
          <w:rFonts w:ascii="Calibri"/>
          <w:b/>
          <w:color w:val="4D4D4F"/>
          <w:w w:val="110"/>
          <w:sz w:val="22"/>
        </w:rPr>
        <w:t>There is wide individual variability in methadone pharmacokinetics. </w:t>
      </w:r>
      <w:r>
        <w:rPr>
          <w:color w:val="4D4D4F"/>
          <w:w w:val="110"/>
          <w:sz w:val="22"/>
        </w:rPr>
        <w:t>The half-life of methadone can vary from 8 to 59 hours</w:t>
      </w:r>
      <w:r>
        <w:rPr>
          <w:color w:val="4D4D4F"/>
          <w:w w:val="110"/>
          <w:position w:val="7"/>
          <w:sz w:val="13"/>
        </w:rPr>
        <w:t>84 </w:t>
      </w:r>
      <w:r>
        <w:rPr>
          <w:color w:val="4D4D4F"/>
          <w:w w:val="110"/>
          <w:sz w:val="22"/>
        </w:rPr>
        <w:t>depending on the patient. The average is 24 hours.</w:t>
      </w:r>
      <w:r>
        <w:rPr>
          <w:color w:val="4D4D4F"/>
          <w:w w:val="110"/>
          <w:position w:val="7"/>
          <w:sz w:val="13"/>
        </w:rPr>
        <w:t>85</w:t>
      </w:r>
    </w:p>
    <w:p>
      <w:pPr>
        <w:pStyle w:val="BodyText"/>
        <w:spacing w:line="244" w:lineRule="auto" w:before="184"/>
        <w:ind w:left="139" w:right="219"/>
      </w:pPr>
      <w:r>
        <w:rPr>
          <w:rFonts w:ascii="Calibri"/>
          <w:b/>
          <w:color w:val="4D4D4F"/>
          <w:w w:val="115"/>
        </w:rPr>
        <w:t>Methadone has no ceiling effect. </w:t>
      </w:r>
      <w:r>
        <w:rPr>
          <w:color w:val="4D4D4F"/>
          <w:w w:val="115"/>
        </w:rPr>
        <w:t>As a full </w:t>
      </w:r>
      <w:r>
        <w:rPr>
          <w:color w:val="4D4D4F"/>
          <w:spacing w:val="-3"/>
          <w:w w:val="115"/>
        </w:rPr>
        <w:t>agonist, </w:t>
      </w:r>
      <w:r>
        <w:rPr>
          <w:color w:val="4D4D4F"/>
          <w:spacing w:val="-4"/>
          <w:w w:val="115"/>
        </w:rPr>
        <w:t>increasing </w:t>
      </w:r>
      <w:r>
        <w:rPr>
          <w:color w:val="4D4D4F"/>
          <w:spacing w:val="-3"/>
          <w:w w:val="115"/>
        </w:rPr>
        <w:t>doses </w:t>
      </w:r>
      <w:r>
        <w:rPr>
          <w:color w:val="4D4D4F"/>
          <w:w w:val="115"/>
        </w:rPr>
        <w:t>of </w:t>
      </w:r>
      <w:r>
        <w:rPr>
          <w:color w:val="4D4D4F"/>
          <w:spacing w:val="-3"/>
          <w:w w:val="115"/>
        </w:rPr>
        <w:t>methadone </w:t>
      </w:r>
      <w:r>
        <w:rPr>
          <w:color w:val="4D4D4F"/>
          <w:spacing w:val="-4"/>
          <w:w w:val="115"/>
        </w:rPr>
        <w:t>produce </w:t>
      </w:r>
      <w:r>
        <w:rPr>
          <w:color w:val="4D4D4F"/>
          <w:w w:val="115"/>
        </w:rPr>
        <w:t>maximal physiological effects at the </w:t>
      </w:r>
      <w:r>
        <w:rPr>
          <w:color w:val="4D4D4F"/>
          <w:spacing w:val="2"/>
          <w:w w:val="115"/>
        </w:rPr>
        <w:t>opioid </w:t>
      </w:r>
      <w:r>
        <w:rPr>
          <w:color w:val="4D4D4F"/>
          <w:w w:val="115"/>
        </w:rPr>
        <w:t>receptors. Plasma levels reach steady state</w:t>
      </w:r>
    </w:p>
    <w:p>
      <w:pPr>
        <w:pStyle w:val="BodyText"/>
        <w:spacing w:line="247" w:lineRule="auto" w:before="7"/>
        <w:ind w:left="139" w:right="269"/>
      </w:pPr>
      <w:r>
        <w:rPr>
          <w:color w:val="4D4D4F"/>
          <w:w w:val="115"/>
        </w:rPr>
        <w:t>in about 5 days (i.e., ﬁve half-lives). Before achievement</w:t>
      </w:r>
      <w:r>
        <w:rPr>
          <w:color w:val="4D4D4F"/>
          <w:spacing w:val="-28"/>
          <w:w w:val="115"/>
        </w:rPr>
        <w:t> </w:t>
      </w:r>
      <w:r>
        <w:rPr>
          <w:color w:val="4D4D4F"/>
          <w:w w:val="115"/>
        </w:rPr>
        <w:t>of</w:t>
      </w:r>
      <w:r>
        <w:rPr>
          <w:color w:val="4D4D4F"/>
          <w:spacing w:val="-27"/>
          <w:w w:val="115"/>
        </w:rPr>
        <w:t> </w:t>
      </w:r>
      <w:r>
        <w:rPr>
          <w:color w:val="4D4D4F"/>
          <w:w w:val="115"/>
        </w:rPr>
        <w:t>steady</w:t>
      </w:r>
      <w:r>
        <w:rPr>
          <w:color w:val="4D4D4F"/>
          <w:spacing w:val="-27"/>
          <w:w w:val="115"/>
        </w:rPr>
        <w:t> </w:t>
      </w:r>
      <w:r>
        <w:rPr>
          <w:color w:val="4D4D4F"/>
          <w:w w:val="115"/>
        </w:rPr>
        <w:t>state,</w:t>
      </w:r>
      <w:r>
        <w:rPr>
          <w:color w:val="4D4D4F"/>
          <w:spacing w:val="-27"/>
          <w:w w:val="115"/>
        </w:rPr>
        <w:t> </w:t>
      </w:r>
      <w:r>
        <w:rPr>
          <w:color w:val="4D4D4F"/>
          <w:w w:val="115"/>
        </w:rPr>
        <w:t>release</w:t>
      </w:r>
      <w:r>
        <w:rPr>
          <w:color w:val="4D4D4F"/>
          <w:spacing w:val="-27"/>
          <w:w w:val="115"/>
        </w:rPr>
        <w:t> </w:t>
      </w:r>
      <w:r>
        <w:rPr>
          <w:color w:val="4D4D4F"/>
          <w:w w:val="115"/>
        </w:rPr>
        <w:t>from</w:t>
      </w:r>
      <w:r>
        <w:rPr>
          <w:color w:val="4D4D4F"/>
          <w:spacing w:val="-27"/>
          <w:w w:val="115"/>
        </w:rPr>
        <w:t> </w:t>
      </w:r>
      <w:r>
        <w:rPr>
          <w:color w:val="4D4D4F"/>
          <w:spacing w:val="-3"/>
          <w:w w:val="115"/>
        </w:rPr>
        <w:t>tissue </w:t>
      </w:r>
      <w:r>
        <w:rPr>
          <w:color w:val="4D4D4F"/>
          <w:w w:val="115"/>
        </w:rPr>
        <w:t>reservoirs</w:t>
      </w:r>
      <w:r>
        <w:rPr>
          <w:color w:val="4D4D4F"/>
          <w:spacing w:val="-27"/>
          <w:w w:val="115"/>
        </w:rPr>
        <w:t> </w:t>
      </w:r>
      <w:r>
        <w:rPr>
          <w:color w:val="4D4D4F"/>
          <w:w w:val="115"/>
        </w:rPr>
        <w:t>can</w:t>
      </w:r>
      <w:r>
        <w:rPr>
          <w:color w:val="4D4D4F"/>
          <w:spacing w:val="-26"/>
          <w:w w:val="115"/>
        </w:rPr>
        <w:t> </w:t>
      </w:r>
      <w:r>
        <w:rPr>
          <w:color w:val="4D4D4F"/>
          <w:w w:val="115"/>
        </w:rPr>
        <w:t>lead</w:t>
      </w:r>
      <w:r>
        <w:rPr>
          <w:color w:val="4D4D4F"/>
          <w:spacing w:val="-27"/>
          <w:w w:val="115"/>
        </w:rPr>
        <w:t> </w:t>
      </w:r>
      <w:r>
        <w:rPr>
          <w:color w:val="4D4D4F"/>
          <w:w w:val="115"/>
        </w:rPr>
        <w:t>to</w:t>
      </w:r>
      <w:r>
        <w:rPr>
          <w:color w:val="4D4D4F"/>
          <w:spacing w:val="-26"/>
          <w:w w:val="115"/>
        </w:rPr>
        <w:t> </w:t>
      </w:r>
      <w:r>
        <w:rPr>
          <w:color w:val="4D4D4F"/>
          <w:w w:val="115"/>
        </w:rPr>
        <w:t>increasing</w:t>
      </w:r>
      <w:r>
        <w:rPr>
          <w:color w:val="4D4D4F"/>
          <w:spacing w:val="-26"/>
          <w:w w:val="115"/>
        </w:rPr>
        <w:t> </w:t>
      </w:r>
      <w:r>
        <w:rPr>
          <w:color w:val="4D4D4F"/>
          <w:w w:val="115"/>
        </w:rPr>
        <w:t>serum</w:t>
      </w:r>
      <w:r>
        <w:rPr>
          <w:color w:val="4D4D4F"/>
          <w:spacing w:val="-27"/>
          <w:w w:val="115"/>
        </w:rPr>
        <w:t> </w:t>
      </w:r>
      <w:r>
        <w:rPr>
          <w:color w:val="4D4D4F"/>
          <w:w w:val="115"/>
        </w:rPr>
        <w:t>plasma levels</w:t>
      </w:r>
      <w:r>
        <w:rPr>
          <w:color w:val="4D4D4F"/>
          <w:spacing w:val="-21"/>
          <w:w w:val="115"/>
        </w:rPr>
        <w:t> </w:t>
      </w:r>
      <w:r>
        <w:rPr>
          <w:color w:val="4D4D4F"/>
          <w:w w:val="115"/>
        </w:rPr>
        <w:t>and</w:t>
      </w:r>
      <w:r>
        <w:rPr>
          <w:color w:val="4D4D4F"/>
          <w:spacing w:val="-20"/>
          <w:w w:val="115"/>
        </w:rPr>
        <w:t> </w:t>
      </w:r>
      <w:r>
        <w:rPr>
          <w:color w:val="4D4D4F"/>
          <w:w w:val="115"/>
        </w:rPr>
        <w:t>toxicity,</w:t>
      </w:r>
      <w:r>
        <w:rPr>
          <w:color w:val="4D4D4F"/>
          <w:spacing w:val="-20"/>
          <w:w w:val="115"/>
        </w:rPr>
        <w:t> </w:t>
      </w:r>
      <w:r>
        <w:rPr>
          <w:color w:val="4D4D4F"/>
          <w:w w:val="115"/>
        </w:rPr>
        <w:t>even</w:t>
      </w:r>
      <w:r>
        <w:rPr>
          <w:color w:val="4D4D4F"/>
          <w:spacing w:val="-20"/>
          <w:w w:val="115"/>
        </w:rPr>
        <w:t> </w:t>
      </w:r>
      <w:r>
        <w:rPr>
          <w:color w:val="4D4D4F"/>
          <w:w w:val="115"/>
        </w:rPr>
        <w:t>if</w:t>
      </w:r>
      <w:r>
        <w:rPr>
          <w:color w:val="4D4D4F"/>
          <w:spacing w:val="-20"/>
          <w:w w:val="115"/>
        </w:rPr>
        <w:t> </w:t>
      </w:r>
      <w:r>
        <w:rPr>
          <w:color w:val="4D4D4F"/>
          <w:w w:val="115"/>
        </w:rPr>
        <w:t>the</w:t>
      </w:r>
      <w:r>
        <w:rPr>
          <w:color w:val="4D4D4F"/>
          <w:spacing w:val="-20"/>
          <w:w w:val="115"/>
        </w:rPr>
        <w:t> </w:t>
      </w:r>
      <w:r>
        <w:rPr>
          <w:color w:val="4D4D4F"/>
          <w:w w:val="115"/>
        </w:rPr>
        <w:t>daily</w:t>
      </w:r>
      <w:r>
        <w:rPr>
          <w:color w:val="4D4D4F"/>
          <w:spacing w:val="-20"/>
          <w:w w:val="115"/>
        </w:rPr>
        <w:t> </w:t>
      </w:r>
      <w:r>
        <w:rPr>
          <w:color w:val="4D4D4F"/>
          <w:w w:val="115"/>
        </w:rPr>
        <w:t>methadone dose is not</w:t>
      </w:r>
      <w:r>
        <w:rPr>
          <w:color w:val="4D4D4F"/>
          <w:spacing w:val="-28"/>
          <w:w w:val="115"/>
        </w:rPr>
        <w:t> </w:t>
      </w:r>
      <w:r>
        <w:rPr>
          <w:color w:val="4D4D4F"/>
          <w:w w:val="115"/>
        </w:rPr>
        <w:t>changed.</w:t>
      </w:r>
    </w:p>
    <w:p>
      <w:pPr>
        <w:spacing w:line="242" w:lineRule="auto" w:before="181"/>
        <w:ind w:left="139" w:right="331" w:firstLine="0"/>
        <w:jc w:val="left"/>
        <w:rPr>
          <w:sz w:val="13"/>
        </w:rPr>
      </w:pPr>
      <w:r>
        <w:rPr>
          <w:rFonts w:ascii="Calibri"/>
          <w:b/>
          <w:color w:val="4D4D4F"/>
          <w:w w:val="110"/>
          <w:sz w:val="22"/>
        </w:rPr>
        <w:t>Methadone induction, thus,  should  begin  at a low dose and increase gradually with daily monitoring </w:t>
      </w:r>
      <w:r>
        <w:rPr>
          <w:color w:val="4D4D4F"/>
          <w:w w:val="110"/>
          <w:sz w:val="22"/>
        </w:rPr>
        <w:t>over days or weeks. At stable daily doses, serum levels peak 2 to 4 hours after </w:t>
      </w:r>
      <w:r>
        <w:rPr>
          <w:color w:val="4D4D4F"/>
          <w:spacing w:val="-3"/>
          <w:w w:val="110"/>
          <w:sz w:val="22"/>
        </w:rPr>
        <w:t>dosing, then slowly </w:t>
      </w:r>
      <w:r>
        <w:rPr>
          <w:color w:val="4D4D4F"/>
          <w:spacing w:val="-4"/>
          <w:w w:val="110"/>
          <w:sz w:val="22"/>
        </w:rPr>
        <w:t>decrease, providing </w:t>
      </w:r>
      <w:r>
        <w:rPr>
          <w:color w:val="4D4D4F"/>
          <w:w w:val="110"/>
          <w:sz w:val="22"/>
        </w:rPr>
        <w:t>24 </w:t>
      </w:r>
      <w:r>
        <w:rPr>
          <w:color w:val="4D4D4F"/>
          <w:spacing w:val="-3"/>
          <w:w w:val="110"/>
          <w:sz w:val="22"/>
        </w:rPr>
        <w:t>hours </w:t>
      </w:r>
      <w:r>
        <w:rPr>
          <w:color w:val="4D4D4F"/>
          <w:w w:val="110"/>
          <w:sz w:val="22"/>
        </w:rPr>
        <w:t>without overmedication or</w:t>
      </w:r>
      <w:r>
        <w:rPr>
          <w:color w:val="4D4D4F"/>
          <w:spacing w:val="-25"/>
          <w:w w:val="110"/>
          <w:sz w:val="22"/>
        </w:rPr>
        <w:t> </w:t>
      </w:r>
      <w:r>
        <w:rPr>
          <w:color w:val="4D4D4F"/>
          <w:w w:val="110"/>
          <w:sz w:val="22"/>
        </w:rPr>
        <w:t>withdrawal.</w:t>
      </w:r>
      <w:r>
        <w:rPr>
          <w:color w:val="4D4D4F"/>
          <w:w w:val="110"/>
          <w:position w:val="7"/>
          <w:sz w:val="13"/>
        </w:rPr>
        <w:t>86</w:t>
      </w:r>
    </w:p>
    <w:p>
      <w:pPr>
        <w:spacing w:after="0" w:line="242" w:lineRule="auto"/>
        <w:jc w:val="left"/>
        <w:rPr>
          <w:sz w:val="13"/>
        </w:rPr>
        <w:sectPr>
          <w:type w:val="continuous"/>
          <w:pgSz w:w="12240" w:h="15840"/>
          <w:pgMar w:top="540" w:bottom="280" w:left="940" w:right="920"/>
          <w:cols w:num="2" w:equalWidth="0">
            <w:col w:w="5003" w:space="218"/>
            <w:col w:w="5159"/>
          </w:cols>
        </w:sectPr>
      </w:pPr>
    </w:p>
    <w:p>
      <w:pPr>
        <w:pStyle w:val="BodyText"/>
        <w:spacing w:before="5"/>
        <w:rPr>
          <w:sz w:val="26"/>
        </w:rPr>
      </w:pPr>
    </w:p>
    <w:p>
      <w:pPr>
        <w:spacing w:after="0"/>
        <w:rPr>
          <w:sz w:val="26"/>
        </w:rPr>
        <w:sectPr>
          <w:pgSz w:w="12240" w:h="15840"/>
          <w:pgMar w:header="576" w:footer="677" w:top="1340" w:bottom="860" w:left="940" w:right="920"/>
        </w:sectPr>
      </w:pPr>
    </w:p>
    <w:p>
      <w:pPr>
        <w:pStyle w:val="Heading2"/>
      </w:pPr>
      <w:bookmarkStart w:name="_TOC_250096" w:id="19"/>
      <w:bookmarkEnd w:id="19"/>
      <w:r>
        <w:rPr>
          <w:color w:val="137692"/>
          <w:w w:val="110"/>
        </w:rPr>
        <w:t>Bioavailability</w:t>
      </w:r>
    </w:p>
    <w:p>
      <w:pPr>
        <w:spacing w:line="237" w:lineRule="auto" w:before="28"/>
        <w:ind w:left="140" w:right="0" w:firstLine="0"/>
        <w:jc w:val="left"/>
        <w:rPr>
          <w:sz w:val="22"/>
        </w:rPr>
      </w:pPr>
      <w:r>
        <w:rPr>
          <w:rFonts w:ascii="Calibri"/>
          <w:b/>
          <w:color w:val="4D4D4F"/>
          <w:w w:val="110"/>
          <w:sz w:val="22"/>
        </w:rPr>
        <w:t>Methadone is approximately 70 to 80 percent bioavailable </w:t>
      </w:r>
      <w:r>
        <w:rPr>
          <w:color w:val="4D4D4F"/>
          <w:w w:val="110"/>
          <w:sz w:val="22"/>
        </w:rPr>
        <w:t>when patients take it orally for OUD. There is notable individual variability</w:t>
      </w:r>
    </w:p>
    <w:p>
      <w:pPr>
        <w:pStyle w:val="BodyText"/>
        <w:spacing w:line="247" w:lineRule="auto" w:before="11"/>
        <w:ind w:left="140"/>
        <w:rPr>
          <w:sz w:val="13"/>
        </w:rPr>
      </w:pPr>
      <w:r>
        <w:rPr>
          <w:color w:val="4D4D4F"/>
          <w:w w:val="110"/>
        </w:rPr>
        <w:t>in bioavailability, ranging from 36 to 100 percent.</w:t>
      </w:r>
      <w:r>
        <w:rPr>
          <w:color w:val="4D4D4F"/>
          <w:w w:val="110"/>
          <w:position w:val="7"/>
          <w:sz w:val="13"/>
        </w:rPr>
        <w:t>87,88</w:t>
      </w:r>
    </w:p>
    <w:p>
      <w:pPr>
        <w:spacing w:line="242" w:lineRule="auto" w:before="177"/>
        <w:ind w:left="139" w:right="0" w:firstLine="0"/>
        <w:jc w:val="left"/>
        <w:rPr>
          <w:sz w:val="22"/>
        </w:rPr>
      </w:pPr>
      <w:r>
        <w:rPr>
          <w:rFonts w:ascii="Calibri" w:hAnsi="Calibri"/>
          <w:b/>
          <w:color w:val="4D4D4F"/>
          <w:w w:val="110"/>
          <w:sz w:val="22"/>
        </w:rPr>
        <w:t>The liver’s CYP450 3A4 enzyme is primarily responsible for metabolizing methadone,</w:t>
      </w:r>
      <w:r>
        <w:rPr>
          <w:rFonts w:ascii="Calibri" w:hAnsi="Calibri"/>
          <w:b/>
          <w:color w:val="4D4D4F"/>
          <w:w w:val="110"/>
          <w:position w:val="7"/>
          <w:sz w:val="13"/>
        </w:rPr>
        <w:t>89 </w:t>
      </w:r>
      <w:r>
        <w:rPr>
          <w:color w:val="4D4D4F"/>
          <w:w w:val="110"/>
          <w:sz w:val="22"/>
        </w:rPr>
        <w:t>although CYP2B6 and CYP2D6 enzymes are also involved.</w:t>
      </w:r>
      <w:r>
        <w:rPr>
          <w:color w:val="4D4D4F"/>
          <w:w w:val="110"/>
          <w:position w:val="7"/>
          <w:sz w:val="13"/>
        </w:rPr>
        <w:t>90 </w:t>
      </w:r>
      <w:r>
        <w:rPr>
          <w:color w:val="4D4D4F"/>
          <w:w w:val="110"/>
          <w:sz w:val="22"/>
        </w:rPr>
        <w:t>At the start of methadone treatment, methadone can increase CYP3A4 activity</w:t>
      </w:r>
    </w:p>
    <w:p>
      <w:pPr>
        <w:pStyle w:val="BodyText"/>
        <w:spacing w:line="247" w:lineRule="auto" w:before="9"/>
        <w:ind w:left="140" w:right="608"/>
        <w:rPr>
          <w:sz w:val="13"/>
        </w:rPr>
      </w:pPr>
      <w:r>
        <w:rPr>
          <w:color w:val="4D4D4F"/>
          <w:w w:val="115"/>
        </w:rPr>
        <w:t>and</w:t>
      </w:r>
      <w:r>
        <w:rPr>
          <w:color w:val="4D4D4F"/>
          <w:spacing w:val="-27"/>
          <w:w w:val="115"/>
        </w:rPr>
        <w:t> </w:t>
      </w:r>
      <w:r>
        <w:rPr>
          <w:color w:val="4D4D4F"/>
          <w:w w:val="115"/>
        </w:rPr>
        <w:t>accelerate</w:t>
      </w:r>
      <w:r>
        <w:rPr>
          <w:color w:val="4D4D4F"/>
          <w:spacing w:val="-27"/>
          <w:w w:val="115"/>
        </w:rPr>
        <w:t> </w:t>
      </w:r>
      <w:r>
        <w:rPr>
          <w:color w:val="4D4D4F"/>
          <w:w w:val="115"/>
        </w:rPr>
        <w:t>its</w:t>
      </w:r>
      <w:r>
        <w:rPr>
          <w:color w:val="4D4D4F"/>
          <w:spacing w:val="-27"/>
          <w:w w:val="115"/>
        </w:rPr>
        <w:t> </w:t>
      </w:r>
      <w:r>
        <w:rPr>
          <w:color w:val="4D4D4F"/>
          <w:w w:val="115"/>
        </w:rPr>
        <w:t>own</w:t>
      </w:r>
      <w:r>
        <w:rPr>
          <w:color w:val="4D4D4F"/>
          <w:spacing w:val="-27"/>
          <w:w w:val="115"/>
        </w:rPr>
        <w:t> </w:t>
      </w:r>
      <w:r>
        <w:rPr>
          <w:color w:val="4D4D4F"/>
          <w:w w:val="115"/>
        </w:rPr>
        <w:t>metabolism</w:t>
      </w:r>
      <w:r>
        <w:rPr>
          <w:color w:val="4D4D4F"/>
          <w:spacing w:val="-27"/>
          <w:w w:val="115"/>
        </w:rPr>
        <w:t> </w:t>
      </w:r>
      <w:r>
        <w:rPr>
          <w:color w:val="4D4D4F"/>
          <w:w w:val="115"/>
        </w:rPr>
        <w:t>in</w:t>
      </w:r>
      <w:r>
        <w:rPr>
          <w:color w:val="4D4D4F"/>
          <w:spacing w:val="-26"/>
          <w:w w:val="115"/>
        </w:rPr>
        <w:t> </w:t>
      </w:r>
      <w:r>
        <w:rPr>
          <w:color w:val="4D4D4F"/>
          <w:spacing w:val="-5"/>
          <w:w w:val="115"/>
        </w:rPr>
        <w:t>some </w:t>
      </w:r>
      <w:r>
        <w:rPr>
          <w:color w:val="4D4D4F"/>
          <w:w w:val="115"/>
        </w:rPr>
        <w:t>individuals.</w:t>
      </w:r>
      <w:r>
        <w:rPr>
          <w:color w:val="4D4D4F"/>
          <w:w w:val="115"/>
          <w:position w:val="7"/>
          <w:sz w:val="13"/>
        </w:rPr>
        <w:t>91</w:t>
      </w:r>
    </w:p>
    <w:p>
      <w:pPr>
        <w:pStyle w:val="Heading7"/>
        <w:spacing w:line="235" w:lineRule="auto" w:before="182"/>
        <w:ind w:right="137"/>
      </w:pPr>
      <w:r>
        <w:rPr>
          <w:color w:val="4D4D4F"/>
          <w:w w:val="110"/>
        </w:rPr>
        <w:t>Dosing must be individualized because methadone’s bioavailability, clearance, and half-life can vary considerably among patients.</w:t>
      </w:r>
    </w:p>
    <w:p>
      <w:pPr>
        <w:pStyle w:val="BodyText"/>
        <w:spacing w:line="247" w:lineRule="auto" w:before="183"/>
        <w:ind w:left="140" w:right="129"/>
      </w:pPr>
      <w:r>
        <w:rPr>
          <w:color w:val="4D4D4F"/>
          <w:w w:val="110"/>
        </w:rPr>
        <w:t>Providers should check for potential drug–drug interactions and monitor patients receiving con- comitant medications. Some medications (e.g., benzodiazepines, anticonvulsants, antibiotics, antiretroviral agents, some antidepressants)</w:t>
      </w:r>
    </w:p>
    <w:p>
      <w:pPr>
        <w:pStyle w:val="BodyText"/>
        <w:spacing w:line="247" w:lineRule="auto" w:before="6"/>
        <w:ind w:left="140" w:right="137"/>
      </w:pPr>
      <w:r>
        <w:rPr>
          <w:color w:val="4D4D4F"/>
          <w:w w:val="110"/>
        </w:rPr>
        <w:t>can </w:t>
      </w:r>
      <w:r>
        <w:rPr>
          <w:color w:val="4D4D4F"/>
          <w:spacing w:val="-3"/>
          <w:w w:val="110"/>
        </w:rPr>
        <w:t>induce </w:t>
      </w:r>
      <w:r>
        <w:rPr>
          <w:color w:val="4D4D4F"/>
          <w:w w:val="110"/>
        </w:rPr>
        <w:t>or </w:t>
      </w:r>
      <w:r>
        <w:rPr>
          <w:color w:val="4D4D4F"/>
          <w:spacing w:val="-3"/>
          <w:w w:val="110"/>
        </w:rPr>
        <w:t>inhibit CYP450 enzymes, </w:t>
      </w:r>
      <w:r>
        <w:rPr>
          <w:color w:val="4D4D4F"/>
          <w:spacing w:val="-4"/>
          <w:w w:val="110"/>
        </w:rPr>
        <w:t>resulting </w:t>
      </w:r>
      <w:r>
        <w:rPr>
          <w:color w:val="4D4D4F"/>
          <w:w w:val="110"/>
        </w:rPr>
        <w:t>in potential changes in methadone serum concentration, effectiveness, and side effect proﬁle.</w:t>
      </w:r>
    </w:p>
    <w:p>
      <w:pPr>
        <w:pStyle w:val="Heading2"/>
        <w:spacing w:before="219"/>
      </w:pPr>
      <w:bookmarkStart w:name="_TOC_250095" w:id="20"/>
      <w:bookmarkEnd w:id="20"/>
      <w:r>
        <w:rPr>
          <w:color w:val="137692"/>
          <w:w w:val="110"/>
        </w:rPr>
        <w:t>Dosing Considerations</w:t>
      </w:r>
    </w:p>
    <w:p>
      <w:pPr>
        <w:spacing w:line="237" w:lineRule="auto" w:before="28"/>
        <w:ind w:left="140" w:right="201" w:firstLine="0"/>
        <w:jc w:val="left"/>
        <w:rPr>
          <w:sz w:val="22"/>
        </w:rPr>
      </w:pPr>
      <w:r>
        <w:rPr>
          <w:rFonts w:ascii="Calibri"/>
          <w:b/>
          <w:color w:val="4D4D4F"/>
          <w:w w:val="110"/>
          <w:sz w:val="22"/>
        </w:rPr>
        <w:t>Methadone is indicated for people meeting OTP admission criteria, </w:t>
      </w:r>
      <w:r>
        <w:rPr>
          <w:color w:val="4D4D4F"/>
          <w:w w:val="110"/>
          <w:sz w:val="22"/>
        </w:rPr>
        <w:t>which for people 18 and older are:</w:t>
      </w:r>
    </w:p>
    <w:p>
      <w:pPr>
        <w:pStyle w:val="ListParagraph"/>
        <w:numPr>
          <w:ilvl w:val="0"/>
          <w:numId w:val="4"/>
        </w:numPr>
        <w:tabs>
          <w:tab w:pos="410" w:val="left" w:leader="none"/>
        </w:tabs>
        <w:spacing w:line="264" w:lineRule="exact" w:before="119" w:after="0"/>
        <w:ind w:left="410" w:right="97" w:hanging="270"/>
        <w:jc w:val="left"/>
        <w:rPr>
          <w:rFonts w:ascii="Arial" w:hAnsi="Arial"/>
          <w:color w:val="137692"/>
          <w:sz w:val="28"/>
        </w:rPr>
      </w:pPr>
      <w:r>
        <w:rPr>
          <w:color w:val="4D4D4F"/>
          <w:w w:val="110"/>
          <w:sz w:val="22"/>
        </w:rPr>
        <w:t>Being currently “opioid-addicted”—the term the Substance Abuse and Mental Health Services Administration (SAMHSA) OTP regulations use (e.g., meeting </w:t>
      </w:r>
      <w:r>
        <w:rPr>
          <w:rFonts w:ascii="Arial" w:hAnsi="Arial"/>
          <w:i/>
          <w:color w:val="4D4D4F"/>
          <w:w w:val="110"/>
          <w:sz w:val="22"/>
        </w:rPr>
        <w:t>Diagnostic</w:t>
      </w:r>
      <w:r>
        <w:rPr>
          <w:rFonts w:ascii="Arial" w:hAnsi="Arial"/>
          <w:i/>
          <w:color w:val="4D4D4F"/>
          <w:spacing w:val="-28"/>
          <w:w w:val="110"/>
          <w:sz w:val="22"/>
        </w:rPr>
        <w:t> </w:t>
      </w:r>
      <w:r>
        <w:rPr>
          <w:rFonts w:ascii="Arial" w:hAnsi="Arial"/>
          <w:i/>
          <w:color w:val="4D4D4F"/>
          <w:w w:val="110"/>
          <w:sz w:val="22"/>
        </w:rPr>
        <w:t>and </w:t>
      </w:r>
      <w:r>
        <w:rPr>
          <w:rFonts w:ascii="Arial" w:hAnsi="Arial"/>
          <w:i/>
          <w:color w:val="4D4D4F"/>
          <w:w w:val="110"/>
          <w:sz w:val="22"/>
        </w:rPr>
        <w:t>Statistical</w:t>
      </w:r>
      <w:r>
        <w:rPr>
          <w:rFonts w:ascii="Arial" w:hAnsi="Arial"/>
          <w:i/>
          <w:color w:val="4D4D4F"/>
          <w:spacing w:val="-41"/>
          <w:w w:val="110"/>
          <w:sz w:val="22"/>
        </w:rPr>
        <w:t> </w:t>
      </w:r>
      <w:r>
        <w:rPr>
          <w:rFonts w:ascii="Arial" w:hAnsi="Arial"/>
          <w:i/>
          <w:color w:val="4D4D4F"/>
          <w:w w:val="110"/>
          <w:sz w:val="22"/>
        </w:rPr>
        <w:t>Manual</w:t>
      </w:r>
      <w:r>
        <w:rPr>
          <w:rFonts w:ascii="Arial" w:hAnsi="Arial"/>
          <w:i/>
          <w:color w:val="4D4D4F"/>
          <w:spacing w:val="-41"/>
          <w:w w:val="110"/>
          <w:sz w:val="22"/>
        </w:rPr>
        <w:t> </w:t>
      </w:r>
      <w:r>
        <w:rPr>
          <w:rFonts w:ascii="Arial" w:hAnsi="Arial"/>
          <w:i/>
          <w:color w:val="4D4D4F"/>
          <w:w w:val="110"/>
          <w:sz w:val="22"/>
        </w:rPr>
        <w:t>of</w:t>
      </w:r>
      <w:r>
        <w:rPr>
          <w:rFonts w:ascii="Arial" w:hAnsi="Arial"/>
          <w:i/>
          <w:color w:val="4D4D4F"/>
          <w:spacing w:val="-41"/>
          <w:w w:val="110"/>
          <w:sz w:val="22"/>
        </w:rPr>
        <w:t> </w:t>
      </w:r>
      <w:r>
        <w:rPr>
          <w:rFonts w:ascii="Arial" w:hAnsi="Arial"/>
          <w:i/>
          <w:color w:val="4D4D4F"/>
          <w:w w:val="110"/>
          <w:sz w:val="22"/>
        </w:rPr>
        <w:t>Mental</w:t>
      </w:r>
      <w:r>
        <w:rPr>
          <w:rFonts w:ascii="Arial" w:hAnsi="Arial"/>
          <w:i/>
          <w:color w:val="4D4D4F"/>
          <w:spacing w:val="-41"/>
          <w:w w:val="110"/>
          <w:sz w:val="22"/>
        </w:rPr>
        <w:t> </w:t>
      </w:r>
      <w:r>
        <w:rPr>
          <w:rFonts w:ascii="Arial" w:hAnsi="Arial"/>
          <w:i/>
          <w:color w:val="4D4D4F"/>
          <w:w w:val="110"/>
          <w:sz w:val="22"/>
        </w:rPr>
        <w:t>Disorders,</w:t>
      </w:r>
      <w:r>
        <w:rPr>
          <w:rFonts w:ascii="Arial" w:hAnsi="Arial"/>
          <w:i/>
          <w:color w:val="4D4D4F"/>
          <w:spacing w:val="-41"/>
          <w:w w:val="110"/>
          <w:sz w:val="22"/>
        </w:rPr>
        <w:t> </w:t>
      </w:r>
      <w:r>
        <w:rPr>
          <w:color w:val="4D4D4F"/>
          <w:w w:val="110"/>
          <w:sz w:val="22"/>
        </w:rPr>
        <w:t>Fifth Edition,</w:t>
      </w:r>
      <w:r>
        <w:rPr>
          <w:color w:val="4D4D4F"/>
          <w:w w:val="110"/>
          <w:position w:val="7"/>
          <w:sz w:val="13"/>
        </w:rPr>
        <w:t>92 </w:t>
      </w:r>
      <w:r>
        <w:rPr>
          <w:color w:val="4D4D4F"/>
          <w:w w:val="110"/>
          <w:sz w:val="22"/>
        </w:rPr>
        <w:t>criteria for OUD). Not all patients meeting OUD criteria, particularly those with mild OUD, are appropriate candidates for </w:t>
      </w:r>
      <w:r>
        <w:rPr>
          <w:color w:val="4D4D4F"/>
          <w:spacing w:val="-3"/>
          <w:w w:val="110"/>
          <w:sz w:val="22"/>
        </w:rPr>
        <w:t>methadone. This </w:t>
      </w:r>
      <w:r>
        <w:rPr>
          <w:color w:val="4D4D4F"/>
          <w:w w:val="110"/>
          <w:sz w:val="22"/>
        </w:rPr>
        <w:t>is </w:t>
      </w:r>
      <w:r>
        <w:rPr>
          <w:color w:val="4D4D4F"/>
          <w:spacing w:val="-3"/>
          <w:w w:val="110"/>
          <w:sz w:val="22"/>
        </w:rPr>
        <w:t>discussed </w:t>
      </w:r>
      <w:r>
        <w:rPr>
          <w:color w:val="4D4D4F"/>
          <w:w w:val="110"/>
          <w:sz w:val="22"/>
        </w:rPr>
        <w:t>in </w:t>
      </w:r>
      <w:r>
        <w:rPr>
          <w:color w:val="4D4D4F"/>
          <w:spacing w:val="-3"/>
          <w:w w:val="110"/>
          <w:sz w:val="22"/>
        </w:rPr>
        <w:t>detail </w:t>
      </w:r>
      <w:r>
        <w:rPr>
          <w:color w:val="4D4D4F"/>
          <w:w w:val="110"/>
          <w:sz w:val="22"/>
        </w:rPr>
        <w:t>in </w:t>
      </w:r>
      <w:r>
        <w:rPr>
          <w:color w:val="4D4D4F"/>
          <w:spacing w:val="-3"/>
          <w:w w:val="110"/>
          <w:sz w:val="22"/>
        </w:rPr>
        <w:t>Part </w:t>
      </w:r>
      <w:r>
        <w:rPr>
          <w:color w:val="4D4D4F"/>
          <w:w w:val="110"/>
          <w:sz w:val="22"/>
        </w:rPr>
        <w:t>2 of</w:t>
      </w:r>
      <w:r>
        <w:rPr>
          <w:color w:val="4D4D4F"/>
          <w:spacing w:val="-19"/>
          <w:w w:val="110"/>
          <w:sz w:val="22"/>
        </w:rPr>
        <w:t> </w:t>
      </w:r>
      <w:r>
        <w:rPr>
          <w:color w:val="4D4D4F"/>
          <w:spacing w:val="-3"/>
          <w:w w:val="110"/>
          <w:sz w:val="22"/>
        </w:rPr>
        <w:t>this</w:t>
      </w:r>
      <w:r>
        <w:rPr>
          <w:color w:val="4D4D4F"/>
          <w:spacing w:val="-19"/>
          <w:w w:val="110"/>
          <w:sz w:val="22"/>
        </w:rPr>
        <w:t> </w:t>
      </w:r>
      <w:r>
        <w:rPr>
          <w:color w:val="4D4D4F"/>
          <w:spacing w:val="-6"/>
          <w:w w:val="110"/>
          <w:sz w:val="22"/>
        </w:rPr>
        <w:t>Treatment</w:t>
      </w:r>
      <w:r>
        <w:rPr>
          <w:color w:val="4D4D4F"/>
          <w:spacing w:val="-18"/>
          <w:w w:val="110"/>
          <w:sz w:val="22"/>
        </w:rPr>
        <w:t> </w:t>
      </w:r>
      <w:r>
        <w:rPr>
          <w:color w:val="4D4D4F"/>
          <w:spacing w:val="-4"/>
          <w:w w:val="110"/>
          <w:sz w:val="22"/>
        </w:rPr>
        <w:t>Improvement</w:t>
      </w:r>
      <w:r>
        <w:rPr>
          <w:color w:val="4D4D4F"/>
          <w:spacing w:val="-19"/>
          <w:w w:val="110"/>
          <w:sz w:val="22"/>
        </w:rPr>
        <w:t> </w:t>
      </w:r>
      <w:r>
        <w:rPr>
          <w:color w:val="4D4D4F"/>
          <w:spacing w:val="-4"/>
          <w:w w:val="110"/>
          <w:sz w:val="22"/>
        </w:rPr>
        <w:t>Protocol</w:t>
      </w:r>
      <w:r>
        <w:rPr>
          <w:color w:val="4D4D4F"/>
          <w:spacing w:val="-19"/>
          <w:w w:val="110"/>
          <w:sz w:val="22"/>
        </w:rPr>
        <w:t> </w:t>
      </w:r>
      <w:r>
        <w:rPr>
          <w:color w:val="4D4D4F"/>
          <w:spacing w:val="-3"/>
          <w:w w:val="110"/>
          <w:sz w:val="22"/>
        </w:rPr>
        <w:t>(TIP).</w:t>
      </w:r>
    </w:p>
    <w:p>
      <w:pPr>
        <w:pStyle w:val="ListParagraph"/>
        <w:numPr>
          <w:ilvl w:val="0"/>
          <w:numId w:val="4"/>
        </w:numPr>
        <w:tabs>
          <w:tab w:pos="410" w:val="left" w:leader="none"/>
        </w:tabs>
        <w:spacing w:line="208" w:lineRule="auto" w:before="61" w:after="0"/>
        <w:ind w:left="410" w:right="355" w:hanging="270"/>
        <w:jc w:val="left"/>
        <w:rPr>
          <w:rFonts w:ascii="Arial" w:hAnsi="Arial"/>
          <w:color w:val="137692"/>
          <w:sz w:val="28"/>
        </w:rPr>
      </w:pPr>
      <w:r>
        <w:rPr>
          <w:color w:val="4D4D4F"/>
          <w:w w:val="115"/>
          <w:sz w:val="22"/>
        </w:rPr>
        <w:t>Having</w:t>
      </w:r>
      <w:r>
        <w:rPr>
          <w:color w:val="4D4D4F"/>
          <w:spacing w:val="-20"/>
          <w:w w:val="115"/>
          <w:sz w:val="22"/>
        </w:rPr>
        <w:t> </w:t>
      </w:r>
      <w:r>
        <w:rPr>
          <w:color w:val="4D4D4F"/>
          <w:w w:val="115"/>
          <w:sz w:val="22"/>
        </w:rPr>
        <w:t>a</w:t>
      </w:r>
      <w:r>
        <w:rPr>
          <w:color w:val="4D4D4F"/>
          <w:spacing w:val="-20"/>
          <w:w w:val="115"/>
          <w:sz w:val="22"/>
        </w:rPr>
        <w:t> </w:t>
      </w:r>
      <w:r>
        <w:rPr>
          <w:color w:val="4D4D4F"/>
          <w:w w:val="115"/>
          <w:sz w:val="22"/>
        </w:rPr>
        <w:t>history</w:t>
      </w:r>
      <w:r>
        <w:rPr>
          <w:color w:val="4D4D4F"/>
          <w:spacing w:val="-19"/>
          <w:w w:val="115"/>
          <w:sz w:val="22"/>
        </w:rPr>
        <w:t> </w:t>
      </w:r>
      <w:r>
        <w:rPr>
          <w:color w:val="4D4D4F"/>
          <w:w w:val="115"/>
          <w:sz w:val="22"/>
        </w:rPr>
        <w:t>of</w:t>
      </w:r>
      <w:r>
        <w:rPr>
          <w:color w:val="4D4D4F"/>
          <w:spacing w:val="-20"/>
          <w:w w:val="115"/>
          <w:sz w:val="22"/>
        </w:rPr>
        <w:t> </w:t>
      </w:r>
      <w:r>
        <w:rPr>
          <w:color w:val="4D4D4F"/>
          <w:w w:val="115"/>
          <w:sz w:val="22"/>
        </w:rPr>
        <w:t>at</w:t>
      </w:r>
      <w:r>
        <w:rPr>
          <w:color w:val="4D4D4F"/>
          <w:spacing w:val="-19"/>
          <w:w w:val="115"/>
          <w:sz w:val="22"/>
        </w:rPr>
        <w:t> </w:t>
      </w:r>
      <w:r>
        <w:rPr>
          <w:color w:val="4D4D4F"/>
          <w:w w:val="115"/>
          <w:sz w:val="22"/>
        </w:rPr>
        <w:t>least</w:t>
      </w:r>
      <w:r>
        <w:rPr>
          <w:color w:val="4D4D4F"/>
          <w:spacing w:val="-20"/>
          <w:w w:val="115"/>
          <w:sz w:val="22"/>
        </w:rPr>
        <w:t> </w:t>
      </w:r>
      <w:r>
        <w:rPr>
          <w:color w:val="4D4D4F"/>
          <w:w w:val="115"/>
          <w:sz w:val="22"/>
        </w:rPr>
        <w:t>1</w:t>
      </w:r>
      <w:r>
        <w:rPr>
          <w:color w:val="4D4D4F"/>
          <w:spacing w:val="-19"/>
          <w:w w:val="115"/>
          <w:sz w:val="22"/>
        </w:rPr>
        <w:t> </w:t>
      </w:r>
      <w:r>
        <w:rPr>
          <w:color w:val="4D4D4F"/>
          <w:w w:val="115"/>
          <w:sz w:val="22"/>
        </w:rPr>
        <w:t>year</w:t>
      </w:r>
      <w:r>
        <w:rPr>
          <w:color w:val="4D4D4F"/>
          <w:spacing w:val="-20"/>
          <w:w w:val="115"/>
          <w:sz w:val="22"/>
        </w:rPr>
        <w:t> </w:t>
      </w:r>
      <w:r>
        <w:rPr>
          <w:color w:val="4D4D4F"/>
          <w:w w:val="115"/>
          <w:sz w:val="22"/>
        </w:rPr>
        <w:t>of</w:t>
      </w:r>
      <w:r>
        <w:rPr>
          <w:color w:val="4D4D4F"/>
          <w:spacing w:val="-19"/>
          <w:w w:val="115"/>
          <w:sz w:val="22"/>
        </w:rPr>
        <w:t> </w:t>
      </w:r>
      <w:r>
        <w:rPr>
          <w:color w:val="4D4D4F"/>
          <w:spacing w:val="-3"/>
          <w:w w:val="115"/>
          <w:sz w:val="22"/>
        </w:rPr>
        <w:t>opioid </w:t>
      </w:r>
      <w:r>
        <w:rPr>
          <w:color w:val="4D4D4F"/>
          <w:w w:val="115"/>
          <w:sz w:val="22"/>
        </w:rPr>
        <w:t>addiction before</w:t>
      </w:r>
      <w:r>
        <w:rPr>
          <w:color w:val="4D4D4F"/>
          <w:spacing w:val="-22"/>
          <w:w w:val="115"/>
          <w:sz w:val="22"/>
        </w:rPr>
        <w:t> </w:t>
      </w:r>
      <w:r>
        <w:rPr>
          <w:color w:val="4D4D4F"/>
          <w:w w:val="115"/>
          <w:sz w:val="22"/>
        </w:rPr>
        <w:t>admission.</w:t>
      </w:r>
    </w:p>
    <w:p>
      <w:pPr>
        <w:pStyle w:val="ListParagraph"/>
        <w:numPr>
          <w:ilvl w:val="0"/>
          <w:numId w:val="4"/>
        </w:numPr>
        <w:tabs>
          <w:tab w:pos="410" w:val="left" w:leader="none"/>
        </w:tabs>
        <w:spacing w:line="240" w:lineRule="auto" w:before="40" w:after="0"/>
        <w:ind w:left="410" w:right="0" w:hanging="270"/>
        <w:jc w:val="left"/>
        <w:rPr>
          <w:rFonts w:ascii="Arial" w:hAnsi="Arial"/>
          <w:color w:val="137692"/>
          <w:sz w:val="28"/>
        </w:rPr>
      </w:pPr>
      <w:r>
        <w:rPr>
          <w:color w:val="4D4D4F"/>
          <w:w w:val="110"/>
          <w:sz w:val="22"/>
        </w:rPr>
        <w:t>Providing voluntary, written informed</w:t>
      </w:r>
      <w:r>
        <w:rPr>
          <w:color w:val="4D4D4F"/>
          <w:spacing w:val="-29"/>
          <w:w w:val="110"/>
          <w:sz w:val="22"/>
        </w:rPr>
        <w:t> </w:t>
      </w:r>
      <w:r>
        <w:rPr>
          <w:color w:val="4D4D4F"/>
          <w:w w:val="110"/>
          <w:sz w:val="22"/>
        </w:rPr>
        <w:t>consent.</w:t>
      </w:r>
    </w:p>
    <w:p>
      <w:pPr>
        <w:spacing w:line="237" w:lineRule="auto" w:before="108"/>
        <w:ind w:left="139" w:right="366" w:firstLine="0"/>
        <w:jc w:val="both"/>
        <w:rPr>
          <w:sz w:val="22"/>
        </w:rPr>
      </w:pPr>
      <w:r>
        <w:rPr/>
        <w:br w:type="column"/>
      </w:r>
      <w:r>
        <w:rPr>
          <w:rFonts w:ascii="Calibri"/>
          <w:b/>
          <w:color w:val="4D4D4F"/>
          <w:w w:val="110"/>
          <w:sz w:val="22"/>
        </w:rPr>
        <w:t>OTP </w:t>
      </w:r>
      <w:r>
        <w:rPr>
          <w:rFonts w:ascii="Calibri"/>
          <w:b/>
          <w:color w:val="4D4D4F"/>
          <w:spacing w:val="-3"/>
          <w:w w:val="110"/>
          <w:sz w:val="22"/>
        </w:rPr>
        <w:t>physicians </w:t>
      </w:r>
      <w:r>
        <w:rPr>
          <w:rFonts w:ascii="Calibri"/>
          <w:b/>
          <w:color w:val="4D4D4F"/>
          <w:w w:val="110"/>
          <w:sz w:val="22"/>
        </w:rPr>
        <w:t>can </w:t>
      </w:r>
      <w:r>
        <w:rPr>
          <w:rFonts w:ascii="Calibri"/>
          <w:b/>
          <w:color w:val="4D4D4F"/>
          <w:spacing w:val="-3"/>
          <w:w w:val="110"/>
          <w:sz w:val="22"/>
        </w:rPr>
        <w:t>waive </w:t>
      </w:r>
      <w:r>
        <w:rPr>
          <w:rFonts w:ascii="Calibri"/>
          <w:b/>
          <w:color w:val="4D4D4F"/>
          <w:w w:val="110"/>
          <w:sz w:val="22"/>
        </w:rPr>
        <w:t>the </w:t>
      </w:r>
      <w:r>
        <w:rPr>
          <w:rFonts w:ascii="Calibri"/>
          <w:b/>
          <w:color w:val="4D4D4F"/>
          <w:spacing w:val="-3"/>
          <w:w w:val="110"/>
          <w:sz w:val="22"/>
        </w:rPr>
        <w:t>history </w:t>
      </w:r>
      <w:r>
        <w:rPr>
          <w:rFonts w:ascii="Calibri"/>
          <w:b/>
          <w:color w:val="4D4D4F"/>
          <w:spacing w:val="-4"/>
          <w:w w:val="110"/>
          <w:sz w:val="22"/>
        </w:rPr>
        <w:t>require- </w:t>
      </w:r>
      <w:r>
        <w:rPr>
          <w:rFonts w:ascii="Calibri"/>
          <w:b/>
          <w:color w:val="4D4D4F"/>
          <w:spacing w:val="-3"/>
          <w:w w:val="110"/>
          <w:sz w:val="22"/>
        </w:rPr>
        <w:t>ment </w:t>
      </w:r>
      <w:r>
        <w:rPr>
          <w:color w:val="4D4D4F"/>
          <w:w w:val="110"/>
          <w:sz w:val="22"/>
        </w:rPr>
        <w:t>per Code of Federal Regulations (42 </w:t>
      </w:r>
      <w:r>
        <w:rPr>
          <w:color w:val="4D4D4F"/>
          <w:spacing w:val="-5"/>
          <w:w w:val="110"/>
          <w:sz w:val="22"/>
        </w:rPr>
        <w:t>CFR </w:t>
      </w:r>
      <w:r>
        <w:rPr>
          <w:color w:val="4D4D4F"/>
          <w:w w:val="110"/>
          <w:sz w:val="22"/>
        </w:rPr>
        <w:t>8.12)</w:t>
      </w:r>
      <w:r>
        <w:rPr>
          <w:color w:val="4D4D4F"/>
          <w:w w:val="110"/>
          <w:position w:val="7"/>
          <w:sz w:val="13"/>
        </w:rPr>
        <w:t>93 </w:t>
      </w:r>
      <w:r>
        <w:rPr>
          <w:color w:val="4D4D4F"/>
          <w:w w:val="110"/>
          <w:sz w:val="22"/>
        </w:rPr>
        <w:t>for:</w:t>
      </w:r>
    </w:p>
    <w:p>
      <w:pPr>
        <w:pStyle w:val="ListParagraph"/>
        <w:numPr>
          <w:ilvl w:val="0"/>
          <w:numId w:val="4"/>
        </w:numPr>
        <w:tabs>
          <w:tab w:pos="410" w:val="left" w:leader="none"/>
        </w:tabs>
        <w:spacing w:line="315" w:lineRule="exact" w:before="107" w:after="0"/>
        <w:ind w:left="410" w:right="0" w:hanging="270"/>
        <w:jc w:val="left"/>
        <w:rPr>
          <w:rFonts w:ascii="Arial" w:hAnsi="Arial"/>
          <w:color w:val="137692"/>
          <w:sz w:val="28"/>
        </w:rPr>
      </w:pPr>
      <w:r>
        <w:rPr>
          <w:color w:val="4D4D4F"/>
          <w:spacing w:val="-3"/>
          <w:w w:val="115"/>
          <w:sz w:val="22"/>
        </w:rPr>
        <w:t>Women </w:t>
      </w:r>
      <w:r>
        <w:rPr>
          <w:color w:val="4D4D4F"/>
          <w:w w:val="115"/>
          <w:sz w:val="22"/>
        </w:rPr>
        <w:t>who are</w:t>
      </w:r>
      <w:r>
        <w:rPr>
          <w:color w:val="4D4D4F"/>
          <w:spacing w:val="-34"/>
          <w:w w:val="115"/>
          <w:sz w:val="22"/>
        </w:rPr>
        <w:t> </w:t>
      </w:r>
      <w:r>
        <w:rPr>
          <w:color w:val="4D4D4F"/>
          <w:w w:val="115"/>
          <w:sz w:val="22"/>
        </w:rPr>
        <w:t>pregnant.</w:t>
      </w:r>
    </w:p>
    <w:p>
      <w:pPr>
        <w:pStyle w:val="ListParagraph"/>
        <w:numPr>
          <w:ilvl w:val="0"/>
          <w:numId w:val="4"/>
        </w:numPr>
        <w:tabs>
          <w:tab w:pos="410" w:val="left" w:leader="none"/>
        </w:tabs>
        <w:spacing w:line="208" w:lineRule="auto" w:before="22" w:after="0"/>
        <w:ind w:left="410" w:right="1246" w:hanging="270"/>
        <w:jc w:val="left"/>
        <w:rPr>
          <w:rFonts w:ascii="Arial" w:hAnsi="Arial"/>
          <w:color w:val="137692"/>
          <w:sz w:val="28"/>
        </w:rPr>
      </w:pPr>
      <w:r>
        <w:rPr>
          <w:color w:val="4D4D4F"/>
          <w:w w:val="110"/>
          <w:sz w:val="22"/>
        </w:rPr>
        <w:t>Former patients (up to 2 years</w:t>
      </w:r>
      <w:r>
        <w:rPr>
          <w:color w:val="4D4D4F"/>
          <w:spacing w:val="-35"/>
          <w:w w:val="110"/>
          <w:sz w:val="22"/>
        </w:rPr>
        <w:t> </w:t>
      </w:r>
      <w:r>
        <w:rPr>
          <w:color w:val="4D4D4F"/>
          <w:spacing w:val="-4"/>
          <w:w w:val="110"/>
          <w:sz w:val="22"/>
        </w:rPr>
        <w:t>after </w:t>
      </w:r>
      <w:r>
        <w:rPr>
          <w:color w:val="4D4D4F"/>
          <w:w w:val="110"/>
          <w:sz w:val="22"/>
        </w:rPr>
        <w:t>discharge).</w:t>
      </w:r>
    </w:p>
    <w:p>
      <w:pPr>
        <w:pStyle w:val="ListParagraph"/>
        <w:numPr>
          <w:ilvl w:val="0"/>
          <w:numId w:val="4"/>
        </w:numPr>
        <w:tabs>
          <w:tab w:pos="410" w:val="left" w:leader="none"/>
        </w:tabs>
        <w:spacing w:line="208" w:lineRule="auto" w:before="69" w:after="0"/>
        <w:ind w:left="410" w:right="781" w:hanging="270"/>
        <w:jc w:val="left"/>
        <w:rPr>
          <w:rFonts w:ascii="Arial" w:hAnsi="Arial"/>
          <w:color w:val="137692"/>
          <w:sz w:val="28"/>
        </w:rPr>
      </w:pPr>
      <w:r>
        <w:rPr>
          <w:color w:val="4D4D4F"/>
          <w:w w:val="110"/>
          <w:sz w:val="22"/>
        </w:rPr>
        <w:t>Patients within 6 months of release</w:t>
      </w:r>
      <w:r>
        <w:rPr>
          <w:color w:val="4D4D4F"/>
          <w:spacing w:val="-25"/>
          <w:w w:val="110"/>
          <w:sz w:val="22"/>
        </w:rPr>
        <w:t> </w:t>
      </w:r>
      <w:r>
        <w:rPr>
          <w:color w:val="4D4D4F"/>
          <w:spacing w:val="-6"/>
          <w:w w:val="110"/>
          <w:sz w:val="22"/>
        </w:rPr>
        <w:t>from </w:t>
      </w:r>
      <w:r>
        <w:rPr>
          <w:color w:val="4D4D4F"/>
          <w:w w:val="110"/>
          <w:sz w:val="22"/>
        </w:rPr>
        <w:t>incarceration.</w:t>
      </w:r>
    </w:p>
    <w:p>
      <w:pPr>
        <w:spacing w:line="242" w:lineRule="auto" w:before="190"/>
        <w:ind w:left="140" w:right="232" w:firstLine="0"/>
        <w:jc w:val="left"/>
        <w:rPr>
          <w:sz w:val="22"/>
        </w:rPr>
      </w:pPr>
      <w:r>
        <w:rPr>
          <w:rFonts w:ascii="Calibri"/>
          <w:b/>
          <w:color w:val="4D4D4F"/>
          <w:w w:val="110"/>
          <w:sz w:val="22"/>
        </w:rPr>
        <w:t>For patients younger than 18, admission criteria are different. </w:t>
      </w:r>
      <w:r>
        <w:rPr>
          <w:color w:val="4D4D4F"/>
          <w:w w:val="110"/>
          <w:sz w:val="22"/>
        </w:rPr>
        <w:t>They include </w:t>
      </w:r>
      <w:r>
        <w:rPr>
          <w:color w:val="4D4D4F"/>
          <w:spacing w:val="2"/>
          <w:w w:val="110"/>
          <w:sz w:val="22"/>
        </w:rPr>
        <w:t>two </w:t>
      </w:r>
      <w:r>
        <w:rPr>
          <w:color w:val="4D4D4F"/>
          <w:w w:val="110"/>
          <w:sz w:val="22"/>
        </w:rPr>
        <w:t>documented, unsuccessful, medically supervised withdrawals</w:t>
      </w:r>
      <w:r>
        <w:rPr>
          <w:color w:val="4D4D4F"/>
          <w:spacing w:val="-21"/>
          <w:w w:val="110"/>
          <w:sz w:val="22"/>
        </w:rPr>
        <w:t> </w:t>
      </w:r>
      <w:r>
        <w:rPr>
          <w:color w:val="4D4D4F"/>
          <w:w w:val="110"/>
          <w:sz w:val="22"/>
        </w:rPr>
        <w:t>or</w:t>
      </w:r>
      <w:r>
        <w:rPr>
          <w:color w:val="4D4D4F"/>
          <w:spacing w:val="-20"/>
          <w:w w:val="110"/>
          <w:sz w:val="22"/>
        </w:rPr>
        <w:t> </w:t>
      </w:r>
      <w:r>
        <w:rPr>
          <w:color w:val="4D4D4F"/>
          <w:w w:val="110"/>
          <w:sz w:val="22"/>
        </w:rPr>
        <w:t>treatments</w:t>
      </w:r>
      <w:r>
        <w:rPr>
          <w:color w:val="4D4D4F"/>
          <w:spacing w:val="-21"/>
          <w:w w:val="110"/>
          <w:sz w:val="22"/>
        </w:rPr>
        <w:t> </w:t>
      </w:r>
      <w:r>
        <w:rPr>
          <w:color w:val="4D4D4F"/>
          <w:w w:val="110"/>
          <w:sz w:val="22"/>
        </w:rPr>
        <w:t>without</w:t>
      </w:r>
      <w:r>
        <w:rPr>
          <w:color w:val="4D4D4F"/>
          <w:spacing w:val="-20"/>
          <w:w w:val="110"/>
          <w:sz w:val="22"/>
        </w:rPr>
        <w:t> </w:t>
      </w:r>
      <w:r>
        <w:rPr>
          <w:color w:val="4D4D4F"/>
          <w:w w:val="110"/>
          <w:sz w:val="22"/>
        </w:rPr>
        <w:t>OUD</w:t>
      </w:r>
      <w:r>
        <w:rPr>
          <w:color w:val="4D4D4F"/>
          <w:spacing w:val="-21"/>
          <w:w w:val="110"/>
          <w:sz w:val="22"/>
        </w:rPr>
        <w:t> </w:t>
      </w:r>
      <w:r>
        <w:rPr>
          <w:color w:val="4D4D4F"/>
          <w:spacing w:val="-3"/>
          <w:w w:val="110"/>
          <w:sz w:val="22"/>
        </w:rPr>
        <w:t>medica- </w:t>
      </w:r>
      <w:r>
        <w:rPr>
          <w:color w:val="4D4D4F"/>
          <w:w w:val="110"/>
          <w:sz w:val="22"/>
        </w:rPr>
        <w:t>tion (e.g., methadone) in a 12-month</w:t>
      </w:r>
      <w:r>
        <w:rPr>
          <w:color w:val="4D4D4F"/>
          <w:spacing w:val="2"/>
          <w:w w:val="110"/>
          <w:sz w:val="22"/>
        </w:rPr>
        <w:t> </w:t>
      </w:r>
      <w:r>
        <w:rPr>
          <w:color w:val="4D4D4F"/>
          <w:w w:val="110"/>
          <w:sz w:val="22"/>
        </w:rPr>
        <w:t>period.</w:t>
      </w:r>
    </w:p>
    <w:p>
      <w:pPr>
        <w:pStyle w:val="BodyText"/>
        <w:spacing w:line="247" w:lineRule="auto" w:before="10"/>
        <w:ind w:left="140" w:right="594"/>
      </w:pPr>
      <w:r>
        <w:rPr>
          <w:color w:val="4D4D4F"/>
          <w:w w:val="110"/>
        </w:rPr>
        <w:t>The parent or legal guardian must provide written informed consent.</w:t>
      </w:r>
    </w:p>
    <w:p>
      <w:pPr>
        <w:pStyle w:val="Heading2"/>
        <w:spacing w:before="215"/>
      </w:pPr>
      <w:bookmarkStart w:name="_TOC_250094" w:id="21"/>
      <w:bookmarkEnd w:id="21"/>
      <w:r>
        <w:rPr>
          <w:color w:val="137692"/>
          <w:w w:val="110"/>
        </w:rPr>
        <w:t>Contraindications</w:t>
      </w:r>
    </w:p>
    <w:p>
      <w:pPr>
        <w:pStyle w:val="BodyText"/>
        <w:spacing w:line="247" w:lineRule="auto" w:before="32"/>
        <w:ind w:left="140" w:right="232"/>
      </w:pPr>
      <w:r>
        <w:rPr>
          <w:color w:val="4D4D4F"/>
          <w:w w:val="110"/>
        </w:rPr>
        <w:t>Contraindications to treatment with methadone include an allergy to methadone and other instances in which opioids are contraindicated, such as acute asthma, in patients with abnormal- ly high carbon dioxide blood levels (e.g., from pulmonary disease or sleep apnea), or paralytic ileus.</w:t>
      </w:r>
    </w:p>
    <w:p>
      <w:pPr>
        <w:pStyle w:val="BodyText"/>
        <w:spacing w:before="4"/>
        <w:rPr>
          <w:sz w:val="23"/>
        </w:rPr>
      </w:pPr>
    </w:p>
    <w:p>
      <w:pPr>
        <w:pStyle w:val="Heading3"/>
      </w:pPr>
      <w:bookmarkStart w:name="_TOC_250093" w:id="22"/>
      <w:bookmarkEnd w:id="22"/>
      <w:r>
        <w:rPr>
          <w:color w:val="137692"/>
          <w:w w:val="110"/>
        </w:rPr>
        <w:t>Precautions and Warnings</w:t>
      </w:r>
    </w:p>
    <w:p>
      <w:pPr>
        <w:pStyle w:val="Heading5"/>
        <w:spacing w:before="82"/>
        <w:rPr>
          <w:i/>
        </w:rPr>
      </w:pPr>
      <w:r>
        <w:rPr>
          <w:i/>
          <w:color w:val="137692"/>
          <w:w w:val="105"/>
        </w:rPr>
        <w:t>Respiratory depression</w:t>
      </w:r>
    </w:p>
    <w:p>
      <w:pPr>
        <w:spacing w:line="244" w:lineRule="auto" w:before="42"/>
        <w:ind w:left="140" w:right="253" w:firstLine="0"/>
        <w:jc w:val="left"/>
        <w:rPr>
          <w:sz w:val="22"/>
        </w:rPr>
      </w:pPr>
      <w:r>
        <w:rPr>
          <w:rFonts w:ascii="Calibri" w:hAnsi="Calibri"/>
          <w:b/>
          <w:color w:val="4D4D4F"/>
          <w:w w:val="110"/>
          <w:sz w:val="22"/>
        </w:rPr>
        <w:t>Methadone can cause respiratory depression, particularly during initial dosing and dose titration. </w:t>
      </w:r>
      <w:r>
        <w:rPr>
          <w:color w:val="4D4D4F"/>
          <w:w w:val="110"/>
          <w:sz w:val="22"/>
        </w:rPr>
        <w:t>The goal of methadone dosing in the ﬁrst weeks of treatment (i.e., induction) is to relieve withdrawal but avoid oversedation and respiratory depression. Patients who are older or cachectic or who have chronic obstructive pulmonary disease are more susceptible to respiratory depression and should be treated cautiously with lower doses.</w:t>
      </w:r>
    </w:p>
    <w:p>
      <w:pPr>
        <w:pStyle w:val="BodyText"/>
        <w:spacing w:before="10"/>
        <w:rPr>
          <w:sz w:val="32"/>
        </w:rPr>
      </w:pPr>
    </w:p>
    <w:p>
      <w:pPr>
        <w:pStyle w:val="Heading7"/>
        <w:spacing w:line="304" w:lineRule="auto"/>
        <w:ind w:left="438" w:right="157"/>
        <w:rPr>
          <w:rFonts w:ascii="Arial"/>
        </w:rPr>
      </w:pPr>
      <w:r>
        <w:rPr/>
        <w:pict>
          <v:line style="position:absolute;mso-position-horizontal-relative:page;mso-position-vertical-relative:paragraph;z-index:15742976" from="315.501007pt,90.318871pt" to="315.501007pt,-.329129pt" stroked="true" strokeweight="1pt" strokecolor="#759eb4">
            <v:stroke dashstyle="solid"/>
            <w10:wrap type="none"/>
          </v:line>
        </w:pict>
      </w:r>
      <w:r>
        <w:rPr>
          <w:rFonts w:ascii="Arial"/>
          <w:color w:val="B15651"/>
          <w:w w:val="110"/>
        </w:rPr>
        <w:t>A standard formula for dose induction for all patients, without careful monitoring of response to treatment, and individualized dose adjustment is inadvisable.</w:t>
      </w:r>
      <w:r>
        <w:rPr>
          <w:rFonts w:ascii="Arial"/>
          <w:color w:val="B15651"/>
          <w:spacing w:val="-19"/>
          <w:w w:val="110"/>
        </w:rPr>
        <w:t> </w:t>
      </w:r>
      <w:r>
        <w:rPr>
          <w:rFonts w:ascii="Arial"/>
          <w:color w:val="B15651"/>
          <w:w w:val="110"/>
        </w:rPr>
        <w:t>This</w:t>
      </w:r>
      <w:r>
        <w:rPr>
          <w:rFonts w:ascii="Arial"/>
          <w:color w:val="B15651"/>
          <w:spacing w:val="-19"/>
          <w:w w:val="110"/>
        </w:rPr>
        <w:t> </w:t>
      </w:r>
      <w:r>
        <w:rPr>
          <w:rFonts w:ascii="Arial"/>
          <w:color w:val="B15651"/>
          <w:w w:val="110"/>
        </w:rPr>
        <w:t>can</w:t>
      </w:r>
      <w:r>
        <w:rPr>
          <w:rFonts w:ascii="Arial"/>
          <w:color w:val="B15651"/>
          <w:spacing w:val="-19"/>
          <w:w w:val="110"/>
        </w:rPr>
        <w:t> </w:t>
      </w:r>
      <w:r>
        <w:rPr>
          <w:rFonts w:ascii="Arial"/>
          <w:color w:val="B15651"/>
          <w:w w:val="110"/>
        </w:rPr>
        <w:t>lead</w:t>
      </w:r>
      <w:r>
        <w:rPr>
          <w:rFonts w:ascii="Arial"/>
          <w:color w:val="B15651"/>
          <w:spacing w:val="-19"/>
          <w:w w:val="110"/>
        </w:rPr>
        <w:t> </w:t>
      </w:r>
      <w:r>
        <w:rPr>
          <w:rFonts w:ascii="Arial"/>
          <w:color w:val="B15651"/>
          <w:w w:val="110"/>
        </w:rPr>
        <w:t>to</w:t>
      </w:r>
      <w:r>
        <w:rPr>
          <w:rFonts w:ascii="Arial"/>
          <w:color w:val="B15651"/>
          <w:spacing w:val="-19"/>
          <w:w w:val="110"/>
        </w:rPr>
        <w:t> </w:t>
      </w:r>
      <w:r>
        <w:rPr>
          <w:rFonts w:ascii="Arial"/>
          <w:color w:val="B15651"/>
          <w:w w:val="110"/>
        </w:rPr>
        <w:t>methadone intoxication and overdose</w:t>
      </w:r>
      <w:r>
        <w:rPr>
          <w:rFonts w:ascii="Arial"/>
          <w:color w:val="B15651"/>
          <w:spacing w:val="-31"/>
          <w:w w:val="110"/>
        </w:rPr>
        <w:t> </w:t>
      </w:r>
      <w:r>
        <w:rPr>
          <w:rFonts w:ascii="Arial"/>
          <w:color w:val="B15651"/>
          <w:w w:val="110"/>
        </w:rPr>
        <w:t>death.</w:t>
      </w:r>
    </w:p>
    <w:p>
      <w:pPr>
        <w:spacing w:after="0" w:line="304" w:lineRule="auto"/>
        <w:rPr>
          <w:rFonts w:ascii="Arial"/>
        </w:rPr>
        <w:sectPr>
          <w:type w:val="continuous"/>
          <w:pgSz w:w="12240" w:h="15840"/>
          <w:pgMar w:top="540" w:bottom="280" w:left="940" w:right="920"/>
          <w:cols w:num="2" w:equalWidth="0">
            <w:col w:w="5012" w:space="208"/>
            <w:col w:w="5160"/>
          </w:cols>
        </w:sectPr>
      </w:pPr>
    </w:p>
    <w:p>
      <w:pPr>
        <w:pStyle w:val="BodyText"/>
        <w:spacing w:before="1"/>
        <w:rPr>
          <w:rFonts w:ascii="Arial"/>
          <w:b/>
          <w:sz w:val="27"/>
        </w:rPr>
      </w:pPr>
    </w:p>
    <w:p>
      <w:pPr>
        <w:spacing w:after="0"/>
        <w:rPr>
          <w:rFonts w:ascii="Arial"/>
          <w:sz w:val="27"/>
        </w:rPr>
        <w:sectPr>
          <w:pgSz w:w="12240" w:h="15840"/>
          <w:pgMar w:header="576" w:footer="677" w:top="1340" w:bottom="860" w:left="940" w:right="920"/>
        </w:sectPr>
      </w:pPr>
    </w:p>
    <w:p>
      <w:pPr>
        <w:pStyle w:val="BodyText"/>
        <w:spacing w:line="244" w:lineRule="auto" w:before="101"/>
        <w:ind w:left="140"/>
      </w:pPr>
      <w:r>
        <w:rPr>
          <w:rFonts w:ascii="Calibri" w:hAnsi="Calibri"/>
          <w:b/>
          <w:color w:val="4D4D4F"/>
          <w:w w:val="110"/>
        </w:rPr>
        <w:t>Individualize dosing decisions through daily monitoring </w:t>
      </w:r>
      <w:r>
        <w:rPr>
          <w:color w:val="4D4D4F"/>
          <w:w w:val="110"/>
        </w:rPr>
        <w:t>of patients’ responses to treatment. </w:t>
      </w:r>
      <w:r>
        <w:rPr>
          <w:color w:val="4D4D4F"/>
          <w:spacing w:val="-3"/>
          <w:w w:val="110"/>
        </w:rPr>
        <w:t>Opioid tolerance cannot </w:t>
      </w:r>
      <w:r>
        <w:rPr>
          <w:color w:val="4D4D4F"/>
          <w:w w:val="110"/>
        </w:rPr>
        <w:t>be </w:t>
      </w:r>
      <w:r>
        <w:rPr>
          <w:color w:val="4D4D4F"/>
          <w:spacing w:val="-3"/>
          <w:w w:val="110"/>
        </w:rPr>
        <w:t>accurately gauged based </w:t>
      </w:r>
      <w:r>
        <w:rPr>
          <w:color w:val="4D4D4F"/>
          <w:w w:val="110"/>
        </w:rPr>
        <w:t>on </w:t>
      </w:r>
      <w:r>
        <w:rPr>
          <w:color w:val="4D4D4F"/>
          <w:spacing w:val="-3"/>
          <w:w w:val="110"/>
        </w:rPr>
        <w:t>patient </w:t>
      </w:r>
      <w:r>
        <w:rPr>
          <w:color w:val="4D4D4F"/>
          <w:spacing w:val="-4"/>
          <w:w w:val="110"/>
        </w:rPr>
        <w:t>self-reports </w:t>
      </w:r>
      <w:r>
        <w:rPr>
          <w:color w:val="4D4D4F"/>
          <w:w w:val="110"/>
        </w:rPr>
        <w:t>of the </w:t>
      </w:r>
      <w:r>
        <w:rPr>
          <w:color w:val="4D4D4F"/>
          <w:spacing w:val="-3"/>
          <w:w w:val="110"/>
        </w:rPr>
        <w:t>type, amount, </w:t>
      </w:r>
      <w:r>
        <w:rPr>
          <w:color w:val="4D4D4F"/>
          <w:w w:val="110"/>
        </w:rPr>
        <w:t>or </w:t>
      </w:r>
      <w:r>
        <w:rPr>
          <w:color w:val="4D4D4F"/>
          <w:spacing w:val="-3"/>
          <w:w w:val="110"/>
        </w:rPr>
        <w:t>purity </w:t>
      </w:r>
      <w:r>
        <w:rPr>
          <w:color w:val="4D4D4F"/>
          <w:w w:val="110"/>
        </w:rPr>
        <w:t>of the </w:t>
      </w:r>
      <w:r>
        <w:rPr>
          <w:color w:val="4D4D4F"/>
          <w:spacing w:val="-3"/>
          <w:w w:val="110"/>
        </w:rPr>
        <w:t>opioids they’ve used </w:t>
      </w:r>
      <w:r>
        <w:rPr>
          <w:color w:val="4D4D4F"/>
          <w:w w:val="110"/>
        </w:rPr>
        <w:t>or of </w:t>
      </w:r>
      <w:r>
        <w:rPr>
          <w:color w:val="4D4D4F"/>
          <w:spacing w:val="-3"/>
          <w:w w:val="110"/>
        </w:rPr>
        <w:t>the severity </w:t>
      </w:r>
      <w:r>
        <w:rPr>
          <w:color w:val="4D4D4F"/>
          <w:w w:val="110"/>
        </w:rPr>
        <w:t>of </w:t>
      </w:r>
      <w:r>
        <w:rPr>
          <w:color w:val="4D4D4F"/>
          <w:spacing w:val="-3"/>
          <w:w w:val="110"/>
        </w:rPr>
        <w:t>their opioid withdrawal symptoms.</w:t>
      </w:r>
    </w:p>
    <w:p>
      <w:pPr>
        <w:spacing w:line="242" w:lineRule="auto" w:before="175"/>
        <w:ind w:left="140" w:right="128" w:firstLine="0"/>
        <w:jc w:val="left"/>
        <w:rPr>
          <w:sz w:val="13"/>
        </w:rPr>
      </w:pPr>
      <w:r>
        <w:rPr>
          <w:rFonts w:ascii="Calibri" w:hAnsi="Calibri"/>
          <w:b/>
          <w:color w:val="4D4D4F"/>
          <w:w w:val="115"/>
          <w:sz w:val="22"/>
        </w:rPr>
        <w:t>The best approach to dosing is to start low and go </w:t>
      </w:r>
      <w:r>
        <w:rPr>
          <w:rFonts w:ascii="Calibri" w:hAnsi="Calibri"/>
          <w:b/>
          <w:color w:val="4D4D4F"/>
          <w:spacing w:val="-4"/>
          <w:w w:val="115"/>
          <w:sz w:val="22"/>
        </w:rPr>
        <w:t>slow. </w:t>
      </w:r>
      <w:r>
        <w:rPr>
          <w:color w:val="4D4D4F"/>
          <w:w w:val="115"/>
          <w:sz w:val="22"/>
        </w:rPr>
        <w:t>Methadone has a relatively long half-life (24–36 hours or longer). Steady-state serum levels are generally not reached until about ﬁve half-lives. </w:t>
      </w:r>
      <w:r>
        <w:rPr>
          <w:rFonts w:ascii="Calibri" w:hAnsi="Calibri"/>
          <w:b/>
          <w:color w:val="4D4D4F"/>
          <w:w w:val="115"/>
          <w:sz w:val="22"/>
        </w:rPr>
        <w:t>This means that patients will not feel the full effect of the initial dose for</w:t>
      </w:r>
      <w:r>
        <w:rPr>
          <w:rFonts w:ascii="Calibri" w:hAnsi="Calibri"/>
          <w:b/>
          <w:color w:val="4D4D4F"/>
          <w:spacing w:val="2"/>
          <w:w w:val="115"/>
          <w:sz w:val="22"/>
        </w:rPr>
        <w:t> </w:t>
      </w:r>
      <w:r>
        <w:rPr>
          <w:rFonts w:ascii="Calibri" w:hAnsi="Calibri"/>
          <w:b/>
          <w:color w:val="4D4D4F"/>
          <w:w w:val="115"/>
          <w:sz w:val="22"/>
        </w:rPr>
        <w:t>4</w:t>
      </w:r>
      <w:r>
        <w:rPr>
          <w:rFonts w:ascii="Calibri" w:hAnsi="Calibri"/>
          <w:b/>
          <w:color w:val="4D4D4F"/>
          <w:spacing w:val="3"/>
          <w:w w:val="115"/>
          <w:sz w:val="22"/>
        </w:rPr>
        <w:t> </w:t>
      </w:r>
      <w:r>
        <w:rPr>
          <w:rFonts w:ascii="Calibri" w:hAnsi="Calibri"/>
          <w:b/>
          <w:color w:val="4D4D4F"/>
          <w:w w:val="115"/>
          <w:sz w:val="22"/>
        </w:rPr>
        <w:t>or</w:t>
      </w:r>
      <w:r>
        <w:rPr>
          <w:rFonts w:ascii="Calibri" w:hAnsi="Calibri"/>
          <w:b/>
          <w:color w:val="4D4D4F"/>
          <w:spacing w:val="2"/>
          <w:w w:val="115"/>
          <w:sz w:val="22"/>
        </w:rPr>
        <w:t> </w:t>
      </w:r>
      <w:r>
        <w:rPr>
          <w:rFonts w:ascii="Calibri" w:hAnsi="Calibri"/>
          <w:b/>
          <w:color w:val="4D4D4F"/>
          <w:w w:val="115"/>
          <w:sz w:val="22"/>
        </w:rPr>
        <w:t>more</w:t>
      </w:r>
      <w:r>
        <w:rPr>
          <w:rFonts w:ascii="Calibri" w:hAnsi="Calibri"/>
          <w:b/>
          <w:color w:val="4D4D4F"/>
          <w:spacing w:val="3"/>
          <w:w w:val="115"/>
          <w:sz w:val="22"/>
        </w:rPr>
        <w:t> </w:t>
      </w:r>
      <w:r>
        <w:rPr>
          <w:rFonts w:ascii="Calibri" w:hAnsi="Calibri"/>
          <w:b/>
          <w:color w:val="4D4D4F"/>
          <w:w w:val="115"/>
          <w:sz w:val="22"/>
        </w:rPr>
        <w:t>days</w:t>
      </w:r>
      <w:r>
        <w:rPr>
          <w:rFonts w:ascii="Calibri" w:hAnsi="Calibri"/>
          <w:b/>
          <w:color w:val="4D4D4F"/>
          <w:spacing w:val="2"/>
          <w:w w:val="115"/>
          <w:sz w:val="22"/>
        </w:rPr>
        <w:t> </w:t>
      </w:r>
      <w:r>
        <w:rPr>
          <w:color w:val="4D4D4F"/>
          <w:w w:val="115"/>
          <w:sz w:val="22"/>
        </w:rPr>
        <w:t>even</w:t>
      </w:r>
      <w:r>
        <w:rPr>
          <w:color w:val="4D4D4F"/>
          <w:spacing w:val="-14"/>
          <w:w w:val="115"/>
          <w:sz w:val="22"/>
        </w:rPr>
        <w:t> </w:t>
      </w:r>
      <w:r>
        <w:rPr>
          <w:color w:val="4D4D4F"/>
          <w:w w:val="115"/>
          <w:sz w:val="22"/>
        </w:rPr>
        <w:t>if</w:t>
      </w:r>
      <w:r>
        <w:rPr>
          <w:color w:val="4D4D4F"/>
          <w:spacing w:val="-14"/>
          <w:w w:val="115"/>
          <w:sz w:val="22"/>
        </w:rPr>
        <w:t> </w:t>
      </w:r>
      <w:r>
        <w:rPr>
          <w:color w:val="4D4D4F"/>
          <w:w w:val="115"/>
          <w:sz w:val="22"/>
        </w:rPr>
        <w:t>the</w:t>
      </w:r>
      <w:r>
        <w:rPr>
          <w:color w:val="4D4D4F"/>
          <w:spacing w:val="-13"/>
          <w:w w:val="115"/>
          <w:sz w:val="22"/>
        </w:rPr>
        <w:t> </w:t>
      </w:r>
      <w:r>
        <w:rPr>
          <w:color w:val="4D4D4F"/>
          <w:w w:val="115"/>
          <w:sz w:val="22"/>
        </w:rPr>
        <w:t>daily</w:t>
      </w:r>
      <w:r>
        <w:rPr>
          <w:color w:val="4D4D4F"/>
          <w:spacing w:val="-14"/>
          <w:w w:val="115"/>
          <w:sz w:val="22"/>
        </w:rPr>
        <w:t> </w:t>
      </w:r>
      <w:r>
        <w:rPr>
          <w:color w:val="4D4D4F"/>
          <w:w w:val="115"/>
          <w:sz w:val="22"/>
        </w:rPr>
        <w:t>dose</w:t>
      </w:r>
      <w:r>
        <w:rPr>
          <w:color w:val="4D4D4F"/>
          <w:spacing w:val="-14"/>
          <w:w w:val="115"/>
          <w:sz w:val="22"/>
        </w:rPr>
        <w:t> </w:t>
      </w:r>
      <w:r>
        <w:rPr>
          <w:color w:val="4D4D4F"/>
          <w:w w:val="115"/>
          <w:sz w:val="22"/>
        </w:rPr>
        <w:t>is</w:t>
      </w:r>
      <w:r>
        <w:rPr>
          <w:color w:val="4D4D4F"/>
          <w:spacing w:val="-14"/>
          <w:w w:val="115"/>
          <w:sz w:val="22"/>
        </w:rPr>
        <w:t> </w:t>
      </w:r>
      <w:r>
        <w:rPr>
          <w:color w:val="4D4D4F"/>
          <w:w w:val="115"/>
          <w:sz w:val="22"/>
        </w:rPr>
        <w:t>the same.</w:t>
      </w:r>
      <w:r>
        <w:rPr>
          <w:color w:val="4D4D4F"/>
          <w:spacing w:val="-24"/>
          <w:w w:val="115"/>
          <w:sz w:val="22"/>
        </w:rPr>
        <w:t> </w:t>
      </w:r>
      <w:r>
        <w:rPr>
          <w:color w:val="4D4D4F"/>
          <w:w w:val="115"/>
          <w:sz w:val="22"/>
        </w:rPr>
        <w:t>Slow</w:t>
      </w:r>
      <w:r>
        <w:rPr>
          <w:color w:val="4D4D4F"/>
          <w:spacing w:val="-23"/>
          <w:w w:val="115"/>
          <w:sz w:val="22"/>
        </w:rPr>
        <w:t> </w:t>
      </w:r>
      <w:r>
        <w:rPr>
          <w:color w:val="4D4D4F"/>
          <w:w w:val="115"/>
          <w:sz w:val="22"/>
        </w:rPr>
        <w:t>release</w:t>
      </w:r>
      <w:r>
        <w:rPr>
          <w:color w:val="4D4D4F"/>
          <w:spacing w:val="-24"/>
          <w:w w:val="115"/>
          <w:sz w:val="22"/>
        </w:rPr>
        <w:t> </w:t>
      </w:r>
      <w:r>
        <w:rPr>
          <w:color w:val="4D4D4F"/>
          <w:w w:val="115"/>
          <w:sz w:val="22"/>
        </w:rPr>
        <w:t>of</w:t>
      </w:r>
      <w:r>
        <w:rPr>
          <w:color w:val="4D4D4F"/>
          <w:spacing w:val="-23"/>
          <w:w w:val="115"/>
          <w:sz w:val="22"/>
        </w:rPr>
        <w:t> </w:t>
      </w:r>
      <w:r>
        <w:rPr>
          <w:color w:val="4D4D4F"/>
          <w:w w:val="115"/>
          <w:sz w:val="22"/>
        </w:rPr>
        <w:t>methadone</w:t>
      </w:r>
      <w:r>
        <w:rPr>
          <w:color w:val="4D4D4F"/>
          <w:spacing w:val="-24"/>
          <w:w w:val="115"/>
          <w:sz w:val="22"/>
        </w:rPr>
        <w:t> </w:t>
      </w:r>
      <w:r>
        <w:rPr>
          <w:color w:val="4D4D4F"/>
          <w:w w:val="115"/>
          <w:sz w:val="22"/>
        </w:rPr>
        <w:t>from</w:t>
      </w:r>
      <w:r>
        <w:rPr>
          <w:color w:val="4D4D4F"/>
          <w:spacing w:val="-23"/>
          <w:w w:val="115"/>
          <w:sz w:val="22"/>
        </w:rPr>
        <w:t> </w:t>
      </w:r>
      <w:r>
        <w:rPr>
          <w:color w:val="4D4D4F"/>
          <w:w w:val="115"/>
          <w:sz w:val="22"/>
        </w:rPr>
        <w:t>tissues causes</w:t>
      </w:r>
      <w:r>
        <w:rPr>
          <w:color w:val="4D4D4F"/>
          <w:spacing w:val="-34"/>
          <w:w w:val="115"/>
          <w:sz w:val="22"/>
        </w:rPr>
        <w:t> </w:t>
      </w:r>
      <w:r>
        <w:rPr>
          <w:color w:val="4D4D4F"/>
          <w:w w:val="115"/>
          <w:sz w:val="22"/>
        </w:rPr>
        <w:t>serum</w:t>
      </w:r>
      <w:r>
        <w:rPr>
          <w:color w:val="4D4D4F"/>
          <w:spacing w:val="-33"/>
          <w:w w:val="115"/>
          <w:sz w:val="22"/>
        </w:rPr>
        <w:t> </w:t>
      </w:r>
      <w:r>
        <w:rPr>
          <w:color w:val="4D4D4F"/>
          <w:w w:val="115"/>
          <w:sz w:val="22"/>
        </w:rPr>
        <w:t>levels</w:t>
      </w:r>
      <w:r>
        <w:rPr>
          <w:color w:val="4D4D4F"/>
          <w:spacing w:val="-33"/>
          <w:w w:val="115"/>
          <w:sz w:val="22"/>
        </w:rPr>
        <w:t> </w:t>
      </w:r>
      <w:r>
        <w:rPr>
          <w:color w:val="4D4D4F"/>
          <w:w w:val="115"/>
          <w:sz w:val="22"/>
        </w:rPr>
        <w:t>to</w:t>
      </w:r>
      <w:r>
        <w:rPr>
          <w:color w:val="4D4D4F"/>
          <w:spacing w:val="-33"/>
          <w:w w:val="115"/>
          <w:sz w:val="22"/>
        </w:rPr>
        <w:t> </w:t>
      </w:r>
      <w:r>
        <w:rPr>
          <w:color w:val="4D4D4F"/>
          <w:w w:val="115"/>
          <w:sz w:val="22"/>
        </w:rPr>
        <w:t>continue</w:t>
      </w:r>
      <w:r>
        <w:rPr>
          <w:color w:val="4D4D4F"/>
          <w:spacing w:val="-33"/>
          <w:w w:val="115"/>
          <w:sz w:val="22"/>
        </w:rPr>
        <w:t> </w:t>
      </w:r>
      <w:r>
        <w:rPr>
          <w:color w:val="4D4D4F"/>
          <w:w w:val="115"/>
          <w:sz w:val="22"/>
        </w:rPr>
        <w:t>to</w:t>
      </w:r>
      <w:r>
        <w:rPr>
          <w:color w:val="4D4D4F"/>
          <w:spacing w:val="-33"/>
          <w:w w:val="115"/>
          <w:sz w:val="22"/>
        </w:rPr>
        <w:t> </w:t>
      </w:r>
      <w:r>
        <w:rPr>
          <w:color w:val="4D4D4F"/>
          <w:w w:val="115"/>
          <w:sz w:val="22"/>
        </w:rPr>
        <w:t>increase</w:t>
      </w:r>
      <w:r>
        <w:rPr>
          <w:color w:val="4D4D4F"/>
          <w:spacing w:val="-33"/>
          <w:w w:val="115"/>
          <w:sz w:val="22"/>
        </w:rPr>
        <w:t> </w:t>
      </w:r>
      <w:r>
        <w:rPr>
          <w:color w:val="4D4D4F"/>
          <w:spacing w:val="-4"/>
          <w:w w:val="115"/>
          <w:sz w:val="22"/>
        </w:rPr>
        <w:t>until </w:t>
      </w:r>
      <w:r>
        <w:rPr>
          <w:color w:val="4D4D4F"/>
          <w:w w:val="115"/>
          <w:sz w:val="22"/>
        </w:rPr>
        <w:t>reaching</w:t>
      </w:r>
      <w:r>
        <w:rPr>
          <w:color w:val="4D4D4F"/>
          <w:spacing w:val="-17"/>
          <w:w w:val="115"/>
          <w:sz w:val="22"/>
        </w:rPr>
        <w:t> </w:t>
      </w:r>
      <w:r>
        <w:rPr>
          <w:color w:val="4D4D4F"/>
          <w:w w:val="115"/>
          <w:sz w:val="22"/>
        </w:rPr>
        <w:t>steady</w:t>
      </w:r>
      <w:r>
        <w:rPr>
          <w:color w:val="4D4D4F"/>
          <w:spacing w:val="-16"/>
          <w:w w:val="115"/>
          <w:sz w:val="22"/>
        </w:rPr>
        <w:t> </w:t>
      </w:r>
      <w:r>
        <w:rPr>
          <w:color w:val="4D4D4F"/>
          <w:w w:val="115"/>
          <w:sz w:val="22"/>
        </w:rPr>
        <w:t>state.</w:t>
      </w:r>
      <w:r>
        <w:rPr>
          <w:color w:val="4D4D4F"/>
          <w:spacing w:val="-16"/>
          <w:w w:val="115"/>
          <w:sz w:val="22"/>
        </w:rPr>
        <w:t> </w:t>
      </w:r>
      <w:r>
        <w:rPr>
          <w:color w:val="4D4D4F"/>
          <w:w w:val="115"/>
          <w:sz w:val="22"/>
        </w:rPr>
        <w:t>Initially</w:t>
      </w:r>
      <w:r>
        <w:rPr>
          <w:color w:val="4D4D4F"/>
          <w:spacing w:val="-17"/>
          <w:w w:val="115"/>
          <w:sz w:val="22"/>
        </w:rPr>
        <w:t> </w:t>
      </w:r>
      <w:r>
        <w:rPr>
          <w:color w:val="4D4D4F"/>
          <w:w w:val="115"/>
          <w:sz w:val="22"/>
        </w:rPr>
        <w:t>a</w:t>
      </w:r>
      <w:r>
        <w:rPr>
          <w:color w:val="4D4D4F"/>
          <w:spacing w:val="-16"/>
          <w:w w:val="115"/>
          <w:sz w:val="22"/>
        </w:rPr>
        <w:t> </w:t>
      </w:r>
      <w:r>
        <w:rPr>
          <w:color w:val="4D4D4F"/>
          <w:w w:val="115"/>
          <w:sz w:val="22"/>
        </w:rPr>
        <w:t>dose</w:t>
      </w:r>
      <w:r>
        <w:rPr>
          <w:color w:val="4D4D4F"/>
          <w:spacing w:val="-16"/>
          <w:w w:val="115"/>
          <w:sz w:val="22"/>
        </w:rPr>
        <w:t> </w:t>
      </w:r>
      <w:r>
        <w:rPr>
          <w:color w:val="4D4D4F"/>
          <w:w w:val="115"/>
          <w:sz w:val="22"/>
        </w:rPr>
        <w:t>may</w:t>
      </w:r>
      <w:r>
        <w:rPr>
          <w:color w:val="4D4D4F"/>
          <w:spacing w:val="-17"/>
          <w:w w:val="115"/>
          <w:sz w:val="22"/>
        </w:rPr>
        <w:t> </w:t>
      </w:r>
      <w:r>
        <w:rPr>
          <w:color w:val="4D4D4F"/>
          <w:w w:val="115"/>
          <w:sz w:val="22"/>
        </w:rPr>
        <w:t>seem appropriate,</w:t>
      </w:r>
      <w:r>
        <w:rPr>
          <w:color w:val="4D4D4F"/>
          <w:spacing w:val="-23"/>
          <w:w w:val="115"/>
          <w:sz w:val="22"/>
        </w:rPr>
        <w:t> </w:t>
      </w:r>
      <w:r>
        <w:rPr>
          <w:color w:val="4D4D4F"/>
          <w:w w:val="115"/>
          <w:sz w:val="22"/>
        </w:rPr>
        <w:t>but</w:t>
      </w:r>
      <w:r>
        <w:rPr>
          <w:color w:val="4D4D4F"/>
          <w:spacing w:val="-22"/>
          <w:w w:val="115"/>
          <w:sz w:val="22"/>
        </w:rPr>
        <w:t> </w:t>
      </w:r>
      <w:r>
        <w:rPr>
          <w:color w:val="4D4D4F"/>
          <w:w w:val="115"/>
          <w:sz w:val="22"/>
        </w:rPr>
        <w:t>the</w:t>
      </w:r>
      <w:r>
        <w:rPr>
          <w:color w:val="4D4D4F"/>
          <w:spacing w:val="-22"/>
          <w:w w:val="115"/>
          <w:sz w:val="22"/>
        </w:rPr>
        <w:t> </w:t>
      </w:r>
      <w:r>
        <w:rPr>
          <w:color w:val="4D4D4F"/>
          <w:w w:val="115"/>
          <w:sz w:val="22"/>
        </w:rPr>
        <w:t>third</w:t>
      </w:r>
      <w:r>
        <w:rPr>
          <w:color w:val="4D4D4F"/>
          <w:spacing w:val="-22"/>
          <w:w w:val="115"/>
          <w:sz w:val="22"/>
        </w:rPr>
        <w:t> </w:t>
      </w:r>
      <w:r>
        <w:rPr>
          <w:color w:val="4D4D4F"/>
          <w:w w:val="115"/>
          <w:sz w:val="22"/>
        </w:rPr>
        <w:t>or</w:t>
      </w:r>
      <w:r>
        <w:rPr>
          <w:color w:val="4D4D4F"/>
          <w:spacing w:val="-22"/>
          <w:w w:val="115"/>
          <w:sz w:val="22"/>
        </w:rPr>
        <w:t> </w:t>
      </w:r>
      <w:r>
        <w:rPr>
          <w:color w:val="4D4D4F"/>
          <w:w w:val="115"/>
          <w:sz w:val="22"/>
        </w:rPr>
        <w:t>fourth</w:t>
      </w:r>
      <w:r>
        <w:rPr>
          <w:color w:val="4D4D4F"/>
          <w:spacing w:val="-22"/>
          <w:w w:val="115"/>
          <w:sz w:val="22"/>
        </w:rPr>
        <w:t> </w:t>
      </w:r>
      <w:r>
        <w:rPr>
          <w:color w:val="4D4D4F"/>
          <w:w w:val="115"/>
          <w:sz w:val="22"/>
        </w:rPr>
        <w:t>day</w:t>
      </w:r>
      <w:r>
        <w:rPr>
          <w:color w:val="4D4D4F"/>
          <w:spacing w:val="-22"/>
          <w:w w:val="115"/>
          <w:sz w:val="22"/>
        </w:rPr>
        <w:t> </w:t>
      </w:r>
      <w:r>
        <w:rPr>
          <w:color w:val="4D4D4F"/>
          <w:w w:val="115"/>
          <w:sz w:val="22"/>
        </w:rPr>
        <w:t>of</w:t>
      </w:r>
      <w:r>
        <w:rPr>
          <w:color w:val="4D4D4F"/>
          <w:spacing w:val="-22"/>
          <w:w w:val="115"/>
          <w:sz w:val="22"/>
        </w:rPr>
        <w:t> </w:t>
      </w:r>
      <w:r>
        <w:rPr>
          <w:color w:val="4D4D4F"/>
          <w:w w:val="115"/>
          <w:sz w:val="22"/>
        </w:rPr>
        <w:t>the same dose can lead to oversedation and even respiratory depression and</w:t>
      </w:r>
      <w:r>
        <w:rPr>
          <w:color w:val="4D4D4F"/>
          <w:spacing w:val="-42"/>
          <w:w w:val="115"/>
          <w:sz w:val="22"/>
        </w:rPr>
        <w:t> </w:t>
      </w:r>
      <w:r>
        <w:rPr>
          <w:color w:val="4D4D4F"/>
          <w:w w:val="115"/>
          <w:sz w:val="22"/>
        </w:rPr>
        <w:t>death.</w:t>
      </w:r>
      <w:r>
        <w:rPr>
          <w:color w:val="4D4D4F"/>
          <w:w w:val="115"/>
          <w:position w:val="7"/>
          <w:sz w:val="13"/>
        </w:rPr>
        <w:t>94</w:t>
      </w:r>
    </w:p>
    <w:p>
      <w:pPr>
        <w:spacing w:line="242" w:lineRule="auto" w:before="194"/>
        <w:ind w:left="140" w:right="247" w:firstLine="0"/>
        <w:jc w:val="left"/>
        <w:rPr>
          <w:sz w:val="22"/>
        </w:rPr>
      </w:pPr>
      <w:r>
        <w:rPr>
          <w:rFonts w:ascii="Calibri"/>
          <w:b/>
          <w:color w:val="4D4D4F"/>
          <w:w w:val="110"/>
          <w:sz w:val="22"/>
        </w:rPr>
        <w:t>Use a lower-than-usual starting dose in individuals with no or low opioid tolerance   </w:t>
      </w:r>
      <w:r>
        <w:rPr>
          <w:color w:val="4D4D4F"/>
          <w:w w:val="110"/>
          <w:sz w:val="22"/>
        </w:rPr>
        <w:t>(5 mg to 10 </w:t>
      </w:r>
      <w:r>
        <w:rPr>
          <w:color w:val="4D4D4F"/>
          <w:spacing w:val="-3"/>
          <w:w w:val="110"/>
          <w:sz w:val="22"/>
        </w:rPr>
        <w:t>mg). </w:t>
      </w:r>
      <w:r>
        <w:rPr>
          <w:color w:val="4D4D4F"/>
          <w:spacing w:val="-4"/>
          <w:w w:val="110"/>
          <w:sz w:val="22"/>
        </w:rPr>
        <w:t>Increase </w:t>
      </w:r>
      <w:r>
        <w:rPr>
          <w:color w:val="4D4D4F"/>
          <w:spacing w:val="-3"/>
          <w:w w:val="110"/>
          <w:sz w:val="22"/>
        </w:rPr>
        <w:t>doses slowly </w:t>
      </w:r>
      <w:r>
        <w:rPr>
          <w:color w:val="4D4D4F"/>
          <w:w w:val="110"/>
          <w:sz w:val="22"/>
        </w:rPr>
        <w:t>and</w:t>
      </w:r>
      <w:r>
        <w:rPr>
          <w:color w:val="4D4D4F"/>
          <w:spacing w:val="-40"/>
          <w:w w:val="110"/>
          <w:sz w:val="22"/>
        </w:rPr>
        <w:t> </w:t>
      </w:r>
      <w:r>
        <w:rPr>
          <w:color w:val="4D4D4F"/>
          <w:spacing w:val="-3"/>
          <w:w w:val="110"/>
          <w:sz w:val="22"/>
        </w:rPr>
        <w:t>with </w:t>
      </w:r>
      <w:r>
        <w:rPr>
          <w:color w:val="4D4D4F"/>
          <w:w w:val="110"/>
          <w:sz w:val="22"/>
        </w:rPr>
        <w:t>careful monitoring for patients</w:t>
      </w:r>
      <w:r>
        <w:rPr>
          <w:color w:val="4D4D4F"/>
          <w:spacing w:val="-21"/>
          <w:w w:val="110"/>
          <w:sz w:val="22"/>
        </w:rPr>
        <w:t> </w:t>
      </w:r>
      <w:r>
        <w:rPr>
          <w:color w:val="4D4D4F"/>
          <w:w w:val="110"/>
          <w:sz w:val="22"/>
        </w:rPr>
        <w:t>who:</w:t>
      </w:r>
    </w:p>
    <w:p>
      <w:pPr>
        <w:pStyle w:val="ListParagraph"/>
        <w:numPr>
          <w:ilvl w:val="0"/>
          <w:numId w:val="4"/>
        </w:numPr>
        <w:tabs>
          <w:tab w:pos="410" w:val="left" w:leader="none"/>
        </w:tabs>
        <w:spacing w:line="208" w:lineRule="auto" w:before="129" w:after="0"/>
        <w:ind w:left="410" w:right="147" w:hanging="270"/>
        <w:jc w:val="left"/>
        <w:rPr>
          <w:rFonts w:ascii="Arial" w:hAnsi="Arial"/>
          <w:color w:val="137692"/>
          <w:sz w:val="28"/>
        </w:rPr>
      </w:pPr>
      <w:r>
        <w:rPr>
          <w:color w:val="4D4D4F"/>
          <w:w w:val="110"/>
          <w:sz w:val="22"/>
        </w:rPr>
        <w:t>Have not used opioids for 5 or more days (e.g., after leaving a controlled</w:t>
      </w:r>
      <w:r>
        <w:rPr>
          <w:color w:val="4D4D4F"/>
          <w:spacing w:val="61"/>
          <w:w w:val="110"/>
          <w:sz w:val="22"/>
        </w:rPr>
        <w:t> </w:t>
      </w:r>
      <w:r>
        <w:rPr>
          <w:color w:val="4D4D4F"/>
          <w:spacing w:val="-3"/>
          <w:w w:val="110"/>
          <w:sz w:val="22"/>
        </w:rPr>
        <w:t>environment).</w:t>
      </w:r>
    </w:p>
    <w:p>
      <w:pPr>
        <w:pStyle w:val="ListParagraph"/>
        <w:numPr>
          <w:ilvl w:val="0"/>
          <w:numId w:val="4"/>
        </w:numPr>
        <w:tabs>
          <w:tab w:pos="410" w:val="left" w:leader="none"/>
        </w:tabs>
        <w:spacing w:line="315" w:lineRule="exact" w:before="41" w:after="0"/>
        <w:ind w:left="410" w:right="0" w:hanging="270"/>
        <w:jc w:val="left"/>
        <w:rPr>
          <w:rFonts w:ascii="Arial" w:hAnsi="Arial"/>
          <w:color w:val="137692"/>
          <w:sz w:val="28"/>
        </w:rPr>
      </w:pPr>
      <w:r>
        <w:rPr>
          <w:color w:val="4D4D4F"/>
          <w:w w:val="115"/>
          <w:sz w:val="22"/>
        </w:rPr>
        <w:t>Do not use opioids</w:t>
      </w:r>
      <w:r>
        <w:rPr>
          <w:color w:val="4D4D4F"/>
          <w:spacing w:val="-44"/>
          <w:w w:val="115"/>
          <w:sz w:val="22"/>
        </w:rPr>
        <w:t> </w:t>
      </w:r>
      <w:r>
        <w:rPr>
          <w:color w:val="4D4D4F"/>
          <w:spacing w:val="-3"/>
          <w:w w:val="115"/>
          <w:sz w:val="22"/>
        </w:rPr>
        <w:t>daily.</w:t>
      </w:r>
    </w:p>
    <w:p>
      <w:pPr>
        <w:pStyle w:val="ListParagraph"/>
        <w:numPr>
          <w:ilvl w:val="0"/>
          <w:numId w:val="4"/>
        </w:numPr>
        <w:tabs>
          <w:tab w:pos="410" w:val="left" w:leader="none"/>
        </w:tabs>
        <w:spacing w:line="315" w:lineRule="exact" w:before="0" w:after="0"/>
        <w:ind w:left="410" w:right="0" w:hanging="270"/>
        <w:jc w:val="left"/>
        <w:rPr>
          <w:rFonts w:ascii="Arial" w:hAnsi="Arial"/>
          <w:color w:val="137692"/>
          <w:sz w:val="28"/>
        </w:rPr>
      </w:pPr>
      <w:r>
        <w:rPr>
          <w:color w:val="4D4D4F"/>
          <w:w w:val="110"/>
          <w:sz w:val="22"/>
        </w:rPr>
        <w:t>Use weaker opioids (e.g.,</w:t>
      </w:r>
      <w:r>
        <w:rPr>
          <w:color w:val="4D4D4F"/>
          <w:spacing w:val="-15"/>
          <w:w w:val="110"/>
          <w:sz w:val="22"/>
        </w:rPr>
        <w:t> </w:t>
      </w:r>
      <w:r>
        <w:rPr>
          <w:color w:val="4D4D4F"/>
          <w:w w:val="110"/>
          <w:sz w:val="22"/>
        </w:rPr>
        <w:t>codeine).</w:t>
      </w:r>
    </w:p>
    <w:p>
      <w:pPr>
        <w:spacing w:line="244" w:lineRule="auto" w:before="135"/>
        <w:ind w:left="140" w:right="176" w:firstLine="0"/>
        <w:jc w:val="left"/>
        <w:rPr>
          <w:sz w:val="22"/>
        </w:rPr>
      </w:pPr>
      <w:r>
        <w:rPr>
          <w:rFonts w:ascii="Calibri"/>
          <w:b/>
          <w:color w:val="4D4D4F"/>
          <w:w w:val="110"/>
          <w:sz w:val="22"/>
        </w:rPr>
        <w:t>Do not determine doses by analgesic equivalence dose conversion tables  </w:t>
      </w:r>
      <w:r>
        <w:rPr>
          <w:color w:val="4D4D4F"/>
          <w:spacing w:val="2"/>
          <w:w w:val="110"/>
          <w:sz w:val="22"/>
        </w:rPr>
        <w:t>for </w:t>
      </w:r>
      <w:r>
        <w:rPr>
          <w:color w:val="4D4D4F"/>
          <w:spacing w:val="-3"/>
          <w:w w:val="110"/>
          <w:sz w:val="22"/>
        </w:rPr>
        <w:t>patients using high doses </w:t>
      </w:r>
      <w:r>
        <w:rPr>
          <w:color w:val="4D4D4F"/>
          <w:w w:val="110"/>
          <w:sz w:val="22"/>
        </w:rPr>
        <w:t>of </w:t>
      </w:r>
      <w:r>
        <w:rPr>
          <w:color w:val="4D4D4F"/>
          <w:spacing w:val="-4"/>
          <w:w w:val="110"/>
          <w:sz w:val="22"/>
        </w:rPr>
        <w:t>prescription </w:t>
      </w:r>
      <w:r>
        <w:rPr>
          <w:color w:val="4D4D4F"/>
          <w:spacing w:val="-3"/>
          <w:w w:val="110"/>
          <w:sz w:val="22"/>
        </w:rPr>
        <w:t>opioids, whether </w:t>
      </w:r>
      <w:r>
        <w:rPr>
          <w:color w:val="4D4D4F"/>
          <w:w w:val="110"/>
          <w:sz w:val="22"/>
        </w:rPr>
        <w:t>by </w:t>
      </w:r>
      <w:r>
        <w:rPr>
          <w:color w:val="4D4D4F"/>
          <w:spacing w:val="-4"/>
          <w:w w:val="110"/>
          <w:sz w:val="22"/>
        </w:rPr>
        <w:t>prescription </w:t>
      </w:r>
      <w:r>
        <w:rPr>
          <w:color w:val="4D4D4F"/>
          <w:w w:val="110"/>
          <w:sz w:val="22"/>
        </w:rPr>
        <w:t>or </w:t>
      </w:r>
      <w:r>
        <w:rPr>
          <w:color w:val="4D4D4F"/>
          <w:spacing w:val="-5"/>
          <w:w w:val="110"/>
          <w:sz w:val="22"/>
        </w:rPr>
        <w:t>illicitly. </w:t>
      </w:r>
      <w:r>
        <w:rPr>
          <w:color w:val="4D4D4F"/>
          <w:spacing w:val="-3"/>
          <w:w w:val="110"/>
          <w:sz w:val="22"/>
        </w:rPr>
        <w:t>This </w:t>
      </w:r>
      <w:r>
        <w:rPr>
          <w:color w:val="4D4D4F"/>
          <w:w w:val="110"/>
          <w:sz w:val="22"/>
        </w:rPr>
        <w:t>can </w:t>
      </w:r>
      <w:r>
        <w:rPr>
          <w:color w:val="4D4D4F"/>
          <w:spacing w:val="-3"/>
          <w:w w:val="110"/>
          <w:sz w:val="22"/>
        </w:rPr>
        <w:t>lead </w:t>
      </w:r>
      <w:r>
        <w:rPr>
          <w:color w:val="4D4D4F"/>
          <w:w w:val="110"/>
          <w:sz w:val="22"/>
        </w:rPr>
        <w:t>to death owing to incomplete cross-tolerance</w:t>
      </w:r>
      <w:r>
        <w:rPr>
          <w:color w:val="4D4D4F"/>
          <w:w w:val="110"/>
          <w:position w:val="7"/>
          <w:sz w:val="13"/>
        </w:rPr>
        <w:t>95 </w:t>
      </w:r>
      <w:r>
        <w:rPr>
          <w:color w:val="4D4D4F"/>
          <w:w w:val="110"/>
          <w:sz w:val="22"/>
        </w:rPr>
        <w:t>and the unique pharmacology of</w:t>
      </w:r>
      <w:r>
        <w:rPr>
          <w:color w:val="4D4D4F"/>
          <w:spacing w:val="44"/>
          <w:w w:val="110"/>
          <w:sz w:val="22"/>
        </w:rPr>
        <w:t> </w:t>
      </w:r>
      <w:r>
        <w:rPr>
          <w:color w:val="4D4D4F"/>
          <w:w w:val="110"/>
          <w:sz w:val="22"/>
        </w:rPr>
        <w:t>methadone.</w:t>
      </w:r>
    </w:p>
    <w:p>
      <w:pPr>
        <w:spacing w:line="254" w:lineRule="auto" w:before="214"/>
        <w:ind w:left="140" w:right="238" w:firstLine="0"/>
        <w:jc w:val="left"/>
        <w:rPr>
          <w:rFonts w:ascii="Calibri"/>
          <w:b/>
          <w:sz w:val="22"/>
        </w:rPr>
      </w:pPr>
      <w:r>
        <w:rPr>
          <w:b/>
          <w:i/>
          <w:color w:val="137692"/>
          <w:w w:val="105"/>
          <w:sz w:val="24"/>
        </w:rPr>
        <w:t>Concurrent</w:t>
      </w:r>
      <w:r>
        <w:rPr>
          <w:b/>
          <w:i/>
          <w:color w:val="137692"/>
          <w:spacing w:val="-32"/>
          <w:w w:val="105"/>
          <w:sz w:val="24"/>
        </w:rPr>
        <w:t> </w:t>
      </w:r>
      <w:r>
        <w:rPr>
          <w:b/>
          <w:i/>
          <w:color w:val="137692"/>
          <w:w w:val="105"/>
          <w:sz w:val="24"/>
        </w:rPr>
        <w:t>substance</w:t>
      </w:r>
      <w:r>
        <w:rPr>
          <w:b/>
          <w:i/>
          <w:color w:val="137692"/>
          <w:spacing w:val="-31"/>
          <w:w w:val="105"/>
          <w:sz w:val="24"/>
        </w:rPr>
        <w:t> </w:t>
      </w:r>
      <w:r>
        <w:rPr>
          <w:b/>
          <w:i/>
          <w:color w:val="137692"/>
          <w:w w:val="105"/>
          <w:sz w:val="24"/>
        </w:rPr>
        <w:t>use</w:t>
      </w:r>
      <w:r>
        <w:rPr>
          <w:b/>
          <w:i/>
          <w:color w:val="137692"/>
          <w:spacing w:val="-31"/>
          <w:w w:val="105"/>
          <w:sz w:val="24"/>
        </w:rPr>
        <w:t> </w:t>
      </w:r>
      <w:r>
        <w:rPr>
          <w:b/>
          <w:i/>
          <w:color w:val="137692"/>
          <w:w w:val="105"/>
          <w:sz w:val="24"/>
        </w:rPr>
        <w:t>disorders</w:t>
      </w:r>
      <w:r>
        <w:rPr>
          <w:b/>
          <w:i/>
          <w:color w:val="137692"/>
          <w:spacing w:val="-32"/>
          <w:w w:val="105"/>
          <w:sz w:val="24"/>
        </w:rPr>
        <w:t> </w:t>
      </w:r>
      <w:r>
        <w:rPr>
          <w:b/>
          <w:i/>
          <w:color w:val="137692"/>
          <w:w w:val="105"/>
          <w:sz w:val="24"/>
        </w:rPr>
        <w:t>(SUDs) </w:t>
      </w:r>
      <w:r>
        <w:rPr>
          <w:b/>
          <w:i/>
          <w:color w:val="137692"/>
          <w:spacing w:val="-3"/>
          <w:w w:val="105"/>
          <w:sz w:val="24"/>
        </w:rPr>
        <w:t>involving </w:t>
      </w:r>
      <w:r>
        <w:rPr>
          <w:b/>
          <w:i/>
          <w:color w:val="137692"/>
          <w:w w:val="105"/>
          <w:sz w:val="24"/>
        </w:rPr>
        <w:t>benzodiazepines or alcohol </w:t>
      </w:r>
      <w:r>
        <w:rPr>
          <w:rFonts w:ascii="Calibri"/>
          <w:b/>
          <w:color w:val="4D4D4F"/>
          <w:w w:val="105"/>
          <w:sz w:val="22"/>
        </w:rPr>
        <w:t>Concurrent misuse of alcohol or benzodiaz- epines with methadone (or</w:t>
      </w:r>
      <w:r>
        <w:rPr>
          <w:rFonts w:ascii="Calibri"/>
          <w:b/>
          <w:color w:val="4D4D4F"/>
          <w:spacing w:val="43"/>
          <w:w w:val="105"/>
          <w:sz w:val="22"/>
        </w:rPr>
        <w:t> </w:t>
      </w:r>
      <w:r>
        <w:rPr>
          <w:rFonts w:ascii="Calibri"/>
          <w:b/>
          <w:color w:val="4D4D4F"/>
          <w:w w:val="105"/>
          <w:sz w:val="22"/>
        </w:rPr>
        <w:t>buprenorphine)</w:t>
      </w:r>
    </w:p>
    <w:p>
      <w:pPr>
        <w:pStyle w:val="Heading7"/>
        <w:spacing w:line="246" w:lineRule="exact"/>
        <w:rPr>
          <w:rFonts w:ascii="Gill Sans MT"/>
          <w:b w:val="0"/>
        </w:rPr>
      </w:pPr>
      <w:r>
        <w:rPr>
          <w:color w:val="4D4D4F"/>
          <w:w w:val="115"/>
        </w:rPr>
        <w:t>increases respiratory depression risk. </w:t>
      </w:r>
      <w:r>
        <w:rPr>
          <w:rFonts w:ascii="Gill Sans MT"/>
          <w:b w:val="0"/>
          <w:color w:val="4D4D4F"/>
          <w:w w:val="115"/>
        </w:rPr>
        <w:t>Use</w:t>
      </w:r>
    </w:p>
    <w:p>
      <w:pPr>
        <w:pStyle w:val="BodyText"/>
        <w:spacing w:line="247" w:lineRule="auto" w:before="1"/>
        <w:ind w:left="140" w:right="290"/>
      </w:pPr>
      <w:r>
        <w:rPr>
          <w:color w:val="4D4D4F"/>
          <w:w w:val="115"/>
        </w:rPr>
        <w:t>of alcohol and benzodiazepines (illicit and prescription)</w:t>
      </w:r>
      <w:r>
        <w:rPr>
          <w:color w:val="4D4D4F"/>
          <w:spacing w:val="-49"/>
          <w:w w:val="115"/>
        </w:rPr>
        <w:t> </w:t>
      </w:r>
      <w:r>
        <w:rPr>
          <w:color w:val="4D4D4F"/>
          <w:w w:val="115"/>
        </w:rPr>
        <w:t>is</w:t>
      </w:r>
      <w:r>
        <w:rPr>
          <w:color w:val="4D4D4F"/>
          <w:spacing w:val="-49"/>
          <w:w w:val="115"/>
        </w:rPr>
        <w:t> </w:t>
      </w:r>
      <w:r>
        <w:rPr>
          <w:color w:val="4D4D4F"/>
          <w:w w:val="115"/>
        </w:rPr>
        <w:t>common</w:t>
      </w:r>
      <w:r>
        <w:rPr>
          <w:color w:val="4D4D4F"/>
          <w:spacing w:val="-49"/>
          <w:w w:val="115"/>
        </w:rPr>
        <w:t> </w:t>
      </w:r>
      <w:r>
        <w:rPr>
          <w:color w:val="4D4D4F"/>
          <w:w w:val="115"/>
        </w:rPr>
        <w:t>in</w:t>
      </w:r>
      <w:r>
        <w:rPr>
          <w:color w:val="4D4D4F"/>
          <w:spacing w:val="-48"/>
          <w:w w:val="115"/>
        </w:rPr>
        <w:t> </w:t>
      </w:r>
      <w:r>
        <w:rPr>
          <w:color w:val="4D4D4F"/>
          <w:w w:val="115"/>
        </w:rPr>
        <w:t>patients</w:t>
      </w:r>
      <w:r>
        <w:rPr>
          <w:color w:val="4D4D4F"/>
          <w:spacing w:val="-49"/>
          <w:w w:val="115"/>
        </w:rPr>
        <w:t> </w:t>
      </w:r>
      <w:r>
        <w:rPr>
          <w:color w:val="4D4D4F"/>
          <w:w w:val="115"/>
        </w:rPr>
        <w:t>with</w:t>
      </w:r>
      <w:r>
        <w:rPr>
          <w:color w:val="4D4D4F"/>
          <w:spacing w:val="-49"/>
          <w:w w:val="115"/>
        </w:rPr>
        <w:t> </w:t>
      </w:r>
      <w:r>
        <w:rPr>
          <w:color w:val="4D4D4F"/>
          <w:spacing w:val="-5"/>
          <w:w w:val="115"/>
        </w:rPr>
        <w:t>OUD. </w:t>
      </w:r>
      <w:r>
        <w:rPr>
          <w:color w:val="4D4D4F"/>
          <w:w w:val="115"/>
        </w:rPr>
        <w:t>Managing</w:t>
      </w:r>
      <w:r>
        <w:rPr>
          <w:color w:val="4D4D4F"/>
          <w:spacing w:val="-24"/>
          <w:w w:val="115"/>
        </w:rPr>
        <w:t> </w:t>
      </w:r>
      <w:r>
        <w:rPr>
          <w:color w:val="4D4D4F"/>
          <w:w w:val="115"/>
        </w:rPr>
        <w:t>OUD</w:t>
      </w:r>
      <w:r>
        <w:rPr>
          <w:color w:val="4D4D4F"/>
          <w:spacing w:val="-23"/>
          <w:w w:val="115"/>
        </w:rPr>
        <w:t> </w:t>
      </w:r>
      <w:r>
        <w:rPr>
          <w:color w:val="4D4D4F"/>
          <w:w w:val="115"/>
        </w:rPr>
        <w:t>with</w:t>
      </w:r>
      <w:r>
        <w:rPr>
          <w:color w:val="4D4D4F"/>
          <w:spacing w:val="-23"/>
          <w:w w:val="115"/>
        </w:rPr>
        <w:t> </w:t>
      </w:r>
      <w:r>
        <w:rPr>
          <w:color w:val="4D4D4F"/>
          <w:w w:val="115"/>
        </w:rPr>
        <w:t>methadone</w:t>
      </w:r>
      <w:r>
        <w:rPr>
          <w:color w:val="4D4D4F"/>
          <w:spacing w:val="-24"/>
          <w:w w:val="115"/>
        </w:rPr>
        <w:t> </w:t>
      </w:r>
      <w:r>
        <w:rPr>
          <w:color w:val="4D4D4F"/>
          <w:w w:val="115"/>
        </w:rPr>
        <w:t>for</w:t>
      </w:r>
      <w:r>
        <w:rPr>
          <w:color w:val="4D4D4F"/>
          <w:spacing w:val="-23"/>
          <w:w w:val="115"/>
        </w:rPr>
        <w:t> </w:t>
      </w:r>
      <w:r>
        <w:rPr>
          <w:color w:val="4D4D4F"/>
          <w:w w:val="115"/>
        </w:rPr>
        <w:t>patients</w:t>
      </w:r>
    </w:p>
    <w:p>
      <w:pPr>
        <w:pStyle w:val="BodyText"/>
        <w:spacing w:line="247" w:lineRule="auto" w:before="106"/>
        <w:ind w:left="140" w:right="390"/>
      </w:pPr>
      <w:r>
        <w:rPr/>
        <w:br w:type="column"/>
      </w:r>
      <w:r>
        <w:rPr>
          <w:color w:val="4D4D4F"/>
          <w:w w:val="110"/>
        </w:rPr>
        <w:t>with alcohol or benzodiazepine use disorders is challenging and should be undertaken with care. A 2017 Food and Drug Administration (FDA) Drug Safety Communication noted that although concomitant use of buprenorphine</w:t>
      </w:r>
      <w:r>
        <w:rPr>
          <w:color w:val="4D4D4F"/>
          <w:spacing w:val="16"/>
          <w:w w:val="110"/>
        </w:rPr>
        <w:t> </w:t>
      </w:r>
      <w:r>
        <w:rPr>
          <w:color w:val="4D4D4F"/>
          <w:spacing w:val="-9"/>
          <w:w w:val="110"/>
        </w:rPr>
        <w:t>or</w:t>
      </w:r>
    </w:p>
    <w:p>
      <w:pPr>
        <w:pStyle w:val="BodyText"/>
        <w:spacing w:line="247" w:lineRule="auto" w:before="6"/>
        <w:ind w:left="140" w:right="325"/>
      </w:pPr>
      <w:r>
        <w:rPr>
          <w:color w:val="4D4D4F"/>
          <w:w w:val="115"/>
        </w:rPr>
        <w:t>methadone</w:t>
      </w:r>
      <w:r>
        <w:rPr>
          <w:color w:val="4D4D4F"/>
          <w:spacing w:val="-35"/>
          <w:w w:val="115"/>
        </w:rPr>
        <w:t> </w:t>
      </w:r>
      <w:r>
        <w:rPr>
          <w:color w:val="4D4D4F"/>
          <w:w w:val="115"/>
        </w:rPr>
        <w:t>with</w:t>
      </w:r>
      <w:r>
        <w:rPr>
          <w:color w:val="4D4D4F"/>
          <w:spacing w:val="-35"/>
          <w:w w:val="115"/>
        </w:rPr>
        <w:t> </w:t>
      </w:r>
      <w:r>
        <w:rPr>
          <w:color w:val="4D4D4F"/>
          <w:w w:val="115"/>
        </w:rPr>
        <w:t>benzodiazepines</w:t>
      </w:r>
      <w:r>
        <w:rPr>
          <w:color w:val="4D4D4F"/>
          <w:spacing w:val="-35"/>
          <w:w w:val="115"/>
        </w:rPr>
        <w:t> </w:t>
      </w:r>
      <w:r>
        <w:rPr>
          <w:color w:val="4D4D4F"/>
          <w:w w:val="115"/>
        </w:rPr>
        <w:t>increases</w:t>
      </w:r>
      <w:r>
        <w:rPr>
          <w:color w:val="4D4D4F"/>
          <w:spacing w:val="-35"/>
          <w:w w:val="115"/>
        </w:rPr>
        <w:t> </w:t>
      </w:r>
      <w:r>
        <w:rPr>
          <w:color w:val="4D4D4F"/>
          <w:w w:val="115"/>
        </w:rPr>
        <w:t>the risk</w:t>
      </w:r>
      <w:r>
        <w:rPr>
          <w:color w:val="4D4D4F"/>
          <w:spacing w:val="-28"/>
          <w:w w:val="115"/>
        </w:rPr>
        <w:t> </w:t>
      </w:r>
      <w:r>
        <w:rPr>
          <w:color w:val="4D4D4F"/>
          <w:w w:val="115"/>
        </w:rPr>
        <w:t>of</w:t>
      </w:r>
      <w:r>
        <w:rPr>
          <w:color w:val="4D4D4F"/>
          <w:spacing w:val="-27"/>
          <w:w w:val="115"/>
        </w:rPr>
        <w:t> </w:t>
      </w:r>
      <w:r>
        <w:rPr>
          <w:color w:val="4D4D4F"/>
          <w:w w:val="115"/>
        </w:rPr>
        <w:t>an</w:t>
      </w:r>
      <w:r>
        <w:rPr>
          <w:color w:val="4D4D4F"/>
          <w:spacing w:val="-27"/>
          <w:w w:val="115"/>
        </w:rPr>
        <w:t> </w:t>
      </w:r>
      <w:r>
        <w:rPr>
          <w:color w:val="4D4D4F"/>
          <w:w w:val="115"/>
        </w:rPr>
        <w:t>adverse</w:t>
      </w:r>
      <w:r>
        <w:rPr>
          <w:color w:val="4D4D4F"/>
          <w:spacing w:val="-27"/>
          <w:w w:val="115"/>
        </w:rPr>
        <w:t> </w:t>
      </w:r>
      <w:r>
        <w:rPr>
          <w:color w:val="4D4D4F"/>
          <w:w w:val="115"/>
        </w:rPr>
        <w:t>reaction,</w:t>
      </w:r>
      <w:r>
        <w:rPr>
          <w:color w:val="4D4D4F"/>
          <w:spacing w:val="-27"/>
          <w:w w:val="115"/>
        </w:rPr>
        <w:t> </w:t>
      </w:r>
      <w:r>
        <w:rPr>
          <w:color w:val="4D4D4F"/>
          <w:w w:val="115"/>
        </w:rPr>
        <w:t>including</w:t>
      </w:r>
      <w:r>
        <w:rPr>
          <w:color w:val="4D4D4F"/>
          <w:spacing w:val="-28"/>
          <w:w w:val="115"/>
        </w:rPr>
        <w:t> </w:t>
      </w:r>
      <w:r>
        <w:rPr>
          <w:color w:val="4D4D4F"/>
          <w:w w:val="115"/>
        </w:rPr>
        <w:t>overdose death,</w:t>
      </w:r>
      <w:r>
        <w:rPr>
          <w:color w:val="4D4D4F"/>
          <w:spacing w:val="-19"/>
          <w:w w:val="115"/>
        </w:rPr>
        <w:t> </w:t>
      </w:r>
      <w:r>
        <w:rPr>
          <w:color w:val="4D4D4F"/>
          <w:w w:val="115"/>
        </w:rPr>
        <w:t>opioid</w:t>
      </w:r>
      <w:r>
        <w:rPr>
          <w:color w:val="4D4D4F"/>
          <w:spacing w:val="-19"/>
          <w:w w:val="115"/>
        </w:rPr>
        <w:t> </w:t>
      </w:r>
      <w:r>
        <w:rPr>
          <w:color w:val="4D4D4F"/>
          <w:w w:val="115"/>
        </w:rPr>
        <w:t>agonist</w:t>
      </w:r>
      <w:r>
        <w:rPr>
          <w:color w:val="4D4D4F"/>
          <w:spacing w:val="-19"/>
          <w:w w:val="115"/>
        </w:rPr>
        <w:t> </w:t>
      </w:r>
      <w:r>
        <w:rPr>
          <w:color w:val="4D4D4F"/>
          <w:w w:val="115"/>
        </w:rPr>
        <w:t>treatment</w:t>
      </w:r>
      <w:r>
        <w:rPr>
          <w:color w:val="4D4D4F"/>
          <w:spacing w:val="-19"/>
          <w:w w:val="115"/>
        </w:rPr>
        <w:t> </w:t>
      </w:r>
      <w:r>
        <w:rPr>
          <w:color w:val="4D4D4F"/>
          <w:w w:val="115"/>
        </w:rPr>
        <w:t>should</w:t>
      </w:r>
      <w:r>
        <w:rPr>
          <w:color w:val="4D4D4F"/>
          <w:spacing w:val="-19"/>
          <w:w w:val="115"/>
        </w:rPr>
        <w:t> </w:t>
      </w:r>
      <w:r>
        <w:rPr>
          <w:color w:val="4D4D4F"/>
          <w:w w:val="115"/>
        </w:rPr>
        <w:t>not</w:t>
      </w:r>
      <w:r>
        <w:rPr>
          <w:color w:val="4D4D4F"/>
          <w:spacing w:val="-19"/>
          <w:w w:val="115"/>
        </w:rPr>
        <w:t> </w:t>
      </w:r>
      <w:r>
        <w:rPr>
          <w:color w:val="4D4D4F"/>
          <w:w w:val="115"/>
        </w:rPr>
        <w:t>be denied to patients solely on the basis of their taking benzodiazepines, because untreated OUD</w:t>
      </w:r>
      <w:r>
        <w:rPr>
          <w:color w:val="4D4D4F"/>
          <w:spacing w:val="-26"/>
          <w:w w:val="115"/>
        </w:rPr>
        <w:t> </w:t>
      </w:r>
      <w:r>
        <w:rPr>
          <w:color w:val="4D4D4F"/>
          <w:w w:val="115"/>
        </w:rPr>
        <w:t>can</w:t>
      </w:r>
      <w:r>
        <w:rPr>
          <w:color w:val="4D4D4F"/>
          <w:spacing w:val="-25"/>
          <w:w w:val="115"/>
        </w:rPr>
        <w:t> </w:t>
      </w:r>
      <w:r>
        <w:rPr>
          <w:color w:val="4D4D4F"/>
          <w:w w:val="115"/>
        </w:rPr>
        <w:t>pose</w:t>
      </w:r>
      <w:r>
        <w:rPr>
          <w:color w:val="4D4D4F"/>
          <w:spacing w:val="-26"/>
          <w:w w:val="115"/>
        </w:rPr>
        <w:t> </w:t>
      </w:r>
      <w:r>
        <w:rPr>
          <w:color w:val="4D4D4F"/>
          <w:w w:val="115"/>
        </w:rPr>
        <w:t>a</w:t>
      </w:r>
      <w:r>
        <w:rPr>
          <w:color w:val="4D4D4F"/>
          <w:spacing w:val="-25"/>
          <w:w w:val="115"/>
        </w:rPr>
        <w:t> </w:t>
      </w:r>
      <w:r>
        <w:rPr>
          <w:color w:val="4D4D4F"/>
          <w:w w:val="115"/>
        </w:rPr>
        <w:t>greater</w:t>
      </w:r>
      <w:r>
        <w:rPr>
          <w:color w:val="4D4D4F"/>
          <w:spacing w:val="-25"/>
          <w:w w:val="115"/>
        </w:rPr>
        <w:t> </w:t>
      </w:r>
      <w:r>
        <w:rPr>
          <w:color w:val="4D4D4F"/>
          <w:w w:val="115"/>
        </w:rPr>
        <w:t>risk</w:t>
      </w:r>
      <w:r>
        <w:rPr>
          <w:color w:val="4D4D4F"/>
          <w:spacing w:val="-26"/>
          <w:w w:val="115"/>
        </w:rPr>
        <w:t> </w:t>
      </w:r>
      <w:r>
        <w:rPr>
          <w:color w:val="4D4D4F"/>
          <w:w w:val="115"/>
        </w:rPr>
        <w:t>of</w:t>
      </w:r>
      <w:r>
        <w:rPr>
          <w:color w:val="4D4D4F"/>
          <w:spacing w:val="-25"/>
          <w:w w:val="115"/>
        </w:rPr>
        <w:t> </w:t>
      </w:r>
      <w:r>
        <w:rPr>
          <w:color w:val="4D4D4F"/>
          <w:w w:val="115"/>
        </w:rPr>
        <w:t>morbidity</w:t>
      </w:r>
      <w:r>
        <w:rPr>
          <w:color w:val="4D4D4F"/>
          <w:spacing w:val="-25"/>
          <w:w w:val="115"/>
        </w:rPr>
        <w:t> </w:t>
      </w:r>
      <w:r>
        <w:rPr>
          <w:color w:val="4D4D4F"/>
          <w:w w:val="115"/>
        </w:rPr>
        <w:t>and mortality.</w:t>
      </w:r>
      <w:r>
        <w:rPr>
          <w:color w:val="4D4D4F"/>
          <w:w w:val="115"/>
          <w:position w:val="7"/>
          <w:sz w:val="13"/>
        </w:rPr>
        <w:t>96</w:t>
      </w:r>
      <w:r>
        <w:rPr>
          <w:color w:val="4D4D4F"/>
          <w:spacing w:val="-17"/>
          <w:w w:val="115"/>
          <w:position w:val="7"/>
          <w:sz w:val="13"/>
        </w:rPr>
        <w:t> </w:t>
      </w:r>
      <w:r>
        <w:rPr>
          <w:color w:val="4D4D4F"/>
          <w:w w:val="115"/>
        </w:rPr>
        <w:t>FDA</w:t>
      </w:r>
      <w:r>
        <w:rPr>
          <w:color w:val="4D4D4F"/>
          <w:spacing w:val="-45"/>
          <w:w w:val="115"/>
        </w:rPr>
        <w:t> </w:t>
      </w:r>
      <w:r>
        <w:rPr>
          <w:color w:val="4D4D4F"/>
          <w:w w:val="115"/>
        </w:rPr>
        <w:t>advises</w:t>
      </w:r>
      <w:r>
        <w:rPr>
          <w:color w:val="4D4D4F"/>
          <w:spacing w:val="-45"/>
          <w:w w:val="115"/>
        </w:rPr>
        <w:t> </w:t>
      </w:r>
      <w:r>
        <w:rPr>
          <w:color w:val="4D4D4F"/>
          <w:w w:val="115"/>
        </w:rPr>
        <w:t>that</w:t>
      </w:r>
      <w:r>
        <w:rPr>
          <w:color w:val="4D4D4F"/>
          <w:spacing w:val="-45"/>
          <w:w w:val="115"/>
        </w:rPr>
        <w:t> </w:t>
      </w:r>
      <w:r>
        <w:rPr>
          <w:color w:val="4D4D4F"/>
          <w:w w:val="115"/>
        </w:rPr>
        <w:t>careful</w:t>
      </w:r>
      <w:r>
        <w:rPr>
          <w:color w:val="4D4D4F"/>
          <w:spacing w:val="-45"/>
          <w:w w:val="115"/>
        </w:rPr>
        <w:t> </w:t>
      </w:r>
      <w:r>
        <w:rPr>
          <w:color w:val="4D4D4F"/>
          <w:w w:val="115"/>
        </w:rPr>
        <w:t>medication management by healthcare professionals can reduce</w:t>
      </w:r>
      <w:r>
        <w:rPr>
          <w:color w:val="4D4D4F"/>
          <w:spacing w:val="-20"/>
          <w:w w:val="115"/>
        </w:rPr>
        <w:t> </w:t>
      </w:r>
      <w:r>
        <w:rPr>
          <w:color w:val="4D4D4F"/>
          <w:w w:val="115"/>
        </w:rPr>
        <w:t>risk</w:t>
      </w:r>
      <w:r>
        <w:rPr>
          <w:color w:val="4D4D4F"/>
          <w:spacing w:val="-19"/>
          <w:w w:val="115"/>
        </w:rPr>
        <w:t> </w:t>
      </w:r>
      <w:r>
        <w:rPr>
          <w:color w:val="4D4D4F"/>
          <w:w w:val="115"/>
        </w:rPr>
        <w:t>(see</w:t>
      </w:r>
      <w:r>
        <w:rPr>
          <w:color w:val="4D4D4F"/>
          <w:spacing w:val="-20"/>
          <w:w w:val="115"/>
        </w:rPr>
        <w:t> </w:t>
      </w:r>
      <w:hyperlink r:id="rId46">
        <w:r>
          <w:rPr>
            <w:color w:val="205E9F"/>
            <w:w w:val="115"/>
            <w:u w:val="single" w:color="205E9F"/>
          </w:rPr>
          <w:t>www.fda.gov/downloads</w:t>
        </w:r>
      </w:hyperlink>
    </w:p>
    <w:p>
      <w:pPr>
        <w:pStyle w:val="BodyText"/>
        <w:spacing w:line="247" w:lineRule="auto" w:before="11"/>
        <w:ind w:left="140" w:right="390"/>
      </w:pPr>
      <w:r>
        <w:rPr>
          <w:color w:val="205E9F"/>
          <w:w w:val="110"/>
          <w:u w:val="single" w:color="205E9F"/>
        </w:rPr>
        <w:t>/Drugs/DrugSafety/UCM576377.pdf</w:t>
      </w:r>
      <w:r>
        <w:rPr>
          <w:color w:val="205E9F"/>
          <w:w w:val="110"/>
        </w:rPr>
        <w:t> </w:t>
      </w:r>
      <w:r>
        <w:rPr>
          <w:color w:val="4D4D4F"/>
          <w:w w:val="110"/>
        </w:rPr>
        <w:t>for more information).</w:t>
      </w:r>
    </w:p>
    <w:p>
      <w:pPr>
        <w:pStyle w:val="Heading7"/>
        <w:spacing w:line="235" w:lineRule="auto" w:before="181"/>
        <w:ind w:right="68"/>
        <w:rPr>
          <w:rFonts w:ascii="Gill Sans MT"/>
          <w:b w:val="0"/>
        </w:rPr>
      </w:pPr>
      <w:r>
        <w:rPr>
          <w:color w:val="4D4D4F"/>
          <w:w w:val="115"/>
        </w:rPr>
        <w:t>Strategies to manage patients with concurrent alcohol or benzodiazepine use disorders include the following </w:t>
      </w:r>
      <w:r>
        <w:rPr>
          <w:rFonts w:ascii="Gill Sans MT"/>
          <w:b w:val="0"/>
          <w:color w:val="4D4D4F"/>
          <w:w w:val="115"/>
        </w:rPr>
        <w:t>(see also Exhibit 3B.1):</w:t>
      </w:r>
    </w:p>
    <w:p>
      <w:pPr>
        <w:pStyle w:val="ListParagraph"/>
        <w:numPr>
          <w:ilvl w:val="0"/>
          <w:numId w:val="4"/>
        </w:numPr>
        <w:tabs>
          <w:tab w:pos="411" w:val="left" w:leader="none"/>
        </w:tabs>
        <w:spacing w:line="264" w:lineRule="exact" w:before="112" w:after="0"/>
        <w:ind w:left="410" w:right="190" w:hanging="270"/>
        <w:jc w:val="left"/>
        <w:rPr>
          <w:rFonts w:ascii="Arial" w:hAnsi="Arial"/>
          <w:color w:val="137692"/>
          <w:sz w:val="28"/>
        </w:rPr>
      </w:pPr>
      <w:r>
        <w:rPr>
          <w:rFonts w:ascii="Calibri" w:hAnsi="Calibri"/>
          <w:b/>
          <w:color w:val="4D4D4F"/>
          <w:w w:val="115"/>
          <w:sz w:val="22"/>
        </w:rPr>
        <w:t>Obtain</w:t>
      </w:r>
      <w:r>
        <w:rPr>
          <w:rFonts w:ascii="Calibri" w:hAnsi="Calibri"/>
          <w:b/>
          <w:color w:val="4D4D4F"/>
          <w:spacing w:val="-16"/>
          <w:w w:val="115"/>
          <w:sz w:val="22"/>
        </w:rPr>
        <w:t> </w:t>
      </w:r>
      <w:r>
        <w:rPr>
          <w:rFonts w:ascii="Calibri" w:hAnsi="Calibri"/>
          <w:b/>
          <w:color w:val="4D4D4F"/>
          <w:w w:val="115"/>
          <w:sz w:val="22"/>
        </w:rPr>
        <w:t>permission</w:t>
      </w:r>
      <w:r>
        <w:rPr>
          <w:rFonts w:ascii="Calibri" w:hAnsi="Calibri"/>
          <w:b/>
          <w:color w:val="4D4D4F"/>
          <w:spacing w:val="-15"/>
          <w:w w:val="115"/>
          <w:sz w:val="22"/>
        </w:rPr>
        <w:t> </w:t>
      </w:r>
      <w:r>
        <w:rPr>
          <w:rFonts w:ascii="Calibri" w:hAnsi="Calibri"/>
          <w:b/>
          <w:color w:val="4D4D4F"/>
          <w:w w:val="115"/>
          <w:sz w:val="22"/>
        </w:rPr>
        <w:t>to</w:t>
      </w:r>
      <w:r>
        <w:rPr>
          <w:rFonts w:ascii="Calibri" w:hAnsi="Calibri"/>
          <w:b/>
          <w:color w:val="4D4D4F"/>
          <w:spacing w:val="-15"/>
          <w:w w:val="115"/>
          <w:sz w:val="22"/>
        </w:rPr>
        <w:t> </w:t>
      </w:r>
      <w:r>
        <w:rPr>
          <w:rFonts w:ascii="Calibri" w:hAnsi="Calibri"/>
          <w:b/>
          <w:color w:val="4D4D4F"/>
          <w:w w:val="115"/>
          <w:sz w:val="22"/>
        </w:rPr>
        <w:t>communicate</w:t>
      </w:r>
      <w:r>
        <w:rPr>
          <w:rFonts w:ascii="Calibri" w:hAnsi="Calibri"/>
          <w:b/>
          <w:color w:val="4D4D4F"/>
          <w:spacing w:val="-15"/>
          <w:w w:val="115"/>
          <w:sz w:val="22"/>
        </w:rPr>
        <w:t> </w:t>
      </w:r>
      <w:r>
        <w:rPr>
          <w:rFonts w:ascii="Calibri" w:hAnsi="Calibri"/>
          <w:b/>
          <w:color w:val="4D4D4F"/>
          <w:w w:val="115"/>
          <w:sz w:val="22"/>
        </w:rPr>
        <w:t>with</w:t>
      </w:r>
      <w:r>
        <w:rPr>
          <w:rFonts w:ascii="Calibri" w:hAnsi="Calibri"/>
          <w:b/>
          <w:color w:val="4D4D4F"/>
          <w:spacing w:val="-16"/>
          <w:w w:val="115"/>
          <w:sz w:val="22"/>
        </w:rPr>
        <w:t> </w:t>
      </w:r>
      <w:r>
        <w:rPr>
          <w:rFonts w:ascii="Calibri" w:hAnsi="Calibri"/>
          <w:b/>
          <w:color w:val="4D4D4F"/>
          <w:spacing w:val="-6"/>
          <w:w w:val="115"/>
          <w:sz w:val="22"/>
        </w:rPr>
        <w:t>the </w:t>
      </w:r>
      <w:r>
        <w:rPr>
          <w:rFonts w:ascii="Calibri" w:hAnsi="Calibri"/>
          <w:b/>
          <w:color w:val="4D4D4F"/>
          <w:w w:val="115"/>
          <w:sz w:val="22"/>
        </w:rPr>
        <w:t>benzodiazepine prescriber </w:t>
      </w:r>
      <w:r>
        <w:rPr>
          <w:color w:val="4D4D4F"/>
          <w:w w:val="115"/>
          <w:sz w:val="22"/>
        </w:rPr>
        <w:t>to conﬁrm the reason for use, adherence to treatment, and prescriber</w:t>
      </w:r>
      <w:r>
        <w:rPr>
          <w:color w:val="4D4D4F"/>
          <w:spacing w:val="-38"/>
          <w:w w:val="115"/>
          <w:sz w:val="22"/>
        </w:rPr>
        <w:t> </w:t>
      </w:r>
      <w:r>
        <w:rPr>
          <w:color w:val="4D4D4F"/>
          <w:w w:val="115"/>
          <w:sz w:val="22"/>
        </w:rPr>
        <w:t>awareness</w:t>
      </w:r>
      <w:r>
        <w:rPr>
          <w:color w:val="4D4D4F"/>
          <w:spacing w:val="-37"/>
          <w:w w:val="115"/>
          <w:sz w:val="22"/>
        </w:rPr>
        <w:t> </w:t>
      </w:r>
      <w:r>
        <w:rPr>
          <w:color w:val="4D4D4F"/>
          <w:w w:val="115"/>
          <w:sz w:val="22"/>
        </w:rPr>
        <w:t>of</w:t>
      </w:r>
      <w:r>
        <w:rPr>
          <w:color w:val="4D4D4F"/>
          <w:spacing w:val="-37"/>
          <w:w w:val="115"/>
          <w:sz w:val="22"/>
        </w:rPr>
        <w:t> </w:t>
      </w:r>
      <w:r>
        <w:rPr>
          <w:color w:val="4D4D4F"/>
          <w:w w:val="115"/>
          <w:sz w:val="22"/>
        </w:rPr>
        <w:t>the</w:t>
      </w:r>
      <w:r>
        <w:rPr>
          <w:color w:val="4D4D4F"/>
          <w:spacing w:val="-37"/>
          <w:w w:val="115"/>
          <w:sz w:val="22"/>
        </w:rPr>
        <w:t> </w:t>
      </w:r>
      <w:r>
        <w:rPr>
          <w:color w:val="4D4D4F"/>
          <w:w w:val="115"/>
          <w:sz w:val="22"/>
        </w:rPr>
        <w:t>patient’s</w:t>
      </w:r>
      <w:r>
        <w:rPr>
          <w:color w:val="4D4D4F"/>
          <w:spacing w:val="-37"/>
          <w:w w:val="115"/>
          <w:sz w:val="22"/>
        </w:rPr>
        <w:t> </w:t>
      </w:r>
      <w:r>
        <w:rPr>
          <w:color w:val="4D4D4F"/>
          <w:w w:val="115"/>
          <w:sz w:val="22"/>
        </w:rPr>
        <w:t>OUD.</w:t>
      </w:r>
      <w:r>
        <w:rPr>
          <w:color w:val="4D4D4F"/>
          <w:spacing w:val="-37"/>
          <w:w w:val="115"/>
          <w:sz w:val="22"/>
        </w:rPr>
        <w:t> </w:t>
      </w:r>
      <w:r>
        <w:rPr>
          <w:color w:val="4D4D4F"/>
          <w:w w:val="115"/>
          <w:sz w:val="22"/>
        </w:rPr>
        <w:t>It can</w:t>
      </w:r>
      <w:r>
        <w:rPr>
          <w:color w:val="4D4D4F"/>
          <w:spacing w:val="-28"/>
          <w:w w:val="115"/>
          <w:sz w:val="22"/>
        </w:rPr>
        <w:t> </w:t>
      </w:r>
      <w:r>
        <w:rPr>
          <w:color w:val="4D4D4F"/>
          <w:w w:val="115"/>
          <w:sz w:val="22"/>
        </w:rPr>
        <w:t>also</w:t>
      </w:r>
      <w:r>
        <w:rPr>
          <w:color w:val="4D4D4F"/>
          <w:spacing w:val="-28"/>
          <w:w w:val="115"/>
          <w:sz w:val="22"/>
        </w:rPr>
        <w:t> </w:t>
      </w:r>
      <w:r>
        <w:rPr>
          <w:color w:val="4D4D4F"/>
          <w:w w:val="115"/>
          <w:sz w:val="22"/>
        </w:rPr>
        <w:t>help</w:t>
      </w:r>
      <w:r>
        <w:rPr>
          <w:color w:val="4D4D4F"/>
          <w:spacing w:val="-27"/>
          <w:w w:val="115"/>
          <w:sz w:val="22"/>
        </w:rPr>
        <w:t> </w:t>
      </w:r>
      <w:r>
        <w:rPr>
          <w:color w:val="4D4D4F"/>
          <w:w w:val="115"/>
          <w:sz w:val="22"/>
        </w:rPr>
        <w:t>to</w:t>
      </w:r>
      <w:r>
        <w:rPr>
          <w:color w:val="4D4D4F"/>
          <w:spacing w:val="-28"/>
          <w:w w:val="115"/>
          <w:sz w:val="22"/>
        </w:rPr>
        <w:t> </w:t>
      </w:r>
      <w:r>
        <w:rPr>
          <w:color w:val="4D4D4F"/>
          <w:w w:val="115"/>
          <w:sz w:val="22"/>
        </w:rPr>
        <w:t>speak</w:t>
      </w:r>
      <w:r>
        <w:rPr>
          <w:color w:val="4D4D4F"/>
          <w:spacing w:val="-27"/>
          <w:w w:val="115"/>
          <w:sz w:val="22"/>
        </w:rPr>
        <w:t> </w:t>
      </w:r>
      <w:r>
        <w:rPr>
          <w:color w:val="4D4D4F"/>
          <w:w w:val="115"/>
          <w:sz w:val="22"/>
        </w:rPr>
        <w:t>(with</w:t>
      </w:r>
      <w:r>
        <w:rPr>
          <w:color w:val="4D4D4F"/>
          <w:spacing w:val="-28"/>
          <w:w w:val="115"/>
          <w:sz w:val="22"/>
        </w:rPr>
        <w:t> </w:t>
      </w:r>
      <w:r>
        <w:rPr>
          <w:color w:val="4D4D4F"/>
          <w:w w:val="115"/>
          <w:sz w:val="22"/>
        </w:rPr>
        <w:t>permission)</w:t>
      </w:r>
      <w:r>
        <w:rPr>
          <w:color w:val="4D4D4F"/>
          <w:spacing w:val="-28"/>
          <w:w w:val="115"/>
          <w:sz w:val="22"/>
        </w:rPr>
        <w:t> </w:t>
      </w:r>
      <w:r>
        <w:rPr>
          <w:color w:val="4D4D4F"/>
          <w:w w:val="115"/>
          <w:sz w:val="22"/>
        </w:rPr>
        <w:t>with close</w:t>
      </w:r>
      <w:r>
        <w:rPr>
          <w:color w:val="4D4D4F"/>
          <w:spacing w:val="-26"/>
          <w:w w:val="115"/>
          <w:sz w:val="22"/>
        </w:rPr>
        <w:t> </w:t>
      </w:r>
      <w:r>
        <w:rPr>
          <w:color w:val="4D4D4F"/>
          <w:w w:val="115"/>
          <w:sz w:val="22"/>
        </w:rPr>
        <w:t>family</w:t>
      </w:r>
      <w:r>
        <w:rPr>
          <w:color w:val="4D4D4F"/>
          <w:spacing w:val="-26"/>
          <w:w w:val="115"/>
          <w:sz w:val="22"/>
        </w:rPr>
        <w:t> </w:t>
      </w:r>
      <w:r>
        <w:rPr>
          <w:color w:val="4D4D4F"/>
          <w:w w:val="115"/>
          <w:sz w:val="22"/>
        </w:rPr>
        <w:t>members</w:t>
      </w:r>
      <w:r>
        <w:rPr>
          <w:color w:val="4D4D4F"/>
          <w:spacing w:val="-25"/>
          <w:w w:val="115"/>
          <w:sz w:val="22"/>
        </w:rPr>
        <w:t> </w:t>
      </w:r>
      <w:r>
        <w:rPr>
          <w:color w:val="4D4D4F"/>
          <w:w w:val="115"/>
          <w:sz w:val="22"/>
        </w:rPr>
        <w:t>or</w:t>
      </w:r>
      <w:r>
        <w:rPr>
          <w:color w:val="4D4D4F"/>
          <w:spacing w:val="-26"/>
          <w:w w:val="115"/>
          <w:sz w:val="22"/>
        </w:rPr>
        <w:t> </w:t>
      </w:r>
      <w:r>
        <w:rPr>
          <w:color w:val="4D4D4F"/>
          <w:w w:val="115"/>
          <w:sz w:val="22"/>
        </w:rPr>
        <w:t>friends</w:t>
      </w:r>
      <w:r>
        <w:rPr>
          <w:color w:val="4D4D4F"/>
          <w:spacing w:val="-25"/>
          <w:w w:val="115"/>
          <w:sz w:val="22"/>
        </w:rPr>
        <w:t> </w:t>
      </w:r>
      <w:r>
        <w:rPr>
          <w:color w:val="4D4D4F"/>
          <w:w w:val="115"/>
          <w:sz w:val="22"/>
        </w:rPr>
        <w:t>to</w:t>
      </w:r>
      <w:r>
        <w:rPr>
          <w:color w:val="4D4D4F"/>
          <w:spacing w:val="-26"/>
          <w:w w:val="115"/>
          <w:sz w:val="22"/>
        </w:rPr>
        <w:t> </w:t>
      </w:r>
      <w:r>
        <w:rPr>
          <w:color w:val="4D4D4F"/>
          <w:w w:val="115"/>
          <w:sz w:val="22"/>
        </w:rPr>
        <w:t>assess</w:t>
      </w:r>
      <w:r>
        <w:rPr>
          <w:color w:val="4D4D4F"/>
          <w:spacing w:val="-25"/>
          <w:w w:val="115"/>
          <w:sz w:val="22"/>
        </w:rPr>
        <w:t> </w:t>
      </w:r>
      <w:r>
        <w:rPr>
          <w:color w:val="4D4D4F"/>
          <w:w w:val="115"/>
          <w:sz w:val="22"/>
        </w:rPr>
        <w:t>the extent</w:t>
      </w:r>
      <w:r>
        <w:rPr>
          <w:color w:val="4D4D4F"/>
          <w:spacing w:val="-22"/>
          <w:w w:val="115"/>
          <w:sz w:val="22"/>
        </w:rPr>
        <w:t> </w:t>
      </w:r>
      <w:r>
        <w:rPr>
          <w:color w:val="4D4D4F"/>
          <w:w w:val="115"/>
          <w:sz w:val="22"/>
        </w:rPr>
        <w:t>and</w:t>
      </w:r>
      <w:r>
        <w:rPr>
          <w:color w:val="4D4D4F"/>
          <w:spacing w:val="-22"/>
          <w:w w:val="115"/>
          <w:sz w:val="22"/>
        </w:rPr>
        <w:t> </w:t>
      </w:r>
      <w:r>
        <w:rPr>
          <w:color w:val="4D4D4F"/>
          <w:w w:val="115"/>
          <w:sz w:val="22"/>
        </w:rPr>
        <w:t>impact</w:t>
      </w:r>
      <w:r>
        <w:rPr>
          <w:color w:val="4D4D4F"/>
          <w:spacing w:val="-21"/>
          <w:w w:val="115"/>
          <w:sz w:val="22"/>
        </w:rPr>
        <w:t> </w:t>
      </w:r>
      <w:r>
        <w:rPr>
          <w:color w:val="4D4D4F"/>
          <w:w w:val="115"/>
          <w:sz w:val="22"/>
        </w:rPr>
        <w:t>of</w:t>
      </w:r>
      <w:r>
        <w:rPr>
          <w:color w:val="4D4D4F"/>
          <w:spacing w:val="-22"/>
          <w:w w:val="115"/>
          <w:sz w:val="22"/>
        </w:rPr>
        <w:t> </w:t>
      </w:r>
      <w:r>
        <w:rPr>
          <w:color w:val="4D4D4F"/>
          <w:w w:val="115"/>
          <w:sz w:val="22"/>
        </w:rPr>
        <w:t>any</w:t>
      </w:r>
      <w:r>
        <w:rPr>
          <w:color w:val="4D4D4F"/>
          <w:spacing w:val="-21"/>
          <w:w w:val="115"/>
          <w:sz w:val="22"/>
        </w:rPr>
        <w:t> </w:t>
      </w:r>
      <w:r>
        <w:rPr>
          <w:color w:val="4D4D4F"/>
          <w:w w:val="115"/>
          <w:sz w:val="22"/>
        </w:rPr>
        <w:t>alcohol</w:t>
      </w:r>
      <w:r>
        <w:rPr>
          <w:color w:val="4D4D4F"/>
          <w:spacing w:val="-22"/>
          <w:w w:val="115"/>
          <w:sz w:val="22"/>
        </w:rPr>
        <w:t> </w:t>
      </w:r>
      <w:r>
        <w:rPr>
          <w:color w:val="4D4D4F"/>
          <w:w w:val="115"/>
          <w:sz w:val="22"/>
        </w:rPr>
        <w:t>or</w:t>
      </w:r>
      <w:r>
        <w:rPr>
          <w:color w:val="4D4D4F"/>
          <w:spacing w:val="-21"/>
          <w:w w:val="115"/>
          <w:sz w:val="22"/>
        </w:rPr>
        <w:t> </w:t>
      </w:r>
      <w:r>
        <w:rPr>
          <w:color w:val="4D4D4F"/>
          <w:w w:val="115"/>
          <w:sz w:val="22"/>
        </w:rPr>
        <w:t>benzodi- azepine</w:t>
      </w:r>
      <w:r>
        <w:rPr>
          <w:color w:val="4D4D4F"/>
          <w:spacing w:val="-10"/>
          <w:w w:val="115"/>
          <w:sz w:val="22"/>
        </w:rPr>
        <w:t> </w:t>
      </w:r>
      <w:r>
        <w:rPr>
          <w:color w:val="4D4D4F"/>
          <w:w w:val="115"/>
          <w:sz w:val="22"/>
        </w:rPr>
        <w:t>misuse.</w:t>
      </w:r>
    </w:p>
    <w:p>
      <w:pPr>
        <w:pStyle w:val="ListParagraph"/>
        <w:numPr>
          <w:ilvl w:val="0"/>
          <w:numId w:val="4"/>
        </w:numPr>
        <w:tabs>
          <w:tab w:pos="411" w:val="left" w:leader="none"/>
        </w:tabs>
        <w:spacing w:line="264" w:lineRule="exact" w:before="43" w:after="0"/>
        <w:ind w:left="410" w:right="398" w:hanging="270"/>
        <w:jc w:val="left"/>
        <w:rPr>
          <w:rFonts w:ascii="Arial" w:hAnsi="Arial"/>
          <w:color w:val="137692"/>
          <w:sz w:val="28"/>
        </w:rPr>
      </w:pPr>
      <w:r>
        <w:rPr>
          <w:rFonts w:ascii="Calibri" w:hAnsi="Calibri"/>
          <w:b/>
          <w:color w:val="4D4D4F"/>
          <w:w w:val="115"/>
          <w:sz w:val="22"/>
        </w:rPr>
        <w:t>Ensure that patients understand the risk </w:t>
      </w:r>
      <w:r>
        <w:rPr>
          <w:color w:val="4D4D4F"/>
          <w:w w:val="115"/>
          <w:sz w:val="22"/>
        </w:rPr>
        <w:t>of</w:t>
      </w:r>
      <w:r>
        <w:rPr>
          <w:color w:val="4D4D4F"/>
          <w:spacing w:val="-30"/>
          <w:w w:val="115"/>
          <w:sz w:val="22"/>
        </w:rPr>
        <w:t> </w:t>
      </w:r>
      <w:r>
        <w:rPr>
          <w:color w:val="4D4D4F"/>
          <w:w w:val="115"/>
          <w:sz w:val="22"/>
        </w:rPr>
        <w:t>potential</w:t>
      </w:r>
      <w:r>
        <w:rPr>
          <w:color w:val="4D4D4F"/>
          <w:spacing w:val="-30"/>
          <w:w w:val="115"/>
          <w:sz w:val="22"/>
        </w:rPr>
        <w:t> </w:t>
      </w:r>
      <w:r>
        <w:rPr>
          <w:color w:val="4D4D4F"/>
          <w:w w:val="115"/>
          <w:sz w:val="22"/>
        </w:rPr>
        <w:t>respiratory</w:t>
      </w:r>
      <w:r>
        <w:rPr>
          <w:color w:val="4D4D4F"/>
          <w:spacing w:val="-29"/>
          <w:w w:val="115"/>
          <w:sz w:val="22"/>
        </w:rPr>
        <w:t> </w:t>
      </w:r>
      <w:r>
        <w:rPr>
          <w:color w:val="4D4D4F"/>
          <w:w w:val="115"/>
          <w:sz w:val="22"/>
        </w:rPr>
        <w:t>depression</w:t>
      </w:r>
      <w:r>
        <w:rPr>
          <w:color w:val="4D4D4F"/>
          <w:spacing w:val="-30"/>
          <w:w w:val="115"/>
          <w:sz w:val="22"/>
        </w:rPr>
        <w:t> </w:t>
      </w:r>
      <w:r>
        <w:rPr>
          <w:color w:val="4D4D4F"/>
          <w:w w:val="115"/>
          <w:sz w:val="22"/>
        </w:rPr>
        <w:t>and</w:t>
      </w:r>
      <w:r>
        <w:rPr>
          <w:color w:val="4D4D4F"/>
          <w:spacing w:val="-29"/>
          <w:w w:val="115"/>
          <w:sz w:val="22"/>
        </w:rPr>
        <w:t> </w:t>
      </w:r>
      <w:r>
        <w:rPr>
          <w:color w:val="4D4D4F"/>
          <w:w w:val="115"/>
          <w:sz w:val="22"/>
        </w:rPr>
        <w:t>un- intentional</w:t>
      </w:r>
      <w:r>
        <w:rPr>
          <w:color w:val="4D4D4F"/>
          <w:spacing w:val="-38"/>
          <w:w w:val="115"/>
          <w:sz w:val="22"/>
        </w:rPr>
        <w:t> </w:t>
      </w:r>
      <w:r>
        <w:rPr>
          <w:color w:val="4D4D4F"/>
          <w:w w:val="115"/>
          <w:sz w:val="22"/>
        </w:rPr>
        <w:t>overdose</w:t>
      </w:r>
      <w:r>
        <w:rPr>
          <w:color w:val="4D4D4F"/>
          <w:spacing w:val="-38"/>
          <w:w w:val="115"/>
          <w:sz w:val="22"/>
        </w:rPr>
        <w:t> </w:t>
      </w:r>
      <w:r>
        <w:rPr>
          <w:color w:val="4D4D4F"/>
          <w:w w:val="115"/>
          <w:sz w:val="22"/>
        </w:rPr>
        <w:t>death</w:t>
      </w:r>
      <w:r>
        <w:rPr>
          <w:color w:val="4D4D4F"/>
          <w:spacing w:val="-37"/>
          <w:w w:val="115"/>
          <w:sz w:val="22"/>
        </w:rPr>
        <w:t> </w:t>
      </w:r>
      <w:r>
        <w:rPr>
          <w:color w:val="4D4D4F"/>
          <w:w w:val="115"/>
          <w:sz w:val="22"/>
        </w:rPr>
        <w:t>when</w:t>
      </w:r>
      <w:r>
        <w:rPr>
          <w:color w:val="4D4D4F"/>
          <w:spacing w:val="-38"/>
          <w:w w:val="115"/>
          <w:sz w:val="22"/>
        </w:rPr>
        <w:t> </w:t>
      </w:r>
      <w:r>
        <w:rPr>
          <w:color w:val="4D4D4F"/>
          <w:w w:val="115"/>
          <w:sz w:val="22"/>
        </w:rPr>
        <w:t>combining methadone with alcohol, benzodiazepines, or other central nervous system (CNS) depressants.</w:t>
      </w:r>
    </w:p>
    <w:p>
      <w:pPr>
        <w:pStyle w:val="ListParagraph"/>
        <w:numPr>
          <w:ilvl w:val="0"/>
          <w:numId w:val="4"/>
        </w:numPr>
        <w:tabs>
          <w:tab w:pos="411" w:val="left" w:leader="none"/>
        </w:tabs>
        <w:spacing w:line="264" w:lineRule="exact" w:before="43" w:after="0"/>
        <w:ind w:left="410" w:right="352" w:hanging="270"/>
        <w:jc w:val="left"/>
        <w:rPr>
          <w:rFonts w:ascii="Arial" w:hAnsi="Arial"/>
          <w:color w:val="137692"/>
          <w:sz w:val="28"/>
        </w:rPr>
      </w:pPr>
      <w:r>
        <w:rPr>
          <w:rFonts w:ascii="Calibri" w:hAnsi="Calibri"/>
          <w:b/>
          <w:color w:val="4D4D4F"/>
          <w:w w:val="115"/>
          <w:sz w:val="22"/>
        </w:rPr>
        <w:t>Determine whether patients require medically supervised withdrawal or tapering</w:t>
      </w:r>
      <w:r>
        <w:rPr>
          <w:rFonts w:ascii="Calibri" w:hAnsi="Calibri"/>
          <w:b/>
          <w:color w:val="4D4D4F"/>
          <w:spacing w:val="-12"/>
          <w:w w:val="115"/>
          <w:sz w:val="22"/>
        </w:rPr>
        <w:t> </w:t>
      </w:r>
      <w:r>
        <w:rPr>
          <w:rFonts w:ascii="Calibri" w:hAnsi="Calibri"/>
          <w:b/>
          <w:color w:val="4D4D4F"/>
          <w:w w:val="115"/>
          <w:sz w:val="22"/>
        </w:rPr>
        <w:t>from</w:t>
      </w:r>
      <w:r>
        <w:rPr>
          <w:rFonts w:ascii="Calibri" w:hAnsi="Calibri"/>
          <w:b/>
          <w:color w:val="4D4D4F"/>
          <w:spacing w:val="-11"/>
          <w:w w:val="115"/>
          <w:sz w:val="22"/>
        </w:rPr>
        <w:t> </w:t>
      </w:r>
      <w:r>
        <w:rPr>
          <w:rFonts w:ascii="Calibri" w:hAnsi="Calibri"/>
          <w:b/>
          <w:color w:val="4D4D4F"/>
          <w:w w:val="115"/>
          <w:sz w:val="22"/>
        </w:rPr>
        <w:t>alcohol</w:t>
      </w:r>
      <w:r>
        <w:rPr>
          <w:rFonts w:ascii="Calibri" w:hAnsi="Calibri"/>
          <w:b/>
          <w:color w:val="4D4D4F"/>
          <w:spacing w:val="-11"/>
          <w:w w:val="115"/>
          <w:sz w:val="22"/>
        </w:rPr>
        <w:t> </w:t>
      </w:r>
      <w:r>
        <w:rPr>
          <w:rFonts w:ascii="Calibri" w:hAnsi="Calibri"/>
          <w:b/>
          <w:color w:val="4D4D4F"/>
          <w:w w:val="115"/>
          <w:sz w:val="22"/>
        </w:rPr>
        <w:t>or</w:t>
      </w:r>
      <w:r>
        <w:rPr>
          <w:rFonts w:ascii="Calibri" w:hAnsi="Calibri"/>
          <w:b/>
          <w:color w:val="4D4D4F"/>
          <w:spacing w:val="-11"/>
          <w:w w:val="115"/>
          <w:sz w:val="22"/>
        </w:rPr>
        <w:t> </w:t>
      </w:r>
      <w:r>
        <w:rPr>
          <w:rFonts w:ascii="Calibri" w:hAnsi="Calibri"/>
          <w:b/>
          <w:color w:val="4D4D4F"/>
          <w:w w:val="115"/>
          <w:sz w:val="22"/>
        </w:rPr>
        <w:t>benzodiazepines. </w:t>
      </w:r>
      <w:r>
        <w:rPr>
          <w:color w:val="4D4D4F"/>
          <w:w w:val="115"/>
          <w:sz w:val="22"/>
        </w:rPr>
        <w:t>Patients</w:t>
      </w:r>
      <w:r>
        <w:rPr>
          <w:color w:val="4D4D4F"/>
          <w:spacing w:val="-34"/>
          <w:w w:val="115"/>
          <w:sz w:val="22"/>
        </w:rPr>
        <w:t> </w:t>
      </w:r>
      <w:r>
        <w:rPr>
          <w:color w:val="4D4D4F"/>
          <w:w w:val="115"/>
          <w:sz w:val="22"/>
        </w:rPr>
        <w:t>at</w:t>
      </w:r>
      <w:r>
        <w:rPr>
          <w:color w:val="4D4D4F"/>
          <w:spacing w:val="-33"/>
          <w:w w:val="115"/>
          <w:sz w:val="22"/>
        </w:rPr>
        <w:t> </w:t>
      </w:r>
      <w:r>
        <w:rPr>
          <w:color w:val="4D4D4F"/>
          <w:w w:val="115"/>
          <w:sz w:val="22"/>
        </w:rPr>
        <w:t>risk</w:t>
      </w:r>
      <w:r>
        <w:rPr>
          <w:color w:val="4D4D4F"/>
          <w:spacing w:val="-34"/>
          <w:w w:val="115"/>
          <w:sz w:val="22"/>
        </w:rPr>
        <w:t> </w:t>
      </w:r>
      <w:r>
        <w:rPr>
          <w:color w:val="4D4D4F"/>
          <w:w w:val="115"/>
          <w:sz w:val="22"/>
        </w:rPr>
        <w:t>for</w:t>
      </w:r>
      <w:r>
        <w:rPr>
          <w:color w:val="4D4D4F"/>
          <w:spacing w:val="-33"/>
          <w:w w:val="115"/>
          <w:sz w:val="22"/>
        </w:rPr>
        <w:t> </w:t>
      </w:r>
      <w:r>
        <w:rPr>
          <w:color w:val="4D4D4F"/>
          <w:w w:val="115"/>
          <w:sz w:val="22"/>
        </w:rPr>
        <w:t>serious</w:t>
      </w:r>
      <w:r>
        <w:rPr>
          <w:color w:val="4D4D4F"/>
          <w:spacing w:val="-34"/>
          <w:w w:val="115"/>
          <w:sz w:val="22"/>
        </w:rPr>
        <w:t> </w:t>
      </w:r>
      <w:r>
        <w:rPr>
          <w:color w:val="4D4D4F"/>
          <w:w w:val="115"/>
          <w:sz w:val="22"/>
        </w:rPr>
        <w:t>alcohol</w:t>
      </w:r>
      <w:r>
        <w:rPr>
          <w:color w:val="4D4D4F"/>
          <w:spacing w:val="-33"/>
          <w:w w:val="115"/>
          <w:sz w:val="22"/>
        </w:rPr>
        <w:t> </w:t>
      </w:r>
      <w:r>
        <w:rPr>
          <w:color w:val="4D4D4F"/>
          <w:w w:val="115"/>
          <w:sz w:val="22"/>
        </w:rPr>
        <w:t>or</w:t>
      </w:r>
      <w:r>
        <w:rPr>
          <w:color w:val="4D4D4F"/>
          <w:spacing w:val="-34"/>
          <w:w w:val="115"/>
          <w:sz w:val="22"/>
        </w:rPr>
        <w:t> </w:t>
      </w:r>
      <w:r>
        <w:rPr>
          <w:color w:val="4D4D4F"/>
          <w:w w:val="115"/>
          <w:sz w:val="22"/>
        </w:rPr>
        <w:t>benzo- diazepine withdrawal syndrome (including seizures and delirium tremens) may need inpatient</w:t>
      </w:r>
      <w:r>
        <w:rPr>
          <w:color w:val="4D4D4F"/>
          <w:spacing w:val="-25"/>
          <w:w w:val="115"/>
          <w:sz w:val="22"/>
        </w:rPr>
        <w:t> </w:t>
      </w:r>
      <w:r>
        <w:rPr>
          <w:color w:val="4D4D4F"/>
          <w:w w:val="115"/>
          <w:sz w:val="22"/>
        </w:rPr>
        <w:t>medically</w:t>
      </w:r>
      <w:r>
        <w:rPr>
          <w:color w:val="4D4D4F"/>
          <w:spacing w:val="-25"/>
          <w:w w:val="115"/>
          <w:sz w:val="22"/>
        </w:rPr>
        <w:t> </w:t>
      </w:r>
      <w:r>
        <w:rPr>
          <w:color w:val="4D4D4F"/>
          <w:w w:val="115"/>
          <w:sz w:val="22"/>
        </w:rPr>
        <w:t>supervised</w:t>
      </w:r>
      <w:r>
        <w:rPr>
          <w:color w:val="4D4D4F"/>
          <w:spacing w:val="-25"/>
          <w:w w:val="115"/>
          <w:sz w:val="22"/>
        </w:rPr>
        <w:t> </w:t>
      </w:r>
      <w:r>
        <w:rPr>
          <w:color w:val="4D4D4F"/>
          <w:w w:val="115"/>
          <w:sz w:val="22"/>
        </w:rPr>
        <w:t>withdrawal.</w:t>
      </w:r>
    </w:p>
    <w:p>
      <w:pPr>
        <w:pStyle w:val="ListParagraph"/>
        <w:numPr>
          <w:ilvl w:val="0"/>
          <w:numId w:val="4"/>
        </w:numPr>
        <w:tabs>
          <w:tab w:pos="411" w:val="left" w:leader="none"/>
        </w:tabs>
        <w:spacing w:line="225" w:lineRule="auto" w:before="46" w:after="0"/>
        <w:ind w:left="410" w:right="337" w:hanging="270"/>
        <w:jc w:val="left"/>
        <w:rPr>
          <w:rFonts w:ascii="Arial" w:hAnsi="Arial"/>
          <w:color w:val="137692"/>
          <w:sz w:val="28"/>
        </w:rPr>
      </w:pPr>
      <w:r>
        <w:rPr>
          <w:rFonts w:ascii="Calibri" w:hAnsi="Calibri"/>
          <w:b/>
          <w:color w:val="4D4D4F"/>
          <w:w w:val="115"/>
          <w:sz w:val="22"/>
        </w:rPr>
        <w:t>Attempt gradual outpatient medically supervised withdrawal for benzodiaze- pines</w:t>
      </w:r>
      <w:r>
        <w:rPr>
          <w:rFonts w:ascii="Calibri" w:hAnsi="Calibri"/>
          <w:b/>
          <w:color w:val="4D4D4F"/>
          <w:spacing w:val="-15"/>
          <w:w w:val="115"/>
          <w:sz w:val="22"/>
        </w:rPr>
        <w:t> </w:t>
      </w:r>
      <w:r>
        <w:rPr>
          <w:rFonts w:ascii="Calibri" w:hAnsi="Calibri"/>
          <w:b/>
          <w:color w:val="4D4D4F"/>
          <w:w w:val="115"/>
          <w:sz w:val="22"/>
        </w:rPr>
        <w:t>when</w:t>
      </w:r>
      <w:r>
        <w:rPr>
          <w:rFonts w:ascii="Calibri" w:hAnsi="Calibri"/>
          <w:b/>
          <w:color w:val="4D4D4F"/>
          <w:spacing w:val="-14"/>
          <w:w w:val="115"/>
          <w:sz w:val="22"/>
        </w:rPr>
        <w:t> </w:t>
      </w:r>
      <w:r>
        <w:rPr>
          <w:rFonts w:ascii="Calibri" w:hAnsi="Calibri"/>
          <w:b/>
          <w:color w:val="4D4D4F"/>
          <w:w w:val="115"/>
          <w:sz w:val="22"/>
        </w:rPr>
        <w:t>indicated.</w:t>
      </w:r>
      <w:r>
        <w:rPr>
          <w:rFonts w:ascii="Calibri" w:hAnsi="Calibri"/>
          <w:b/>
          <w:color w:val="4D4D4F"/>
          <w:spacing w:val="-17"/>
          <w:w w:val="115"/>
          <w:sz w:val="22"/>
        </w:rPr>
        <w:t> </w:t>
      </w:r>
      <w:r>
        <w:rPr>
          <w:color w:val="4D4D4F"/>
          <w:w w:val="115"/>
          <w:sz w:val="22"/>
        </w:rPr>
        <w:t>Some</w:t>
      </w:r>
      <w:r>
        <w:rPr>
          <w:color w:val="4D4D4F"/>
          <w:spacing w:val="-30"/>
          <w:w w:val="115"/>
          <w:sz w:val="22"/>
        </w:rPr>
        <w:t> </w:t>
      </w:r>
      <w:r>
        <w:rPr>
          <w:color w:val="4D4D4F"/>
          <w:w w:val="115"/>
          <w:sz w:val="22"/>
        </w:rPr>
        <w:t>OTPs</w:t>
      </w:r>
      <w:r>
        <w:rPr>
          <w:color w:val="4D4D4F"/>
          <w:spacing w:val="-29"/>
          <w:w w:val="115"/>
          <w:sz w:val="22"/>
        </w:rPr>
        <w:t> </w:t>
      </w:r>
      <w:r>
        <w:rPr>
          <w:color w:val="4D4D4F"/>
          <w:w w:val="115"/>
          <w:sz w:val="22"/>
        </w:rPr>
        <w:t>have</w:t>
      </w:r>
      <w:r>
        <w:rPr>
          <w:color w:val="4D4D4F"/>
          <w:spacing w:val="-30"/>
          <w:w w:val="115"/>
          <w:sz w:val="22"/>
        </w:rPr>
        <w:t> </w:t>
      </w:r>
      <w:r>
        <w:rPr>
          <w:color w:val="4D4D4F"/>
          <w:w w:val="115"/>
          <w:sz w:val="22"/>
        </w:rPr>
        <w:t>the stafﬁng</w:t>
      </w:r>
      <w:r>
        <w:rPr>
          <w:color w:val="4D4D4F"/>
          <w:spacing w:val="-20"/>
          <w:w w:val="115"/>
          <w:sz w:val="22"/>
        </w:rPr>
        <w:t> </w:t>
      </w:r>
      <w:r>
        <w:rPr>
          <w:color w:val="4D4D4F"/>
          <w:w w:val="115"/>
          <w:sz w:val="22"/>
        </w:rPr>
        <w:t>and</w:t>
      </w:r>
      <w:r>
        <w:rPr>
          <w:color w:val="4D4D4F"/>
          <w:spacing w:val="-19"/>
          <w:w w:val="115"/>
          <w:sz w:val="22"/>
        </w:rPr>
        <w:t> </w:t>
      </w:r>
      <w:r>
        <w:rPr>
          <w:color w:val="4D4D4F"/>
          <w:w w:val="115"/>
          <w:sz w:val="22"/>
        </w:rPr>
        <w:t>capacity</w:t>
      </w:r>
      <w:r>
        <w:rPr>
          <w:color w:val="4D4D4F"/>
          <w:spacing w:val="-20"/>
          <w:w w:val="115"/>
          <w:sz w:val="22"/>
        </w:rPr>
        <w:t> </w:t>
      </w:r>
      <w:r>
        <w:rPr>
          <w:color w:val="4D4D4F"/>
          <w:w w:val="115"/>
          <w:sz w:val="22"/>
        </w:rPr>
        <w:t>to</w:t>
      </w:r>
      <w:r>
        <w:rPr>
          <w:color w:val="4D4D4F"/>
          <w:spacing w:val="-19"/>
          <w:w w:val="115"/>
          <w:sz w:val="22"/>
        </w:rPr>
        <w:t> </w:t>
      </w:r>
      <w:r>
        <w:rPr>
          <w:color w:val="4D4D4F"/>
          <w:w w:val="115"/>
          <w:sz w:val="22"/>
        </w:rPr>
        <w:t>provide</w:t>
      </w:r>
      <w:r>
        <w:rPr>
          <w:color w:val="4D4D4F"/>
          <w:spacing w:val="-20"/>
          <w:w w:val="115"/>
          <w:sz w:val="22"/>
        </w:rPr>
        <w:t> </w:t>
      </w:r>
      <w:r>
        <w:rPr>
          <w:color w:val="4D4D4F"/>
          <w:w w:val="115"/>
          <w:sz w:val="22"/>
        </w:rPr>
        <w:t>a</w:t>
      </w:r>
      <w:r>
        <w:rPr>
          <w:color w:val="4D4D4F"/>
          <w:spacing w:val="-19"/>
          <w:w w:val="115"/>
          <w:sz w:val="22"/>
        </w:rPr>
        <w:t> </w:t>
      </w:r>
      <w:r>
        <w:rPr>
          <w:color w:val="4D4D4F"/>
          <w:w w:val="115"/>
          <w:sz w:val="22"/>
        </w:rPr>
        <w:t>supervised</w:t>
      </w:r>
    </w:p>
    <w:p>
      <w:pPr>
        <w:spacing w:after="0" w:line="225" w:lineRule="auto"/>
        <w:jc w:val="left"/>
        <w:rPr>
          <w:rFonts w:ascii="Arial" w:hAnsi="Arial"/>
          <w:sz w:val="28"/>
        </w:rPr>
        <w:sectPr>
          <w:type w:val="continuous"/>
          <w:pgSz w:w="12240" w:h="15840"/>
          <w:pgMar w:top="540" w:bottom="280" w:left="940" w:right="920"/>
          <w:cols w:num="2" w:equalWidth="0">
            <w:col w:w="5011" w:space="208"/>
            <w:col w:w="5161"/>
          </w:cols>
        </w:sectPr>
      </w:pPr>
    </w:p>
    <w:p>
      <w:pPr>
        <w:pStyle w:val="BodyText"/>
        <w:rPr>
          <w:sz w:val="20"/>
        </w:rPr>
      </w:pPr>
    </w:p>
    <w:p>
      <w:pPr>
        <w:pStyle w:val="BodyText"/>
        <w:spacing w:before="2"/>
        <w:rPr>
          <w:sz w:val="27"/>
        </w:rPr>
      </w:pPr>
    </w:p>
    <w:p>
      <w:pPr>
        <w:pStyle w:val="Heading3"/>
        <w:spacing w:line="256" w:lineRule="auto" w:before="136"/>
        <w:ind w:left="421" w:right="1593"/>
        <w:rPr>
          <w:rFonts w:ascii="Arial"/>
        </w:rPr>
      </w:pPr>
      <w:r>
        <w:rPr/>
        <w:pict>
          <v:group style="position:absolute;margin-left:54.095001pt;margin-top:-4.590381pt;width:503.95pt;height:386.65pt;mso-position-horizontal-relative:page;mso-position-vertical-relative:paragraph;z-index:-19572736" coordorigin="1082,-92" coordsize="10079,7733">
            <v:rect style="position:absolute;left:1086;top:-87;width:10069;height:7723" filled="true" fillcolor="#fff7f2" stroked="false">
              <v:fill type="solid"/>
            </v:rect>
            <v:rect style="position:absolute;left:1086;top:-87;width:10069;height:7723" filled="false" stroked="true" strokeweight=".5pt" strokecolor="#88aabd">
              <v:stroke dashstyle="solid"/>
            </v:rect>
            <v:line style="position:absolute" from="1362,870" to="10880,870" stroked="true" strokeweight="2pt" strokecolor="#598ea7">
              <v:stroke dashstyle="solid"/>
            </v:line>
            <w10:wrap type="none"/>
          </v:group>
        </w:pict>
      </w:r>
      <w:r>
        <w:rPr>
          <w:rFonts w:ascii="Arial"/>
          <w:color w:val="137692"/>
          <w:w w:val="110"/>
        </w:rPr>
        <w:t>EXHIBIT</w:t>
      </w:r>
      <w:r>
        <w:rPr>
          <w:rFonts w:ascii="Arial"/>
          <w:color w:val="137692"/>
          <w:spacing w:val="-21"/>
          <w:w w:val="110"/>
        </w:rPr>
        <w:t> </w:t>
      </w:r>
      <w:r>
        <w:rPr>
          <w:rFonts w:ascii="Arial"/>
          <w:color w:val="137692"/>
          <w:w w:val="110"/>
        </w:rPr>
        <w:t>3B.1.</w:t>
      </w:r>
      <w:r>
        <w:rPr>
          <w:rFonts w:ascii="Arial"/>
          <w:color w:val="137692"/>
          <w:spacing w:val="-20"/>
          <w:w w:val="110"/>
        </w:rPr>
        <w:t> </w:t>
      </w:r>
      <w:r>
        <w:rPr>
          <w:rFonts w:ascii="Arial"/>
          <w:color w:val="137692"/>
          <w:w w:val="110"/>
        </w:rPr>
        <w:t>Strategies</w:t>
      </w:r>
      <w:r>
        <w:rPr>
          <w:rFonts w:ascii="Arial"/>
          <w:color w:val="137692"/>
          <w:spacing w:val="-20"/>
          <w:w w:val="110"/>
        </w:rPr>
        <w:t> </w:t>
      </w:r>
      <w:r>
        <w:rPr>
          <w:rFonts w:ascii="Arial"/>
          <w:color w:val="137692"/>
          <w:w w:val="110"/>
        </w:rPr>
        <w:t>for</w:t>
      </w:r>
      <w:r>
        <w:rPr>
          <w:rFonts w:ascii="Arial"/>
          <w:color w:val="137692"/>
          <w:spacing w:val="-20"/>
          <w:w w:val="110"/>
        </w:rPr>
        <w:t> </w:t>
      </w:r>
      <w:r>
        <w:rPr>
          <w:rFonts w:ascii="Arial"/>
          <w:color w:val="137692"/>
          <w:w w:val="110"/>
        </w:rPr>
        <w:t>Managing</w:t>
      </w:r>
      <w:r>
        <w:rPr>
          <w:rFonts w:ascii="Arial"/>
          <w:color w:val="137692"/>
          <w:spacing w:val="-20"/>
          <w:w w:val="110"/>
        </w:rPr>
        <w:t> </w:t>
      </w:r>
      <w:r>
        <w:rPr>
          <w:rFonts w:ascii="Arial"/>
          <w:color w:val="137692"/>
          <w:w w:val="110"/>
        </w:rPr>
        <w:t>Benzodiazepine</w:t>
      </w:r>
      <w:r>
        <w:rPr>
          <w:rFonts w:ascii="Arial"/>
          <w:color w:val="137692"/>
          <w:spacing w:val="-20"/>
          <w:w w:val="110"/>
        </w:rPr>
        <w:t> </w:t>
      </w:r>
      <w:r>
        <w:rPr>
          <w:rFonts w:ascii="Arial"/>
          <w:color w:val="137692"/>
          <w:w w:val="110"/>
        </w:rPr>
        <w:t>Use</w:t>
      </w:r>
      <w:r>
        <w:rPr>
          <w:rFonts w:ascii="Arial"/>
          <w:color w:val="137692"/>
          <w:spacing w:val="-20"/>
          <w:w w:val="110"/>
        </w:rPr>
        <w:t> </w:t>
      </w:r>
      <w:r>
        <w:rPr>
          <w:rFonts w:ascii="Arial"/>
          <w:color w:val="137692"/>
          <w:w w:val="110"/>
        </w:rPr>
        <w:t>by Patients in OUD</w:t>
      </w:r>
      <w:r>
        <w:rPr>
          <w:rFonts w:ascii="Arial"/>
          <w:color w:val="137692"/>
          <w:spacing w:val="-16"/>
          <w:w w:val="110"/>
        </w:rPr>
        <w:t> </w:t>
      </w:r>
      <w:r>
        <w:rPr>
          <w:rFonts w:ascii="Arial"/>
          <w:color w:val="137692"/>
          <w:w w:val="110"/>
        </w:rPr>
        <w:t>Treatment</w:t>
      </w:r>
    </w:p>
    <w:p>
      <w:pPr>
        <w:pStyle w:val="BodyText"/>
        <w:spacing w:before="9"/>
        <w:rPr>
          <w:rFonts w:ascii="Arial"/>
          <w:b/>
          <w:sz w:val="21"/>
        </w:rPr>
      </w:pPr>
    </w:p>
    <w:p>
      <w:pPr>
        <w:spacing w:after="0"/>
        <w:rPr>
          <w:rFonts w:ascii="Arial"/>
          <w:sz w:val="21"/>
        </w:rPr>
        <w:sectPr>
          <w:pgSz w:w="12240" w:h="15840"/>
          <w:pgMar w:header="576" w:footer="677" w:top="1340" w:bottom="860" w:left="940" w:right="920"/>
        </w:sectPr>
      </w:pPr>
    </w:p>
    <w:p>
      <w:pPr>
        <w:pStyle w:val="ListParagraph"/>
        <w:numPr>
          <w:ilvl w:val="1"/>
          <w:numId w:val="4"/>
        </w:numPr>
        <w:tabs>
          <w:tab w:pos="590" w:val="left" w:leader="none"/>
        </w:tabs>
        <w:spacing w:line="213" w:lineRule="auto" w:before="116" w:after="0"/>
        <w:ind w:left="590" w:right="245" w:hanging="180"/>
        <w:jc w:val="left"/>
        <w:rPr>
          <w:rFonts w:ascii="Arial" w:hAnsi="Arial"/>
          <w:color w:val="137692"/>
          <w:sz w:val="28"/>
        </w:rPr>
      </w:pPr>
      <w:r>
        <w:rPr>
          <w:rFonts w:ascii="Arial" w:hAnsi="Arial"/>
          <w:b/>
          <w:color w:val="4D4D4F"/>
          <w:w w:val="110"/>
          <w:sz w:val="18"/>
        </w:rPr>
        <w:t>Carefully</w:t>
      </w:r>
      <w:r>
        <w:rPr>
          <w:rFonts w:ascii="Arial" w:hAnsi="Arial"/>
          <w:b/>
          <w:color w:val="4D4D4F"/>
          <w:spacing w:val="-30"/>
          <w:w w:val="110"/>
          <w:sz w:val="18"/>
        </w:rPr>
        <w:t> </w:t>
      </w:r>
      <w:r>
        <w:rPr>
          <w:rFonts w:ascii="Arial" w:hAnsi="Arial"/>
          <w:b/>
          <w:color w:val="4D4D4F"/>
          <w:w w:val="110"/>
          <w:sz w:val="18"/>
        </w:rPr>
        <w:t>assess</w:t>
      </w:r>
      <w:r>
        <w:rPr>
          <w:rFonts w:ascii="Arial" w:hAnsi="Arial"/>
          <w:b/>
          <w:color w:val="4D4D4F"/>
          <w:spacing w:val="-30"/>
          <w:w w:val="110"/>
          <w:sz w:val="18"/>
        </w:rPr>
        <w:t> </w:t>
      </w:r>
      <w:r>
        <w:rPr>
          <w:rFonts w:ascii="Arial" w:hAnsi="Arial"/>
          <w:b/>
          <w:color w:val="4D4D4F"/>
          <w:w w:val="110"/>
          <w:sz w:val="18"/>
        </w:rPr>
        <w:t>the</w:t>
      </w:r>
      <w:r>
        <w:rPr>
          <w:rFonts w:ascii="Arial" w:hAnsi="Arial"/>
          <w:b/>
          <w:color w:val="4D4D4F"/>
          <w:spacing w:val="-29"/>
          <w:w w:val="110"/>
          <w:sz w:val="18"/>
        </w:rPr>
        <w:t> </w:t>
      </w:r>
      <w:r>
        <w:rPr>
          <w:rFonts w:ascii="Arial" w:hAnsi="Arial"/>
          <w:b/>
          <w:color w:val="4D4D4F"/>
          <w:w w:val="110"/>
          <w:sz w:val="18"/>
        </w:rPr>
        <w:t>patient’s</w:t>
      </w:r>
      <w:r>
        <w:rPr>
          <w:rFonts w:ascii="Arial" w:hAnsi="Arial"/>
          <w:b/>
          <w:color w:val="4D4D4F"/>
          <w:spacing w:val="-30"/>
          <w:w w:val="110"/>
          <w:sz w:val="18"/>
        </w:rPr>
        <w:t> </w:t>
      </w:r>
      <w:r>
        <w:rPr>
          <w:rFonts w:ascii="Arial" w:hAnsi="Arial"/>
          <w:b/>
          <w:color w:val="4D4D4F"/>
          <w:w w:val="110"/>
          <w:sz w:val="18"/>
        </w:rPr>
        <w:t>benzodiazepine use,</w:t>
      </w:r>
      <w:r>
        <w:rPr>
          <w:rFonts w:ascii="Arial" w:hAnsi="Arial"/>
          <w:b/>
          <w:color w:val="4D4D4F"/>
          <w:spacing w:val="-7"/>
          <w:w w:val="110"/>
          <w:sz w:val="18"/>
        </w:rPr>
        <w:t> </w:t>
      </w:r>
      <w:r>
        <w:rPr>
          <w:rFonts w:ascii="Calibri" w:hAnsi="Calibri"/>
          <w:color w:val="4D4D4F"/>
          <w:w w:val="110"/>
          <w:sz w:val="18"/>
        </w:rPr>
        <w:t>including:</w:t>
      </w:r>
    </w:p>
    <w:p>
      <w:pPr>
        <w:pStyle w:val="ListParagraph"/>
        <w:numPr>
          <w:ilvl w:val="2"/>
          <w:numId w:val="4"/>
        </w:numPr>
        <w:tabs>
          <w:tab w:pos="770" w:val="left" w:leader="none"/>
        </w:tabs>
        <w:spacing w:line="295" w:lineRule="exact" w:before="2" w:after="0"/>
        <w:ind w:left="770" w:right="0" w:hanging="180"/>
        <w:jc w:val="left"/>
        <w:rPr>
          <w:rFonts w:ascii="Calibri" w:hAnsi="Calibri"/>
          <w:sz w:val="18"/>
        </w:rPr>
      </w:pPr>
      <w:r>
        <w:rPr>
          <w:rFonts w:ascii="Calibri" w:hAnsi="Calibri"/>
          <w:color w:val="4D4D4F"/>
          <w:w w:val="120"/>
          <w:sz w:val="18"/>
        </w:rPr>
        <w:t>Intent of</w:t>
      </w:r>
      <w:r>
        <w:rPr>
          <w:rFonts w:ascii="Calibri" w:hAnsi="Calibri"/>
          <w:color w:val="4D4D4F"/>
          <w:spacing w:val="-5"/>
          <w:w w:val="120"/>
          <w:sz w:val="18"/>
        </w:rPr>
        <w:t> </w:t>
      </w:r>
      <w:r>
        <w:rPr>
          <w:rFonts w:ascii="Calibri" w:hAnsi="Calibri"/>
          <w:color w:val="4D4D4F"/>
          <w:w w:val="120"/>
          <w:sz w:val="18"/>
        </w:rPr>
        <w:t>use.</w:t>
      </w:r>
    </w:p>
    <w:p>
      <w:pPr>
        <w:pStyle w:val="ListParagraph"/>
        <w:numPr>
          <w:ilvl w:val="2"/>
          <w:numId w:val="4"/>
        </w:numPr>
        <w:tabs>
          <w:tab w:pos="770" w:val="left" w:leader="none"/>
        </w:tabs>
        <w:spacing w:line="213" w:lineRule="auto" w:before="0" w:after="0"/>
        <w:ind w:left="770" w:right="413" w:hanging="180"/>
        <w:jc w:val="left"/>
        <w:rPr>
          <w:rFonts w:ascii="Calibri" w:hAnsi="Calibri"/>
          <w:sz w:val="18"/>
        </w:rPr>
      </w:pPr>
      <w:r>
        <w:rPr>
          <w:rFonts w:ascii="Calibri" w:hAnsi="Calibri"/>
          <w:color w:val="4D4D4F"/>
          <w:w w:val="125"/>
          <w:sz w:val="18"/>
        </w:rPr>
        <w:t>Source</w:t>
      </w:r>
      <w:r>
        <w:rPr>
          <w:rFonts w:ascii="Calibri" w:hAnsi="Calibri"/>
          <w:color w:val="4D4D4F"/>
          <w:spacing w:val="-15"/>
          <w:w w:val="125"/>
          <w:sz w:val="18"/>
        </w:rPr>
        <w:t> </w:t>
      </w:r>
      <w:r>
        <w:rPr>
          <w:rFonts w:ascii="Calibri" w:hAnsi="Calibri"/>
          <w:color w:val="4D4D4F"/>
          <w:w w:val="125"/>
          <w:sz w:val="18"/>
        </w:rPr>
        <w:t>(check</w:t>
      </w:r>
      <w:r>
        <w:rPr>
          <w:rFonts w:ascii="Calibri" w:hAnsi="Calibri"/>
          <w:color w:val="4D4D4F"/>
          <w:spacing w:val="-15"/>
          <w:w w:val="125"/>
          <w:sz w:val="18"/>
        </w:rPr>
        <w:t> </w:t>
      </w:r>
      <w:r>
        <w:rPr>
          <w:rFonts w:ascii="Calibri" w:hAnsi="Calibri"/>
          <w:color w:val="4D4D4F"/>
          <w:w w:val="125"/>
          <w:sz w:val="18"/>
        </w:rPr>
        <w:t>the</w:t>
      </w:r>
      <w:r>
        <w:rPr>
          <w:rFonts w:ascii="Calibri" w:hAnsi="Calibri"/>
          <w:color w:val="4D4D4F"/>
          <w:spacing w:val="-14"/>
          <w:w w:val="125"/>
          <w:sz w:val="18"/>
        </w:rPr>
        <w:t> </w:t>
      </w:r>
      <w:r>
        <w:rPr>
          <w:rFonts w:ascii="Calibri" w:hAnsi="Calibri"/>
          <w:color w:val="4D4D4F"/>
          <w:w w:val="125"/>
          <w:sz w:val="18"/>
        </w:rPr>
        <w:t>state’s</w:t>
      </w:r>
      <w:r>
        <w:rPr>
          <w:rFonts w:ascii="Calibri" w:hAnsi="Calibri"/>
          <w:color w:val="4D4D4F"/>
          <w:spacing w:val="-15"/>
          <w:w w:val="125"/>
          <w:sz w:val="18"/>
        </w:rPr>
        <w:t> </w:t>
      </w:r>
      <w:r>
        <w:rPr>
          <w:rFonts w:ascii="Calibri" w:hAnsi="Calibri"/>
          <w:color w:val="4D4D4F"/>
          <w:w w:val="125"/>
          <w:sz w:val="18"/>
        </w:rPr>
        <w:t>prescription</w:t>
      </w:r>
      <w:r>
        <w:rPr>
          <w:rFonts w:ascii="Calibri" w:hAnsi="Calibri"/>
          <w:color w:val="4D4D4F"/>
          <w:spacing w:val="-14"/>
          <w:w w:val="125"/>
          <w:sz w:val="18"/>
        </w:rPr>
        <w:t> </w:t>
      </w:r>
      <w:r>
        <w:rPr>
          <w:rFonts w:ascii="Calibri" w:hAnsi="Calibri"/>
          <w:color w:val="4D4D4F"/>
          <w:w w:val="125"/>
          <w:sz w:val="18"/>
        </w:rPr>
        <w:t>drug monitoring program</w:t>
      </w:r>
      <w:r>
        <w:rPr>
          <w:rFonts w:ascii="Calibri" w:hAnsi="Calibri"/>
          <w:color w:val="4D4D4F"/>
          <w:spacing w:val="-11"/>
          <w:w w:val="125"/>
          <w:sz w:val="18"/>
        </w:rPr>
        <w:t> </w:t>
      </w:r>
      <w:r>
        <w:rPr>
          <w:rFonts w:ascii="Calibri" w:hAnsi="Calibri"/>
          <w:color w:val="4D4D4F"/>
          <w:w w:val="125"/>
          <w:sz w:val="18"/>
        </w:rPr>
        <w:t>[PDMP]).</w:t>
      </w:r>
    </w:p>
    <w:p>
      <w:pPr>
        <w:pStyle w:val="ListParagraph"/>
        <w:numPr>
          <w:ilvl w:val="2"/>
          <w:numId w:val="4"/>
        </w:numPr>
        <w:tabs>
          <w:tab w:pos="770" w:val="left" w:leader="none"/>
        </w:tabs>
        <w:spacing w:line="295" w:lineRule="exact" w:before="0" w:after="0"/>
        <w:ind w:left="770" w:right="0" w:hanging="180"/>
        <w:jc w:val="left"/>
        <w:rPr>
          <w:rFonts w:ascii="Calibri" w:hAnsi="Calibri"/>
          <w:sz w:val="18"/>
        </w:rPr>
      </w:pPr>
      <w:r>
        <w:rPr>
          <w:rFonts w:ascii="Calibri" w:hAnsi="Calibri"/>
          <w:color w:val="4D4D4F"/>
          <w:w w:val="120"/>
          <w:sz w:val="18"/>
        </w:rPr>
        <w:t>Amount and route of</w:t>
      </w:r>
      <w:r>
        <w:rPr>
          <w:rFonts w:ascii="Calibri" w:hAnsi="Calibri"/>
          <w:color w:val="4D4D4F"/>
          <w:spacing w:val="-5"/>
          <w:w w:val="120"/>
          <w:sz w:val="18"/>
        </w:rPr>
        <w:t> </w:t>
      </w:r>
      <w:r>
        <w:rPr>
          <w:rFonts w:ascii="Calibri" w:hAnsi="Calibri"/>
          <w:color w:val="4D4D4F"/>
          <w:w w:val="120"/>
          <w:sz w:val="18"/>
        </w:rPr>
        <w:t>use.</w:t>
      </w:r>
    </w:p>
    <w:p>
      <w:pPr>
        <w:pStyle w:val="ListParagraph"/>
        <w:numPr>
          <w:ilvl w:val="2"/>
          <w:numId w:val="4"/>
        </w:numPr>
        <w:tabs>
          <w:tab w:pos="770" w:val="left" w:leader="none"/>
        </w:tabs>
        <w:spacing w:line="269" w:lineRule="exact" w:before="0" w:after="0"/>
        <w:ind w:left="770" w:right="0" w:hanging="180"/>
        <w:jc w:val="left"/>
        <w:rPr>
          <w:rFonts w:ascii="Calibri" w:hAnsi="Calibri"/>
          <w:sz w:val="18"/>
        </w:rPr>
      </w:pPr>
      <w:r>
        <w:rPr>
          <w:rFonts w:ascii="Calibri" w:hAnsi="Calibri"/>
          <w:color w:val="4D4D4F"/>
          <w:w w:val="130"/>
          <w:sz w:val="18"/>
        </w:rPr>
        <w:t>Binge</w:t>
      </w:r>
      <w:r>
        <w:rPr>
          <w:rFonts w:ascii="Calibri" w:hAnsi="Calibri"/>
          <w:color w:val="4D4D4F"/>
          <w:spacing w:val="-7"/>
          <w:w w:val="130"/>
          <w:sz w:val="18"/>
        </w:rPr>
        <w:t> </w:t>
      </w:r>
      <w:r>
        <w:rPr>
          <w:rFonts w:ascii="Calibri" w:hAnsi="Calibri"/>
          <w:color w:val="4D4D4F"/>
          <w:w w:val="130"/>
          <w:sz w:val="18"/>
        </w:rPr>
        <w:t>use.</w:t>
      </w:r>
    </w:p>
    <w:p>
      <w:pPr>
        <w:pStyle w:val="ListParagraph"/>
        <w:numPr>
          <w:ilvl w:val="2"/>
          <w:numId w:val="4"/>
        </w:numPr>
        <w:tabs>
          <w:tab w:pos="770" w:val="left" w:leader="none"/>
        </w:tabs>
        <w:spacing w:line="269" w:lineRule="exact" w:before="0" w:after="0"/>
        <w:ind w:left="770" w:right="0" w:hanging="180"/>
        <w:jc w:val="left"/>
        <w:rPr>
          <w:rFonts w:ascii="Calibri" w:hAnsi="Calibri"/>
          <w:sz w:val="18"/>
        </w:rPr>
      </w:pPr>
      <w:r>
        <w:rPr>
          <w:rFonts w:ascii="Calibri" w:hAnsi="Calibri"/>
          <w:color w:val="4D4D4F"/>
          <w:w w:val="120"/>
          <w:sz w:val="18"/>
        </w:rPr>
        <w:t>Prior</w:t>
      </w:r>
      <w:r>
        <w:rPr>
          <w:rFonts w:ascii="Calibri" w:hAnsi="Calibri"/>
          <w:color w:val="4D4D4F"/>
          <w:spacing w:val="-3"/>
          <w:w w:val="120"/>
          <w:sz w:val="18"/>
        </w:rPr>
        <w:t> </w:t>
      </w:r>
      <w:r>
        <w:rPr>
          <w:rFonts w:ascii="Calibri" w:hAnsi="Calibri"/>
          <w:color w:val="4D4D4F"/>
          <w:w w:val="120"/>
          <w:sz w:val="18"/>
        </w:rPr>
        <w:t>overdoses.</w:t>
      </w:r>
    </w:p>
    <w:p>
      <w:pPr>
        <w:pStyle w:val="ListParagraph"/>
        <w:numPr>
          <w:ilvl w:val="2"/>
          <w:numId w:val="4"/>
        </w:numPr>
        <w:tabs>
          <w:tab w:pos="770" w:val="left" w:leader="none"/>
        </w:tabs>
        <w:spacing w:line="213" w:lineRule="auto" w:before="0" w:after="0"/>
        <w:ind w:left="770" w:right="356" w:hanging="180"/>
        <w:jc w:val="left"/>
        <w:rPr>
          <w:rFonts w:ascii="Calibri" w:hAnsi="Calibri"/>
          <w:sz w:val="18"/>
        </w:rPr>
      </w:pPr>
      <w:r>
        <w:rPr>
          <w:rFonts w:ascii="Calibri" w:hAnsi="Calibri"/>
          <w:color w:val="4D4D4F"/>
          <w:w w:val="120"/>
          <w:sz w:val="18"/>
        </w:rPr>
        <w:t>Harms (e.g., car crashes, criminal acts, </w:t>
      </w:r>
      <w:r>
        <w:rPr>
          <w:rFonts w:ascii="Calibri" w:hAnsi="Calibri"/>
          <w:color w:val="4D4D4F"/>
          <w:spacing w:val="-3"/>
          <w:w w:val="120"/>
          <w:sz w:val="18"/>
        </w:rPr>
        <w:t>sleep </w:t>
      </w:r>
      <w:r>
        <w:rPr>
          <w:rFonts w:ascii="Calibri" w:hAnsi="Calibri"/>
          <w:color w:val="4D4D4F"/>
          <w:w w:val="120"/>
          <w:sz w:val="18"/>
        </w:rPr>
        <w:t>trouble).</w:t>
      </w:r>
    </w:p>
    <w:p>
      <w:pPr>
        <w:pStyle w:val="ListParagraph"/>
        <w:numPr>
          <w:ilvl w:val="2"/>
          <w:numId w:val="4"/>
        </w:numPr>
        <w:tabs>
          <w:tab w:pos="770" w:val="left" w:leader="none"/>
        </w:tabs>
        <w:spacing w:line="235" w:lineRule="auto" w:before="4" w:after="0"/>
        <w:ind w:left="770" w:right="412" w:hanging="180"/>
        <w:jc w:val="left"/>
        <w:rPr>
          <w:rFonts w:ascii="Calibri" w:hAnsi="Calibri"/>
          <w:sz w:val="18"/>
        </w:rPr>
      </w:pPr>
      <w:r>
        <w:rPr>
          <w:rFonts w:ascii="Calibri" w:hAnsi="Calibri"/>
          <w:color w:val="4D4D4F"/>
          <w:w w:val="125"/>
          <w:sz w:val="18"/>
        </w:rPr>
        <w:t>Co-use with other substances that further increase</w:t>
      </w:r>
      <w:r>
        <w:rPr>
          <w:rFonts w:ascii="Calibri" w:hAnsi="Calibri"/>
          <w:color w:val="4D4D4F"/>
          <w:spacing w:val="-21"/>
          <w:w w:val="125"/>
          <w:sz w:val="18"/>
        </w:rPr>
        <w:t> </w:t>
      </w:r>
      <w:r>
        <w:rPr>
          <w:rFonts w:ascii="Calibri" w:hAnsi="Calibri"/>
          <w:color w:val="4D4D4F"/>
          <w:w w:val="125"/>
          <w:sz w:val="18"/>
        </w:rPr>
        <w:t>risk</w:t>
      </w:r>
      <w:r>
        <w:rPr>
          <w:rFonts w:ascii="Calibri" w:hAnsi="Calibri"/>
          <w:color w:val="4D4D4F"/>
          <w:spacing w:val="-21"/>
          <w:w w:val="125"/>
          <w:sz w:val="18"/>
        </w:rPr>
        <w:t> </w:t>
      </w:r>
      <w:r>
        <w:rPr>
          <w:rFonts w:ascii="Calibri" w:hAnsi="Calibri"/>
          <w:color w:val="4D4D4F"/>
          <w:w w:val="125"/>
          <w:sz w:val="18"/>
        </w:rPr>
        <w:t>for</w:t>
      </w:r>
      <w:r>
        <w:rPr>
          <w:rFonts w:ascii="Calibri" w:hAnsi="Calibri"/>
          <w:color w:val="4D4D4F"/>
          <w:spacing w:val="-20"/>
          <w:w w:val="125"/>
          <w:sz w:val="18"/>
        </w:rPr>
        <w:t> </w:t>
      </w:r>
      <w:r>
        <w:rPr>
          <w:rFonts w:ascii="Calibri" w:hAnsi="Calibri"/>
          <w:color w:val="4D4D4F"/>
          <w:w w:val="125"/>
          <w:sz w:val="18"/>
        </w:rPr>
        <w:t>respiratory</w:t>
      </w:r>
      <w:r>
        <w:rPr>
          <w:rFonts w:ascii="Calibri" w:hAnsi="Calibri"/>
          <w:color w:val="4D4D4F"/>
          <w:spacing w:val="-21"/>
          <w:w w:val="125"/>
          <w:sz w:val="18"/>
        </w:rPr>
        <w:t> </w:t>
      </w:r>
      <w:r>
        <w:rPr>
          <w:rFonts w:ascii="Calibri" w:hAnsi="Calibri"/>
          <w:color w:val="4D4D4F"/>
          <w:w w:val="125"/>
          <w:sz w:val="18"/>
        </w:rPr>
        <w:t>depression</w:t>
      </w:r>
      <w:r>
        <w:rPr>
          <w:rFonts w:ascii="Calibri" w:hAnsi="Calibri"/>
          <w:color w:val="4D4D4F"/>
          <w:spacing w:val="-20"/>
          <w:w w:val="125"/>
          <w:sz w:val="18"/>
        </w:rPr>
        <w:t> </w:t>
      </w:r>
      <w:r>
        <w:rPr>
          <w:rFonts w:ascii="Calibri" w:hAnsi="Calibri"/>
          <w:color w:val="4D4D4F"/>
          <w:spacing w:val="-4"/>
          <w:w w:val="125"/>
          <w:sz w:val="18"/>
        </w:rPr>
        <w:t>and </w:t>
      </w:r>
      <w:r>
        <w:rPr>
          <w:rFonts w:ascii="Calibri" w:hAnsi="Calibri"/>
          <w:color w:val="4D4D4F"/>
          <w:w w:val="125"/>
          <w:sz w:val="18"/>
        </w:rPr>
        <w:t>overdose.</w:t>
      </w:r>
    </w:p>
    <w:p>
      <w:pPr>
        <w:pStyle w:val="ListParagraph"/>
        <w:numPr>
          <w:ilvl w:val="2"/>
          <w:numId w:val="4"/>
        </w:numPr>
        <w:tabs>
          <w:tab w:pos="770" w:val="left" w:leader="none"/>
        </w:tabs>
        <w:spacing w:line="320" w:lineRule="exact" w:before="0" w:after="0"/>
        <w:ind w:left="770" w:right="0" w:hanging="180"/>
        <w:jc w:val="left"/>
        <w:rPr>
          <w:rFonts w:ascii="Calibri" w:hAnsi="Calibri"/>
          <w:sz w:val="18"/>
        </w:rPr>
      </w:pPr>
      <w:r>
        <w:rPr>
          <w:rFonts w:ascii="Calibri" w:hAnsi="Calibri"/>
          <w:color w:val="4D4D4F"/>
          <w:w w:val="120"/>
          <w:sz w:val="18"/>
        </w:rPr>
        <w:t>Withdrawal history (e.g., seizures,</w:t>
      </w:r>
      <w:r>
        <w:rPr>
          <w:rFonts w:ascii="Calibri" w:hAnsi="Calibri"/>
          <w:color w:val="4D4D4F"/>
          <w:spacing w:val="-11"/>
          <w:w w:val="120"/>
          <w:sz w:val="18"/>
        </w:rPr>
        <w:t> </w:t>
      </w:r>
      <w:r>
        <w:rPr>
          <w:rFonts w:ascii="Calibri" w:hAnsi="Calibri"/>
          <w:color w:val="4D4D4F"/>
          <w:w w:val="120"/>
          <w:sz w:val="18"/>
        </w:rPr>
        <w:t>delirium).</w:t>
      </w:r>
    </w:p>
    <w:p>
      <w:pPr>
        <w:pStyle w:val="ListParagraph"/>
        <w:numPr>
          <w:ilvl w:val="1"/>
          <w:numId w:val="4"/>
        </w:numPr>
        <w:tabs>
          <w:tab w:pos="590" w:val="left" w:leader="none"/>
        </w:tabs>
        <w:spacing w:line="295" w:lineRule="exact" w:before="8" w:after="0"/>
        <w:ind w:left="590" w:right="0" w:hanging="180"/>
        <w:jc w:val="left"/>
        <w:rPr>
          <w:rFonts w:ascii="Arial" w:hAnsi="Arial"/>
          <w:b/>
          <w:color w:val="137692"/>
          <w:sz w:val="28"/>
        </w:rPr>
      </w:pPr>
      <w:r>
        <w:rPr>
          <w:rFonts w:ascii="Arial" w:hAnsi="Arial"/>
          <w:b/>
          <w:color w:val="4D4D4F"/>
          <w:sz w:val="18"/>
        </w:rPr>
        <w:t>Also assess</w:t>
      </w:r>
      <w:r>
        <w:rPr>
          <w:rFonts w:ascii="Arial" w:hAnsi="Arial"/>
          <w:b/>
          <w:color w:val="4D4D4F"/>
          <w:spacing w:val="-3"/>
          <w:sz w:val="18"/>
        </w:rPr>
        <w:t> </w:t>
      </w:r>
      <w:r>
        <w:rPr>
          <w:rFonts w:ascii="Arial" w:hAnsi="Arial"/>
          <w:b/>
          <w:color w:val="4D4D4F"/>
          <w:sz w:val="18"/>
        </w:rPr>
        <w:t>for:</w:t>
      </w:r>
    </w:p>
    <w:p>
      <w:pPr>
        <w:pStyle w:val="ListParagraph"/>
        <w:numPr>
          <w:ilvl w:val="2"/>
          <w:numId w:val="4"/>
        </w:numPr>
        <w:tabs>
          <w:tab w:pos="770" w:val="left" w:leader="none"/>
        </w:tabs>
        <w:spacing w:line="269" w:lineRule="exact" w:before="0" w:after="0"/>
        <w:ind w:left="770" w:right="0" w:hanging="180"/>
        <w:jc w:val="left"/>
        <w:rPr>
          <w:rFonts w:ascii="Calibri" w:hAnsi="Calibri"/>
          <w:sz w:val="18"/>
        </w:rPr>
      </w:pPr>
      <w:r>
        <w:rPr>
          <w:rFonts w:ascii="Calibri" w:hAnsi="Calibri"/>
          <w:color w:val="4D4D4F"/>
          <w:w w:val="125"/>
          <w:sz w:val="18"/>
        </w:rPr>
        <w:t>Psychiatric and medical</w:t>
      </w:r>
      <w:r>
        <w:rPr>
          <w:rFonts w:ascii="Calibri" w:hAnsi="Calibri"/>
          <w:color w:val="4D4D4F"/>
          <w:spacing w:val="-16"/>
          <w:w w:val="125"/>
          <w:sz w:val="18"/>
        </w:rPr>
        <w:t> </w:t>
      </w:r>
      <w:r>
        <w:rPr>
          <w:rFonts w:ascii="Calibri" w:hAnsi="Calibri"/>
          <w:color w:val="4D4D4F"/>
          <w:w w:val="125"/>
          <w:sz w:val="18"/>
        </w:rPr>
        <w:t>comorbidity.</w:t>
      </w:r>
    </w:p>
    <w:p>
      <w:pPr>
        <w:pStyle w:val="ListParagraph"/>
        <w:numPr>
          <w:ilvl w:val="2"/>
          <w:numId w:val="4"/>
        </w:numPr>
        <w:tabs>
          <w:tab w:pos="770" w:val="left" w:leader="none"/>
        </w:tabs>
        <w:spacing w:line="269" w:lineRule="exact" w:before="0" w:after="0"/>
        <w:ind w:left="770" w:right="0" w:hanging="180"/>
        <w:jc w:val="left"/>
        <w:rPr>
          <w:rFonts w:ascii="Calibri" w:hAnsi="Calibri"/>
          <w:sz w:val="18"/>
        </w:rPr>
      </w:pPr>
      <w:r>
        <w:rPr>
          <w:rFonts w:ascii="Calibri" w:hAnsi="Calibri"/>
          <w:color w:val="4D4D4F"/>
          <w:w w:val="120"/>
          <w:sz w:val="18"/>
        </w:rPr>
        <w:t>Motivation for</w:t>
      </w:r>
      <w:r>
        <w:rPr>
          <w:rFonts w:ascii="Calibri" w:hAnsi="Calibri"/>
          <w:color w:val="4D4D4F"/>
          <w:spacing w:val="-4"/>
          <w:w w:val="120"/>
          <w:sz w:val="18"/>
        </w:rPr>
        <w:t> </w:t>
      </w:r>
      <w:r>
        <w:rPr>
          <w:rFonts w:ascii="Calibri" w:hAnsi="Calibri"/>
          <w:color w:val="4D4D4F"/>
          <w:w w:val="120"/>
          <w:sz w:val="18"/>
        </w:rPr>
        <w:t>change.</w:t>
      </w:r>
    </w:p>
    <w:p>
      <w:pPr>
        <w:pStyle w:val="ListParagraph"/>
        <w:numPr>
          <w:ilvl w:val="2"/>
          <w:numId w:val="4"/>
        </w:numPr>
        <w:tabs>
          <w:tab w:pos="770" w:val="left" w:leader="none"/>
        </w:tabs>
        <w:spacing w:line="280" w:lineRule="exact" w:before="0" w:after="0"/>
        <w:ind w:left="770" w:right="0" w:hanging="180"/>
        <w:jc w:val="left"/>
        <w:rPr>
          <w:rFonts w:ascii="Calibri" w:hAnsi="Calibri"/>
          <w:sz w:val="18"/>
        </w:rPr>
      </w:pPr>
      <w:r>
        <w:rPr>
          <w:rFonts w:ascii="Calibri" w:hAnsi="Calibri"/>
          <w:color w:val="4D4D4F"/>
          <w:w w:val="125"/>
          <w:sz w:val="18"/>
        </w:rPr>
        <w:t>Psychosocial support system (obtain</w:t>
      </w:r>
      <w:r>
        <w:rPr>
          <w:rFonts w:ascii="Calibri" w:hAnsi="Calibri"/>
          <w:color w:val="4D4D4F"/>
          <w:spacing w:val="-33"/>
          <w:w w:val="125"/>
          <w:sz w:val="18"/>
        </w:rPr>
        <w:t> </w:t>
      </w:r>
      <w:r>
        <w:rPr>
          <w:rFonts w:ascii="Calibri" w:hAnsi="Calibri"/>
          <w:color w:val="4D4D4F"/>
          <w:w w:val="125"/>
          <w:sz w:val="18"/>
        </w:rPr>
        <w:t>history</w:t>
      </w:r>
    </w:p>
    <w:p>
      <w:pPr>
        <w:spacing w:line="204" w:lineRule="exact" w:before="0"/>
        <w:ind w:left="770" w:right="0" w:firstLine="0"/>
        <w:jc w:val="left"/>
        <w:rPr>
          <w:rFonts w:ascii="Calibri" w:hAnsi="Calibri"/>
          <w:sz w:val="18"/>
        </w:rPr>
      </w:pPr>
      <w:r>
        <w:rPr>
          <w:rFonts w:ascii="Calibri" w:hAnsi="Calibri"/>
          <w:color w:val="4D4D4F"/>
          <w:w w:val="120"/>
          <w:sz w:val="18"/>
        </w:rPr>
        <w:t>from a signiﬁcant other if the patient permits).</w:t>
      </w:r>
    </w:p>
    <w:p>
      <w:pPr>
        <w:pStyle w:val="ListParagraph"/>
        <w:numPr>
          <w:ilvl w:val="1"/>
          <w:numId w:val="4"/>
        </w:numPr>
        <w:tabs>
          <w:tab w:pos="590" w:val="left" w:leader="none"/>
        </w:tabs>
        <w:spacing w:line="235" w:lineRule="auto" w:before="64" w:after="0"/>
        <w:ind w:left="590" w:right="38" w:hanging="180"/>
        <w:jc w:val="left"/>
        <w:rPr>
          <w:rFonts w:ascii="Arial" w:hAnsi="Arial"/>
          <w:color w:val="137692"/>
          <w:sz w:val="28"/>
        </w:rPr>
      </w:pPr>
      <w:r>
        <w:rPr>
          <w:rFonts w:ascii="Arial" w:hAnsi="Arial"/>
          <w:b/>
          <w:color w:val="4D4D4F"/>
          <w:w w:val="120"/>
          <w:sz w:val="18"/>
        </w:rPr>
        <w:t>Gauge</w:t>
      </w:r>
      <w:r>
        <w:rPr>
          <w:rFonts w:ascii="Arial" w:hAnsi="Arial"/>
          <w:b/>
          <w:color w:val="4D4D4F"/>
          <w:spacing w:val="-37"/>
          <w:w w:val="120"/>
          <w:sz w:val="18"/>
        </w:rPr>
        <w:t> </w:t>
      </w:r>
      <w:r>
        <w:rPr>
          <w:rFonts w:ascii="Arial" w:hAnsi="Arial"/>
          <w:b/>
          <w:color w:val="4D4D4F"/>
          <w:w w:val="120"/>
          <w:sz w:val="18"/>
        </w:rPr>
        <w:t>level</w:t>
      </w:r>
      <w:r>
        <w:rPr>
          <w:rFonts w:ascii="Arial" w:hAnsi="Arial"/>
          <w:b/>
          <w:color w:val="4D4D4F"/>
          <w:spacing w:val="-36"/>
          <w:w w:val="120"/>
          <w:sz w:val="18"/>
        </w:rPr>
        <w:t> </w:t>
      </w:r>
      <w:r>
        <w:rPr>
          <w:rFonts w:ascii="Arial" w:hAnsi="Arial"/>
          <w:b/>
          <w:color w:val="4D4D4F"/>
          <w:w w:val="120"/>
          <w:sz w:val="18"/>
        </w:rPr>
        <w:t>of</w:t>
      </w:r>
      <w:r>
        <w:rPr>
          <w:rFonts w:ascii="Arial" w:hAnsi="Arial"/>
          <w:b/>
          <w:color w:val="4D4D4F"/>
          <w:spacing w:val="-37"/>
          <w:w w:val="120"/>
          <w:sz w:val="18"/>
        </w:rPr>
        <w:t> </w:t>
      </w:r>
      <w:r>
        <w:rPr>
          <w:rFonts w:ascii="Arial" w:hAnsi="Arial"/>
          <w:b/>
          <w:color w:val="4D4D4F"/>
          <w:w w:val="120"/>
          <w:sz w:val="18"/>
        </w:rPr>
        <w:t>care</w:t>
      </w:r>
      <w:r>
        <w:rPr>
          <w:rFonts w:ascii="Arial" w:hAnsi="Arial"/>
          <w:b/>
          <w:color w:val="4D4D4F"/>
          <w:spacing w:val="-36"/>
          <w:w w:val="120"/>
          <w:sz w:val="18"/>
        </w:rPr>
        <w:t> </w:t>
      </w:r>
      <w:r>
        <w:rPr>
          <w:rFonts w:ascii="Arial" w:hAnsi="Arial"/>
          <w:b/>
          <w:color w:val="4D4D4F"/>
          <w:w w:val="120"/>
          <w:sz w:val="18"/>
        </w:rPr>
        <w:t>and</w:t>
      </w:r>
      <w:r>
        <w:rPr>
          <w:rFonts w:ascii="Arial" w:hAnsi="Arial"/>
          <w:b/>
          <w:color w:val="4D4D4F"/>
          <w:spacing w:val="-36"/>
          <w:w w:val="120"/>
          <w:sz w:val="18"/>
        </w:rPr>
        <w:t> </w:t>
      </w:r>
      <w:r>
        <w:rPr>
          <w:rFonts w:ascii="Arial" w:hAnsi="Arial"/>
          <w:b/>
          <w:color w:val="4D4D4F"/>
          <w:w w:val="120"/>
          <w:sz w:val="18"/>
        </w:rPr>
        <w:t>setting</w:t>
      </w:r>
      <w:r>
        <w:rPr>
          <w:rFonts w:ascii="Arial" w:hAnsi="Arial"/>
          <w:b/>
          <w:color w:val="4D4D4F"/>
          <w:spacing w:val="-37"/>
          <w:w w:val="120"/>
          <w:sz w:val="18"/>
        </w:rPr>
        <w:t> </w:t>
      </w:r>
      <w:r>
        <w:rPr>
          <w:rFonts w:ascii="Arial" w:hAnsi="Arial"/>
          <w:b/>
          <w:color w:val="4D4D4F"/>
          <w:w w:val="120"/>
          <w:sz w:val="18"/>
        </w:rPr>
        <w:t>needed</w:t>
      </w:r>
      <w:r>
        <w:rPr>
          <w:rFonts w:ascii="Arial" w:hAnsi="Arial"/>
          <w:b/>
          <w:color w:val="4D4D4F"/>
          <w:spacing w:val="-37"/>
          <w:w w:val="120"/>
          <w:sz w:val="18"/>
        </w:rPr>
        <w:t> </w:t>
      </w:r>
      <w:r>
        <w:rPr>
          <w:rFonts w:ascii="Calibri" w:hAnsi="Calibri"/>
          <w:color w:val="4D4D4F"/>
          <w:w w:val="120"/>
          <w:sz w:val="18"/>
        </w:rPr>
        <w:t>(e.g., residential, outpatient). Inpatient treatment may be best for patients with poor motivation,</w:t>
      </w:r>
      <w:r>
        <w:rPr>
          <w:rFonts w:ascii="Calibri" w:hAnsi="Calibri"/>
          <w:color w:val="4D4D4F"/>
          <w:spacing w:val="19"/>
          <w:w w:val="120"/>
          <w:sz w:val="18"/>
        </w:rPr>
        <w:t> </w:t>
      </w:r>
      <w:r>
        <w:rPr>
          <w:rFonts w:ascii="Calibri" w:hAnsi="Calibri"/>
          <w:color w:val="4D4D4F"/>
          <w:spacing w:val="-4"/>
          <w:w w:val="120"/>
          <w:sz w:val="18"/>
        </w:rPr>
        <w:t>limited</w:t>
      </w:r>
    </w:p>
    <w:p>
      <w:pPr>
        <w:spacing w:line="261" w:lineRule="auto" w:before="20"/>
        <w:ind w:left="590" w:right="0" w:firstLine="0"/>
        <w:jc w:val="left"/>
        <w:rPr>
          <w:rFonts w:ascii="Calibri"/>
          <w:sz w:val="18"/>
        </w:rPr>
      </w:pPr>
      <w:r>
        <w:rPr>
          <w:rFonts w:ascii="Calibri"/>
          <w:color w:val="4D4D4F"/>
          <w:w w:val="120"/>
          <w:sz w:val="18"/>
        </w:rPr>
        <w:t>psychosocial support, serious or complicated comorbidity, or injection or binge use.</w:t>
      </w:r>
    </w:p>
    <w:p>
      <w:pPr>
        <w:pStyle w:val="BodyText"/>
        <w:rPr>
          <w:rFonts w:ascii="Calibri"/>
        </w:rPr>
      </w:pPr>
    </w:p>
    <w:p>
      <w:pPr>
        <w:pStyle w:val="BodyText"/>
        <w:rPr>
          <w:rFonts w:ascii="Calibri"/>
        </w:rPr>
      </w:pPr>
    </w:p>
    <w:p>
      <w:pPr>
        <w:pStyle w:val="BodyText"/>
        <w:spacing w:before="2"/>
        <w:rPr>
          <w:rFonts w:ascii="Calibri"/>
          <w:sz w:val="20"/>
        </w:rPr>
      </w:pPr>
    </w:p>
    <w:p>
      <w:pPr>
        <w:pStyle w:val="BodyText"/>
        <w:spacing w:before="1"/>
        <w:ind w:left="410"/>
      </w:pPr>
      <w:r>
        <w:rPr>
          <w:color w:val="4D4D4F"/>
          <w:w w:val="110"/>
        </w:rPr>
        <w:t>outpatient taper from benzodiazepines.</w:t>
      </w:r>
    </w:p>
    <w:p>
      <w:pPr>
        <w:pStyle w:val="BodyText"/>
        <w:spacing w:line="247" w:lineRule="auto" w:before="8"/>
        <w:ind w:left="410" w:right="123"/>
      </w:pPr>
      <w:r>
        <w:rPr>
          <w:color w:val="4D4D4F"/>
          <w:w w:val="110"/>
        </w:rPr>
        <w:t>This usually requires use of a long-acting benzodiazepine, management of anxiety and sleeplessness, and careful monitoring with observed dosing and toxicology screening. It may also require lower-than-usual</w:t>
      </w:r>
      <w:r>
        <w:rPr>
          <w:color w:val="4D4D4F"/>
          <w:spacing w:val="-27"/>
          <w:w w:val="110"/>
        </w:rPr>
        <w:t> </w:t>
      </w:r>
      <w:r>
        <w:rPr>
          <w:color w:val="4D4D4F"/>
          <w:w w:val="110"/>
        </w:rPr>
        <w:t>methadone doses. Engage in outpatient medically </w:t>
      </w:r>
      <w:r>
        <w:rPr>
          <w:color w:val="4D4D4F"/>
          <w:spacing w:val="-3"/>
          <w:w w:val="110"/>
        </w:rPr>
        <w:t>super- </w:t>
      </w:r>
      <w:r>
        <w:rPr>
          <w:color w:val="4D4D4F"/>
          <w:w w:val="110"/>
        </w:rPr>
        <w:t>vised withdrawal only with patients who are physically dependent  on  benzodiazepines but do not inject or binge. This may only be successful in a minority of patients. Attempt the taper while continuing treatment with methadone, subject to certain conditions </w:t>
      </w:r>
      <w:r>
        <w:rPr>
          <w:color w:val="4D4D4F"/>
          <w:spacing w:val="-5"/>
          <w:w w:val="110"/>
        </w:rPr>
        <w:t>that </w:t>
      </w:r>
      <w:r>
        <w:rPr>
          <w:color w:val="4D4D4F"/>
          <w:w w:val="110"/>
        </w:rPr>
        <w:t>promote safety and reduce</w:t>
      </w:r>
      <w:r>
        <w:rPr>
          <w:color w:val="4D4D4F"/>
          <w:spacing w:val="-21"/>
          <w:w w:val="110"/>
        </w:rPr>
        <w:t> </w:t>
      </w:r>
      <w:r>
        <w:rPr>
          <w:color w:val="4D4D4F"/>
          <w:w w:val="110"/>
        </w:rPr>
        <w:t>risk.</w:t>
      </w:r>
    </w:p>
    <w:p>
      <w:pPr>
        <w:pStyle w:val="Heading7"/>
        <w:numPr>
          <w:ilvl w:val="0"/>
          <w:numId w:val="4"/>
        </w:numPr>
        <w:tabs>
          <w:tab w:pos="410" w:val="left" w:leader="none"/>
        </w:tabs>
        <w:spacing w:line="204" w:lineRule="auto" w:before="75" w:after="0"/>
        <w:ind w:left="410" w:right="325" w:hanging="270"/>
        <w:jc w:val="left"/>
        <w:rPr>
          <w:rFonts w:ascii="Arial" w:hAnsi="Arial"/>
          <w:color w:val="137692"/>
          <w:sz w:val="28"/>
        </w:rPr>
      </w:pPr>
      <w:r>
        <w:rPr>
          <w:color w:val="4D4D4F"/>
          <w:w w:val="115"/>
        </w:rPr>
        <w:t>Consider increasing counseling</w:t>
      </w:r>
      <w:r>
        <w:rPr>
          <w:color w:val="4D4D4F"/>
          <w:spacing w:val="-21"/>
          <w:w w:val="115"/>
        </w:rPr>
        <w:t> </w:t>
      </w:r>
      <w:r>
        <w:rPr>
          <w:color w:val="4D4D4F"/>
          <w:spacing w:val="-3"/>
          <w:w w:val="115"/>
        </w:rPr>
        <w:t>frequency </w:t>
      </w:r>
      <w:r>
        <w:rPr>
          <w:color w:val="4D4D4F"/>
          <w:w w:val="115"/>
        </w:rPr>
        <w:t>as</w:t>
      </w:r>
      <w:r>
        <w:rPr>
          <w:color w:val="4D4D4F"/>
          <w:spacing w:val="6"/>
          <w:w w:val="115"/>
        </w:rPr>
        <w:t> </w:t>
      </w:r>
      <w:r>
        <w:rPr>
          <w:color w:val="4D4D4F"/>
          <w:w w:val="115"/>
        </w:rPr>
        <w:t>appropriate.</w:t>
      </w:r>
    </w:p>
    <w:p>
      <w:pPr>
        <w:pStyle w:val="ListParagraph"/>
        <w:numPr>
          <w:ilvl w:val="0"/>
          <w:numId w:val="4"/>
        </w:numPr>
        <w:tabs>
          <w:tab w:pos="321" w:val="left" w:leader="none"/>
        </w:tabs>
        <w:spacing w:line="235" w:lineRule="auto" w:before="96" w:after="0"/>
        <w:ind w:left="320" w:right="1054" w:hanging="180"/>
        <w:jc w:val="left"/>
        <w:rPr>
          <w:rFonts w:ascii="Arial" w:hAnsi="Arial"/>
          <w:color w:val="137692"/>
          <w:sz w:val="28"/>
        </w:rPr>
      </w:pPr>
      <w:r>
        <w:rPr>
          <w:rFonts w:ascii="Arial" w:hAnsi="Arial"/>
          <w:b/>
          <w:color w:val="4D4D4F"/>
          <w:spacing w:val="-4"/>
          <w:w w:val="100"/>
          <w:sz w:val="18"/>
        </w:rPr>
        <w:br w:type="column"/>
      </w:r>
      <w:r>
        <w:rPr>
          <w:rFonts w:ascii="Arial" w:hAnsi="Arial"/>
          <w:b/>
          <w:color w:val="4D4D4F"/>
          <w:w w:val="115"/>
          <w:sz w:val="18"/>
        </w:rPr>
        <w:t>Coordinate</w:t>
      </w:r>
      <w:r>
        <w:rPr>
          <w:rFonts w:ascii="Arial" w:hAnsi="Arial"/>
          <w:b/>
          <w:color w:val="4D4D4F"/>
          <w:spacing w:val="-38"/>
          <w:w w:val="115"/>
          <w:sz w:val="18"/>
        </w:rPr>
        <w:t> </w:t>
      </w:r>
      <w:r>
        <w:rPr>
          <w:rFonts w:ascii="Arial" w:hAnsi="Arial"/>
          <w:b/>
          <w:color w:val="4D4D4F"/>
          <w:w w:val="115"/>
          <w:sz w:val="18"/>
        </w:rPr>
        <w:t>with</w:t>
      </w:r>
      <w:r>
        <w:rPr>
          <w:rFonts w:ascii="Arial" w:hAnsi="Arial"/>
          <w:b/>
          <w:color w:val="4D4D4F"/>
          <w:spacing w:val="-38"/>
          <w:w w:val="115"/>
          <w:sz w:val="18"/>
        </w:rPr>
        <w:t> </w:t>
      </w:r>
      <w:r>
        <w:rPr>
          <w:rFonts w:ascii="Arial" w:hAnsi="Arial"/>
          <w:b/>
          <w:color w:val="4D4D4F"/>
          <w:w w:val="115"/>
          <w:sz w:val="18"/>
        </w:rPr>
        <w:t>other</w:t>
      </w:r>
      <w:r>
        <w:rPr>
          <w:rFonts w:ascii="Arial" w:hAnsi="Arial"/>
          <w:b/>
          <w:color w:val="4D4D4F"/>
          <w:spacing w:val="-37"/>
          <w:w w:val="115"/>
          <w:sz w:val="18"/>
        </w:rPr>
        <w:t> </w:t>
      </w:r>
      <w:r>
        <w:rPr>
          <w:rFonts w:ascii="Arial" w:hAnsi="Arial"/>
          <w:b/>
          <w:color w:val="4D4D4F"/>
          <w:w w:val="115"/>
          <w:sz w:val="18"/>
        </w:rPr>
        <w:t>prescribers.</w:t>
      </w:r>
      <w:r>
        <w:rPr>
          <w:rFonts w:ascii="Arial" w:hAnsi="Arial"/>
          <w:b/>
          <w:color w:val="4D4D4F"/>
          <w:spacing w:val="-39"/>
          <w:w w:val="115"/>
          <w:sz w:val="18"/>
        </w:rPr>
        <w:t> </w:t>
      </w:r>
      <w:r>
        <w:rPr>
          <w:rFonts w:ascii="Calibri" w:hAnsi="Calibri"/>
          <w:color w:val="4D4D4F"/>
          <w:w w:val="115"/>
          <w:sz w:val="18"/>
        </w:rPr>
        <w:t>Some </w:t>
      </w:r>
      <w:r>
        <w:rPr>
          <w:rFonts w:ascii="Calibri" w:hAnsi="Calibri"/>
          <w:color w:val="4D4D4F"/>
          <w:w w:val="120"/>
          <w:sz w:val="18"/>
        </w:rPr>
        <w:t>patients may have taken appropriately prescribed benzodiazepines for years</w:t>
      </w:r>
      <w:r>
        <w:rPr>
          <w:rFonts w:ascii="Calibri" w:hAnsi="Calibri"/>
          <w:color w:val="4D4D4F"/>
          <w:spacing w:val="43"/>
          <w:w w:val="120"/>
          <w:sz w:val="18"/>
        </w:rPr>
        <w:t> </w:t>
      </w:r>
      <w:r>
        <w:rPr>
          <w:rFonts w:ascii="Calibri" w:hAnsi="Calibri"/>
          <w:color w:val="4D4D4F"/>
          <w:w w:val="120"/>
          <w:sz w:val="18"/>
        </w:rPr>
        <w:t>with</w:t>
      </w:r>
    </w:p>
    <w:p>
      <w:pPr>
        <w:spacing w:line="261" w:lineRule="auto" w:before="20"/>
        <w:ind w:left="320" w:right="390" w:firstLine="0"/>
        <w:jc w:val="left"/>
        <w:rPr>
          <w:rFonts w:ascii="Calibri"/>
          <w:sz w:val="18"/>
        </w:rPr>
      </w:pPr>
      <w:r>
        <w:rPr>
          <w:rFonts w:ascii="Calibri"/>
          <w:color w:val="4D4D4F"/>
          <w:w w:val="125"/>
          <w:sz w:val="18"/>
        </w:rPr>
        <w:t>limited or no evidence of misuse. For such patients, tapering benzodiazepines may be contraindicated and unrealistic.</w:t>
      </w:r>
    </w:p>
    <w:p>
      <w:pPr>
        <w:pStyle w:val="ListParagraph"/>
        <w:numPr>
          <w:ilvl w:val="0"/>
          <w:numId w:val="4"/>
        </w:numPr>
        <w:tabs>
          <w:tab w:pos="321" w:val="left" w:leader="none"/>
        </w:tabs>
        <w:spacing w:line="213" w:lineRule="auto" w:before="4" w:after="0"/>
        <w:ind w:left="320" w:right="672" w:hanging="180"/>
        <w:jc w:val="left"/>
        <w:rPr>
          <w:rFonts w:ascii="Arial" w:hAnsi="Arial"/>
          <w:color w:val="137692"/>
          <w:sz w:val="28"/>
        </w:rPr>
      </w:pPr>
      <w:r>
        <w:rPr>
          <w:rFonts w:ascii="Arial" w:hAnsi="Arial"/>
          <w:b/>
          <w:color w:val="4D4D4F"/>
          <w:w w:val="115"/>
          <w:sz w:val="18"/>
        </w:rPr>
        <w:t>Address comorbid mental disorders </w:t>
      </w:r>
      <w:r>
        <w:rPr>
          <w:rFonts w:ascii="Calibri" w:hAnsi="Calibri"/>
          <w:color w:val="4D4D4F"/>
          <w:w w:val="115"/>
          <w:sz w:val="18"/>
        </w:rPr>
        <w:t>(e.g., anxiety, depression) with other medications</w:t>
      </w:r>
      <w:r>
        <w:rPr>
          <w:rFonts w:ascii="Calibri" w:hAnsi="Calibri"/>
          <w:color w:val="4D4D4F"/>
          <w:spacing w:val="28"/>
          <w:w w:val="115"/>
          <w:sz w:val="18"/>
        </w:rPr>
        <w:t> </w:t>
      </w:r>
      <w:r>
        <w:rPr>
          <w:rFonts w:ascii="Calibri" w:hAnsi="Calibri"/>
          <w:color w:val="4D4D4F"/>
          <w:spacing w:val="-7"/>
          <w:w w:val="115"/>
          <w:sz w:val="18"/>
        </w:rPr>
        <w:t>or</w:t>
      </w:r>
    </w:p>
    <w:p>
      <w:pPr>
        <w:spacing w:line="219" w:lineRule="exact" w:before="24"/>
        <w:ind w:left="320" w:right="0" w:firstLine="0"/>
        <w:jc w:val="left"/>
        <w:rPr>
          <w:rFonts w:ascii="Calibri"/>
          <w:sz w:val="18"/>
        </w:rPr>
      </w:pPr>
      <w:r>
        <w:rPr>
          <w:rFonts w:ascii="Calibri"/>
          <w:color w:val="4D4D4F"/>
          <w:w w:val="125"/>
          <w:sz w:val="18"/>
        </w:rPr>
        <w:t>psychosocial treatments, when feasible.</w:t>
      </w:r>
    </w:p>
    <w:p>
      <w:pPr>
        <w:pStyle w:val="ListParagraph"/>
        <w:numPr>
          <w:ilvl w:val="0"/>
          <w:numId w:val="4"/>
        </w:numPr>
        <w:tabs>
          <w:tab w:pos="321" w:val="left" w:leader="none"/>
        </w:tabs>
        <w:spacing w:line="235" w:lineRule="auto" w:before="4" w:after="0"/>
        <w:ind w:left="320" w:right="525" w:hanging="180"/>
        <w:jc w:val="left"/>
        <w:rPr>
          <w:rFonts w:ascii="Arial" w:hAnsi="Arial"/>
          <w:color w:val="137692"/>
          <w:sz w:val="28"/>
        </w:rPr>
      </w:pPr>
      <w:r>
        <w:rPr>
          <w:rFonts w:ascii="Arial" w:hAnsi="Arial"/>
          <w:b/>
          <w:color w:val="4D4D4F"/>
          <w:w w:val="110"/>
          <w:sz w:val="18"/>
        </w:rPr>
        <w:t>Provide medically supervised withdrawal</w:t>
      </w:r>
      <w:r>
        <w:rPr>
          <w:rFonts w:ascii="Arial" w:hAnsi="Arial"/>
          <w:b/>
          <w:color w:val="4D4D4F"/>
          <w:spacing w:val="-14"/>
          <w:w w:val="110"/>
          <w:sz w:val="18"/>
        </w:rPr>
        <w:t> </w:t>
      </w:r>
      <w:r>
        <w:rPr>
          <w:rFonts w:ascii="Calibri" w:hAnsi="Calibri"/>
          <w:color w:val="4D4D4F"/>
          <w:spacing w:val="2"/>
          <w:w w:val="110"/>
          <w:sz w:val="18"/>
        </w:rPr>
        <w:t>from </w:t>
      </w:r>
      <w:r>
        <w:rPr>
          <w:rFonts w:ascii="Calibri" w:hAnsi="Calibri"/>
          <w:color w:val="4D4D4F"/>
          <w:w w:val="120"/>
          <w:sz w:val="18"/>
        </w:rPr>
        <w:t>benzodiazepines or refer to specialty care for same.</w:t>
      </w:r>
    </w:p>
    <w:p>
      <w:pPr>
        <w:pStyle w:val="ListParagraph"/>
        <w:numPr>
          <w:ilvl w:val="0"/>
          <w:numId w:val="4"/>
        </w:numPr>
        <w:tabs>
          <w:tab w:pos="321" w:val="left" w:leader="none"/>
        </w:tabs>
        <w:spacing w:line="235" w:lineRule="auto" w:before="2" w:after="0"/>
        <w:ind w:left="320" w:right="483" w:hanging="180"/>
        <w:jc w:val="left"/>
        <w:rPr>
          <w:rFonts w:ascii="Arial" w:hAnsi="Arial"/>
          <w:color w:val="137692"/>
          <w:sz w:val="28"/>
        </w:rPr>
      </w:pPr>
      <w:r>
        <w:rPr>
          <w:rFonts w:ascii="Arial" w:hAnsi="Arial"/>
          <w:b/>
          <w:color w:val="4D4D4F"/>
          <w:spacing w:val="-4"/>
          <w:w w:val="115"/>
          <w:sz w:val="18"/>
        </w:rPr>
        <w:t>Create</w:t>
      </w:r>
      <w:r>
        <w:rPr>
          <w:rFonts w:ascii="Arial" w:hAnsi="Arial"/>
          <w:b/>
          <w:color w:val="4D4D4F"/>
          <w:spacing w:val="-33"/>
          <w:w w:val="115"/>
          <w:sz w:val="18"/>
        </w:rPr>
        <w:t> </w:t>
      </w:r>
      <w:r>
        <w:rPr>
          <w:rFonts w:ascii="Arial" w:hAnsi="Arial"/>
          <w:b/>
          <w:color w:val="4D4D4F"/>
          <w:w w:val="115"/>
          <w:sz w:val="18"/>
        </w:rPr>
        <w:t>a</w:t>
      </w:r>
      <w:r>
        <w:rPr>
          <w:rFonts w:ascii="Arial" w:hAnsi="Arial"/>
          <w:b/>
          <w:color w:val="4D4D4F"/>
          <w:spacing w:val="-32"/>
          <w:w w:val="115"/>
          <w:sz w:val="18"/>
        </w:rPr>
        <w:t> </w:t>
      </w:r>
      <w:r>
        <w:rPr>
          <w:rFonts w:ascii="Arial" w:hAnsi="Arial"/>
          <w:b/>
          <w:color w:val="4D4D4F"/>
          <w:spacing w:val="-3"/>
          <w:w w:val="115"/>
          <w:sz w:val="18"/>
        </w:rPr>
        <w:t>treatment</w:t>
      </w:r>
      <w:r>
        <w:rPr>
          <w:rFonts w:ascii="Arial" w:hAnsi="Arial"/>
          <w:b/>
          <w:color w:val="4D4D4F"/>
          <w:spacing w:val="-32"/>
          <w:w w:val="115"/>
          <w:sz w:val="18"/>
        </w:rPr>
        <w:t> </w:t>
      </w:r>
      <w:r>
        <w:rPr>
          <w:rFonts w:ascii="Arial" w:hAnsi="Arial"/>
          <w:b/>
          <w:color w:val="4D4D4F"/>
          <w:w w:val="115"/>
          <w:sz w:val="18"/>
        </w:rPr>
        <w:t>plan</w:t>
      </w:r>
      <w:r>
        <w:rPr>
          <w:rFonts w:ascii="Arial" w:hAnsi="Arial"/>
          <w:b/>
          <w:color w:val="4D4D4F"/>
          <w:spacing w:val="-32"/>
          <w:w w:val="115"/>
          <w:sz w:val="18"/>
        </w:rPr>
        <w:t> </w:t>
      </w:r>
      <w:r>
        <w:rPr>
          <w:rFonts w:ascii="Arial" w:hAnsi="Arial"/>
          <w:b/>
          <w:color w:val="4D4D4F"/>
          <w:w w:val="115"/>
          <w:sz w:val="18"/>
        </w:rPr>
        <w:t>with</w:t>
      </w:r>
      <w:r>
        <w:rPr>
          <w:rFonts w:ascii="Arial" w:hAnsi="Arial"/>
          <w:b/>
          <w:color w:val="4D4D4F"/>
          <w:spacing w:val="-32"/>
          <w:w w:val="115"/>
          <w:sz w:val="18"/>
        </w:rPr>
        <w:t> </w:t>
      </w:r>
      <w:r>
        <w:rPr>
          <w:rFonts w:ascii="Arial" w:hAnsi="Arial"/>
          <w:b/>
          <w:color w:val="4D4D4F"/>
          <w:w w:val="115"/>
          <w:sz w:val="18"/>
        </w:rPr>
        <w:t>built-in</w:t>
      </w:r>
      <w:r>
        <w:rPr>
          <w:rFonts w:ascii="Arial" w:hAnsi="Arial"/>
          <w:b/>
          <w:color w:val="4D4D4F"/>
          <w:spacing w:val="-33"/>
          <w:w w:val="115"/>
          <w:sz w:val="18"/>
        </w:rPr>
        <w:t> </w:t>
      </w:r>
      <w:r>
        <w:rPr>
          <w:rFonts w:ascii="Arial" w:hAnsi="Arial"/>
          <w:b/>
          <w:color w:val="4D4D4F"/>
          <w:spacing w:val="-3"/>
          <w:w w:val="115"/>
          <w:sz w:val="18"/>
        </w:rPr>
        <w:t>conditions </w:t>
      </w:r>
      <w:r>
        <w:rPr>
          <w:rFonts w:ascii="Calibri" w:hAnsi="Calibri"/>
          <w:color w:val="4D4D4F"/>
          <w:spacing w:val="-3"/>
          <w:w w:val="120"/>
          <w:sz w:val="18"/>
        </w:rPr>
        <w:t>(e.g., </w:t>
      </w:r>
      <w:r>
        <w:rPr>
          <w:rFonts w:ascii="Calibri" w:hAnsi="Calibri"/>
          <w:color w:val="4D4D4F"/>
          <w:w w:val="120"/>
          <w:sz w:val="18"/>
        </w:rPr>
        <w:t>urine </w:t>
      </w:r>
      <w:r>
        <w:rPr>
          <w:rFonts w:ascii="Calibri" w:hAnsi="Calibri"/>
          <w:color w:val="4D4D4F"/>
          <w:spacing w:val="-3"/>
          <w:w w:val="120"/>
          <w:sz w:val="18"/>
        </w:rPr>
        <w:t>testing, more </w:t>
      </w:r>
      <w:r>
        <w:rPr>
          <w:rFonts w:ascii="Calibri" w:hAnsi="Calibri"/>
          <w:color w:val="4D4D4F"/>
          <w:w w:val="120"/>
          <w:sz w:val="18"/>
        </w:rPr>
        <w:t>frequent visits, short medication</w:t>
      </w:r>
      <w:r>
        <w:rPr>
          <w:rFonts w:ascii="Calibri" w:hAnsi="Calibri"/>
          <w:color w:val="4D4D4F"/>
          <w:spacing w:val="-6"/>
          <w:w w:val="120"/>
          <w:sz w:val="18"/>
        </w:rPr>
        <w:t> </w:t>
      </w:r>
      <w:r>
        <w:rPr>
          <w:rFonts w:ascii="Calibri" w:hAnsi="Calibri"/>
          <w:color w:val="4D4D4F"/>
          <w:w w:val="120"/>
          <w:sz w:val="18"/>
        </w:rPr>
        <w:t>supply).</w:t>
      </w:r>
    </w:p>
    <w:p>
      <w:pPr>
        <w:pStyle w:val="ListParagraph"/>
        <w:numPr>
          <w:ilvl w:val="0"/>
          <w:numId w:val="4"/>
        </w:numPr>
        <w:tabs>
          <w:tab w:pos="321" w:val="left" w:leader="none"/>
        </w:tabs>
        <w:spacing w:line="213" w:lineRule="auto" w:before="23" w:after="0"/>
        <w:ind w:left="320" w:right="1173" w:hanging="180"/>
        <w:jc w:val="left"/>
        <w:rPr>
          <w:rFonts w:ascii="Arial" w:hAnsi="Arial"/>
          <w:color w:val="137692"/>
          <w:sz w:val="28"/>
        </w:rPr>
      </w:pPr>
      <w:r>
        <w:rPr>
          <w:rFonts w:ascii="Arial" w:hAnsi="Arial"/>
          <w:b/>
          <w:color w:val="4D4D4F"/>
          <w:w w:val="110"/>
          <w:sz w:val="18"/>
        </w:rPr>
        <w:t>Frequently review patient progress</w:t>
      </w:r>
      <w:r>
        <w:rPr>
          <w:rFonts w:ascii="Arial" w:hAnsi="Arial"/>
          <w:b/>
          <w:color w:val="4D4D4F"/>
          <w:spacing w:val="-37"/>
          <w:w w:val="110"/>
          <w:sz w:val="18"/>
        </w:rPr>
        <w:t> </w:t>
      </w:r>
      <w:r>
        <w:rPr>
          <w:rFonts w:ascii="Arial" w:hAnsi="Arial"/>
          <w:b/>
          <w:color w:val="4D4D4F"/>
          <w:spacing w:val="-4"/>
          <w:w w:val="110"/>
          <w:sz w:val="18"/>
        </w:rPr>
        <w:t>and </w:t>
      </w:r>
      <w:r>
        <w:rPr>
          <w:rFonts w:ascii="Arial" w:hAnsi="Arial"/>
          <w:b/>
          <w:color w:val="4D4D4F"/>
          <w:w w:val="110"/>
          <w:sz w:val="18"/>
        </w:rPr>
        <w:t>objective outcomes, </w:t>
      </w:r>
      <w:r>
        <w:rPr>
          <w:rFonts w:ascii="Calibri" w:hAnsi="Calibri"/>
          <w:color w:val="4D4D4F"/>
          <w:w w:val="110"/>
          <w:sz w:val="18"/>
        </w:rPr>
        <w:t>such</w:t>
      </w:r>
      <w:r>
        <w:rPr>
          <w:rFonts w:ascii="Calibri" w:hAnsi="Calibri"/>
          <w:color w:val="4D4D4F"/>
          <w:spacing w:val="-8"/>
          <w:w w:val="110"/>
          <w:sz w:val="18"/>
        </w:rPr>
        <w:t> </w:t>
      </w:r>
      <w:r>
        <w:rPr>
          <w:rFonts w:ascii="Calibri" w:hAnsi="Calibri"/>
          <w:color w:val="4D4D4F"/>
          <w:w w:val="110"/>
          <w:sz w:val="18"/>
        </w:rPr>
        <w:t>as:</w:t>
      </w:r>
    </w:p>
    <w:p>
      <w:pPr>
        <w:pStyle w:val="ListParagraph"/>
        <w:numPr>
          <w:ilvl w:val="0"/>
          <w:numId w:val="12"/>
        </w:numPr>
        <w:tabs>
          <w:tab w:pos="501" w:val="left" w:leader="none"/>
        </w:tabs>
        <w:spacing w:line="295" w:lineRule="exact" w:before="2" w:after="0"/>
        <w:ind w:left="500" w:right="0" w:hanging="181"/>
        <w:jc w:val="left"/>
        <w:rPr>
          <w:rFonts w:ascii="Calibri" w:hAnsi="Calibri"/>
          <w:sz w:val="18"/>
        </w:rPr>
      </w:pPr>
      <w:r>
        <w:rPr>
          <w:rFonts w:ascii="Calibri" w:hAnsi="Calibri"/>
          <w:color w:val="4D4D4F"/>
          <w:w w:val="125"/>
          <w:sz w:val="18"/>
        </w:rPr>
        <w:t>Urine drug</w:t>
      </w:r>
      <w:r>
        <w:rPr>
          <w:rFonts w:ascii="Calibri" w:hAnsi="Calibri"/>
          <w:color w:val="4D4D4F"/>
          <w:spacing w:val="-9"/>
          <w:w w:val="125"/>
          <w:sz w:val="18"/>
        </w:rPr>
        <w:t> </w:t>
      </w:r>
      <w:r>
        <w:rPr>
          <w:rFonts w:ascii="Calibri" w:hAnsi="Calibri"/>
          <w:color w:val="4D4D4F"/>
          <w:w w:val="125"/>
          <w:sz w:val="18"/>
        </w:rPr>
        <w:t>testing.</w:t>
      </w:r>
    </w:p>
    <w:p>
      <w:pPr>
        <w:pStyle w:val="ListParagraph"/>
        <w:numPr>
          <w:ilvl w:val="0"/>
          <w:numId w:val="12"/>
        </w:numPr>
        <w:tabs>
          <w:tab w:pos="501" w:val="left" w:leader="none"/>
        </w:tabs>
        <w:spacing w:line="269" w:lineRule="exact" w:before="0" w:after="0"/>
        <w:ind w:left="500" w:right="0" w:hanging="181"/>
        <w:jc w:val="left"/>
        <w:rPr>
          <w:rFonts w:ascii="Calibri" w:hAnsi="Calibri"/>
          <w:sz w:val="18"/>
        </w:rPr>
      </w:pPr>
      <w:r>
        <w:rPr>
          <w:rFonts w:ascii="Calibri" w:hAnsi="Calibri"/>
          <w:color w:val="4D4D4F"/>
          <w:w w:val="125"/>
          <w:sz w:val="18"/>
        </w:rPr>
        <w:t>PDMP</w:t>
      </w:r>
      <w:r>
        <w:rPr>
          <w:rFonts w:ascii="Calibri" w:hAnsi="Calibri"/>
          <w:color w:val="4D4D4F"/>
          <w:spacing w:val="-5"/>
          <w:w w:val="125"/>
          <w:sz w:val="18"/>
        </w:rPr>
        <w:t> </w:t>
      </w:r>
      <w:r>
        <w:rPr>
          <w:rFonts w:ascii="Calibri" w:hAnsi="Calibri"/>
          <w:color w:val="4D4D4F"/>
          <w:w w:val="125"/>
          <w:sz w:val="18"/>
        </w:rPr>
        <w:t>reports.</w:t>
      </w:r>
    </w:p>
    <w:p>
      <w:pPr>
        <w:pStyle w:val="ListParagraph"/>
        <w:numPr>
          <w:ilvl w:val="0"/>
          <w:numId w:val="12"/>
        </w:numPr>
        <w:tabs>
          <w:tab w:pos="501" w:val="left" w:leader="none"/>
        </w:tabs>
        <w:spacing w:line="269" w:lineRule="exact" w:before="0" w:after="0"/>
        <w:ind w:left="500" w:right="0" w:hanging="181"/>
        <w:jc w:val="left"/>
        <w:rPr>
          <w:rFonts w:ascii="Calibri" w:hAnsi="Calibri"/>
          <w:sz w:val="18"/>
        </w:rPr>
      </w:pPr>
      <w:r>
        <w:rPr>
          <w:rFonts w:ascii="Calibri" w:hAnsi="Calibri"/>
          <w:color w:val="4D4D4F"/>
          <w:w w:val="125"/>
          <w:sz w:val="18"/>
        </w:rPr>
        <w:t>Psychosocial</w:t>
      </w:r>
      <w:r>
        <w:rPr>
          <w:rFonts w:ascii="Calibri" w:hAnsi="Calibri"/>
          <w:color w:val="4D4D4F"/>
          <w:spacing w:val="-5"/>
          <w:w w:val="125"/>
          <w:sz w:val="18"/>
        </w:rPr>
        <w:t> </w:t>
      </w:r>
      <w:r>
        <w:rPr>
          <w:rFonts w:ascii="Calibri" w:hAnsi="Calibri"/>
          <w:color w:val="4D4D4F"/>
          <w:w w:val="125"/>
          <w:sz w:val="18"/>
        </w:rPr>
        <w:t>functioning.</w:t>
      </w:r>
    </w:p>
    <w:p>
      <w:pPr>
        <w:pStyle w:val="ListParagraph"/>
        <w:numPr>
          <w:ilvl w:val="0"/>
          <w:numId w:val="12"/>
        </w:numPr>
        <w:tabs>
          <w:tab w:pos="501" w:val="left" w:leader="none"/>
        </w:tabs>
        <w:spacing w:line="295" w:lineRule="exact" w:before="0" w:after="0"/>
        <w:ind w:left="500" w:right="0" w:hanging="181"/>
        <w:jc w:val="left"/>
        <w:rPr>
          <w:rFonts w:ascii="Calibri" w:hAnsi="Calibri"/>
          <w:sz w:val="18"/>
        </w:rPr>
      </w:pPr>
      <w:r>
        <w:rPr>
          <w:rFonts w:ascii="Calibri" w:hAnsi="Calibri"/>
          <w:color w:val="4D4D4F"/>
          <w:w w:val="125"/>
          <w:sz w:val="18"/>
        </w:rPr>
        <w:t>Reports </w:t>
      </w:r>
      <w:r>
        <w:rPr>
          <w:rFonts w:ascii="Calibri" w:hAnsi="Calibri"/>
          <w:color w:val="4D4D4F"/>
          <w:spacing w:val="2"/>
          <w:w w:val="125"/>
          <w:sz w:val="18"/>
        </w:rPr>
        <w:t>from </w:t>
      </w:r>
      <w:r>
        <w:rPr>
          <w:rFonts w:ascii="Calibri" w:hAnsi="Calibri"/>
          <w:color w:val="4D4D4F"/>
          <w:w w:val="125"/>
          <w:sz w:val="18"/>
        </w:rPr>
        <w:t>signiﬁcant</w:t>
      </w:r>
      <w:r>
        <w:rPr>
          <w:rFonts w:ascii="Calibri" w:hAnsi="Calibri"/>
          <w:color w:val="4D4D4F"/>
          <w:spacing w:val="-18"/>
          <w:w w:val="125"/>
          <w:sz w:val="18"/>
        </w:rPr>
        <w:t> </w:t>
      </w:r>
      <w:r>
        <w:rPr>
          <w:rFonts w:ascii="Calibri" w:hAnsi="Calibri"/>
          <w:color w:val="4D4D4F"/>
          <w:w w:val="125"/>
          <w:sz w:val="18"/>
        </w:rPr>
        <w:t>others.</w:t>
      </w:r>
    </w:p>
    <w:p>
      <w:pPr>
        <w:pStyle w:val="ListParagraph"/>
        <w:numPr>
          <w:ilvl w:val="0"/>
          <w:numId w:val="4"/>
        </w:numPr>
        <w:tabs>
          <w:tab w:pos="321" w:val="left" w:leader="none"/>
        </w:tabs>
        <w:spacing w:line="213" w:lineRule="auto" w:before="33" w:after="0"/>
        <w:ind w:left="320" w:right="504" w:hanging="180"/>
        <w:jc w:val="left"/>
        <w:rPr>
          <w:rFonts w:ascii="Arial" w:hAnsi="Arial"/>
          <w:color w:val="137692"/>
          <w:sz w:val="28"/>
        </w:rPr>
      </w:pPr>
      <w:r>
        <w:rPr>
          <w:rFonts w:ascii="Arial" w:hAnsi="Arial"/>
          <w:b/>
          <w:color w:val="4D4D4F"/>
          <w:w w:val="120"/>
          <w:sz w:val="18"/>
        </w:rPr>
        <w:t>Revise treatment plans </w:t>
      </w:r>
      <w:r>
        <w:rPr>
          <w:rFonts w:ascii="Calibri" w:hAnsi="Calibri"/>
          <w:color w:val="4D4D4F"/>
          <w:w w:val="120"/>
          <w:sz w:val="18"/>
        </w:rPr>
        <w:t>as needed, and document the rationale for treatment</w:t>
      </w:r>
      <w:r>
        <w:rPr>
          <w:rFonts w:ascii="Calibri" w:hAnsi="Calibri"/>
          <w:color w:val="4D4D4F"/>
          <w:spacing w:val="21"/>
          <w:w w:val="120"/>
          <w:sz w:val="18"/>
        </w:rPr>
        <w:t> </w:t>
      </w:r>
      <w:r>
        <w:rPr>
          <w:rFonts w:ascii="Calibri" w:hAnsi="Calibri"/>
          <w:color w:val="4D4D4F"/>
          <w:w w:val="120"/>
          <w:sz w:val="18"/>
        </w:rPr>
        <w:t>decisions.</w:t>
      </w:r>
    </w:p>
    <w:p>
      <w:pPr>
        <w:pStyle w:val="BodyText"/>
        <w:spacing w:before="9"/>
        <w:rPr>
          <w:rFonts w:ascii="Calibri"/>
          <w:sz w:val="18"/>
        </w:rPr>
      </w:pPr>
    </w:p>
    <w:p>
      <w:pPr>
        <w:spacing w:before="1"/>
        <w:ind w:left="140" w:right="0" w:firstLine="0"/>
        <w:jc w:val="both"/>
        <w:rPr>
          <w:rFonts w:ascii="Calibri"/>
          <w:i/>
          <w:sz w:val="9"/>
        </w:rPr>
      </w:pPr>
      <w:r>
        <w:rPr>
          <w:rFonts w:ascii="Calibri"/>
          <w:i/>
          <w:color w:val="4D4D4F"/>
          <w:w w:val="125"/>
          <w:sz w:val="16"/>
        </w:rPr>
        <w:t>Adapted with permission.</w:t>
      </w:r>
      <w:r>
        <w:rPr>
          <w:rFonts w:ascii="Calibri"/>
          <w:i/>
          <w:color w:val="4D4D4F"/>
          <w:w w:val="125"/>
          <w:position w:val="5"/>
          <w:sz w:val="9"/>
        </w:rPr>
        <w:t>97</w:t>
      </w:r>
    </w:p>
    <w:p>
      <w:pPr>
        <w:pStyle w:val="BodyText"/>
        <w:rPr>
          <w:rFonts w:ascii="Calibri"/>
          <w:i/>
          <w:sz w:val="20"/>
        </w:rPr>
      </w:pPr>
    </w:p>
    <w:p>
      <w:pPr>
        <w:pStyle w:val="BodyText"/>
        <w:rPr>
          <w:rFonts w:ascii="Calibri"/>
          <w:i/>
          <w:sz w:val="20"/>
        </w:rPr>
      </w:pPr>
    </w:p>
    <w:p>
      <w:pPr>
        <w:pStyle w:val="BodyText"/>
        <w:spacing w:before="4"/>
        <w:rPr>
          <w:rFonts w:ascii="Calibri"/>
          <w:i/>
          <w:sz w:val="25"/>
        </w:rPr>
      </w:pPr>
    </w:p>
    <w:p>
      <w:pPr>
        <w:spacing w:line="247" w:lineRule="auto" w:before="0"/>
        <w:ind w:left="140" w:right="486" w:firstLine="0"/>
        <w:jc w:val="both"/>
        <w:rPr>
          <w:sz w:val="22"/>
        </w:rPr>
      </w:pPr>
      <w:r>
        <w:rPr>
          <w:color w:val="4D4D4F"/>
          <w:spacing w:val="-4"/>
          <w:w w:val="110"/>
          <w:sz w:val="22"/>
        </w:rPr>
        <w:t>For </w:t>
      </w:r>
      <w:r>
        <w:rPr>
          <w:color w:val="4D4D4F"/>
          <w:spacing w:val="-5"/>
          <w:w w:val="110"/>
          <w:sz w:val="22"/>
        </w:rPr>
        <w:t>more information </w:t>
      </w:r>
      <w:r>
        <w:rPr>
          <w:color w:val="4D4D4F"/>
          <w:spacing w:val="-3"/>
          <w:w w:val="110"/>
          <w:sz w:val="22"/>
        </w:rPr>
        <w:t>on </w:t>
      </w:r>
      <w:r>
        <w:rPr>
          <w:color w:val="4D4D4F"/>
          <w:spacing w:val="-5"/>
          <w:w w:val="110"/>
          <w:sz w:val="22"/>
        </w:rPr>
        <w:t>managing benzodiaze- </w:t>
      </w:r>
      <w:r>
        <w:rPr>
          <w:color w:val="4D4D4F"/>
          <w:spacing w:val="-4"/>
          <w:w w:val="105"/>
          <w:sz w:val="22"/>
        </w:rPr>
        <w:t>pine use, see </w:t>
      </w:r>
      <w:r>
        <w:rPr>
          <w:rFonts w:ascii="Arial"/>
          <w:i/>
          <w:color w:val="4D4D4F"/>
          <w:spacing w:val="-4"/>
          <w:w w:val="105"/>
          <w:sz w:val="22"/>
        </w:rPr>
        <w:t>Management </w:t>
      </w:r>
      <w:r>
        <w:rPr>
          <w:rFonts w:ascii="Arial"/>
          <w:i/>
          <w:color w:val="4D4D4F"/>
          <w:w w:val="105"/>
          <w:sz w:val="22"/>
        </w:rPr>
        <w:t>of </w:t>
      </w:r>
      <w:r>
        <w:rPr>
          <w:rFonts w:ascii="Arial"/>
          <w:i/>
          <w:color w:val="4D4D4F"/>
          <w:spacing w:val="-4"/>
          <w:w w:val="105"/>
          <w:sz w:val="22"/>
        </w:rPr>
        <w:t>Benzodiazepines </w:t>
      </w:r>
      <w:r>
        <w:rPr>
          <w:rFonts w:ascii="Arial"/>
          <w:i/>
          <w:color w:val="4D4D4F"/>
          <w:w w:val="110"/>
          <w:sz w:val="22"/>
        </w:rPr>
        <w:t>in</w:t>
      </w:r>
      <w:r>
        <w:rPr>
          <w:rFonts w:ascii="Arial"/>
          <w:i/>
          <w:color w:val="4D4D4F"/>
          <w:spacing w:val="-44"/>
          <w:w w:val="110"/>
          <w:sz w:val="22"/>
        </w:rPr>
        <w:t> </w:t>
      </w:r>
      <w:r>
        <w:rPr>
          <w:rFonts w:ascii="Arial"/>
          <w:i/>
          <w:color w:val="4D4D4F"/>
          <w:spacing w:val="-4"/>
          <w:w w:val="110"/>
          <w:sz w:val="22"/>
        </w:rPr>
        <w:t>Medication-Assisted</w:t>
      </w:r>
      <w:r>
        <w:rPr>
          <w:rFonts w:ascii="Arial"/>
          <w:i/>
          <w:color w:val="4D4D4F"/>
          <w:spacing w:val="-44"/>
          <w:w w:val="110"/>
          <w:sz w:val="22"/>
        </w:rPr>
        <w:t> </w:t>
      </w:r>
      <w:r>
        <w:rPr>
          <w:rFonts w:ascii="Arial"/>
          <w:i/>
          <w:color w:val="4D4D4F"/>
          <w:spacing w:val="-7"/>
          <w:w w:val="110"/>
          <w:sz w:val="22"/>
        </w:rPr>
        <w:t>Treatment</w:t>
      </w:r>
      <w:r>
        <w:rPr>
          <w:rFonts w:ascii="Arial"/>
          <w:i/>
          <w:color w:val="4D4D4F"/>
          <w:spacing w:val="-44"/>
          <w:w w:val="110"/>
          <w:sz w:val="22"/>
        </w:rPr>
        <w:t> </w:t>
      </w:r>
      <w:r>
        <w:rPr>
          <w:color w:val="4D4D4F"/>
          <w:spacing w:val="-5"/>
          <w:w w:val="110"/>
          <w:sz w:val="22"/>
        </w:rPr>
        <w:t>(</w:t>
      </w:r>
      <w:hyperlink r:id="rId47">
        <w:r>
          <w:rPr>
            <w:color w:val="205E9F"/>
            <w:spacing w:val="-5"/>
            <w:w w:val="110"/>
            <w:sz w:val="22"/>
            <w:u w:val="single" w:color="205E9F"/>
          </w:rPr>
          <w:t>http://ireta</w:t>
        </w:r>
      </w:hyperlink>
    </w:p>
    <w:p>
      <w:pPr>
        <w:pStyle w:val="BodyText"/>
        <w:spacing w:line="255" w:lineRule="exact"/>
        <w:ind w:left="140"/>
      </w:pPr>
      <w:r>
        <w:rPr>
          <w:color w:val="205E9F"/>
          <w:w w:val="115"/>
          <w:u w:val="single" w:color="205E9F"/>
        </w:rPr>
        <w:t>.org/wp-content/uploads/2014/12/BP_Guidelines</w:t>
      </w:r>
    </w:p>
    <w:p>
      <w:pPr>
        <w:pStyle w:val="BodyText"/>
        <w:spacing w:before="9"/>
        <w:ind w:left="140"/>
      </w:pPr>
      <w:r>
        <w:rPr>
          <w:color w:val="205E9F"/>
          <w:w w:val="110"/>
          <w:u w:val="single" w:color="205E9F"/>
        </w:rPr>
        <w:t>_for_Benzodiazepines.pdf</w:t>
      </w:r>
      <w:r>
        <w:rPr>
          <w:color w:val="4D4D4F"/>
          <w:w w:val="110"/>
        </w:rPr>
        <w:t>).</w:t>
      </w:r>
    </w:p>
    <w:p>
      <w:pPr>
        <w:pStyle w:val="BodyText"/>
        <w:spacing w:before="5"/>
        <w:rPr>
          <w:sz w:val="24"/>
        </w:rPr>
      </w:pPr>
    </w:p>
    <w:p>
      <w:pPr>
        <w:spacing w:line="259" w:lineRule="auto" w:before="0"/>
        <w:ind w:left="140" w:right="463" w:firstLine="0"/>
        <w:jc w:val="left"/>
        <w:rPr>
          <w:sz w:val="22"/>
        </w:rPr>
      </w:pPr>
      <w:r>
        <w:rPr>
          <w:b/>
          <w:i/>
          <w:color w:val="137692"/>
          <w:spacing w:val="-3"/>
          <w:w w:val="105"/>
          <w:sz w:val="24"/>
        </w:rPr>
        <w:t>QTc</w:t>
      </w:r>
      <w:r>
        <w:rPr>
          <w:b/>
          <w:i/>
          <w:color w:val="137692"/>
          <w:spacing w:val="-44"/>
          <w:w w:val="105"/>
          <w:sz w:val="24"/>
        </w:rPr>
        <w:t> </w:t>
      </w:r>
      <w:r>
        <w:rPr>
          <w:b/>
          <w:i/>
          <w:color w:val="137692"/>
          <w:w w:val="105"/>
          <w:sz w:val="24"/>
        </w:rPr>
        <w:t>prolongation</w:t>
      </w:r>
      <w:r>
        <w:rPr>
          <w:b/>
          <w:i/>
          <w:color w:val="137692"/>
          <w:spacing w:val="-43"/>
          <w:w w:val="105"/>
          <w:sz w:val="24"/>
        </w:rPr>
        <w:t> </w:t>
      </w:r>
      <w:r>
        <w:rPr>
          <w:b/>
          <w:i/>
          <w:color w:val="137692"/>
          <w:w w:val="105"/>
          <w:sz w:val="24"/>
        </w:rPr>
        <w:t>and</w:t>
      </w:r>
      <w:r>
        <w:rPr>
          <w:b/>
          <w:i/>
          <w:color w:val="137692"/>
          <w:spacing w:val="-43"/>
          <w:w w:val="105"/>
          <w:sz w:val="24"/>
        </w:rPr>
        <w:t> </w:t>
      </w:r>
      <w:r>
        <w:rPr>
          <w:b/>
          <w:i/>
          <w:color w:val="137692"/>
          <w:w w:val="105"/>
          <w:sz w:val="24"/>
        </w:rPr>
        <w:t>cardiac</w:t>
      </w:r>
      <w:r>
        <w:rPr>
          <w:b/>
          <w:i/>
          <w:color w:val="137692"/>
          <w:spacing w:val="-43"/>
          <w:w w:val="105"/>
          <w:sz w:val="24"/>
        </w:rPr>
        <w:t> </w:t>
      </w:r>
      <w:r>
        <w:rPr>
          <w:b/>
          <w:i/>
          <w:color w:val="137692"/>
          <w:w w:val="105"/>
          <w:sz w:val="24"/>
        </w:rPr>
        <w:t>arrhythmia </w:t>
      </w:r>
      <w:r>
        <w:rPr>
          <w:color w:val="4D4D4F"/>
          <w:w w:val="110"/>
          <w:sz w:val="22"/>
        </w:rPr>
        <w:t>Methadone treatment has been associated with </w:t>
      </w:r>
      <w:r>
        <w:rPr>
          <w:color w:val="4D4D4F"/>
          <w:spacing w:val="-9"/>
          <w:w w:val="110"/>
          <w:sz w:val="22"/>
        </w:rPr>
        <w:t>QTc </w:t>
      </w:r>
      <w:r>
        <w:rPr>
          <w:color w:val="4D4D4F"/>
          <w:w w:val="110"/>
          <w:sz w:val="22"/>
        </w:rPr>
        <w:t>prolongation, which often occurs without clinical consequences.</w:t>
      </w:r>
      <w:r>
        <w:rPr>
          <w:color w:val="4D4D4F"/>
          <w:w w:val="110"/>
          <w:position w:val="7"/>
          <w:sz w:val="13"/>
        </w:rPr>
        <w:t>98,99 </w:t>
      </w:r>
      <w:r>
        <w:rPr>
          <w:color w:val="4D4D4F"/>
          <w:w w:val="110"/>
          <w:sz w:val="22"/>
        </w:rPr>
        <w:t>Since</w:t>
      </w:r>
      <w:r>
        <w:rPr>
          <w:color w:val="4D4D4F"/>
          <w:spacing w:val="32"/>
          <w:w w:val="110"/>
          <w:sz w:val="22"/>
        </w:rPr>
        <w:t> </w:t>
      </w:r>
      <w:r>
        <w:rPr>
          <w:color w:val="4D4D4F"/>
          <w:spacing w:val="-4"/>
          <w:w w:val="110"/>
          <w:sz w:val="22"/>
        </w:rPr>
        <w:t>2006,</w:t>
      </w:r>
    </w:p>
    <w:p>
      <w:pPr>
        <w:pStyle w:val="BodyText"/>
        <w:spacing w:line="247" w:lineRule="auto"/>
        <w:ind w:left="140" w:right="265"/>
      </w:pPr>
      <w:r>
        <w:rPr>
          <w:color w:val="4D4D4F"/>
          <w:w w:val="110"/>
        </w:rPr>
        <w:t>methadone has had an FDA black box warning on </w:t>
      </w:r>
      <w:r>
        <w:rPr>
          <w:color w:val="4D4D4F"/>
          <w:spacing w:val="-9"/>
          <w:w w:val="110"/>
        </w:rPr>
        <w:t>QTc </w:t>
      </w:r>
      <w:r>
        <w:rPr>
          <w:color w:val="4D4D4F"/>
          <w:w w:val="110"/>
        </w:rPr>
        <w:t>prolongation and </w:t>
      </w:r>
      <w:r>
        <w:rPr>
          <w:color w:val="4D4D4F"/>
          <w:spacing w:val="-4"/>
          <w:w w:val="110"/>
        </w:rPr>
        <w:t>Torsades </w:t>
      </w:r>
      <w:r>
        <w:rPr>
          <w:color w:val="4D4D4F"/>
          <w:w w:val="110"/>
        </w:rPr>
        <w:t>de Pointes. </w:t>
      </w:r>
      <w:r>
        <w:rPr>
          <w:color w:val="4D4D4F"/>
          <w:spacing w:val="-9"/>
          <w:w w:val="110"/>
        </w:rPr>
        <w:t>QTc </w:t>
      </w:r>
      <w:r>
        <w:rPr>
          <w:color w:val="4D4D4F"/>
          <w:w w:val="110"/>
        </w:rPr>
        <w:t>intervals above 500 milliseconds can increase</w:t>
      </w:r>
      <w:r>
        <w:rPr>
          <w:color w:val="4D4D4F"/>
          <w:spacing w:val="-19"/>
          <w:w w:val="110"/>
        </w:rPr>
        <w:t> </w:t>
      </w:r>
      <w:r>
        <w:rPr>
          <w:color w:val="4D4D4F"/>
          <w:w w:val="110"/>
        </w:rPr>
        <w:t>risk</w:t>
      </w:r>
      <w:r>
        <w:rPr>
          <w:color w:val="4D4D4F"/>
          <w:spacing w:val="-19"/>
          <w:w w:val="110"/>
        </w:rPr>
        <w:t> </w:t>
      </w:r>
      <w:r>
        <w:rPr>
          <w:color w:val="4D4D4F"/>
          <w:w w:val="110"/>
        </w:rPr>
        <w:t>for</w:t>
      </w:r>
      <w:r>
        <w:rPr>
          <w:color w:val="4D4D4F"/>
          <w:spacing w:val="-19"/>
          <w:w w:val="110"/>
        </w:rPr>
        <w:t> </w:t>
      </w:r>
      <w:r>
        <w:rPr>
          <w:color w:val="4D4D4F"/>
          <w:w w:val="110"/>
        </w:rPr>
        <w:t>this</w:t>
      </w:r>
      <w:r>
        <w:rPr>
          <w:color w:val="4D4D4F"/>
          <w:spacing w:val="-19"/>
          <w:w w:val="110"/>
        </w:rPr>
        <w:t> </w:t>
      </w:r>
      <w:r>
        <w:rPr>
          <w:color w:val="4D4D4F"/>
          <w:w w:val="110"/>
        </w:rPr>
        <w:t>rare</w:t>
      </w:r>
      <w:r>
        <w:rPr>
          <w:color w:val="4D4D4F"/>
          <w:spacing w:val="-19"/>
          <w:w w:val="110"/>
        </w:rPr>
        <w:t> </w:t>
      </w:r>
      <w:r>
        <w:rPr>
          <w:color w:val="4D4D4F"/>
          <w:w w:val="110"/>
        </w:rPr>
        <w:t>ventricular</w:t>
      </w:r>
      <w:r>
        <w:rPr>
          <w:color w:val="4D4D4F"/>
          <w:spacing w:val="-19"/>
          <w:w w:val="110"/>
        </w:rPr>
        <w:t> </w:t>
      </w:r>
      <w:r>
        <w:rPr>
          <w:color w:val="4D4D4F"/>
          <w:w w:val="110"/>
        </w:rPr>
        <w:t>arrhythmia, which can be lethal.</w:t>
      </w:r>
      <w:r>
        <w:rPr>
          <w:color w:val="4D4D4F"/>
          <w:w w:val="110"/>
          <w:position w:val="7"/>
          <w:sz w:val="13"/>
        </w:rPr>
        <w:t>100,101 </w:t>
      </w:r>
      <w:r>
        <w:rPr>
          <w:color w:val="4D4D4F"/>
          <w:w w:val="110"/>
        </w:rPr>
        <w:t>The prevalence of </w:t>
      </w:r>
      <w:r>
        <w:rPr>
          <w:color w:val="4D4D4F"/>
          <w:spacing w:val="-15"/>
          <w:w w:val="110"/>
        </w:rPr>
        <w:t>QTc </w:t>
      </w:r>
      <w:r>
        <w:rPr>
          <w:color w:val="4D4D4F"/>
          <w:w w:val="110"/>
        </w:rPr>
        <w:t>prolongation among methadone patients</w:t>
      </w:r>
      <w:r>
        <w:rPr>
          <w:color w:val="4D4D4F"/>
          <w:spacing w:val="21"/>
          <w:w w:val="110"/>
        </w:rPr>
        <w:t> </w:t>
      </w:r>
      <w:r>
        <w:rPr>
          <w:color w:val="4D4D4F"/>
          <w:w w:val="110"/>
        </w:rPr>
        <w:t>is</w:t>
      </w:r>
    </w:p>
    <w:p>
      <w:pPr>
        <w:spacing w:after="0" w:line="247" w:lineRule="auto"/>
        <w:sectPr>
          <w:type w:val="continuous"/>
          <w:pgSz w:w="12240" w:h="15840"/>
          <w:pgMar w:top="540" w:bottom="280" w:left="940" w:right="920"/>
          <w:cols w:num="2" w:equalWidth="0">
            <w:col w:w="5040" w:space="179"/>
            <w:col w:w="5161"/>
          </w:cols>
        </w:sectPr>
      </w:pPr>
    </w:p>
    <w:p>
      <w:pPr>
        <w:pStyle w:val="BodyText"/>
        <w:spacing w:before="10"/>
        <w:rPr>
          <w:sz w:val="26"/>
        </w:rPr>
      </w:pPr>
    </w:p>
    <w:p>
      <w:pPr>
        <w:spacing w:after="0"/>
        <w:rPr>
          <w:sz w:val="26"/>
        </w:rPr>
        <w:sectPr>
          <w:pgSz w:w="12240" w:h="15840"/>
          <w:pgMar w:header="576" w:footer="677" w:top="1340" w:bottom="860" w:left="940" w:right="920"/>
        </w:sectPr>
      </w:pPr>
    </w:p>
    <w:p>
      <w:pPr>
        <w:pStyle w:val="Heading7"/>
        <w:spacing w:line="304" w:lineRule="auto" w:before="150"/>
        <w:ind w:left="438" w:right="127"/>
        <w:rPr>
          <w:rFonts w:ascii="Arial" w:hAnsi="Arial"/>
        </w:rPr>
      </w:pPr>
      <w:r>
        <w:rPr/>
        <w:pict>
          <v:line style="position:absolute;mso-position-horizontal-relative:page;mso-position-vertical-relative:paragraph;z-index:15744000" from="54.5pt,241.818678pt" to="54.5pt,7.169678pt" stroked="true" strokeweight="1pt" strokecolor="#759eb4">
            <v:stroke dashstyle="solid"/>
            <w10:wrap type="none"/>
          </v:line>
        </w:pict>
      </w:r>
      <w:r>
        <w:rPr>
          <w:rFonts w:ascii="Arial" w:hAnsi="Arial"/>
          <w:color w:val="B15651"/>
          <w:spacing w:val="-6"/>
          <w:w w:val="115"/>
        </w:rPr>
        <w:t>QTc </w:t>
      </w:r>
      <w:r>
        <w:rPr>
          <w:rFonts w:ascii="Arial" w:hAnsi="Arial"/>
          <w:color w:val="B15651"/>
          <w:w w:val="115"/>
        </w:rPr>
        <w:t>prolongation is an abnormally long</w:t>
      </w:r>
      <w:r>
        <w:rPr>
          <w:rFonts w:ascii="Arial" w:hAnsi="Arial"/>
          <w:color w:val="B15651"/>
          <w:spacing w:val="-26"/>
          <w:w w:val="115"/>
        </w:rPr>
        <w:t> </w:t>
      </w:r>
      <w:r>
        <w:rPr>
          <w:rFonts w:ascii="Arial" w:hAnsi="Arial"/>
          <w:color w:val="B15651"/>
          <w:w w:val="115"/>
        </w:rPr>
        <w:t>time</w:t>
      </w:r>
      <w:r>
        <w:rPr>
          <w:rFonts w:ascii="Arial" w:hAnsi="Arial"/>
          <w:color w:val="B15651"/>
          <w:spacing w:val="-25"/>
          <w:w w:val="115"/>
        </w:rPr>
        <w:t> </w:t>
      </w:r>
      <w:r>
        <w:rPr>
          <w:rFonts w:ascii="Arial" w:hAnsi="Arial"/>
          <w:color w:val="B15651"/>
          <w:w w:val="115"/>
        </w:rPr>
        <w:t>in</w:t>
      </w:r>
      <w:r>
        <w:rPr>
          <w:rFonts w:ascii="Arial" w:hAnsi="Arial"/>
          <w:color w:val="B15651"/>
          <w:spacing w:val="-25"/>
          <w:w w:val="115"/>
        </w:rPr>
        <w:t> </w:t>
      </w:r>
      <w:r>
        <w:rPr>
          <w:rFonts w:ascii="Arial" w:hAnsi="Arial"/>
          <w:color w:val="B15651"/>
          <w:w w:val="115"/>
        </w:rPr>
        <w:t>electrocardiogram</w:t>
      </w:r>
      <w:r>
        <w:rPr>
          <w:rFonts w:ascii="Arial" w:hAnsi="Arial"/>
          <w:color w:val="B15651"/>
          <w:spacing w:val="-25"/>
          <w:w w:val="115"/>
        </w:rPr>
        <w:t> </w:t>
      </w:r>
      <w:r>
        <w:rPr>
          <w:rFonts w:ascii="Arial" w:hAnsi="Arial"/>
          <w:color w:val="B15651"/>
          <w:w w:val="115"/>
        </w:rPr>
        <w:t>(ECG) tracing between the start of a Q </w:t>
      </w:r>
      <w:r>
        <w:rPr>
          <w:rFonts w:ascii="Arial" w:hAnsi="Arial"/>
          <w:color w:val="B15651"/>
          <w:spacing w:val="-3"/>
          <w:w w:val="115"/>
        </w:rPr>
        <w:t>wave</w:t>
      </w:r>
      <w:r>
        <w:rPr>
          <w:rFonts w:ascii="Arial" w:hAnsi="Arial"/>
          <w:color w:val="B15651"/>
          <w:spacing w:val="-16"/>
          <w:w w:val="115"/>
        </w:rPr>
        <w:t> </w:t>
      </w:r>
      <w:r>
        <w:rPr>
          <w:rFonts w:ascii="Arial" w:hAnsi="Arial"/>
          <w:color w:val="B15651"/>
          <w:w w:val="115"/>
        </w:rPr>
        <w:t>and</w:t>
      </w:r>
      <w:r>
        <w:rPr>
          <w:rFonts w:ascii="Arial" w:hAnsi="Arial"/>
          <w:color w:val="B15651"/>
          <w:spacing w:val="-16"/>
          <w:w w:val="115"/>
        </w:rPr>
        <w:t> </w:t>
      </w:r>
      <w:r>
        <w:rPr>
          <w:rFonts w:ascii="Arial" w:hAnsi="Arial"/>
          <w:color w:val="B15651"/>
          <w:w w:val="115"/>
        </w:rPr>
        <w:t>the</w:t>
      </w:r>
      <w:r>
        <w:rPr>
          <w:rFonts w:ascii="Arial" w:hAnsi="Arial"/>
          <w:color w:val="B15651"/>
          <w:spacing w:val="-16"/>
          <w:w w:val="115"/>
        </w:rPr>
        <w:t> </w:t>
      </w:r>
      <w:r>
        <w:rPr>
          <w:rFonts w:ascii="Arial" w:hAnsi="Arial"/>
          <w:color w:val="B15651"/>
          <w:w w:val="115"/>
        </w:rPr>
        <w:t>end</w:t>
      </w:r>
      <w:r>
        <w:rPr>
          <w:rFonts w:ascii="Arial" w:hAnsi="Arial"/>
          <w:color w:val="B15651"/>
          <w:spacing w:val="-16"/>
          <w:w w:val="115"/>
        </w:rPr>
        <w:t> </w:t>
      </w:r>
      <w:r>
        <w:rPr>
          <w:rFonts w:ascii="Arial" w:hAnsi="Arial"/>
          <w:color w:val="B15651"/>
          <w:w w:val="115"/>
        </w:rPr>
        <w:t>of</w:t>
      </w:r>
      <w:r>
        <w:rPr>
          <w:rFonts w:ascii="Arial" w:hAnsi="Arial"/>
          <w:color w:val="B15651"/>
          <w:spacing w:val="-15"/>
          <w:w w:val="115"/>
        </w:rPr>
        <w:t> </w:t>
      </w:r>
      <w:r>
        <w:rPr>
          <w:rFonts w:ascii="Arial" w:hAnsi="Arial"/>
          <w:color w:val="B15651"/>
          <w:w w:val="115"/>
        </w:rPr>
        <w:t>a</w:t>
      </w:r>
      <w:r>
        <w:rPr>
          <w:rFonts w:ascii="Arial" w:hAnsi="Arial"/>
          <w:color w:val="B15651"/>
          <w:spacing w:val="-16"/>
          <w:w w:val="115"/>
        </w:rPr>
        <w:t> </w:t>
      </w:r>
      <w:r>
        <w:rPr>
          <w:rFonts w:ascii="Arial" w:hAnsi="Arial"/>
          <w:color w:val="B15651"/>
          <w:w w:val="115"/>
        </w:rPr>
        <w:t>T</w:t>
      </w:r>
      <w:r>
        <w:rPr>
          <w:rFonts w:ascii="Arial" w:hAnsi="Arial"/>
          <w:color w:val="B15651"/>
          <w:spacing w:val="-16"/>
          <w:w w:val="115"/>
        </w:rPr>
        <w:t> </w:t>
      </w:r>
      <w:r>
        <w:rPr>
          <w:rFonts w:ascii="Arial" w:hAnsi="Arial"/>
          <w:color w:val="B15651"/>
          <w:spacing w:val="-3"/>
          <w:w w:val="115"/>
        </w:rPr>
        <w:t>wave.</w:t>
      </w:r>
      <w:r>
        <w:rPr>
          <w:rFonts w:ascii="Arial" w:hAnsi="Arial"/>
          <w:color w:val="B15651"/>
          <w:spacing w:val="-16"/>
          <w:w w:val="115"/>
        </w:rPr>
        <w:t> </w:t>
      </w:r>
      <w:r>
        <w:rPr>
          <w:rFonts w:ascii="Arial" w:hAnsi="Arial"/>
          <w:color w:val="B15651"/>
          <w:spacing w:val="-3"/>
          <w:w w:val="115"/>
        </w:rPr>
        <w:t>Various </w:t>
      </w:r>
      <w:r>
        <w:rPr>
          <w:rFonts w:ascii="Arial" w:hAnsi="Arial"/>
          <w:color w:val="B15651"/>
          <w:w w:val="115"/>
        </w:rPr>
        <w:t>cutoffs</w:t>
      </w:r>
      <w:r>
        <w:rPr>
          <w:rFonts w:ascii="Arial" w:hAnsi="Arial"/>
          <w:color w:val="B15651"/>
          <w:spacing w:val="-44"/>
          <w:w w:val="115"/>
        </w:rPr>
        <w:t> </w:t>
      </w:r>
      <w:r>
        <w:rPr>
          <w:rFonts w:ascii="Arial" w:hAnsi="Arial"/>
          <w:color w:val="B15651"/>
          <w:w w:val="115"/>
        </w:rPr>
        <w:t>deﬁne</w:t>
      </w:r>
      <w:r>
        <w:rPr>
          <w:rFonts w:ascii="Arial" w:hAnsi="Arial"/>
          <w:color w:val="B15651"/>
          <w:spacing w:val="-43"/>
          <w:w w:val="115"/>
        </w:rPr>
        <w:t> </w:t>
      </w:r>
      <w:r>
        <w:rPr>
          <w:rFonts w:ascii="Arial" w:hAnsi="Arial"/>
          <w:color w:val="B15651"/>
          <w:w w:val="115"/>
        </w:rPr>
        <w:t>prolonged</w:t>
      </w:r>
      <w:r>
        <w:rPr>
          <w:rFonts w:ascii="Arial" w:hAnsi="Arial"/>
          <w:color w:val="B15651"/>
          <w:spacing w:val="-43"/>
          <w:w w:val="115"/>
        </w:rPr>
        <w:t> </w:t>
      </w:r>
      <w:r>
        <w:rPr>
          <w:rFonts w:ascii="Arial" w:hAnsi="Arial"/>
          <w:color w:val="B15651"/>
          <w:spacing w:val="-6"/>
          <w:w w:val="115"/>
        </w:rPr>
        <w:t>QTc</w:t>
      </w:r>
      <w:r>
        <w:rPr>
          <w:rFonts w:ascii="Arial" w:hAnsi="Arial"/>
          <w:color w:val="B15651"/>
          <w:spacing w:val="-44"/>
          <w:w w:val="115"/>
        </w:rPr>
        <w:t> </w:t>
      </w:r>
      <w:r>
        <w:rPr>
          <w:rFonts w:ascii="Arial" w:hAnsi="Arial"/>
          <w:color w:val="B15651"/>
          <w:w w:val="115"/>
        </w:rPr>
        <w:t>interval,</w:t>
      </w:r>
    </w:p>
    <w:p>
      <w:pPr>
        <w:spacing w:line="302" w:lineRule="auto" w:before="0"/>
        <w:ind w:left="437" w:right="28" w:firstLine="0"/>
        <w:jc w:val="left"/>
        <w:rPr>
          <w:rFonts w:ascii="Arial"/>
          <w:b/>
          <w:sz w:val="22"/>
        </w:rPr>
      </w:pPr>
      <w:r>
        <w:rPr>
          <w:rFonts w:ascii="Arial"/>
          <w:b/>
          <w:color w:val="B15651"/>
          <w:w w:val="110"/>
          <w:sz w:val="22"/>
        </w:rPr>
        <w:t>including greater than 450</w:t>
      </w:r>
      <w:r>
        <w:rPr>
          <w:rFonts w:ascii="Arial"/>
          <w:b/>
          <w:color w:val="B15651"/>
          <w:spacing w:val="-31"/>
          <w:w w:val="110"/>
          <w:sz w:val="22"/>
        </w:rPr>
        <w:t> </w:t>
      </w:r>
      <w:r>
        <w:rPr>
          <w:rFonts w:ascii="Arial"/>
          <w:b/>
          <w:color w:val="B15651"/>
          <w:w w:val="110"/>
          <w:sz w:val="22"/>
        </w:rPr>
        <w:t>milliseconds for men, greater than 460 to </w:t>
      </w:r>
      <w:r>
        <w:rPr>
          <w:rFonts w:ascii="Arial"/>
          <w:b/>
          <w:color w:val="B15651"/>
          <w:spacing w:val="-5"/>
          <w:w w:val="110"/>
          <w:sz w:val="22"/>
        </w:rPr>
        <w:t>470 </w:t>
      </w:r>
      <w:r>
        <w:rPr>
          <w:rFonts w:ascii="Arial"/>
          <w:b/>
          <w:color w:val="B15651"/>
          <w:w w:val="110"/>
          <w:sz w:val="22"/>
        </w:rPr>
        <w:t>milliseconds</w:t>
      </w:r>
      <w:r>
        <w:rPr>
          <w:rFonts w:ascii="Arial"/>
          <w:b/>
          <w:color w:val="B15651"/>
          <w:spacing w:val="-13"/>
          <w:w w:val="110"/>
          <w:sz w:val="22"/>
        </w:rPr>
        <w:t> </w:t>
      </w:r>
      <w:r>
        <w:rPr>
          <w:rFonts w:ascii="Arial"/>
          <w:b/>
          <w:color w:val="B15651"/>
          <w:w w:val="110"/>
          <w:sz w:val="22"/>
        </w:rPr>
        <w:t>for</w:t>
      </w:r>
      <w:r>
        <w:rPr>
          <w:rFonts w:ascii="Arial"/>
          <w:b/>
          <w:color w:val="B15651"/>
          <w:spacing w:val="-12"/>
          <w:w w:val="110"/>
          <w:sz w:val="22"/>
        </w:rPr>
        <w:t> </w:t>
      </w:r>
      <w:r>
        <w:rPr>
          <w:rFonts w:ascii="Arial"/>
          <w:b/>
          <w:color w:val="B15651"/>
          <w:w w:val="110"/>
          <w:sz w:val="22"/>
        </w:rPr>
        <w:t>women,</w:t>
      </w:r>
      <w:r>
        <w:rPr>
          <w:rFonts w:ascii="Arial"/>
          <w:b/>
          <w:color w:val="B15651"/>
          <w:spacing w:val="-13"/>
          <w:w w:val="110"/>
          <w:sz w:val="22"/>
        </w:rPr>
        <w:t> </w:t>
      </w:r>
      <w:r>
        <w:rPr>
          <w:rFonts w:ascii="Arial"/>
          <w:b/>
          <w:color w:val="B15651"/>
          <w:w w:val="110"/>
          <w:sz w:val="22"/>
        </w:rPr>
        <w:t>or</w:t>
      </w:r>
      <w:r>
        <w:rPr>
          <w:rFonts w:ascii="Arial"/>
          <w:b/>
          <w:color w:val="B15651"/>
          <w:spacing w:val="-12"/>
          <w:w w:val="110"/>
          <w:sz w:val="22"/>
        </w:rPr>
        <w:t> </w:t>
      </w:r>
      <w:r>
        <w:rPr>
          <w:rFonts w:ascii="Arial"/>
          <w:b/>
          <w:color w:val="B15651"/>
          <w:w w:val="110"/>
          <w:sz w:val="22"/>
        </w:rPr>
        <w:t>greater</w:t>
      </w:r>
      <w:r>
        <w:rPr>
          <w:rFonts w:ascii="Arial"/>
          <w:b/>
          <w:color w:val="B15651"/>
          <w:spacing w:val="-13"/>
          <w:w w:val="110"/>
          <w:sz w:val="22"/>
        </w:rPr>
        <w:t> </w:t>
      </w:r>
      <w:r>
        <w:rPr>
          <w:rFonts w:ascii="Arial"/>
          <w:b/>
          <w:color w:val="B15651"/>
          <w:w w:val="110"/>
          <w:sz w:val="22"/>
        </w:rPr>
        <w:t>than 450 milliseconds for either gender.</w:t>
      </w:r>
      <w:r>
        <w:rPr>
          <w:rFonts w:ascii="Arial"/>
          <w:b/>
          <w:color w:val="B15651"/>
          <w:w w:val="110"/>
          <w:position w:val="7"/>
          <w:sz w:val="13"/>
        </w:rPr>
        <w:t>102 </w:t>
      </w:r>
      <w:r>
        <w:rPr>
          <w:rFonts w:ascii="Arial"/>
          <w:b/>
          <w:color w:val="B15651"/>
          <w:spacing w:val="-3"/>
          <w:w w:val="110"/>
          <w:sz w:val="22"/>
        </w:rPr>
        <w:t>However, </w:t>
      </w:r>
      <w:r>
        <w:rPr>
          <w:rFonts w:ascii="Arial"/>
          <w:b/>
          <w:color w:val="B15651"/>
          <w:w w:val="110"/>
          <w:sz w:val="22"/>
        </w:rPr>
        <w:t>the faster the heart rate, the shorter the </w:t>
      </w:r>
      <w:r>
        <w:rPr>
          <w:rFonts w:ascii="Arial"/>
          <w:b/>
          <w:color w:val="B15651"/>
          <w:spacing w:val="-6"/>
          <w:w w:val="110"/>
          <w:sz w:val="22"/>
        </w:rPr>
        <w:t>QTc </w:t>
      </w:r>
      <w:r>
        <w:rPr>
          <w:rFonts w:ascii="Arial"/>
          <w:b/>
          <w:color w:val="B15651"/>
          <w:w w:val="110"/>
          <w:sz w:val="22"/>
        </w:rPr>
        <w:t>interval. Hence, correct the </w:t>
      </w:r>
      <w:r>
        <w:rPr>
          <w:rFonts w:ascii="Arial"/>
          <w:b/>
          <w:color w:val="B15651"/>
          <w:spacing w:val="-6"/>
          <w:w w:val="110"/>
          <w:sz w:val="22"/>
        </w:rPr>
        <w:t>QTc </w:t>
      </w:r>
      <w:r>
        <w:rPr>
          <w:rFonts w:ascii="Arial"/>
          <w:b/>
          <w:color w:val="B15651"/>
          <w:w w:val="110"/>
          <w:sz w:val="22"/>
        </w:rPr>
        <w:t>interval for heart rate; divide the </w:t>
      </w:r>
      <w:r>
        <w:rPr>
          <w:rFonts w:ascii="Arial"/>
          <w:b/>
          <w:color w:val="B15651"/>
          <w:spacing w:val="-6"/>
          <w:w w:val="110"/>
          <w:sz w:val="22"/>
        </w:rPr>
        <w:t>QTc </w:t>
      </w:r>
      <w:r>
        <w:rPr>
          <w:rFonts w:ascii="Arial"/>
          <w:b/>
          <w:color w:val="B15651"/>
          <w:w w:val="110"/>
          <w:sz w:val="22"/>
        </w:rPr>
        <w:t>interval in milliseconds</w:t>
      </w:r>
      <w:r>
        <w:rPr>
          <w:rFonts w:ascii="Arial"/>
          <w:b/>
          <w:color w:val="B15651"/>
          <w:spacing w:val="-51"/>
          <w:w w:val="110"/>
          <w:sz w:val="22"/>
        </w:rPr>
        <w:t> </w:t>
      </w:r>
      <w:r>
        <w:rPr>
          <w:rFonts w:ascii="Arial"/>
          <w:b/>
          <w:color w:val="B15651"/>
          <w:w w:val="110"/>
          <w:sz w:val="22"/>
        </w:rPr>
        <w:t>by</w:t>
      </w:r>
    </w:p>
    <w:p>
      <w:pPr>
        <w:pStyle w:val="Heading7"/>
        <w:spacing w:line="304" w:lineRule="auto" w:before="4"/>
        <w:ind w:left="437" w:right="368"/>
        <w:rPr>
          <w:rFonts w:ascii="Arial"/>
          <w:sz w:val="13"/>
        </w:rPr>
      </w:pPr>
      <w:r>
        <w:rPr>
          <w:rFonts w:ascii="Arial"/>
          <w:color w:val="B15651"/>
          <w:w w:val="110"/>
        </w:rPr>
        <w:t>the square root of the R-R interval in seconds.</w:t>
      </w:r>
      <w:r>
        <w:rPr>
          <w:rFonts w:ascii="Arial"/>
          <w:color w:val="B15651"/>
          <w:w w:val="110"/>
          <w:position w:val="7"/>
          <w:sz w:val="13"/>
        </w:rPr>
        <w:t>103</w:t>
      </w:r>
    </w:p>
    <w:p>
      <w:pPr>
        <w:pStyle w:val="BodyText"/>
        <w:spacing w:before="8"/>
        <w:rPr>
          <w:rFonts w:ascii="Arial"/>
          <w:b/>
          <w:sz w:val="25"/>
        </w:rPr>
      </w:pPr>
    </w:p>
    <w:p>
      <w:pPr>
        <w:pStyle w:val="BodyText"/>
        <w:spacing w:line="247" w:lineRule="auto"/>
        <w:ind w:left="140"/>
      </w:pPr>
      <w:r>
        <w:rPr>
          <w:color w:val="4D4D4F"/>
          <w:w w:val="110"/>
        </w:rPr>
        <w:t>not known with certainty. It has been estimated that about 2 percent of patients in methadone treatment have QTc intervals greater than 500 milliseconds.</w:t>
      </w:r>
      <w:r>
        <w:rPr>
          <w:color w:val="4D4D4F"/>
          <w:w w:val="110"/>
          <w:position w:val="7"/>
          <w:sz w:val="13"/>
        </w:rPr>
        <w:t>104 </w:t>
      </w:r>
      <w:r>
        <w:rPr>
          <w:color w:val="4D4D4F"/>
          <w:w w:val="110"/>
        </w:rPr>
        <w:t>According to methadone’s</w:t>
      </w:r>
    </w:p>
    <w:p>
      <w:pPr>
        <w:pStyle w:val="BodyText"/>
        <w:spacing w:line="247" w:lineRule="auto" w:before="5"/>
        <w:ind w:left="140" w:right="215"/>
        <w:rPr>
          <w:sz w:val="13"/>
        </w:rPr>
      </w:pPr>
      <w:r>
        <w:rPr>
          <w:color w:val="4D4D4F"/>
          <w:w w:val="110"/>
        </w:rPr>
        <w:t>FDA label, most Torsades de Pointes cases occur in patients receiving methadone for pain treatment, although some cases have occurred among those in methadone maintenance.</w:t>
      </w:r>
      <w:r>
        <w:rPr>
          <w:color w:val="4D4D4F"/>
          <w:w w:val="110"/>
          <w:position w:val="7"/>
          <w:sz w:val="13"/>
        </w:rPr>
        <w:t>105 </w:t>
      </w:r>
      <w:r>
        <w:rPr>
          <w:color w:val="4D4D4F"/>
          <w:w w:val="110"/>
        </w:rPr>
        <w:t>High methadone doses may be associated with prolonged QTc intervals.</w:t>
      </w:r>
      <w:r>
        <w:rPr>
          <w:color w:val="4D4D4F"/>
          <w:w w:val="110"/>
          <w:position w:val="7"/>
          <w:sz w:val="13"/>
        </w:rPr>
        <w:t>106 </w:t>
      </w:r>
      <w:r>
        <w:rPr>
          <w:color w:val="4D4D4F"/>
          <w:w w:val="110"/>
        </w:rPr>
        <w:t>Other risk factors include:</w:t>
      </w:r>
      <w:r>
        <w:rPr>
          <w:color w:val="4D4D4F"/>
          <w:w w:val="110"/>
          <w:position w:val="7"/>
          <w:sz w:val="13"/>
        </w:rPr>
        <w:t>107</w:t>
      </w:r>
    </w:p>
    <w:p>
      <w:pPr>
        <w:pStyle w:val="ListParagraph"/>
        <w:numPr>
          <w:ilvl w:val="0"/>
          <w:numId w:val="4"/>
        </w:numPr>
        <w:tabs>
          <w:tab w:pos="410" w:val="left" w:leader="none"/>
        </w:tabs>
        <w:spacing w:line="208" w:lineRule="auto" w:before="134" w:after="0"/>
        <w:ind w:left="410" w:right="557" w:hanging="270"/>
        <w:jc w:val="left"/>
        <w:rPr>
          <w:rFonts w:ascii="Arial" w:hAnsi="Arial"/>
          <w:color w:val="137692"/>
          <w:sz w:val="28"/>
        </w:rPr>
      </w:pPr>
      <w:r>
        <w:rPr>
          <w:color w:val="4D4D4F"/>
          <w:w w:val="115"/>
          <w:sz w:val="22"/>
        </w:rPr>
        <w:t>Some medications (e.g.,</w:t>
      </w:r>
      <w:r>
        <w:rPr>
          <w:color w:val="4D4D4F"/>
          <w:spacing w:val="-38"/>
          <w:w w:val="115"/>
          <w:sz w:val="22"/>
        </w:rPr>
        <w:t> </w:t>
      </w:r>
      <w:r>
        <w:rPr>
          <w:color w:val="4D4D4F"/>
          <w:spacing w:val="-3"/>
          <w:w w:val="115"/>
          <w:sz w:val="22"/>
        </w:rPr>
        <w:t>antidepressants, </w:t>
      </w:r>
      <w:r>
        <w:rPr>
          <w:color w:val="4D4D4F"/>
          <w:w w:val="115"/>
          <w:sz w:val="22"/>
        </w:rPr>
        <w:t>antibiotics,</w:t>
      </w:r>
      <w:r>
        <w:rPr>
          <w:color w:val="4D4D4F"/>
          <w:spacing w:val="-10"/>
          <w:w w:val="115"/>
          <w:sz w:val="22"/>
        </w:rPr>
        <w:t> </w:t>
      </w:r>
      <w:r>
        <w:rPr>
          <w:color w:val="4D4D4F"/>
          <w:w w:val="115"/>
          <w:sz w:val="22"/>
        </w:rPr>
        <w:t>antifungals).</w:t>
      </w:r>
    </w:p>
    <w:p>
      <w:pPr>
        <w:pStyle w:val="ListParagraph"/>
        <w:numPr>
          <w:ilvl w:val="0"/>
          <w:numId w:val="4"/>
        </w:numPr>
        <w:tabs>
          <w:tab w:pos="410" w:val="left" w:leader="none"/>
        </w:tabs>
        <w:spacing w:line="315" w:lineRule="exact" w:before="41" w:after="0"/>
        <w:ind w:left="410" w:right="0" w:hanging="270"/>
        <w:jc w:val="left"/>
        <w:rPr>
          <w:rFonts w:ascii="Arial" w:hAnsi="Arial"/>
          <w:color w:val="137692"/>
          <w:sz w:val="28"/>
        </w:rPr>
      </w:pPr>
      <w:r>
        <w:rPr>
          <w:color w:val="4D4D4F"/>
          <w:w w:val="110"/>
          <w:sz w:val="22"/>
        </w:rPr>
        <w:t>Congenital prolonged </w:t>
      </w:r>
      <w:r>
        <w:rPr>
          <w:color w:val="4D4D4F"/>
          <w:spacing w:val="-9"/>
          <w:w w:val="110"/>
          <w:sz w:val="22"/>
        </w:rPr>
        <w:t>QTc</w:t>
      </w:r>
      <w:r>
        <w:rPr>
          <w:color w:val="4D4D4F"/>
          <w:spacing w:val="-14"/>
          <w:w w:val="110"/>
          <w:sz w:val="22"/>
        </w:rPr>
        <w:t> </w:t>
      </w:r>
      <w:r>
        <w:rPr>
          <w:color w:val="4D4D4F"/>
          <w:w w:val="110"/>
          <w:sz w:val="22"/>
        </w:rPr>
        <w:t>interval.</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Hypokalemia.</w:t>
      </w:r>
    </w:p>
    <w:p>
      <w:pPr>
        <w:pStyle w:val="ListParagraph"/>
        <w:numPr>
          <w:ilvl w:val="0"/>
          <w:numId w:val="4"/>
        </w:numPr>
        <w:tabs>
          <w:tab w:pos="410" w:val="left" w:leader="none"/>
        </w:tabs>
        <w:spacing w:line="315" w:lineRule="exact" w:before="0" w:after="0"/>
        <w:ind w:left="410" w:right="0" w:hanging="270"/>
        <w:jc w:val="left"/>
        <w:rPr>
          <w:rFonts w:ascii="Arial" w:hAnsi="Arial"/>
          <w:color w:val="137692"/>
          <w:sz w:val="28"/>
        </w:rPr>
      </w:pPr>
      <w:r>
        <w:rPr>
          <w:color w:val="4D4D4F"/>
          <w:w w:val="115"/>
          <w:sz w:val="22"/>
        </w:rPr>
        <w:t>Bradycardia.</w:t>
      </w:r>
    </w:p>
    <w:p>
      <w:pPr>
        <w:pStyle w:val="BodyText"/>
        <w:spacing w:line="247" w:lineRule="auto" w:before="140"/>
        <w:ind w:left="140" w:right="50"/>
      </w:pPr>
      <w:r>
        <w:rPr>
          <w:color w:val="4D4D4F"/>
          <w:w w:val="110"/>
        </w:rPr>
        <w:t>There is considerable controversy about how best to screen for QTc prolongation without creating barriers to methadone treatment entry.</w:t>
      </w:r>
      <w:r>
        <w:rPr>
          <w:color w:val="4D4D4F"/>
          <w:w w:val="110"/>
          <w:position w:val="7"/>
          <w:sz w:val="13"/>
        </w:rPr>
        <w:t>108 </w:t>
      </w:r>
      <w:r>
        <w:rPr>
          <w:color w:val="4D4D4F"/>
          <w:w w:val="110"/>
        </w:rPr>
        <w:t>Indeed, a Cochrane review of the liter- ature was unable to draw any conclusions about the effectiveness of QTc screening strategies in preventing cardiac morbidity or mortality among methadone patients.</w:t>
      </w:r>
      <w:r>
        <w:rPr>
          <w:color w:val="4D4D4F"/>
          <w:w w:val="110"/>
          <w:position w:val="7"/>
          <w:sz w:val="13"/>
        </w:rPr>
        <w:t>109 </w:t>
      </w:r>
      <w:r>
        <w:rPr>
          <w:color w:val="4D4D4F"/>
          <w:w w:val="110"/>
        </w:rPr>
        <w:t>Notwithstanding the uncertainty about the best approach, OTPs can take steps to identify patients who may be at</w:t>
      </w:r>
    </w:p>
    <w:p>
      <w:pPr>
        <w:spacing w:line="235" w:lineRule="auto" w:before="105"/>
        <w:ind w:left="140" w:right="192" w:firstLine="0"/>
        <w:jc w:val="left"/>
        <w:rPr>
          <w:rFonts w:ascii="Calibri"/>
          <w:b/>
          <w:sz w:val="22"/>
        </w:rPr>
      </w:pPr>
      <w:r>
        <w:rPr/>
        <w:br w:type="column"/>
      </w:r>
      <w:r>
        <w:rPr>
          <w:color w:val="4D4D4F"/>
          <w:w w:val="110"/>
          <w:sz w:val="22"/>
        </w:rPr>
        <w:t>risk for cardiac arrhythmia. </w:t>
      </w:r>
      <w:r>
        <w:rPr>
          <w:rFonts w:ascii="Calibri"/>
          <w:b/>
          <w:color w:val="4D4D4F"/>
          <w:w w:val="110"/>
          <w:sz w:val="22"/>
        </w:rPr>
        <w:t>The TIP expert </w:t>
      </w:r>
      <w:r>
        <w:rPr>
          <w:rFonts w:ascii="Calibri"/>
          <w:b/>
          <w:color w:val="4D4D4F"/>
          <w:spacing w:val="-4"/>
          <w:w w:val="110"/>
          <w:sz w:val="22"/>
        </w:rPr>
        <w:t>panel </w:t>
      </w:r>
      <w:r>
        <w:rPr>
          <w:rFonts w:ascii="Calibri"/>
          <w:b/>
          <w:color w:val="4D4D4F"/>
          <w:w w:val="110"/>
          <w:sz w:val="22"/>
        </w:rPr>
        <w:t>concurs with the recommendations of other expert panels (which included cardiologists) that OTPs develop a cardiac risk management plan,</w:t>
      </w:r>
      <w:r>
        <w:rPr>
          <w:rFonts w:ascii="Calibri"/>
          <w:b/>
          <w:color w:val="4D4D4F"/>
          <w:w w:val="110"/>
          <w:position w:val="7"/>
          <w:sz w:val="13"/>
        </w:rPr>
        <w:t>110,111 </w:t>
      </w:r>
      <w:r>
        <w:rPr>
          <w:color w:val="4D4D4F"/>
          <w:w w:val="110"/>
          <w:sz w:val="22"/>
        </w:rPr>
        <w:t>to the extent possible. </w:t>
      </w:r>
      <w:r>
        <w:rPr>
          <w:rFonts w:ascii="Calibri"/>
          <w:b/>
          <w:color w:val="4D4D4F"/>
          <w:w w:val="110"/>
          <w:sz w:val="22"/>
        </w:rPr>
        <w:t>OTPs </w:t>
      </w:r>
      <w:r>
        <w:rPr>
          <w:rFonts w:ascii="Calibri"/>
          <w:b/>
          <w:color w:val="4D4D4F"/>
          <w:spacing w:val="-2"/>
          <w:w w:val="110"/>
          <w:sz w:val="22"/>
        </w:rPr>
        <w:t>should </w:t>
      </w:r>
      <w:r>
        <w:rPr>
          <w:rFonts w:ascii="Calibri"/>
          <w:b/>
          <w:color w:val="4D4D4F"/>
          <w:w w:val="110"/>
          <w:sz w:val="22"/>
        </w:rPr>
        <w:t>consider the following elements in crafting a </w:t>
      </w:r>
      <w:r>
        <w:rPr>
          <w:rFonts w:ascii="Calibri"/>
          <w:b/>
          <w:color w:val="4D4D4F"/>
          <w:spacing w:val="-3"/>
          <w:w w:val="110"/>
          <w:sz w:val="22"/>
        </w:rPr>
        <w:t>cardiac </w:t>
      </w:r>
      <w:r>
        <w:rPr>
          <w:rFonts w:ascii="Calibri"/>
          <w:b/>
          <w:color w:val="4D4D4F"/>
          <w:w w:val="110"/>
          <w:sz w:val="22"/>
        </w:rPr>
        <w:t>risk management</w:t>
      </w:r>
      <w:r>
        <w:rPr>
          <w:rFonts w:ascii="Calibri"/>
          <w:b/>
          <w:color w:val="4D4D4F"/>
          <w:spacing w:val="22"/>
          <w:w w:val="110"/>
          <w:sz w:val="22"/>
        </w:rPr>
        <w:t> </w:t>
      </w:r>
      <w:r>
        <w:rPr>
          <w:rFonts w:ascii="Calibri"/>
          <w:b/>
          <w:color w:val="4D4D4F"/>
          <w:w w:val="110"/>
          <w:sz w:val="22"/>
        </w:rPr>
        <w:t>plan:</w:t>
      </w:r>
    </w:p>
    <w:p>
      <w:pPr>
        <w:pStyle w:val="Heading7"/>
        <w:numPr>
          <w:ilvl w:val="0"/>
          <w:numId w:val="4"/>
        </w:numPr>
        <w:tabs>
          <w:tab w:pos="410" w:val="left" w:leader="none"/>
        </w:tabs>
        <w:spacing w:line="204" w:lineRule="auto" w:before="137" w:after="0"/>
        <w:ind w:left="409" w:right="271" w:hanging="270"/>
        <w:jc w:val="left"/>
        <w:rPr>
          <w:rFonts w:ascii="Arial" w:hAnsi="Arial"/>
          <w:color w:val="137692"/>
          <w:sz w:val="28"/>
        </w:rPr>
      </w:pPr>
      <w:r>
        <w:rPr>
          <w:color w:val="4D4D4F"/>
          <w:w w:val="110"/>
        </w:rPr>
        <w:t>An intake assessment of risk factors, </w:t>
      </w:r>
      <w:r>
        <w:rPr>
          <w:color w:val="4D4D4F"/>
          <w:spacing w:val="-3"/>
          <w:w w:val="110"/>
        </w:rPr>
        <w:t>which </w:t>
      </w:r>
      <w:r>
        <w:rPr>
          <w:color w:val="4D4D4F"/>
          <w:w w:val="110"/>
        </w:rPr>
        <w:t>can</w:t>
      </w:r>
      <w:r>
        <w:rPr>
          <w:color w:val="4D4D4F"/>
          <w:spacing w:val="10"/>
          <w:w w:val="110"/>
        </w:rPr>
        <w:t> </w:t>
      </w:r>
      <w:r>
        <w:rPr>
          <w:color w:val="4D4D4F"/>
          <w:w w:val="110"/>
        </w:rPr>
        <w:t>include:</w:t>
      </w:r>
    </w:p>
    <w:p>
      <w:pPr>
        <w:pStyle w:val="ListParagraph"/>
        <w:numPr>
          <w:ilvl w:val="0"/>
          <w:numId w:val="13"/>
        </w:numPr>
        <w:tabs>
          <w:tab w:pos="716" w:val="left" w:leader="none"/>
        </w:tabs>
        <w:spacing w:line="247" w:lineRule="auto" w:before="33" w:after="0"/>
        <w:ind w:left="715" w:right="496" w:hanging="270"/>
        <w:jc w:val="left"/>
        <w:rPr>
          <w:sz w:val="22"/>
        </w:rPr>
      </w:pPr>
      <w:r>
        <w:rPr>
          <w:color w:val="4D4D4F"/>
          <w:w w:val="110"/>
          <w:sz w:val="22"/>
        </w:rPr>
        <w:t>Family history of sudden cardiac death, arrhythmia, myocardial infarction, heart failure, prolonged </w:t>
      </w:r>
      <w:r>
        <w:rPr>
          <w:color w:val="4D4D4F"/>
          <w:spacing w:val="-9"/>
          <w:w w:val="110"/>
          <w:sz w:val="22"/>
        </w:rPr>
        <w:t>QTc </w:t>
      </w:r>
      <w:r>
        <w:rPr>
          <w:color w:val="4D4D4F"/>
          <w:w w:val="110"/>
          <w:sz w:val="22"/>
        </w:rPr>
        <w:t>interval, or</w:t>
      </w:r>
      <w:r>
        <w:rPr>
          <w:color w:val="4D4D4F"/>
          <w:spacing w:val="-27"/>
          <w:w w:val="110"/>
          <w:sz w:val="22"/>
        </w:rPr>
        <w:t> </w:t>
      </w:r>
      <w:r>
        <w:rPr>
          <w:color w:val="4D4D4F"/>
          <w:spacing w:val="-4"/>
          <w:w w:val="110"/>
          <w:sz w:val="22"/>
        </w:rPr>
        <w:t>unex- </w:t>
      </w:r>
      <w:r>
        <w:rPr>
          <w:color w:val="4D4D4F"/>
          <w:w w:val="110"/>
          <w:sz w:val="22"/>
        </w:rPr>
        <w:t>plained</w:t>
      </w:r>
      <w:r>
        <w:rPr>
          <w:color w:val="4D4D4F"/>
          <w:spacing w:val="-5"/>
          <w:w w:val="110"/>
          <w:sz w:val="22"/>
        </w:rPr>
        <w:t> </w:t>
      </w:r>
      <w:r>
        <w:rPr>
          <w:color w:val="4D4D4F"/>
          <w:w w:val="110"/>
          <w:sz w:val="22"/>
        </w:rPr>
        <w:t>syncope.</w:t>
      </w:r>
    </w:p>
    <w:p>
      <w:pPr>
        <w:pStyle w:val="ListParagraph"/>
        <w:numPr>
          <w:ilvl w:val="0"/>
          <w:numId w:val="13"/>
        </w:numPr>
        <w:tabs>
          <w:tab w:pos="716" w:val="left" w:leader="none"/>
        </w:tabs>
        <w:spacing w:line="247" w:lineRule="auto" w:before="27" w:after="0"/>
        <w:ind w:left="715" w:right="166" w:hanging="270"/>
        <w:jc w:val="left"/>
        <w:rPr>
          <w:sz w:val="22"/>
        </w:rPr>
      </w:pPr>
      <w:r>
        <w:rPr>
          <w:color w:val="4D4D4F"/>
          <w:w w:val="110"/>
          <w:sz w:val="22"/>
        </w:rPr>
        <w:t>Patient history of arrhythmia, myocardial infarction, heart failure, prolonged </w:t>
      </w:r>
      <w:r>
        <w:rPr>
          <w:color w:val="4D4D4F"/>
          <w:spacing w:val="-9"/>
          <w:w w:val="110"/>
          <w:sz w:val="22"/>
        </w:rPr>
        <w:t>QTc </w:t>
      </w:r>
      <w:r>
        <w:rPr>
          <w:color w:val="4D4D4F"/>
          <w:w w:val="110"/>
          <w:sz w:val="22"/>
        </w:rPr>
        <w:t>interval, unexplained syncope, </w:t>
      </w:r>
      <w:r>
        <w:rPr>
          <w:color w:val="4D4D4F"/>
          <w:spacing w:val="-2"/>
          <w:w w:val="110"/>
          <w:sz w:val="22"/>
        </w:rPr>
        <w:t>palpitations, </w:t>
      </w:r>
      <w:r>
        <w:rPr>
          <w:color w:val="4D4D4F"/>
          <w:w w:val="110"/>
          <w:sz w:val="22"/>
        </w:rPr>
        <w:t>or</w:t>
      </w:r>
      <w:r>
        <w:rPr>
          <w:color w:val="4D4D4F"/>
          <w:spacing w:val="-7"/>
          <w:w w:val="110"/>
          <w:sz w:val="22"/>
        </w:rPr>
        <w:t> </w:t>
      </w:r>
      <w:r>
        <w:rPr>
          <w:color w:val="4D4D4F"/>
          <w:w w:val="110"/>
          <w:sz w:val="22"/>
        </w:rPr>
        <w:t>seizures.</w:t>
      </w:r>
    </w:p>
    <w:p>
      <w:pPr>
        <w:pStyle w:val="ListParagraph"/>
        <w:numPr>
          <w:ilvl w:val="0"/>
          <w:numId w:val="13"/>
        </w:numPr>
        <w:tabs>
          <w:tab w:pos="716" w:val="left" w:leader="none"/>
        </w:tabs>
        <w:spacing w:line="247" w:lineRule="auto" w:before="26" w:after="0"/>
        <w:ind w:left="715" w:right="247" w:hanging="270"/>
        <w:jc w:val="left"/>
        <w:rPr>
          <w:sz w:val="22"/>
        </w:rPr>
      </w:pPr>
      <w:r>
        <w:rPr>
          <w:color w:val="4D4D4F"/>
          <w:w w:val="115"/>
          <w:sz w:val="22"/>
        </w:rPr>
        <w:t>Current use of medications that may increase</w:t>
      </w:r>
      <w:r>
        <w:rPr>
          <w:color w:val="4D4D4F"/>
          <w:spacing w:val="-31"/>
          <w:w w:val="115"/>
          <w:sz w:val="22"/>
        </w:rPr>
        <w:t> </w:t>
      </w:r>
      <w:r>
        <w:rPr>
          <w:color w:val="4D4D4F"/>
          <w:spacing w:val="-9"/>
          <w:w w:val="115"/>
          <w:sz w:val="22"/>
        </w:rPr>
        <w:t>QTc</w:t>
      </w:r>
      <w:r>
        <w:rPr>
          <w:color w:val="4D4D4F"/>
          <w:spacing w:val="-31"/>
          <w:w w:val="115"/>
          <w:sz w:val="22"/>
        </w:rPr>
        <w:t> </w:t>
      </w:r>
      <w:r>
        <w:rPr>
          <w:color w:val="4D4D4F"/>
          <w:w w:val="115"/>
          <w:sz w:val="22"/>
        </w:rPr>
        <w:t>interval</w:t>
      </w:r>
      <w:r>
        <w:rPr>
          <w:color w:val="4D4D4F"/>
          <w:spacing w:val="-31"/>
          <w:w w:val="115"/>
          <w:sz w:val="22"/>
        </w:rPr>
        <w:t> </w:t>
      </w:r>
      <w:r>
        <w:rPr>
          <w:color w:val="4D4D4F"/>
          <w:w w:val="115"/>
          <w:sz w:val="22"/>
        </w:rPr>
        <w:t>(for</w:t>
      </w:r>
      <w:r>
        <w:rPr>
          <w:color w:val="4D4D4F"/>
          <w:spacing w:val="-31"/>
          <w:w w:val="115"/>
          <w:sz w:val="22"/>
        </w:rPr>
        <w:t> </w:t>
      </w:r>
      <w:r>
        <w:rPr>
          <w:color w:val="4D4D4F"/>
          <w:w w:val="115"/>
          <w:sz w:val="22"/>
        </w:rPr>
        <w:t>a</w:t>
      </w:r>
      <w:r>
        <w:rPr>
          <w:color w:val="4D4D4F"/>
          <w:spacing w:val="-30"/>
          <w:w w:val="115"/>
          <w:sz w:val="22"/>
        </w:rPr>
        <w:t> </w:t>
      </w:r>
      <w:r>
        <w:rPr>
          <w:color w:val="4D4D4F"/>
          <w:w w:val="115"/>
          <w:sz w:val="22"/>
        </w:rPr>
        <w:t>complete</w:t>
      </w:r>
      <w:r>
        <w:rPr>
          <w:color w:val="4D4D4F"/>
          <w:spacing w:val="-31"/>
          <w:w w:val="115"/>
          <w:sz w:val="22"/>
        </w:rPr>
        <w:t> </w:t>
      </w:r>
      <w:r>
        <w:rPr>
          <w:color w:val="4D4D4F"/>
          <w:w w:val="115"/>
          <w:sz w:val="22"/>
        </w:rPr>
        <w:t>list, see</w:t>
      </w:r>
      <w:r>
        <w:rPr>
          <w:color w:val="205E9F"/>
          <w:w w:val="115"/>
          <w:sz w:val="22"/>
        </w:rPr>
        <w:t> </w:t>
      </w:r>
      <w:r>
        <w:rPr>
          <w:color w:val="205E9F"/>
          <w:w w:val="115"/>
          <w:sz w:val="22"/>
          <w:u w:val="single" w:color="205E9F"/>
        </w:rPr>
        <w:t>https://crediblemeds.org/pdftemp/ pdf/CombinedList.pdf;</w:t>
      </w:r>
      <w:r>
        <w:rPr>
          <w:color w:val="205E9F"/>
          <w:spacing w:val="-34"/>
          <w:w w:val="115"/>
          <w:sz w:val="22"/>
        </w:rPr>
        <w:t> </w:t>
      </w:r>
      <w:r>
        <w:rPr>
          <w:color w:val="4D4D4F"/>
          <w:w w:val="115"/>
          <w:sz w:val="22"/>
        </w:rPr>
        <w:t>register</w:t>
      </w:r>
      <w:r>
        <w:rPr>
          <w:color w:val="4D4D4F"/>
          <w:spacing w:val="-33"/>
          <w:w w:val="115"/>
          <w:sz w:val="22"/>
        </w:rPr>
        <w:t> </w:t>
      </w:r>
      <w:r>
        <w:rPr>
          <w:color w:val="4D4D4F"/>
          <w:w w:val="115"/>
          <w:sz w:val="22"/>
        </w:rPr>
        <w:t>for</w:t>
      </w:r>
      <w:r>
        <w:rPr>
          <w:color w:val="4D4D4F"/>
          <w:spacing w:val="-33"/>
          <w:w w:val="115"/>
          <w:sz w:val="22"/>
        </w:rPr>
        <w:t> </w:t>
      </w:r>
      <w:r>
        <w:rPr>
          <w:color w:val="4D4D4F"/>
          <w:w w:val="115"/>
          <w:sz w:val="22"/>
        </w:rPr>
        <w:t>free</w:t>
      </w:r>
      <w:r>
        <w:rPr>
          <w:color w:val="4D4D4F"/>
          <w:spacing w:val="-33"/>
          <w:w w:val="115"/>
          <w:sz w:val="22"/>
        </w:rPr>
        <w:t> </w:t>
      </w:r>
      <w:r>
        <w:rPr>
          <w:color w:val="4D4D4F"/>
          <w:spacing w:val="-6"/>
          <w:w w:val="115"/>
          <w:sz w:val="22"/>
        </w:rPr>
        <w:t>for </w:t>
      </w:r>
      <w:r>
        <w:rPr>
          <w:color w:val="4D4D4F"/>
          <w:w w:val="115"/>
          <w:sz w:val="22"/>
        </w:rPr>
        <w:t>the most current</w:t>
      </w:r>
      <w:r>
        <w:rPr>
          <w:color w:val="4D4D4F"/>
          <w:spacing w:val="-39"/>
          <w:w w:val="115"/>
          <w:sz w:val="22"/>
        </w:rPr>
        <w:t> </w:t>
      </w:r>
      <w:r>
        <w:rPr>
          <w:color w:val="4D4D4F"/>
          <w:w w:val="115"/>
          <w:sz w:val="22"/>
        </w:rPr>
        <w:t>list).</w:t>
      </w:r>
    </w:p>
    <w:p>
      <w:pPr>
        <w:pStyle w:val="ListParagraph"/>
        <w:numPr>
          <w:ilvl w:val="0"/>
          <w:numId w:val="13"/>
        </w:numPr>
        <w:tabs>
          <w:tab w:pos="716" w:val="left" w:leader="none"/>
        </w:tabs>
        <w:spacing w:line="247" w:lineRule="auto" w:before="28" w:after="0"/>
        <w:ind w:left="715" w:right="165" w:hanging="270"/>
        <w:jc w:val="left"/>
        <w:rPr>
          <w:sz w:val="22"/>
        </w:rPr>
      </w:pPr>
      <w:r>
        <w:rPr>
          <w:color w:val="4D4D4F"/>
          <w:w w:val="110"/>
          <w:sz w:val="22"/>
        </w:rPr>
        <w:t>Patient history of use of cocaine and methamphetamines (which can prolong </w:t>
      </w:r>
      <w:r>
        <w:rPr>
          <w:color w:val="4D4D4F"/>
          <w:spacing w:val="-6"/>
          <w:w w:val="110"/>
          <w:sz w:val="22"/>
        </w:rPr>
        <w:t>the </w:t>
      </w:r>
      <w:r>
        <w:rPr>
          <w:color w:val="4D4D4F"/>
          <w:spacing w:val="-9"/>
          <w:w w:val="110"/>
          <w:sz w:val="22"/>
        </w:rPr>
        <w:t>QTc</w:t>
      </w:r>
      <w:r>
        <w:rPr>
          <w:color w:val="4D4D4F"/>
          <w:spacing w:val="-8"/>
          <w:w w:val="110"/>
          <w:sz w:val="22"/>
        </w:rPr>
        <w:t> </w:t>
      </w:r>
      <w:r>
        <w:rPr>
          <w:color w:val="4D4D4F"/>
          <w:w w:val="110"/>
          <w:sz w:val="22"/>
        </w:rPr>
        <w:t>interval).</w:t>
      </w:r>
    </w:p>
    <w:p>
      <w:pPr>
        <w:pStyle w:val="ListParagraph"/>
        <w:numPr>
          <w:ilvl w:val="0"/>
          <w:numId w:val="13"/>
        </w:numPr>
        <w:tabs>
          <w:tab w:pos="716" w:val="left" w:leader="none"/>
        </w:tabs>
        <w:spacing w:line="247" w:lineRule="auto" w:before="26" w:after="0"/>
        <w:ind w:left="715" w:right="230" w:hanging="270"/>
        <w:jc w:val="left"/>
        <w:rPr>
          <w:sz w:val="22"/>
        </w:rPr>
      </w:pPr>
      <w:r>
        <w:rPr>
          <w:color w:val="4D4D4F"/>
          <w:w w:val="110"/>
          <w:sz w:val="22"/>
        </w:rPr>
        <w:t>Electrolyte assessment (for hypokalemia</w:t>
      </w:r>
      <w:r>
        <w:rPr>
          <w:color w:val="4D4D4F"/>
          <w:spacing w:val="-25"/>
          <w:w w:val="110"/>
          <w:sz w:val="22"/>
        </w:rPr>
        <w:t> </w:t>
      </w:r>
      <w:r>
        <w:rPr>
          <w:color w:val="4D4D4F"/>
          <w:spacing w:val="-8"/>
          <w:w w:val="110"/>
          <w:sz w:val="22"/>
        </w:rPr>
        <w:t>or </w:t>
      </w:r>
      <w:r>
        <w:rPr>
          <w:color w:val="4D4D4F"/>
          <w:w w:val="110"/>
          <w:sz w:val="22"/>
        </w:rPr>
        <w:t>hypomagnesemia).</w:t>
      </w:r>
    </w:p>
    <w:p>
      <w:pPr>
        <w:pStyle w:val="Heading7"/>
        <w:numPr>
          <w:ilvl w:val="0"/>
          <w:numId w:val="4"/>
        </w:numPr>
        <w:tabs>
          <w:tab w:pos="410" w:val="left" w:leader="none"/>
        </w:tabs>
        <w:spacing w:line="204" w:lineRule="auto" w:before="196" w:after="0"/>
        <w:ind w:left="409" w:right="314" w:hanging="270"/>
        <w:jc w:val="left"/>
        <w:rPr>
          <w:rFonts w:ascii="Arial" w:hAnsi="Arial"/>
          <w:color w:val="137692"/>
          <w:sz w:val="28"/>
        </w:rPr>
      </w:pPr>
      <w:r>
        <w:rPr>
          <w:color w:val="4D4D4F"/>
          <w:w w:val="115"/>
        </w:rPr>
        <w:t>A</w:t>
      </w:r>
      <w:r>
        <w:rPr>
          <w:color w:val="4D4D4F"/>
          <w:spacing w:val="-13"/>
          <w:w w:val="115"/>
        </w:rPr>
        <w:t> </w:t>
      </w:r>
      <w:r>
        <w:rPr>
          <w:color w:val="4D4D4F"/>
          <w:w w:val="115"/>
        </w:rPr>
        <w:t>risk</w:t>
      </w:r>
      <w:r>
        <w:rPr>
          <w:color w:val="4D4D4F"/>
          <w:spacing w:val="-13"/>
          <w:w w:val="115"/>
        </w:rPr>
        <w:t> </w:t>
      </w:r>
      <w:r>
        <w:rPr>
          <w:color w:val="4D4D4F"/>
          <w:w w:val="115"/>
        </w:rPr>
        <w:t>stratiﬁcation</w:t>
      </w:r>
      <w:r>
        <w:rPr>
          <w:color w:val="4D4D4F"/>
          <w:spacing w:val="-13"/>
          <w:w w:val="115"/>
        </w:rPr>
        <w:t> </w:t>
      </w:r>
      <w:r>
        <w:rPr>
          <w:color w:val="4D4D4F"/>
          <w:w w:val="115"/>
        </w:rPr>
        <w:t>plan,</w:t>
      </w:r>
      <w:r>
        <w:rPr>
          <w:color w:val="4D4D4F"/>
          <w:spacing w:val="-13"/>
          <w:w w:val="115"/>
        </w:rPr>
        <w:t> </w:t>
      </w:r>
      <w:r>
        <w:rPr>
          <w:color w:val="4D4D4F"/>
          <w:w w:val="115"/>
        </w:rPr>
        <w:t>which</w:t>
      </w:r>
      <w:r>
        <w:rPr>
          <w:color w:val="4D4D4F"/>
          <w:spacing w:val="-12"/>
          <w:w w:val="115"/>
        </w:rPr>
        <w:t> </w:t>
      </w:r>
      <w:r>
        <w:rPr>
          <w:color w:val="4D4D4F"/>
          <w:w w:val="115"/>
        </w:rPr>
        <w:t>can</w:t>
      </w:r>
      <w:r>
        <w:rPr>
          <w:color w:val="4D4D4F"/>
          <w:spacing w:val="-13"/>
          <w:w w:val="115"/>
        </w:rPr>
        <w:t> </w:t>
      </w:r>
      <w:r>
        <w:rPr>
          <w:color w:val="4D4D4F"/>
          <w:w w:val="115"/>
        </w:rPr>
        <w:t>include the</w:t>
      </w:r>
      <w:r>
        <w:rPr>
          <w:color w:val="4D4D4F"/>
          <w:spacing w:val="6"/>
          <w:w w:val="115"/>
        </w:rPr>
        <w:t> </w:t>
      </w:r>
      <w:r>
        <w:rPr>
          <w:color w:val="4D4D4F"/>
          <w:w w:val="115"/>
        </w:rPr>
        <w:t>following:</w:t>
      </w:r>
    </w:p>
    <w:p>
      <w:pPr>
        <w:pStyle w:val="ListParagraph"/>
        <w:numPr>
          <w:ilvl w:val="0"/>
          <w:numId w:val="14"/>
        </w:numPr>
        <w:tabs>
          <w:tab w:pos="716" w:val="left" w:leader="none"/>
        </w:tabs>
        <w:spacing w:line="242" w:lineRule="auto" w:before="34" w:after="0"/>
        <w:ind w:left="715" w:right="390" w:hanging="270"/>
        <w:jc w:val="left"/>
        <w:rPr>
          <w:sz w:val="22"/>
        </w:rPr>
      </w:pPr>
      <w:r>
        <w:rPr>
          <w:rFonts w:ascii="Calibri" w:hAnsi="Calibri"/>
          <w:b/>
          <w:color w:val="4D4D4F"/>
          <w:w w:val="115"/>
          <w:sz w:val="22"/>
        </w:rPr>
        <w:t>Conduct an ECG for patients with sig- niﬁcant</w:t>
      </w:r>
      <w:r>
        <w:rPr>
          <w:rFonts w:ascii="Calibri" w:hAnsi="Calibri"/>
          <w:b/>
          <w:color w:val="4D4D4F"/>
          <w:spacing w:val="-6"/>
          <w:w w:val="115"/>
          <w:sz w:val="22"/>
        </w:rPr>
        <w:t> </w:t>
      </w:r>
      <w:r>
        <w:rPr>
          <w:rFonts w:ascii="Calibri" w:hAnsi="Calibri"/>
          <w:b/>
          <w:color w:val="4D4D4F"/>
          <w:w w:val="115"/>
          <w:sz w:val="22"/>
        </w:rPr>
        <w:t>risk</w:t>
      </w:r>
      <w:r>
        <w:rPr>
          <w:rFonts w:ascii="Calibri" w:hAnsi="Calibri"/>
          <w:b/>
          <w:color w:val="4D4D4F"/>
          <w:spacing w:val="-5"/>
          <w:w w:val="115"/>
          <w:sz w:val="22"/>
        </w:rPr>
        <w:t> </w:t>
      </w:r>
      <w:r>
        <w:rPr>
          <w:rFonts w:ascii="Calibri" w:hAnsi="Calibri"/>
          <w:b/>
          <w:color w:val="4D4D4F"/>
          <w:w w:val="115"/>
          <w:sz w:val="22"/>
        </w:rPr>
        <w:t>factors</w:t>
      </w:r>
      <w:r>
        <w:rPr>
          <w:rFonts w:ascii="Calibri" w:hAnsi="Calibri"/>
          <w:b/>
          <w:color w:val="4D4D4F"/>
          <w:spacing w:val="-9"/>
          <w:w w:val="115"/>
          <w:sz w:val="22"/>
        </w:rPr>
        <w:t> </w:t>
      </w:r>
      <w:r>
        <w:rPr>
          <w:color w:val="4D4D4F"/>
          <w:w w:val="115"/>
          <w:sz w:val="22"/>
        </w:rPr>
        <w:t>at</w:t>
      </w:r>
      <w:r>
        <w:rPr>
          <w:color w:val="4D4D4F"/>
          <w:spacing w:val="-22"/>
          <w:w w:val="115"/>
          <w:sz w:val="22"/>
        </w:rPr>
        <w:t> </w:t>
      </w:r>
      <w:r>
        <w:rPr>
          <w:color w:val="4D4D4F"/>
          <w:w w:val="115"/>
          <w:sz w:val="22"/>
        </w:rPr>
        <w:t>admission;</w:t>
      </w:r>
      <w:r>
        <w:rPr>
          <w:color w:val="4D4D4F"/>
          <w:spacing w:val="-21"/>
          <w:w w:val="115"/>
          <w:sz w:val="22"/>
        </w:rPr>
        <w:t> </w:t>
      </w:r>
      <w:r>
        <w:rPr>
          <w:color w:val="4D4D4F"/>
          <w:spacing w:val="-3"/>
          <w:w w:val="115"/>
          <w:sz w:val="22"/>
        </w:rPr>
        <w:t>repeat </w:t>
      </w:r>
      <w:r>
        <w:rPr>
          <w:color w:val="4D4D4F"/>
          <w:w w:val="115"/>
          <w:sz w:val="22"/>
        </w:rPr>
        <w:t>within</w:t>
      </w:r>
      <w:r>
        <w:rPr>
          <w:color w:val="4D4D4F"/>
          <w:spacing w:val="-18"/>
          <w:w w:val="115"/>
          <w:sz w:val="22"/>
        </w:rPr>
        <w:t> </w:t>
      </w:r>
      <w:r>
        <w:rPr>
          <w:color w:val="4D4D4F"/>
          <w:w w:val="115"/>
          <w:sz w:val="22"/>
        </w:rPr>
        <w:t>30</w:t>
      </w:r>
      <w:r>
        <w:rPr>
          <w:color w:val="4D4D4F"/>
          <w:spacing w:val="-17"/>
          <w:w w:val="115"/>
          <w:sz w:val="22"/>
        </w:rPr>
        <w:t> </w:t>
      </w:r>
      <w:r>
        <w:rPr>
          <w:color w:val="4D4D4F"/>
          <w:w w:val="115"/>
          <w:sz w:val="22"/>
        </w:rPr>
        <w:t>days.</w:t>
      </w:r>
      <w:r>
        <w:rPr>
          <w:color w:val="4D4D4F"/>
          <w:spacing w:val="-17"/>
          <w:w w:val="115"/>
          <w:sz w:val="22"/>
        </w:rPr>
        <w:t> </w:t>
      </w:r>
      <w:r>
        <w:rPr>
          <w:color w:val="4D4D4F"/>
          <w:w w:val="115"/>
          <w:sz w:val="22"/>
        </w:rPr>
        <w:t>Repeat</w:t>
      </w:r>
      <w:r>
        <w:rPr>
          <w:color w:val="4D4D4F"/>
          <w:spacing w:val="-17"/>
          <w:w w:val="115"/>
          <w:sz w:val="22"/>
        </w:rPr>
        <w:t> </w:t>
      </w:r>
      <w:r>
        <w:rPr>
          <w:color w:val="4D4D4F"/>
          <w:w w:val="115"/>
          <w:sz w:val="22"/>
        </w:rPr>
        <w:t>once</w:t>
      </w:r>
      <w:r>
        <w:rPr>
          <w:color w:val="4D4D4F"/>
          <w:spacing w:val="-17"/>
          <w:w w:val="115"/>
          <w:sz w:val="22"/>
        </w:rPr>
        <w:t> </w:t>
      </w:r>
      <w:r>
        <w:rPr>
          <w:color w:val="4D4D4F"/>
          <w:w w:val="115"/>
          <w:sz w:val="22"/>
        </w:rPr>
        <w:t>a</w:t>
      </w:r>
      <w:r>
        <w:rPr>
          <w:color w:val="4D4D4F"/>
          <w:spacing w:val="-17"/>
          <w:w w:val="115"/>
          <w:sz w:val="22"/>
        </w:rPr>
        <w:t> </w:t>
      </w:r>
      <w:r>
        <w:rPr>
          <w:color w:val="4D4D4F"/>
          <w:w w:val="115"/>
          <w:sz w:val="22"/>
        </w:rPr>
        <w:t>year</w:t>
      </w:r>
      <w:r>
        <w:rPr>
          <w:color w:val="4D4D4F"/>
          <w:spacing w:val="-17"/>
          <w:w w:val="115"/>
          <w:sz w:val="22"/>
        </w:rPr>
        <w:t> </w:t>
      </w:r>
      <w:r>
        <w:rPr>
          <w:color w:val="4D4D4F"/>
          <w:w w:val="115"/>
          <w:sz w:val="22"/>
        </w:rPr>
        <w:t>and</w:t>
      </w:r>
      <w:r>
        <w:rPr>
          <w:color w:val="4D4D4F"/>
          <w:spacing w:val="-17"/>
          <w:w w:val="115"/>
          <w:sz w:val="22"/>
        </w:rPr>
        <w:t> </w:t>
      </w:r>
      <w:r>
        <w:rPr>
          <w:color w:val="4D4D4F"/>
          <w:spacing w:val="-7"/>
          <w:w w:val="115"/>
          <w:sz w:val="22"/>
        </w:rPr>
        <w:t>if </w:t>
      </w:r>
      <w:r>
        <w:rPr>
          <w:color w:val="4D4D4F"/>
          <w:w w:val="115"/>
          <w:sz w:val="22"/>
        </w:rPr>
        <w:t>the</w:t>
      </w:r>
      <w:r>
        <w:rPr>
          <w:color w:val="4D4D4F"/>
          <w:spacing w:val="-29"/>
          <w:w w:val="115"/>
          <w:sz w:val="22"/>
        </w:rPr>
        <w:t> </w:t>
      </w:r>
      <w:r>
        <w:rPr>
          <w:color w:val="4D4D4F"/>
          <w:w w:val="115"/>
          <w:sz w:val="22"/>
        </w:rPr>
        <w:t>patient</w:t>
      </w:r>
      <w:r>
        <w:rPr>
          <w:color w:val="4D4D4F"/>
          <w:spacing w:val="-29"/>
          <w:w w:val="115"/>
          <w:sz w:val="22"/>
        </w:rPr>
        <w:t> </w:t>
      </w:r>
      <w:r>
        <w:rPr>
          <w:color w:val="4D4D4F"/>
          <w:w w:val="115"/>
          <w:sz w:val="22"/>
        </w:rPr>
        <w:t>is</w:t>
      </w:r>
      <w:r>
        <w:rPr>
          <w:color w:val="4D4D4F"/>
          <w:spacing w:val="-28"/>
          <w:w w:val="115"/>
          <w:sz w:val="22"/>
        </w:rPr>
        <w:t> </w:t>
      </w:r>
      <w:r>
        <w:rPr>
          <w:color w:val="4D4D4F"/>
          <w:w w:val="115"/>
          <w:sz w:val="22"/>
        </w:rPr>
        <w:t>treated</w:t>
      </w:r>
      <w:r>
        <w:rPr>
          <w:color w:val="4D4D4F"/>
          <w:spacing w:val="-29"/>
          <w:w w:val="115"/>
          <w:sz w:val="22"/>
        </w:rPr>
        <w:t> </w:t>
      </w:r>
      <w:r>
        <w:rPr>
          <w:color w:val="4D4D4F"/>
          <w:w w:val="115"/>
          <w:sz w:val="22"/>
        </w:rPr>
        <w:t>with</w:t>
      </w:r>
      <w:r>
        <w:rPr>
          <w:color w:val="4D4D4F"/>
          <w:spacing w:val="-29"/>
          <w:w w:val="115"/>
          <w:sz w:val="22"/>
        </w:rPr>
        <w:t> </w:t>
      </w:r>
      <w:r>
        <w:rPr>
          <w:color w:val="4D4D4F"/>
          <w:w w:val="115"/>
          <w:sz w:val="22"/>
        </w:rPr>
        <w:t>more</w:t>
      </w:r>
      <w:r>
        <w:rPr>
          <w:color w:val="4D4D4F"/>
          <w:spacing w:val="-28"/>
          <w:w w:val="115"/>
          <w:sz w:val="22"/>
        </w:rPr>
        <w:t> </w:t>
      </w:r>
      <w:r>
        <w:rPr>
          <w:color w:val="4D4D4F"/>
          <w:w w:val="115"/>
          <w:sz w:val="22"/>
        </w:rPr>
        <w:t>than</w:t>
      </w:r>
      <w:r>
        <w:rPr>
          <w:color w:val="4D4D4F"/>
          <w:spacing w:val="-29"/>
          <w:w w:val="115"/>
          <w:sz w:val="22"/>
        </w:rPr>
        <w:t> </w:t>
      </w:r>
      <w:r>
        <w:rPr>
          <w:color w:val="4D4D4F"/>
          <w:spacing w:val="-6"/>
          <w:w w:val="115"/>
          <w:sz w:val="22"/>
        </w:rPr>
        <w:t>120 </w:t>
      </w:r>
      <w:r>
        <w:rPr>
          <w:color w:val="4D4D4F"/>
          <w:w w:val="115"/>
          <w:sz w:val="22"/>
        </w:rPr>
        <w:t>mg of methadone per</w:t>
      </w:r>
      <w:r>
        <w:rPr>
          <w:color w:val="4D4D4F"/>
          <w:spacing w:val="-37"/>
          <w:w w:val="115"/>
          <w:sz w:val="22"/>
        </w:rPr>
        <w:t> </w:t>
      </w:r>
      <w:r>
        <w:rPr>
          <w:color w:val="4D4D4F"/>
          <w:spacing w:val="-5"/>
          <w:w w:val="115"/>
          <w:sz w:val="22"/>
        </w:rPr>
        <w:t>day.</w:t>
      </w:r>
    </w:p>
    <w:p>
      <w:pPr>
        <w:pStyle w:val="ListParagraph"/>
        <w:numPr>
          <w:ilvl w:val="0"/>
          <w:numId w:val="14"/>
        </w:numPr>
        <w:tabs>
          <w:tab w:pos="716" w:val="left" w:leader="none"/>
        </w:tabs>
        <w:spacing w:line="247" w:lineRule="auto" w:before="32" w:after="0"/>
        <w:ind w:left="715" w:right="435" w:hanging="270"/>
        <w:jc w:val="both"/>
        <w:rPr>
          <w:sz w:val="22"/>
        </w:rPr>
      </w:pPr>
      <w:r>
        <w:rPr>
          <w:color w:val="4D4D4F"/>
          <w:w w:val="110"/>
          <w:sz w:val="22"/>
        </w:rPr>
        <w:t>Discuss risks and beneﬁts of methadone with patients with </w:t>
      </w:r>
      <w:r>
        <w:rPr>
          <w:color w:val="4D4D4F"/>
          <w:spacing w:val="-9"/>
          <w:w w:val="110"/>
          <w:sz w:val="22"/>
        </w:rPr>
        <w:t>QTc </w:t>
      </w:r>
      <w:r>
        <w:rPr>
          <w:color w:val="4D4D4F"/>
          <w:w w:val="110"/>
          <w:sz w:val="22"/>
        </w:rPr>
        <w:t>intervals</w:t>
      </w:r>
      <w:r>
        <w:rPr>
          <w:color w:val="4D4D4F"/>
          <w:spacing w:val="-33"/>
          <w:w w:val="110"/>
          <w:sz w:val="22"/>
        </w:rPr>
        <w:t> </w:t>
      </w:r>
      <w:r>
        <w:rPr>
          <w:color w:val="4D4D4F"/>
          <w:spacing w:val="-3"/>
          <w:w w:val="110"/>
          <w:sz w:val="22"/>
        </w:rPr>
        <w:t>between </w:t>
      </w:r>
      <w:r>
        <w:rPr>
          <w:color w:val="4D4D4F"/>
          <w:w w:val="110"/>
          <w:sz w:val="22"/>
        </w:rPr>
        <w:t>450 and 500 milliseconds. Adjust </w:t>
      </w:r>
      <w:r>
        <w:rPr>
          <w:color w:val="4D4D4F"/>
          <w:spacing w:val="-3"/>
          <w:w w:val="110"/>
          <w:sz w:val="22"/>
        </w:rPr>
        <w:t>modiﬁ- </w:t>
      </w:r>
      <w:r>
        <w:rPr>
          <w:color w:val="4D4D4F"/>
          <w:w w:val="110"/>
          <w:sz w:val="22"/>
        </w:rPr>
        <w:t>able</w:t>
      </w:r>
      <w:r>
        <w:rPr>
          <w:color w:val="4D4D4F"/>
          <w:spacing w:val="-9"/>
          <w:w w:val="110"/>
          <w:sz w:val="22"/>
        </w:rPr>
        <w:t> </w:t>
      </w:r>
      <w:r>
        <w:rPr>
          <w:color w:val="4D4D4F"/>
          <w:w w:val="110"/>
          <w:sz w:val="22"/>
        </w:rPr>
        <w:t>risk</w:t>
      </w:r>
      <w:r>
        <w:rPr>
          <w:color w:val="4D4D4F"/>
          <w:spacing w:val="-8"/>
          <w:w w:val="110"/>
          <w:sz w:val="22"/>
        </w:rPr>
        <w:t> </w:t>
      </w:r>
      <w:r>
        <w:rPr>
          <w:color w:val="4D4D4F"/>
          <w:w w:val="110"/>
          <w:sz w:val="22"/>
        </w:rPr>
        <w:t>factors</w:t>
      </w:r>
      <w:r>
        <w:rPr>
          <w:color w:val="4D4D4F"/>
          <w:spacing w:val="-8"/>
          <w:w w:val="110"/>
          <w:sz w:val="22"/>
        </w:rPr>
        <w:t> </w:t>
      </w:r>
      <w:r>
        <w:rPr>
          <w:color w:val="4D4D4F"/>
          <w:w w:val="110"/>
          <w:sz w:val="22"/>
        </w:rPr>
        <w:t>to</w:t>
      </w:r>
      <w:r>
        <w:rPr>
          <w:color w:val="4D4D4F"/>
          <w:spacing w:val="-9"/>
          <w:w w:val="110"/>
          <w:sz w:val="22"/>
        </w:rPr>
        <w:t> </w:t>
      </w:r>
      <w:r>
        <w:rPr>
          <w:color w:val="4D4D4F"/>
          <w:w w:val="110"/>
          <w:sz w:val="22"/>
        </w:rPr>
        <w:t>reduce</w:t>
      </w:r>
      <w:r>
        <w:rPr>
          <w:color w:val="4D4D4F"/>
          <w:spacing w:val="-8"/>
          <w:w w:val="110"/>
          <w:sz w:val="22"/>
        </w:rPr>
        <w:t> </w:t>
      </w:r>
      <w:r>
        <w:rPr>
          <w:color w:val="4D4D4F"/>
          <w:w w:val="110"/>
          <w:sz w:val="22"/>
        </w:rPr>
        <w:t>their</w:t>
      </w:r>
      <w:r>
        <w:rPr>
          <w:color w:val="4D4D4F"/>
          <w:spacing w:val="-8"/>
          <w:w w:val="110"/>
          <w:sz w:val="22"/>
        </w:rPr>
        <w:t> </w:t>
      </w:r>
      <w:r>
        <w:rPr>
          <w:color w:val="4D4D4F"/>
          <w:w w:val="110"/>
          <w:sz w:val="22"/>
        </w:rPr>
        <w:t>risk.</w:t>
      </w:r>
    </w:p>
    <w:p>
      <w:pPr>
        <w:pStyle w:val="ListParagraph"/>
        <w:numPr>
          <w:ilvl w:val="0"/>
          <w:numId w:val="14"/>
        </w:numPr>
        <w:tabs>
          <w:tab w:pos="716" w:val="left" w:leader="none"/>
        </w:tabs>
        <w:spacing w:line="242" w:lineRule="auto" w:before="26" w:after="0"/>
        <w:ind w:left="715" w:right="197" w:hanging="270"/>
        <w:jc w:val="left"/>
        <w:rPr>
          <w:sz w:val="22"/>
        </w:rPr>
      </w:pPr>
      <w:r>
        <w:rPr>
          <w:rFonts w:ascii="Calibri" w:hAnsi="Calibri"/>
          <w:b/>
          <w:color w:val="4D4D4F"/>
          <w:w w:val="110"/>
          <w:sz w:val="22"/>
        </w:rPr>
        <w:t>Do not start methadone treatment for patients with known </w:t>
      </w:r>
      <w:r>
        <w:rPr>
          <w:rFonts w:ascii="Calibri" w:hAnsi="Calibri"/>
          <w:b/>
          <w:color w:val="4D4D4F"/>
          <w:spacing w:val="-9"/>
          <w:w w:val="110"/>
          <w:sz w:val="22"/>
        </w:rPr>
        <w:t>QTc </w:t>
      </w:r>
      <w:r>
        <w:rPr>
          <w:rFonts w:ascii="Calibri" w:hAnsi="Calibri"/>
          <w:b/>
          <w:color w:val="4D4D4F"/>
          <w:w w:val="110"/>
          <w:sz w:val="22"/>
        </w:rPr>
        <w:t>intervals </w:t>
      </w:r>
      <w:r>
        <w:rPr>
          <w:rFonts w:ascii="Calibri" w:hAnsi="Calibri"/>
          <w:b/>
          <w:color w:val="4D4D4F"/>
          <w:spacing w:val="-3"/>
          <w:w w:val="110"/>
          <w:sz w:val="22"/>
        </w:rPr>
        <w:t>above </w:t>
      </w:r>
      <w:r>
        <w:rPr>
          <w:rFonts w:ascii="Calibri" w:hAnsi="Calibri"/>
          <w:b/>
          <w:color w:val="4D4D4F"/>
          <w:w w:val="110"/>
          <w:sz w:val="22"/>
        </w:rPr>
        <w:t>500 milliseconds. </w:t>
      </w:r>
      <w:r>
        <w:rPr>
          <w:color w:val="4D4D4F"/>
          <w:w w:val="110"/>
          <w:sz w:val="22"/>
        </w:rPr>
        <w:t>If such an interval is discovered during treatment, have a risk/ beneﬁt discussion. Strongly consider lowering the methadone dose, changing concurrent medications that prolong</w:t>
      </w:r>
      <w:r>
        <w:rPr>
          <w:color w:val="4D4D4F"/>
          <w:spacing w:val="-17"/>
          <w:w w:val="110"/>
          <w:sz w:val="22"/>
        </w:rPr>
        <w:t> </w:t>
      </w:r>
      <w:r>
        <w:rPr>
          <w:color w:val="4D4D4F"/>
          <w:w w:val="110"/>
          <w:sz w:val="22"/>
        </w:rPr>
        <w:t>the</w:t>
      </w:r>
    </w:p>
    <w:p>
      <w:pPr>
        <w:spacing w:after="0" w:line="242" w:lineRule="auto"/>
        <w:jc w:val="left"/>
        <w:rPr>
          <w:sz w:val="22"/>
        </w:rPr>
        <w:sectPr>
          <w:type w:val="continuous"/>
          <w:pgSz w:w="12240" w:h="15840"/>
          <w:pgMar w:top="540" w:bottom="280" w:left="940" w:right="920"/>
          <w:cols w:num="2" w:equalWidth="0">
            <w:col w:w="5021" w:space="199"/>
            <w:col w:w="5160"/>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716" w:right="48"/>
      </w:pPr>
      <w:r>
        <w:rPr>
          <w:color w:val="4D4D4F"/>
          <w:w w:val="110"/>
        </w:rPr>
        <w:t>QTc interval, eliminating other risk factors, and, if necessary, switching to buprenor- phine. Include follow-up ECG monitoring.</w:t>
      </w:r>
    </w:p>
    <w:p>
      <w:pPr>
        <w:pStyle w:val="ListParagraph"/>
        <w:numPr>
          <w:ilvl w:val="0"/>
          <w:numId w:val="14"/>
        </w:numPr>
        <w:tabs>
          <w:tab w:pos="716" w:val="left" w:leader="none"/>
        </w:tabs>
        <w:spacing w:line="247" w:lineRule="auto" w:before="26" w:after="0"/>
        <w:ind w:left="716" w:right="110" w:hanging="270"/>
        <w:jc w:val="left"/>
        <w:rPr>
          <w:sz w:val="13"/>
        </w:rPr>
      </w:pPr>
      <w:r>
        <w:rPr>
          <w:color w:val="4D4D4F"/>
          <w:w w:val="110"/>
          <w:sz w:val="22"/>
        </w:rPr>
        <w:t>Consider providing routine universal ECG screening if feasible, although there is in- sufﬁcient evidence to formally </w:t>
      </w:r>
      <w:r>
        <w:rPr>
          <w:color w:val="4D4D4F"/>
          <w:spacing w:val="-3"/>
          <w:w w:val="110"/>
          <w:sz w:val="22"/>
        </w:rPr>
        <w:t>recommend </w:t>
      </w:r>
      <w:r>
        <w:rPr>
          <w:color w:val="4D4D4F"/>
          <w:w w:val="110"/>
          <w:sz w:val="22"/>
        </w:rPr>
        <w:t>doing</w:t>
      </w:r>
      <w:r>
        <w:rPr>
          <w:color w:val="4D4D4F"/>
          <w:spacing w:val="-6"/>
          <w:w w:val="110"/>
          <w:sz w:val="22"/>
        </w:rPr>
        <w:t> </w:t>
      </w:r>
      <w:r>
        <w:rPr>
          <w:color w:val="4D4D4F"/>
          <w:w w:val="110"/>
          <w:sz w:val="22"/>
        </w:rPr>
        <w:t>so.</w:t>
      </w:r>
      <w:r>
        <w:rPr>
          <w:color w:val="4D4D4F"/>
          <w:w w:val="110"/>
          <w:position w:val="7"/>
          <w:sz w:val="13"/>
        </w:rPr>
        <w:t>112</w:t>
      </w:r>
    </w:p>
    <w:p>
      <w:pPr>
        <w:spacing w:before="218"/>
        <w:ind w:left="140" w:right="0" w:firstLine="0"/>
        <w:jc w:val="left"/>
        <w:rPr>
          <w:b/>
          <w:i/>
          <w:sz w:val="24"/>
        </w:rPr>
      </w:pPr>
      <w:r>
        <w:rPr>
          <w:b/>
          <w:i/>
          <w:color w:val="137692"/>
          <w:w w:val="105"/>
          <w:sz w:val="24"/>
        </w:rPr>
        <w:t>Accidental ingestion</w:t>
      </w:r>
    </w:p>
    <w:p>
      <w:pPr>
        <w:spacing w:line="242" w:lineRule="auto" w:before="43"/>
        <w:ind w:left="140" w:right="147" w:firstLine="0"/>
        <w:jc w:val="left"/>
        <w:rPr>
          <w:sz w:val="22"/>
        </w:rPr>
      </w:pPr>
      <w:r>
        <w:rPr>
          <w:rFonts w:ascii="Calibri" w:hAnsi="Calibri"/>
          <w:b/>
          <w:color w:val="4D4D4F"/>
          <w:w w:val="115"/>
          <w:sz w:val="22"/>
        </w:rPr>
        <w:t>Inform patients that accidental ingestion can be</w:t>
      </w:r>
      <w:r>
        <w:rPr>
          <w:rFonts w:ascii="Calibri" w:hAnsi="Calibri"/>
          <w:b/>
          <w:color w:val="4D4D4F"/>
          <w:spacing w:val="-15"/>
          <w:w w:val="115"/>
          <w:sz w:val="22"/>
        </w:rPr>
        <w:t> </w:t>
      </w:r>
      <w:r>
        <w:rPr>
          <w:rFonts w:ascii="Calibri" w:hAnsi="Calibri"/>
          <w:b/>
          <w:color w:val="4D4D4F"/>
          <w:w w:val="115"/>
          <w:sz w:val="22"/>
        </w:rPr>
        <w:t>fatal</w:t>
      </w:r>
      <w:r>
        <w:rPr>
          <w:rFonts w:ascii="Calibri" w:hAnsi="Calibri"/>
          <w:b/>
          <w:color w:val="4D4D4F"/>
          <w:spacing w:val="-17"/>
          <w:w w:val="115"/>
          <w:sz w:val="22"/>
        </w:rPr>
        <w:t> </w:t>
      </w:r>
      <w:r>
        <w:rPr>
          <w:color w:val="4D4D4F"/>
          <w:w w:val="115"/>
          <w:sz w:val="22"/>
        </w:rPr>
        <w:t>for</w:t>
      </w:r>
      <w:r>
        <w:rPr>
          <w:color w:val="4D4D4F"/>
          <w:spacing w:val="-30"/>
          <w:w w:val="115"/>
          <w:sz w:val="22"/>
        </w:rPr>
        <w:t> </w:t>
      </w:r>
      <w:r>
        <w:rPr>
          <w:color w:val="4D4D4F"/>
          <w:w w:val="115"/>
          <w:sz w:val="22"/>
        </w:rPr>
        <w:t>opioid-naïve</w:t>
      </w:r>
      <w:r>
        <w:rPr>
          <w:color w:val="4D4D4F"/>
          <w:spacing w:val="-30"/>
          <w:w w:val="115"/>
          <w:sz w:val="22"/>
        </w:rPr>
        <w:t> </w:t>
      </w:r>
      <w:r>
        <w:rPr>
          <w:color w:val="4D4D4F"/>
          <w:w w:val="115"/>
          <w:sz w:val="22"/>
        </w:rPr>
        <w:t>individuals,</w:t>
      </w:r>
      <w:r>
        <w:rPr>
          <w:color w:val="4D4D4F"/>
          <w:spacing w:val="-30"/>
          <w:w w:val="115"/>
          <w:sz w:val="22"/>
        </w:rPr>
        <w:t> </w:t>
      </w:r>
      <w:r>
        <w:rPr>
          <w:color w:val="4D4D4F"/>
          <w:spacing w:val="-2"/>
          <w:w w:val="115"/>
          <w:sz w:val="22"/>
        </w:rPr>
        <w:t>particularly </w:t>
      </w:r>
      <w:r>
        <w:rPr>
          <w:color w:val="4D4D4F"/>
          <w:w w:val="115"/>
          <w:sz w:val="22"/>
        </w:rPr>
        <w:t>children. Patients should safeguard take-home methadone in a lockbox out of the reach of children.</w:t>
      </w:r>
    </w:p>
    <w:p>
      <w:pPr>
        <w:spacing w:line="264" w:lineRule="auto" w:before="224"/>
        <w:ind w:left="140" w:right="565" w:firstLine="0"/>
        <w:jc w:val="left"/>
        <w:rPr>
          <w:sz w:val="22"/>
        </w:rPr>
      </w:pPr>
      <w:r>
        <w:rPr>
          <w:b/>
          <w:i/>
          <w:color w:val="137692"/>
          <w:w w:val="110"/>
          <w:sz w:val="24"/>
        </w:rPr>
        <w:t>Neonatal</w:t>
      </w:r>
      <w:r>
        <w:rPr>
          <w:b/>
          <w:i/>
          <w:color w:val="137692"/>
          <w:spacing w:val="-51"/>
          <w:w w:val="110"/>
          <w:sz w:val="24"/>
        </w:rPr>
        <w:t> </w:t>
      </w:r>
      <w:r>
        <w:rPr>
          <w:b/>
          <w:i/>
          <w:color w:val="137692"/>
          <w:w w:val="110"/>
          <w:sz w:val="24"/>
        </w:rPr>
        <w:t>abstinence syndrome (NAS) </w:t>
      </w:r>
      <w:r>
        <w:rPr>
          <w:color w:val="4D4D4F"/>
          <w:w w:val="110"/>
          <w:sz w:val="22"/>
        </w:rPr>
        <w:t>Ensure awareness among pregnant </w:t>
      </w:r>
      <w:r>
        <w:rPr>
          <w:color w:val="4D4D4F"/>
          <w:spacing w:val="-3"/>
          <w:w w:val="110"/>
          <w:sz w:val="22"/>
        </w:rPr>
        <w:t>patients </w:t>
      </w:r>
      <w:r>
        <w:rPr>
          <w:color w:val="4D4D4F"/>
          <w:w w:val="110"/>
          <w:sz w:val="22"/>
        </w:rPr>
        <w:t>or patients who may become pregnant that</w:t>
      </w:r>
    </w:p>
    <w:p>
      <w:pPr>
        <w:pStyle w:val="BodyText"/>
        <w:spacing w:line="241" w:lineRule="exact"/>
        <w:ind w:left="140"/>
      </w:pPr>
      <w:r>
        <w:rPr>
          <w:color w:val="4D4D4F"/>
          <w:w w:val="110"/>
        </w:rPr>
        <w:t>NAS can occur in newborns of mothers treated</w:t>
      </w:r>
    </w:p>
    <w:p>
      <w:pPr>
        <w:pStyle w:val="BodyText"/>
        <w:spacing w:line="247" w:lineRule="auto" w:before="9"/>
        <w:ind w:left="140" w:right="18"/>
      </w:pPr>
      <w:r>
        <w:rPr>
          <w:color w:val="4D4D4F"/>
          <w:w w:val="110"/>
        </w:rPr>
        <w:t>with methadone. Women receiving methadone treatment while pregnant should talk with their healthcare provider about NAS and how to reduce it. Research has shown that the dose of opioid agonist medication is not reliably related to the severity of NAS.</w:t>
      </w:r>
      <w:r>
        <w:rPr>
          <w:color w:val="4D4D4F"/>
          <w:w w:val="110"/>
          <w:position w:val="7"/>
          <w:sz w:val="13"/>
        </w:rPr>
        <w:t>113,114,115 </w:t>
      </w:r>
      <w:r>
        <w:rPr>
          <w:color w:val="4D4D4F"/>
          <w:w w:val="110"/>
        </w:rPr>
        <w:t>Thus, each woman should receive the dose of medication that best manages her illness.</w:t>
      </w:r>
    </w:p>
    <w:p>
      <w:pPr>
        <w:pStyle w:val="Heading5"/>
        <w:spacing w:before="224"/>
        <w:rPr>
          <w:i/>
        </w:rPr>
      </w:pPr>
      <w:r>
        <w:rPr>
          <w:i/>
          <w:color w:val="137692"/>
          <w:w w:val="105"/>
        </w:rPr>
        <w:t>Misuse and diversion</w:t>
      </w:r>
    </w:p>
    <w:p>
      <w:pPr>
        <w:pStyle w:val="BodyText"/>
        <w:spacing w:line="247" w:lineRule="auto" w:before="47"/>
        <w:ind w:left="140" w:right="428"/>
      </w:pPr>
      <w:r>
        <w:rPr>
          <w:color w:val="4D4D4F"/>
          <w:w w:val="110"/>
        </w:rPr>
        <w:t>Alert patients to the potential for misuse and diversion of methadone.</w:t>
      </w:r>
    </w:p>
    <w:p>
      <w:pPr>
        <w:pStyle w:val="Heading5"/>
        <w:spacing w:before="217"/>
        <w:rPr>
          <w:i/>
        </w:rPr>
      </w:pPr>
      <w:r>
        <w:rPr>
          <w:i/>
          <w:color w:val="137692"/>
          <w:w w:val="105"/>
        </w:rPr>
        <w:t>Physical dependence</w:t>
      </w:r>
    </w:p>
    <w:p>
      <w:pPr>
        <w:pStyle w:val="BodyText"/>
        <w:spacing w:line="247" w:lineRule="auto" w:before="47"/>
        <w:ind w:left="140" w:right="48"/>
      </w:pPr>
      <w:r>
        <w:rPr>
          <w:color w:val="4D4D4F"/>
          <w:w w:val="110"/>
        </w:rPr>
        <w:t>Inform patients that they will develop physical dependence on methadone and will experience opioid withdrawal if they stop taking it.</w:t>
      </w:r>
    </w:p>
    <w:p>
      <w:pPr>
        <w:pStyle w:val="Heading5"/>
        <w:rPr>
          <w:i/>
        </w:rPr>
      </w:pPr>
      <w:r>
        <w:rPr>
          <w:i/>
          <w:color w:val="137692"/>
          <w:w w:val="105"/>
        </w:rPr>
        <w:t>Sedation</w:t>
      </w:r>
    </w:p>
    <w:p>
      <w:pPr>
        <w:spacing w:line="242" w:lineRule="auto" w:before="42"/>
        <w:ind w:left="140" w:right="48" w:firstLine="0"/>
        <w:jc w:val="left"/>
        <w:rPr>
          <w:sz w:val="22"/>
        </w:rPr>
      </w:pPr>
      <w:r>
        <w:rPr>
          <w:rFonts w:ascii="Calibri"/>
          <w:b/>
          <w:color w:val="4D4D4F"/>
          <w:w w:val="110"/>
          <w:sz w:val="22"/>
        </w:rPr>
        <w:t>Caution patients that methadone may affect cognition and psychomotor performance and can have sedating effects. </w:t>
      </w:r>
      <w:r>
        <w:rPr>
          <w:color w:val="4D4D4F"/>
          <w:w w:val="110"/>
          <w:sz w:val="22"/>
        </w:rPr>
        <w:t>Urge patients to be cautious in using heavy machinery and driving until they are sure that their abilities are not compromised.</w:t>
      </w:r>
    </w:p>
    <w:p>
      <w:pPr>
        <w:pStyle w:val="Heading5"/>
        <w:spacing w:before="97"/>
        <w:rPr>
          <w:i/>
        </w:rPr>
      </w:pPr>
      <w:r>
        <w:rPr>
          <w:b w:val="0"/>
          <w:i w:val="0"/>
        </w:rPr>
        <w:br w:type="column"/>
      </w:r>
      <w:r>
        <w:rPr>
          <w:i/>
          <w:color w:val="137692"/>
          <w:w w:val="105"/>
        </w:rPr>
        <w:t>Adrenal insufficiency</w:t>
      </w:r>
    </w:p>
    <w:p>
      <w:pPr>
        <w:pStyle w:val="BodyText"/>
        <w:spacing w:line="247" w:lineRule="auto" w:before="47"/>
        <w:ind w:left="140" w:right="446"/>
        <w:rPr>
          <w:sz w:val="13"/>
        </w:rPr>
      </w:pPr>
      <w:r>
        <w:rPr>
          <w:color w:val="4D4D4F"/>
          <w:w w:val="110"/>
        </w:rPr>
        <w:t>Adrenal insufﬁciency has been reported in patients treated with opioids. Ask patients to alert healthcare providers of nausea, vomiting, loss of appetite, fatigue, weakness, dizziness, or low blood</w:t>
      </w:r>
      <w:r>
        <w:rPr>
          <w:color w:val="4D4D4F"/>
          <w:spacing w:val="-21"/>
          <w:w w:val="110"/>
        </w:rPr>
        <w:t> </w:t>
      </w:r>
      <w:r>
        <w:rPr>
          <w:color w:val="4D4D4F"/>
          <w:w w:val="110"/>
        </w:rPr>
        <w:t>pressure.</w:t>
      </w:r>
      <w:r>
        <w:rPr>
          <w:color w:val="4D4D4F"/>
          <w:w w:val="110"/>
          <w:position w:val="7"/>
          <w:sz w:val="13"/>
        </w:rPr>
        <w:t>116</w:t>
      </w:r>
    </w:p>
    <w:p>
      <w:pPr>
        <w:pStyle w:val="BodyText"/>
        <w:spacing w:before="3"/>
        <w:rPr>
          <w:sz w:val="23"/>
        </w:rPr>
      </w:pPr>
    </w:p>
    <w:p>
      <w:pPr>
        <w:pStyle w:val="Heading3"/>
      </w:pPr>
      <w:bookmarkStart w:name="_TOC_250092" w:id="23"/>
      <w:bookmarkEnd w:id="23"/>
      <w:r>
        <w:rPr>
          <w:color w:val="137692"/>
          <w:w w:val="110"/>
        </w:rPr>
        <w:t>Drug Interactions</w:t>
      </w:r>
    </w:p>
    <w:p>
      <w:pPr>
        <w:spacing w:line="247" w:lineRule="auto" w:before="42"/>
        <w:ind w:left="140" w:right="338" w:firstLine="0"/>
        <w:jc w:val="left"/>
        <w:rPr>
          <w:sz w:val="22"/>
        </w:rPr>
      </w:pPr>
      <w:r>
        <w:rPr>
          <w:rFonts w:ascii="Calibri" w:hAnsi="Calibri"/>
          <w:b/>
          <w:color w:val="4D4D4F"/>
          <w:w w:val="110"/>
          <w:sz w:val="22"/>
        </w:rPr>
        <w:t>Methadone has more clinically signiﬁcant drug–drug interaction than buprenorphine.</w:t>
      </w:r>
      <w:r>
        <w:rPr>
          <w:rFonts w:ascii="Calibri" w:hAnsi="Calibri"/>
          <w:b/>
          <w:color w:val="4D4D4F"/>
          <w:w w:val="110"/>
          <w:position w:val="7"/>
          <w:sz w:val="13"/>
        </w:rPr>
        <w:t>117 </w:t>
      </w:r>
      <w:r>
        <w:rPr>
          <w:color w:val="4D4D4F"/>
          <w:w w:val="110"/>
          <w:sz w:val="22"/>
        </w:rPr>
        <w:t>Carefully monitor each patient’s response to treatment if they are prescribed or stop taking a CYP450 34A inducer or </w:t>
      </w:r>
      <w:r>
        <w:rPr>
          <w:color w:val="4D4D4F"/>
          <w:spacing w:val="-3"/>
          <w:w w:val="110"/>
          <w:sz w:val="22"/>
        </w:rPr>
        <w:t>inhibitor. </w:t>
      </w:r>
      <w:r>
        <w:rPr>
          <w:color w:val="4D4D4F"/>
          <w:w w:val="110"/>
          <w:sz w:val="22"/>
        </w:rPr>
        <w:t>Methadone dosages may need to be adjusted up or down depending on the medication and whether treatment is starting or stopping. Exhibit 3B.2 lists common interactions between methadone and other</w:t>
      </w:r>
      <w:r>
        <w:rPr>
          <w:color w:val="4D4D4F"/>
          <w:spacing w:val="-11"/>
          <w:w w:val="110"/>
          <w:sz w:val="22"/>
        </w:rPr>
        <w:t> </w:t>
      </w:r>
      <w:r>
        <w:rPr>
          <w:color w:val="4D4D4F"/>
          <w:w w:val="110"/>
          <w:sz w:val="22"/>
        </w:rPr>
        <w:t>medications.</w:t>
      </w:r>
    </w:p>
    <w:p>
      <w:pPr>
        <w:spacing w:line="244" w:lineRule="auto" w:before="165"/>
        <w:ind w:left="140" w:right="418" w:firstLine="0"/>
        <w:jc w:val="left"/>
        <w:rPr>
          <w:sz w:val="22"/>
        </w:rPr>
      </w:pPr>
      <w:r>
        <w:rPr>
          <w:rFonts w:ascii="Calibri"/>
          <w:b/>
          <w:color w:val="4D4D4F"/>
          <w:w w:val="110"/>
          <w:sz w:val="22"/>
        </w:rPr>
        <w:t>Medications that induce CYP450 activity can increase methadone metabolism. </w:t>
      </w:r>
      <w:r>
        <w:rPr>
          <w:color w:val="4D4D4F"/>
          <w:w w:val="110"/>
          <w:sz w:val="22"/>
        </w:rPr>
        <w:t>Patients may experience craving or opioid withdrawal symptoms between doses if they begin these medications or become sedated if they </w:t>
      </w:r>
      <w:r>
        <w:rPr>
          <w:color w:val="4D4D4F"/>
          <w:spacing w:val="-3"/>
          <w:w w:val="110"/>
          <w:sz w:val="22"/>
        </w:rPr>
        <w:t>discon- </w:t>
      </w:r>
      <w:r>
        <w:rPr>
          <w:color w:val="4D4D4F"/>
          <w:w w:val="110"/>
          <w:sz w:val="22"/>
        </w:rPr>
        <w:t>tinue</w:t>
      </w:r>
      <w:r>
        <w:rPr>
          <w:color w:val="4D4D4F"/>
          <w:spacing w:val="-6"/>
          <w:w w:val="110"/>
          <w:sz w:val="22"/>
        </w:rPr>
        <w:t> </w:t>
      </w:r>
      <w:r>
        <w:rPr>
          <w:color w:val="4D4D4F"/>
          <w:w w:val="110"/>
          <w:sz w:val="22"/>
        </w:rPr>
        <w:t>them:</w:t>
      </w:r>
    </w:p>
    <w:p>
      <w:pPr>
        <w:pStyle w:val="ListParagraph"/>
        <w:numPr>
          <w:ilvl w:val="0"/>
          <w:numId w:val="4"/>
        </w:numPr>
        <w:tabs>
          <w:tab w:pos="410" w:val="left" w:leader="none"/>
        </w:tabs>
        <w:spacing w:line="315" w:lineRule="exact" w:before="97" w:after="0"/>
        <w:ind w:left="410" w:right="0" w:hanging="270"/>
        <w:jc w:val="left"/>
        <w:rPr>
          <w:rFonts w:ascii="Arial" w:hAnsi="Arial"/>
          <w:color w:val="137692"/>
          <w:sz w:val="28"/>
        </w:rPr>
      </w:pPr>
      <w:r>
        <w:rPr>
          <w:color w:val="4D4D4F"/>
          <w:w w:val="115"/>
          <w:sz w:val="22"/>
        </w:rPr>
        <w:t>Some antibiotics (e.g.,</w:t>
      </w:r>
      <w:r>
        <w:rPr>
          <w:color w:val="4D4D4F"/>
          <w:spacing w:val="-33"/>
          <w:w w:val="115"/>
          <w:sz w:val="22"/>
        </w:rPr>
        <w:t> </w:t>
      </w:r>
      <w:r>
        <w:rPr>
          <w:color w:val="4D4D4F"/>
          <w:w w:val="115"/>
          <w:sz w:val="22"/>
        </w:rPr>
        <w:t>rifampin).</w:t>
      </w:r>
    </w:p>
    <w:p>
      <w:pPr>
        <w:pStyle w:val="ListParagraph"/>
        <w:numPr>
          <w:ilvl w:val="0"/>
          <w:numId w:val="4"/>
        </w:numPr>
        <w:tabs>
          <w:tab w:pos="410" w:val="left" w:leader="none"/>
        </w:tabs>
        <w:spacing w:line="208" w:lineRule="auto" w:before="21" w:after="0"/>
        <w:ind w:left="410" w:right="651" w:hanging="270"/>
        <w:jc w:val="left"/>
        <w:rPr>
          <w:rFonts w:ascii="Arial" w:hAnsi="Arial"/>
          <w:color w:val="137692"/>
          <w:sz w:val="28"/>
        </w:rPr>
      </w:pPr>
      <w:r>
        <w:rPr>
          <w:color w:val="4D4D4F"/>
          <w:w w:val="110"/>
          <w:sz w:val="22"/>
        </w:rPr>
        <w:t>Antiretrovirals (e.g., efavirenz, nevirapine, </w:t>
      </w:r>
      <w:r>
        <w:rPr>
          <w:color w:val="4D4D4F"/>
          <w:w w:val="115"/>
          <w:sz w:val="22"/>
        </w:rPr>
        <w:t>ritonavir).</w:t>
      </w:r>
    </w:p>
    <w:p>
      <w:pPr>
        <w:pStyle w:val="ListParagraph"/>
        <w:numPr>
          <w:ilvl w:val="0"/>
          <w:numId w:val="4"/>
        </w:numPr>
        <w:tabs>
          <w:tab w:pos="410" w:val="left" w:leader="none"/>
        </w:tabs>
        <w:spacing w:line="208" w:lineRule="auto" w:before="70" w:after="0"/>
        <w:ind w:left="410" w:right="236" w:hanging="270"/>
        <w:jc w:val="left"/>
        <w:rPr>
          <w:rFonts w:ascii="Arial" w:hAnsi="Arial"/>
          <w:color w:val="137692"/>
          <w:sz w:val="28"/>
        </w:rPr>
      </w:pPr>
      <w:r>
        <w:rPr>
          <w:color w:val="4D4D4F"/>
          <w:w w:val="110"/>
          <w:sz w:val="22"/>
        </w:rPr>
        <w:t>Anticonvulsants (carbamazepine, phenobarbi- </w:t>
      </w:r>
      <w:r>
        <w:rPr>
          <w:color w:val="4D4D4F"/>
          <w:w w:val="115"/>
          <w:sz w:val="22"/>
        </w:rPr>
        <w:t>tal,</w:t>
      </w:r>
      <w:r>
        <w:rPr>
          <w:color w:val="4D4D4F"/>
          <w:spacing w:val="-10"/>
          <w:w w:val="115"/>
          <w:sz w:val="22"/>
        </w:rPr>
        <w:t> </w:t>
      </w:r>
      <w:r>
        <w:rPr>
          <w:color w:val="4D4D4F"/>
          <w:w w:val="115"/>
          <w:sz w:val="22"/>
        </w:rPr>
        <w:t>phenytoin).</w:t>
      </w:r>
    </w:p>
    <w:p>
      <w:pPr>
        <w:spacing w:line="242" w:lineRule="auto" w:before="190"/>
        <w:ind w:left="140" w:right="253" w:firstLine="0"/>
        <w:jc w:val="left"/>
        <w:rPr>
          <w:sz w:val="22"/>
        </w:rPr>
      </w:pPr>
      <w:r>
        <w:rPr>
          <w:rFonts w:ascii="Calibri"/>
          <w:b/>
          <w:color w:val="4D4D4F"/>
          <w:w w:val="110"/>
          <w:sz w:val="22"/>
        </w:rPr>
        <w:t>Other medications can inhibit CYP450 activity and decrease methadone metabolism, </w:t>
      </w:r>
      <w:r>
        <w:rPr>
          <w:color w:val="4D4D4F"/>
          <w:w w:val="110"/>
          <w:sz w:val="22"/>
        </w:rPr>
        <w:t>causing symptoms of overmedication (e.g., sedation) when the medication is started and possibly withdrawal or cravings when it is stopped.</w:t>
      </w:r>
    </w:p>
    <w:p>
      <w:pPr>
        <w:pStyle w:val="BodyText"/>
        <w:spacing w:before="9"/>
        <w:ind w:left="140"/>
        <w:rPr>
          <w:sz w:val="13"/>
        </w:rPr>
      </w:pPr>
      <w:r>
        <w:rPr>
          <w:color w:val="4D4D4F"/>
          <w:w w:val="110"/>
        </w:rPr>
        <w:t>Among such medications are:</w:t>
      </w:r>
      <w:r>
        <w:rPr>
          <w:color w:val="4D4D4F"/>
          <w:w w:val="110"/>
          <w:position w:val="7"/>
          <w:sz w:val="13"/>
        </w:rPr>
        <w:t>118</w:t>
      </w:r>
    </w:p>
    <w:p>
      <w:pPr>
        <w:pStyle w:val="ListParagraph"/>
        <w:numPr>
          <w:ilvl w:val="0"/>
          <w:numId w:val="4"/>
        </w:numPr>
        <w:tabs>
          <w:tab w:pos="410" w:val="left" w:leader="none"/>
        </w:tabs>
        <w:spacing w:line="315" w:lineRule="exact" w:before="106" w:after="0"/>
        <w:ind w:left="410" w:right="0" w:hanging="270"/>
        <w:jc w:val="left"/>
        <w:rPr>
          <w:rFonts w:ascii="Arial" w:hAnsi="Arial"/>
          <w:color w:val="137692"/>
          <w:sz w:val="28"/>
        </w:rPr>
      </w:pPr>
      <w:r>
        <w:rPr>
          <w:color w:val="4D4D4F"/>
          <w:w w:val="110"/>
          <w:sz w:val="22"/>
        </w:rPr>
        <w:t>Some antibiotics (ciproﬂoxacin,</w:t>
      </w:r>
      <w:r>
        <w:rPr>
          <w:color w:val="4D4D4F"/>
          <w:spacing w:val="-37"/>
          <w:w w:val="110"/>
          <w:sz w:val="22"/>
        </w:rPr>
        <w:t> </w:t>
      </w:r>
      <w:r>
        <w:rPr>
          <w:color w:val="4D4D4F"/>
          <w:w w:val="110"/>
          <w:sz w:val="22"/>
        </w:rPr>
        <w:t>erythromycin).</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Antacids</w:t>
      </w:r>
      <w:r>
        <w:rPr>
          <w:color w:val="4D4D4F"/>
          <w:spacing w:val="-6"/>
          <w:w w:val="110"/>
          <w:sz w:val="22"/>
        </w:rPr>
        <w:t> </w:t>
      </w:r>
      <w:r>
        <w:rPr>
          <w:color w:val="4D4D4F"/>
          <w:w w:val="110"/>
          <w:sz w:val="22"/>
        </w:rPr>
        <w:t>(cimetidine).</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Antifungals</w:t>
      </w:r>
      <w:r>
        <w:rPr>
          <w:color w:val="4D4D4F"/>
          <w:spacing w:val="-6"/>
          <w:w w:val="110"/>
          <w:sz w:val="22"/>
        </w:rPr>
        <w:t> </w:t>
      </w:r>
      <w:r>
        <w:rPr>
          <w:color w:val="4D4D4F"/>
          <w:w w:val="110"/>
          <w:sz w:val="22"/>
        </w:rPr>
        <w:t>(ﬂuconazole).</w:t>
      </w:r>
    </w:p>
    <w:p>
      <w:pPr>
        <w:pStyle w:val="ListParagraph"/>
        <w:numPr>
          <w:ilvl w:val="0"/>
          <w:numId w:val="4"/>
        </w:numPr>
        <w:tabs>
          <w:tab w:pos="410" w:val="left" w:leader="none"/>
        </w:tabs>
        <w:spacing w:line="208" w:lineRule="auto" w:before="22" w:after="0"/>
        <w:ind w:left="410" w:right="467" w:hanging="270"/>
        <w:jc w:val="left"/>
        <w:rPr>
          <w:rFonts w:ascii="Arial" w:hAnsi="Arial"/>
          <w:color w:val="137692"/>
          <w:sz w:val="28"/>
        </w:rPr>
      </w:pPr>
      <w:r>
        <w:rPr>
          <w:color w:val="4D4D4F"/>
          <w:w w:val="110"/>
          <w:sz w:val="22"/>
        </w:rPr>
        <w:t>Antidepressants (e.g., ﬂuvoxamine, </w:t>
      </w:r>
      <w:r>
        <w:rPr>
          <w:color w:val="4D4D4F"/>
          <w:spacing w:val="-4"/>
          <w:w w:val="110"/>
          <w:sz w:val="22"/>
        </w:rPr>
        <w:t>paroxe- </w:t>
      </w:r>
      <w:r>
        <w:rPr>
          <w:color w:val="4D4D4F"/>
          <w:w w:val="110"/>
          <w:sz w:val="22"/>
        </w:rPr>
        <w:t>tine,</w:t>
      </w:r>
      <w:r>
        <w:rPr>
          <w:color w:val="4D4D4F"/>
          <w:spacing w:val="-7"/>
          <w:w w:val="110"/>
          <w:sz w:val="22"/>
        </w:rPr>
        <w:t> </w:t>
      </w:r>
      <w:r>
        <w:rPr>
          <w:color w:val="4D4D4F"/>
          <w:w w:val="110"/>
          <w:sz w:val="22"/>
        </w:rPr>
        <w:t>sertraline).</w:t>
      </w:r>
    </w:p>
    <w:p>
      <w:pPr>
        <w:spacing w:line="235" w:lineRule="auto" w:before="194"/>
        <w:ind w:left="140" w:right="0" w:firstLine="0"/>
        <w:jc w:val="left"/>
        <w:rPr>
          <w:sz w:val="22"/>
        </w:rPr>
      </w:pPr>
      <w:r>
        <w:rPr>
          <w:rFonts w:ascii="Calibri"/>
          <w:b/>
          <w:color w:val="4D4D4F"/>
          <w:w w:val="110"/>
          <w:sz w:val="22"/>
        </w:rPr>
        <w:t>Methadone can affect the metabolism of other medications. </w:t>
      </w:r>
      <w:r>
        <w:rPr>
          <w:color w:val="4D4D4F"/>
          <w:w w:val="110"/>
          <w:sz w:val="22"/>
        </w:rPr>
        <w:t>For example, zidovudine levels</w:t>
      </w:r>
    </w:p>
    <w:p>
      <w:pPr>
        <w:pStyle w:val="BodyText"/>
        <w:spacing w:before="2"/>
        <w:ind w:left="140"/>
      </w:pPr>
      <w:r>
        <w:rPr>
          <w:color w:val="4D4D4F"/>
          <w:w w:val="110"/>
        </w:rPr>
        <w:t>are reported to increase signiﬁcantly during</w:t>
      </w:r>
    </w:p>
    <w:p>
      <w:pPr>
        <w:spacing w:after="0"/>
        <w:sectPr>
          <w:type w:val="continuous"/>
          <w:pgSz w:w="12240" w:h="15840"/>
          <w:pgMar w:top="540" w:bottom="280" w:left="940" w:right="920"/>
          <w:cols w:num="2" w:equalWidth="0">
            <w:col w:w="5028" w:space="192"/>
            <w:col w:w="5160"/>
          </w:cols>
        </w:sectPr>
      </w:pPr>
    </w:p>
    <w:p>
      <w:pPr>
        <w:pStyle w:val="BodyText"/>
        <w:rPr>
          <w:sz w:val="20"/>
        </w:rPr>
      </w:pPr>
    </w:p>
    <w:p>
      <w:pPr>
        <w:pStyle w:val="BodyText"/>
        <w:rPr>
          <w:sz w:val="19"/>
        </w:rPr>
      </w:pPr>
    </w:p>
    <w:p>
      <w:pPr>
        <w:pStyle w:val="Heading3"/>
        <w:spacing w:before="136"/>
        <w:ind w:left="325"/>
        <w:rPr>
          <w:rFonts w:ascii="Arial" w:hAnsi="Arial"/>
        </w:rPr>
      </w:pPr>
      <w:r>
        <w:rPr/>
        <w:pict>
          <v:group style="position:absolute;margin-left:53.75pt;margin-top:-.090381pt;width:504.55pt;height:584.9pt;mso-position-horizontal-relative:page;mso-position-vertical-relative:paragraph;z-index:-19571712" coordorigin="1075,-2" coordsize="10091,11698">
            <v:rect style="position:absolute;left:1080;top:3;width:10081;height:11688" filled="true" fillcolor="#fff7f2" stroked="false">
              <v:fill type="solid"/>
            </v:rect>
            <v:rect style="position:absolute;left:1080;top:3;width:10081;height:11688" filled="false" stroked="true" strokeweight=".5pt" strokecolor="#88aabd">
              <v:stroke dashstyle="solid"/>
            </v:rect>
            <v:line style="position:absolute" from="1265,550" to="10975,550" stroked="true" strokeweight="2pt" strokecolor="#598ea7">
              <v:stroke dashstyle="solid"/>
            </v:line>
            <w10:wrap type="none"/>
          </v:group>
        </w:pict>
      </w:r>
      <w:r>
        <w:rPr>
          <w:rFonts w:ascii="Arial" w:hAnsi="Arial"/>
          <w:color w:val="137692"/>
          <w:w w:val="110"/>
        </w:rPr>
        <w:t>EXHIBIT 3B.2. Common Potential Methadone Drug–Drug Interactions</w:t>
      </w:r>
    </w:p>
    <w:p>
      <w:pPr>
        <w:pStyle w:val="BodyText"/>
        <w:spacing w:before="4"/>
        <w:rPr>
          <w:rFonts w:ascii="Arial"/>
          <w:b/>
          <w:sz w:val="30"/>
        </w:rPr>
      </w:pPr>
    </w:p>
    <w:p>
      <w:pPr>
        <w:pStyle w:val="Heading4"/>
        <w:spacing w:before="1"/>
        <w:ind w:left="325"/>
      </w:pPr>
      <w:r>
        <w:rPr>
          <w:color w:val="137692"/>
          <w:w w:val="110"/>
        </w:rPr>
        <w:t>Antiretrovirals</w:t>
      </w:r>
    </w:p>
    <w:p>
      <w:pPr>
        <w:pStyle w:val="BodyText"/>
        <w:spacing w:before="6"/>
        <w:rPr>
          <w:rFonts w:ascii="Arial"/>
          <w:b/>
          <w:sz w:val="7"/>
        </w:rPr>
      </w:pPr>
    </w:p>
    <w:tbl>
      <w:tblPr>
        <w:tblW w:w="0" w:type="auto"/>
        <w:jc w:val="left"/>
        <w:tblInd w:w="31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564"/>
        <w:gridCol w:w="2520"/>
        <w:gridCol w:w="1886"/>
        <w:gridCol w:w="2737"/>
      </w:tblGrid>
      <w:tr>
        <w:trPr>
          <w:trHeight w:val="713" w:hRule="atLeast"/>
        </w:trPr>
        <w:tc>
          <w:tcPr>
            <w:tcW w:w="2564" w:type="dxa"/>
            <w:tcBorders>
              <w:right w:val="nil"/>
            </w:tcBorders>
            <w:shd w:val="clear" w:color="auto" w:fill="377F9A"/>
          </w:tcPr>
          <w:p>
            <w:pPr>
              <w:pStyle w:val="TableParagraph"/>
              <w:rPr>
                <w:rFonts w:ascii="Arial"/>
                <w:b/>
                <w:sz w:val="22"/>
              </w:rPr>
            </w:pPr>
          </w:p>
          <w:p>
            <w:pPr>
              <w:pStyle w:val="TableParagraph"/>
              <w:spacing w:before="158"/>
              <w:ind w:left="98"/>
              <w:rPr>
                <w:rFonts w:ascii="Arial"/>
                <w:b/>
                <w:sz w:val="17"/>
              </w:rPr>
            </w:pPr>
            <w:r>
              <w:rPr>
                <w:rFonts w:ascii="Arial"/>
                <w:b/>
                <w:color w:val="FFFFFF"/>
                <w:w w:val="105"/>
                <w:sz w:val="17"/>
              </w:rPr>
              <w:t>CLASS OR SPECIFIC DRUG</w:t>
            </w:r>
          </w:p>
        </w:tc>
        <w:tc>
          <w:tcPr>
            <w:tcW w:w="2520" w:type="dxa"/>
            <w:tcBorders>
              <w:left w:val="nil"/>
              <w:right w:val="nil"/>
            </w:tcBorders>
            <w:shd w:val="clear" w:color="auto" w:fill="377F9A"/>
          </w:tcPr>
          <w:p>
            <w:pPr>
              <w:pStyle w:val="TableParagraph"/>
              <w:rPr>
                <w:rFonts w:ascii="Arial"/>
                <w:b/>
                <w:sz w:val="22"/>
              </w:rPr>
            </w:pPr>
          </w:p>
          <w:p>
            <w:pPr>
              <w:pStyle w:val="TableParagraph"/>
              <w:spacing w:before="158"/>
              <w:ind w:left="646"/>
              <w:rPr>
                <w:rFonts w:ascii="Arial"/>
                <w:b/>
                <w:sz w:val="17"/>
              </w:rPr>
            </w:pPr>
            <w:r>
              <w:rPr>
                <w:rFonts w:ascii="Arial"/>
                <w:b/>
                <w:color w:val="FFFFFF"/>
                <w:w w:val="110"/>
                <w:sz w:val="17"/>
              </w:rPr>
              <w:t>INTERACTION</w:t>
            </w:r>
          </w:p>
        </w:tc>
        <w:tc>
          <w:tcPr>
            <w:tcW w:w="1886" w:type="dxa"/>
            <w:tcBorders>
              <w:left w:val="nil"/>
              <w:right w:val="nil"/>
            </w:tcBorders>
            <w:shd w:val="clear" w:color="auto" w:fill="377F9A"/>
          </w:tcPr>
          <w:p>
            <w:pPr>
              <w:pStyle w:val="TableParagraph"/>
              <w:spacing w:line="319" w:lineRule="auto" w:before="151"/>
              <w:ind w:left="380" w:right="332" w:firstLine="131"/>
              <w:rPr>
                <w:rFonts w:ascii="Arial"/>
                <w:b/>
                <w:sz w:val="17"/>
              </w:rPr>
            </w:pPr>
            <w:r>
              <w:rPr>
                <w:rFonts w:ascii="Arial"/>
                <w:b/>
                <w:color w:val="FFFFFF"/>
                <w:w w:val="110"/>
                <w:sz w:val="17"/>
              </w:rPr>
              <w:t>PUTATIVE MECHANISM</w:t>
            </w:r>
          </w:p>
        </w:tc>
        <w:tc>
          <w:tcPr>
            <w:tcW w:w="2737" w:type="dxa"/>
            <w:tcBorders>
              <w:left w:val="nil"/>
            </w:tcBorders>
            <w:shd w:val="clear" w:color="auto" w:fill="377F9A"/>
          </w:tcPr>
          <w:p>
            <w:pPr>
              <w:pStyle w:val="TableParagraph"/>
              <w:rPr>
                <w:rFonts w:ascii="Arial"/>
                <w:b/>
                <w:sz w:val="22"/>
              </w:rPr>
            </w:pPr>
          </w:p>
          <w:p>
            <w:pPr>
              <w:pStyle w:val="TableParagraph"/>
              <w:spacing w:before="158"/>
              <w:ind w:left="1059" w:right="1017"/>
              <w:jc w:val="center"/>
              <w:rPr>
                <w:rFonts w:ascii="Arial"/>
                <w:b/>
                <w:sz w:val="17"/>
              </w:rPr>
            </w:pPr>
            <w:r>
              <w:rPr>
                <w:rFonts w:ascii="Arial"/>
                <w:b/>
                <w:color w:val="FFFFFF"/>
                <w:w w:val="105"/>
                <w:sz w:val="17"/>
              </w:rPr>
              <w:t>NOTES</w:t>
            </w:r>
          </w:p>
        </w:tc>
      </w:tr>
      <w:tr>
        <w:trPr>
          <w:trHeight w:val="617" w:hRule="atLeast"/>
        </w:trPr>
        <w:tc>
          <w:tcPr>
            <w:tcW w:w="2564" w:type="dxa"/>
            <w:tcBorders>
              <w:left w:val="nil"/>
              <w:bottom w:val="single" w:sz="2" w:space="0" w:color="759EB4"/>
              <w:right w:val="single" w:sz="2" w:space="0" w:color="759EB4"/>
            </w:tcBorders>
            <w:shd w:val="clear" w:color="auto" w:fill="FFF7F2"/>
          </w:tcPr>
          <w:p>
            <w:pPr>
              <w:pStyle w:val="TableParagraph"/>
              <w:spacing w:line="249" w:lineRule="auto" w:before="91"/>
              <w:ind w:left="101" w:right="654"/>
              <w:rPr>
                <w:rFonts w:ascii="Arial"/>
                <w:b/>
                <w:sz w:val="18"/>
              </w:rPr>
            </w:pPr>
            <w:r>
              <w:rPr>
                <w:rFonts w:ascii="Arial"/>
                <w:b/>
                <w:color w:val="231F20"/>
                <w:w w:val="105"/>
                <w:sz w:val="18"/>
              </w:rPr>
              <w:t>Efavirenz, lopinavir, nevirapine</w:t>
            </w:r>
          </w:p>
        </w:tc>
        <w:tc>
          <w:tcPr>
            <w:tcW w:w="2520"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620"/>
              <w:rPr>
                <w:sz w:val="18"/>
              </w:rPr>
            </w:pPr>
            <w:r>
              <w:rPr>
                <w:color w:val="414142"/>
                <w:w w:val="125"/>
                <w:sz w:val="18"/>
              </w:rPr>
              <w:t>Reduction in serum methadone levels</w:t>
            </w:r>
          </w:p>
        </w:tc>
        <w:tc>
          <w:tcPr>
            <w:tcW w:w="1886"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224"/>
              <w:rPr>
                <w:sz w:val="18"/>
              </w:rPr>
            </w:pPr>
            <w:r>
              <w:rPr>
                <w:color w:val="414142"/>
                <w:w w:val="125"/>
                <w:sz w:val="18"/>
              </w:rPr>
              <w:t>Induction of CYP450 enzymes</w:t>
            </w:r>
          </w:p>
        </w:tc>
        <w:tc>
          <w:tcPr>
            <w:tcW w:w="2737" w:type="dxa"/>
            <w:tcBorders>
              <w:left w:val="single" w:sz="2" w:space="0" w:color="759EB4"/>
              <w:bottom w:val="single" w:sz="2" w:space="0" w:color="759EB4"/>
              <w:right w:val="nil"/>
            </w:tcBorders>
            <w:shd w:val="clear" w:color="auto" w:fill="FFF7F2"/>
          </w:tcPr>
          <w:p>
            <w:pPr>
              <w:pStyle w:val="TableParagraph"/>
              <w:spacing w:line="235" w:lineRule="auto" w:before="92"/>
              <w:ind w:left="97"/>
              <w:rPr>
                <w:sz w:val="18"/>
              </w:rPr>
            </w:pPr>
            <w:r>
              <w:rPr>
                <w:color w:val="414142"/>
                <w:w w:val="125"/>
                <w:sz w:val="18"/>
              </w:rPr>
              <w:t>Clinically signiﬁcant opioid withdrawal symptoms likely</w:t>
            </w:r>
          </w:p>
        </w:tc>
      </w:tr>
      <w:tr>
        <w:trPr>
          <w:trHeight w:val="835" w:hRule="atLeast"/>
        </w:trPr>
        <w:tc>
          <w:tcPr>
            <w:tcW w:w="2564"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Pr>
                <w:rFonts w:ascii="Arial" w:hAnsi="Arial"/>
                <w:b/>
                <w:sz w:val="18"/>
              </w:rPr>
            </w:pPr>
            <w:r>
              <w:rPr>
                <w:rFonts w:ascii="Arial" w:hAnsi="Arial"/>
                <w:b/>
                <w:color w:val="231F20"/>
                <w:w w:val="105"/>
                <w:sz w:val="18"/>
              </w:rPr>
              <w:t>Abacavir, etravirine, nelﬁnavir, ritonavir, saquinavir, tipranavir</w:t>
            </w:r>
          </w:p>
        </w:tc>
        <w:tc>
          <w:tcPr>
            <w:tcW w:w="252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620"/>
              <w:rPr>
                <w:sz w:val="18"/>
              </w:rPr>
            </w:pPr>
            <w:r>
              <w:rPr>
                <w:color w:val="414142"/>
                <w:w w:val="125"/>
                <w:sz w:val="18"/>
              </w:rPr>
              <w:t>May reduce serum methadone levels</w:t>
            </w:r>
          </w:p>
        </w:tc>
        <w:tc>
          <w:tcPr>
            <w:tcW w:w="188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224"/>
              <w:rPr>
                <w:sz w:val="18"/>
              </w:rPr>
            </w:pPr>
            <w:r>
              <w:rPr>
                <w:color w:val="414142"/>
                <w:w w:val="125"/>
                <w:sz w:val="18"/>
              </w:rPr>
              <w:t>Induction of CYP450 enzymes</w:t>
            </w:r>
          </w:p>
        </w:tc>
        <w:tc>
          <w:tcPr>
            <w:tcW w:w="2737"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Pr>
                <w:sz w:val="18"/>
              </w:rPr>
            </w:pPr>
            <w:r>
              <w:rPr>
                <w:color w:val="414142"/>
                <w:w w:val="125"/>
                <w:sz w:val="18"/>
              </w:rPr>
              <w:t>Clinically pertinent opioid withdrawal symptoms unlikely</w:t>
            </w:r>
          </w:p>
        </w:tc>
      </w:tr>
      <w:tr>
        <w:trPr>
          <w:trHeight w:val="619" w:hRule="atLeast"/>
        </w:trPr>
        <w:tc>
          <w:tcPr>
            <w:tcW w:w="2564"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Didanosine</w:t>
            </w:r>
          </w:p>
        </w:tc>
        <w:tc>
          <w:tcPr>
            <w:tcW w:w="252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94"/>
              <w:rPr>
                <w:sz w:val="18"/>
              </w:rPr>
            </w:pPr>
            <w:r>
              <w:rPr>
                <w:color w:val="414142"/>
                <w:w w:val="125"/>
                <w:sz w:val="18"/>
              </w:rPr>
              <w:t>Reduction in didanosine plasma concentrations</w:t>
            </w:r>
          </w:p>
        </w:tc>
        <w:tc>
          <w:tcPr>
            <w:tcW w:w="188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547"/>
              <w:rPr>
                <w:sz w:val="18"/>
              </w:rPr>
            </w:pPr>
            <w:r>
              <w:rPr>
                <w:color w:val="414142"/>
                <w:w w:val="125"/>
                <w:sz w:val="18"/>
              </w:rPr>
              <w:t>Decreased </w:t>
            </w:r>
            <w:r>
              <w:rPr>
                <w:color w:val="414142"/>
                <w:w w:val="120"/>
                <w:sz w:val="18"/>
              </w:rPr>
              <w:t>bioavailability</w:t>
            </w:r>
          </w:p>
        </w:tc>
        <w:tc>
          <w:tcPr>
            <w:tcW w:w="2737"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Pr>
                <w:sz w:val="18"/>
              </w:rPr>
            </w:pPr>
            <w:r>
              <w:rPr>
                <w:color w:val="414142"/>
                <w:w w:val="125"/>
                <w:sz w:val="18"/>
              </w:rPr>
              <w:t>Possible decreased efﬁcacy of didanosine</w:t>
            </w:r>
          </w:p>
        </w:tc>
      </w:tr>
      <w:tr>
        <w:trPr>
          <w:trHeight w:val="603" w:hRule="atLeast"/>
        </w:trPr>
        <w:tc>
          <w:tcPr>
            <w:tcW w:w="2564"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Zidovudine</w:t>
            </w:r>
          </w:p>
        </w:tc>
        <w:tc>
          <w:tcPr>
            <w:tcW w:w="2520"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ight="194"/>
              <w:rPr>
                <w:sz w:val="18"/>
              </w:rPr>
            </w:pPr>
            <w:r>
              <w:rPr>
                <w:color w:val="414142"/>
                <w:w w:val="125"/>
                <w:sz w:val="18"/>
              </w:rPr>
              <w:t>Increase in zidovudine plasma concentration</w:t>
            </w:r>
          </w:p>
        </w:tc>
        <w:tc>
          <w:tcPr>
            <w:tcW w:w="1886"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before="90"/>
              <w:ind w:left="97"/>
              <w:rPr>
                <w:sz w:val="18"/>
              </w:rPr>
            </w:pPr>
            <w:r>
              <w:rPr>
                <w:color w:val="414142"/>
                <w:w w:val="125"/>
                <w:sz w:val="18"/>
              </w:rPr>
              <w:t>Unknown</w:t>
            </w:r>
          </w:p>
        </w:tc>
        <w:tc>
          <w:tcPr>
            <w:tcW w:w="2737" w:type="dxa"/>
            <w:tcBorders>
              <w:top w:val="single" w:sz="2" w:space="0" w:color="759EB4"/>
              <w:left w:val="single" w:sz="2" w:space="0" w:color="759EB4"/>
              <w:bottom w:val="single" w:sz="18" w:space="0" w:color="377F9A"/>
              <w:right w:val="nil"/>
            </w:tcBorders>
            <w:shd w:val="clear" w:color="auto" w:fill="FFF7F2"/>
          </w:tcPr>
          <w:p>
            <w:pPr>
              <w:pStyle w:val="TableParagraph"/>
              <w:spacing w:before="90"/>
              <w:ind w:left="97"/>
              <w:rPr>
                <w:sz w:val="18"/>
              </w:rPr>
            </w:pPr>
            <w:r>
              <w:rPr>
                <w:color w:val="414142"/>
                <w:w w:val="125"/>
                <w:sz w:val="18"/>
              </w:rPr>
              <w:t>Risk of zidovudine toxicity</w:t>
            </w:r>
          </w:p>
        </w:tc>
      </w:tr>
    </w:tbl>
    <w:p>
      <w:pPr>
        <w:pStyle w:val="BodyText"/>
        <w:spacing w:before="9"/>
        <w:rPr>
          <w:rFonts w:ascii="Arial"/>
          <w:b/>
          <w:sz w:val="37"/>
        </w:rPr>
      </w:pPr>
    </w:p>
    <w:p>
      <w:pPr>
        <w:spacing w:before="0"/>
        <w:ind w:left="325" w:right="0" w:firstLine="0"/>
        <w:jc w:val="left"/>
        <w:rPr>
          <w:rFonts w:ascii="Arial"/>
          <w:b/>
          <w:sz w:val="24"/>
        </w:rPr>
      </w:pPr>
      <w:r>
        <w:rPr>
          <w:rFonts w:ascii="Arial"/>
          <w:b/>
          <w:color w:val="137692"/>
          <w:w w:val="110"/>
          <w:sz w:val="24"/>
        </w:rPr>
        <w:t>Antidepressants</w:t>
      </w:r>
    </w:p>
    <w:p>
      <w:pPr>
        <w:pStyle w:val="BodyText"/>
        <w:spacing w:before="6"/>
        <w:rPr>
          <w:rFonts w:ascii="Arial"/>
          <w:b/>
          <w:sz w:val="7"/>
        </w:rPr>
      </w:pPr>
    </w:p>
    <w:tbl>
      <w:tblPr>
        <w:tblW w:w="0" w:type="auto"/>
        <w:jc w:val="left"/>
        <w:tblInd w:w="31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564"/>
        <w:gridCol w:w="2520"/>
        <w:gridCol w:w="1930"/>
        <w:gridCol w:w="2737"/>
      </w:tblGrid>
      <w:tr>
        <w:trPr>
          <w:trHeight w:val="713" w:hRule="atLeast"/>
        </w:trPr>
        <w:tc>
          <w:tcPr>
            <w:tcW w:w="2564" w:type="dxa"/>
            <w:tcBorders>
              <w:right w:val="nil"/>
            </w:tcBorders>
            <w:shd w:val="clear" w:color="auto" w:fill="377F9A"/>
          </w:tcPr>
          <w:p>
            <w:pPr>
              <w:pStyle w:val="TableParagraph"/>
              <w:rPr>
                <w:rFonts w:ascii="Arial"/>
                <w:b/>
                <w:sz w:val="22"/>
              </w:rPr>
            </w:pPr>
          </w:p>
          <w:p>
            <w:pPr>
              <w:pStyle w:val="TableParagraph"/>
              <w:spacing w:before="158"/>
              <w:ind w:left="98"/>
              <w:rPr>
                <w:rFonts w:ascii="Arial"/>
                <w:b/>
                <w:sz w:val="17"/>
              </w:rPr>
            </w:pPr>
            <w:r>
              <w:rPr>
                <w:rFonts w:ascii="Arial"/>
                <w:b/>
                <w:color w:val="FFFFFF"/>
                <w:w w:val="105"/>
                <w:sz w:val="17"/>
              </w:rPr>
              <w:t>CLASS OR SPECIFIC DRUG</w:t>
            </w:r>
          </w:p>
        </w:tc>
        <w:tc>
          <w:tcPr>
            <w:tcW w:w="2520" w:type="dxa"/>
            <w:tcBorders>
              <w:left w:val="nil"/>
              <w:right w:val="nil"/>
            </w:tcBorders>
            <w:shd w:val="clear" w:color="auto" w:fill="377F9A"/>
          </w:tcPr>
          <w:p>
            <w:pPr>
              <w:pStyle w:val="TableParagraph"/>
              <w:rPr>
                <w:rFonts w:ascii="Arial"/>
                <w:b/>
                <w:sz w:val="22"/>
              </w:rPr>
            </w:pPr>
          </w:p>
          <w:p>
            <w:pPr>
              <w:pStyle w:val="TableParagraph"/>
              <w:spacing w:before="158"/>
              <w:ind w:left="646"/>
              <w:rPr>
                <w:rFonts w:ascii="Arial"/>
                <w:b/>
                <w:sz w:val="17"/>
              </w:rPr>
            </w:pPr>
            <w:r>
              <w:rPr>
                <w:rFonts w:ascii="Arial"/>
                <w:b/>
                <w:color w:val="FFFFFF"/>
                <w:w w:val="110"/>
                <w:sz w:val="17"/>
              </w:rPr>
              <w:t>INTERACTION</w:t>
            </w:r>
          </w:p>
        </w:tc>
        <w:tc>
          <w:tcPr>
            <w:tcW w:w="1930" w:type="dxa"/>
            <w:tcBorders>
              <w:left w:val="nil"/>
              <w:right w:val="nil"/>
            </w:tcBorders>
            <w:shd w:val="clear" w:color="auto" w:fill="377F9A"/>
          </w:tcPr>
          <w:p>
            <w:pPr>
              <w:pStyle w:val="TableParagraph"/>
              <w:spacing w:line="319" w:lineRule="auto" w:before="151"/>
              <w:ind w:left="402" w:right="354" w:firstLine="131"/>
              <w:rPr>
                <w:rFonts w:ascii="Arial"/>
                <w:b/>
                <w:sz w:val="17"/>
              </w:rPr>
            </w:pPr>
            <w:r>
              <w:rPr>
                <w:rFonts w:ascii="Arial"/>
                <w:b/>
                <w:color w:val="FFFFFF"/>
                <w:w w:val="110"/>
                <w:sz w:val="17"/>
              </w:rPr>
              <w:t>PUTATIVE MECHANISM</w:t>
            </w:r>
          </w:p>
        </w:tc>
        <w:tc>
          <w:tcPr>
            <w:tcW w:w="2737" w:type="dxa"/>
            <w:tcBorders>
              <w:left w:val="nil"/>
            </w:tcBorders>
            <w:shd w:val="clear" w:color="auto" w:fill="377F9A"/>
          </w:tcPr>
          <w:p>
            <w:pPr>
              <w:pStyle w:val="TableParagraph"/>
              <w:rPr>
                <w:rFonts w:ascii="Arial"/>
                <w:b/>
                <w:sz w:val="22"/>
              </w:rPr>
            </w:pPr>
          </w:p>
          <w:p>
            <w:pPr>
              <w:pStyle w:val="TableParagraph"/>
              <w:spacing w:before="158"/>
              <w:ind w:left="1059" w:right="1018"/>
              <w:jc w:val="center"/>
              <w:rPr>
                <w:rFonts w:ascii="Arial"/>
                <w:b/>
                <w:sz w:val="17"/>
              </w:rPr>
            </w:pPr>
            <w:r>
              <w:rPr>
                <w:rFonts w:ascii="Arial"/>
                <w:b/>
                <w:color w:val="FFFFFF"/>
                <w:w w:val="105"/>
                <w:sz w:val="17"/>
              </w:rPr>
              <w:t>NOTES</w:t>
            </w:r>
          </w:p>
        </w:tc>
      </w:tr>
      <w:tr>
        <w:trPr>
          <w:trHeight w:val="1265" w:hRule="atLeast"/>
        </w:trPr>
        <w:tc>
          <w:tcPr>
            <w:tcW w:w="2564" w:type="dxa"/>
            <w:tcBorders>
              <w:left w:val="nil"/>
              <w:bottom w:val="single" w:sz="2" w:space="0" w:color="759EB4"/>
              <w:right w:val="single" w:sz="2" w:space="0" w:color="759EB4"/>
            </w:tcBorders>
            <w:shd w:val="clear" w:color="auto" w:fill="FFF7F2"/>
          </w:tcPr>
          <w:p>
            <w:pPr>
              <w:pStyle w:val="TableParagraph"/>
              <w:spacing w:line="249" w:lineRule="auto" w:before="91"/>
              <w:ind w:left="101"/>
              <w:rPr>
                <w:rFonts w:ascii="Arial"/>
                <w:b/>
                <w:sz w:val="18"/>
              </w:rPr>
            </w:pPr>
            <w:r>
              <w:rPr>
                <w:rFonts w:ascii="Arial"/>
                <w:b/>
                <w:color w:val="231F20"/>
                <w:w w:val="110"/>
                <w:sz w:val="18"/>
              </w:rPr>
              <w:t>Tricyclic: Amitriptyline, clomipramine, desipra- mine, doxepin, imipra- mine, nortriptyline, pro- triptyline, trimipramine</w:t>
            </w:r>
          </w:p>
        </w:tc>
        <w:tc>
          <w:tcPr>
            <w:tcW w:w="2520"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194"/>
              <w:rPr>
                <w:sz w:val="18"/>
              </w:rPr>
            </w:pPr>
            <w:r>
              <w:rPr>
                <w:color w:val="414142"/>
                <w:w w:val="125"/>
                <w:sz w:val="18"/>
              </w:rPr>
              <w:t>Increased risk for </w:t>
            </w:r>
            <w:r>
              <w:rPr>
                <w:color w:val="414142"/>
                <w:w w:val="120"/>
                <w:sz w:val="18"/>
              </w:rPr>
              <w:t>constipation, sedation, </w:t>
            </w:r>
            <w:r>
              <w:rPr>
                <w:color w:val="414142"/>
                <w:w w:val="125"/>
                <w:sz w:val="18"/>
              </w:rPr>
              <w:t>QTc prolongation, and arrhythmia</w:t>
            </w:r>
          </w:p>
        </w:tc>
        <w:tc>
          <w:tcPr>
            <w:tcW w:w="1930"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106"/>
              <w:rPr>
                <w:sz w:val="18"/>
              </w:rPr>
            </w:pPr>
            <w:r>
              <w:rPr>
                <w:color w:val="414142"/>
                <w:w w:val="125"/>
                <w:sz w:val="18"/>
              </w:rPr>
              <w:t>Anticholinergic effects; blockade of human ether-a-</w:t>
            </w:r>
          </w:p>
          <w:p>
            <w:pPr>
              <w:pStyle w:val="TableParagraph"/>
              <w:spacing w:line="235" w:lineRule="auto" w:before="2"/>
              <w:ind w:left="97"/>
              <w:rPr>
                <w:sz w:val="18"/>
              </w:rPr>
            </w:pPr>
            <w:r>
              <w:rPr>
                <w:color w:val="414142"/>
                <w:w w:val="125"/>
                <w:sz w:val="18"/>
              </w:rPr>
              <w:t>go-go-related gene (hERG) channel</w:t>
            </w:r>
          </w:p>
        </w:tc>
        <w:tc>
          <w:tcPr>
            <w:tcW w:w="2737" w:type="dxa"/>
            <w:tcBorders>
              <w:left w:val="single" w:sz="2" w:space="0" w:color="759EB4"/>
              <w:bottom w:val="single" w:sz="2" w:space="0" w:color="759EB4"/>
              <w:right w:val="nil"/>
            </w:tcBorders>
            <w:shd w:val="clear" w:color="auto" w:fill="FFF7F2"/>
          </w:tcPr>
          <w:p>
            <w:pPr>
              <w:pStyle w:val="TableParagraph"/>
              <w:spacing w:line="235" w:lineRule="auto" w:before="92"/>
              <w:ind w:left="96" w:hanging="1"/>
              <w:rPr>
                <w:sz w:val="18"/>
              </w:rPr>
            </w:pPr>
            <w:r>
              <w:rPr>
                <w:color w:val="414142"/>
                <w:w w:val="125"/>
                <w:sz w:val="18"/>
              </w:rPr>
              <w:t>Clinical experience with combination indicates it is generally safe with careful clinical monitoring</w:t>
            </w:r>
          </w:p>
        </w:tc>
      </w:tr>
      <w:tr>
        <w:trPr>
          <w:trHeight w:val="1267" w:hRule="atLeast"/>
        </w:trPr>
        <w:tc>
          <w:tcPr>
            <w:tcW w:w="2564"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ight="20"/>
              <w:rPr>
                <w:rFonts w:ascii="Arial" w:hAnsi="Arial"/>
                <w:b/>
                <w:sz w:val="18"/>
              </w:rPr>
            </w:pPr>
            <w:r>
              <w:rPr>
                <w:rFonts w:ascii="Arial" w:hAnsi="Arial"/>
                <w:b/>
                <w:color w:val="231F20"/>
                <w:w w:val="110"/>
                <w:sz w:val="18"/>
              </w:rPr>
              <w:t>Serotonin reuptake inhibitors: citalopram, es- citalopram, ﬂuvoxamine, ﬂuoxetine, paroxetine, sertraline</w:t>
            </w:r>
          </w:p>
        </w:tc>
        <w:tc>
          <w:tcPr>
            <w:tcW w:w="252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94"/>
              <w:rPr>
                <w:sz w:val="18"/>
              </w:rPr>
            </w:pPr>
            <w:r>
              <w:rPr>
                <w:color w:val="414142"/>
                <w:w w:val="125"/>
                <w:sz w:val="18"/>
              </w:rPr>
              <w:t>May increase serum methadone levels; increased risk for serotonin syndrome</w:t>
            </w:r>
          </w:p>
        </w:tc>
        <w:tc>
          <w:tcPr>
            <w:tcW w:w="193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06"/>
              <w:rPr>
                <w:sz w:val="18"/>
              </w:rPr>
            </w:pPr>
            <w:r>
              <w:rPr>
                <w:color w:val="414142"/>
                <w:w w:val="120"/>
                <w:sz w:val="18"/>
              </w:rPr>
              <w:t>Inhibition of CYP enzymes; blockade of serotonin transporter</w:t>
            </w:r>
          </w:p>
        </w:tc>
        <w:tc>
          <w:tcPr>
            <w:tcW w:w="2737"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6"/>
              <w:rPr>
                <w:sz w:val="18"/>
              </w:rPr>
            </w:pPr>
            <w:r>
              <w:rPr>
                <w:color w:val="414142"/>
                <w:w w:val="125"/>
                <w:sz w:val="18"/>
              </w:rPr>
              <w:t>Clinical experience with combination indicates it is generally safe with careful clinical monitoring</w:t>
            </w:r>
          </w:p>
        </w:tc>
      </w:tr>
      <w:tr>
        <w:trPr>
          <w:trHeight w:val="1051" w:hRule="atLeast"/>
        </w:trPr>
        <w:tc>
          <w:tcPr>
            <w:tcW w:w="2564"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ight="151"/>
              <w:rPr>
                <w:rFonts w:ascii="Arial"/>
                <w:b/>
                <w:sz w:val="18"/>
              </w:rPr>
            </w:pPr>
            <w:r>
              <w:rPr>
                <w:rFonts w:ascii="Arial"/>
                <w:b/>
                <w:color w:val="231F20"/>
                <w:w w:val="110"/>
                <w:sz w:val="18"/>
              </w:rPr>
              <w:t>Monoamine oxidase </w:t>
            </w:r>
            <w:r>
              <w:rPr>
                <w:rFonts w:ascii="Arial"/>
                <w:b/>
                <w:color w:val="231F20"/>
                <w:w w:val="105"/>
                <w:sz w:val="18"/>
              </w:rPr>
              <w:t>inhibitors: Isocarboxazid, </w:t>
            </w:r>
            <w:r>
              <w:rPr>
                <w:rFonts w:ascii="Arial"/>
                <w:b/>
                <w:color w:val="231F20"/>
                <w:w w:val="110"/>
                <w:sz w:val="18"/>
              </w:rPr>
              <w:t>phenelzine, selegiline, tranylcypromine</w:t>
            </w:r>
          </w:p>
        </w:tc>
        <w:tc>
          <w:tcPr>
            <w:tcW w:w="252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94"/>
              <w:rPr>
                <w:sz w:val="18"/>
              </w:rPr>
            </w:pPr>
            <w:r>
              <w:rPr>
                <w:color w:val="414142"/>
                <w:w w:val="120"/>
                <w:sz w:val="18"/>
              </w:rPr>
              <w:t>Increased risk for serotonin syndrome</w:t>
            </w:r>
          </w:p>
        </w:tc>
        <w:tc>
          <w:tcPr>
            <w:tcW w:w="193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735"/>
              <w:rPr>
                <w:sz w:val="18"/>
              </w:rPr>
            </w:pPr>
            <w:r>
              <w:rPr>
                <w:color w:val="414142"/>
                <w:w w:val="120"/>
                <w:sz w:val="18"/>
              </w:rPr>
              <w:t>Inhibition  of serotonin metabolism</w:t>
            </w:r>
          </w:p>
        </w:tc>
        <w:tc>
          <w:tcPr>
            <w:tcW w:w="2737"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6"/>
              <w:rPr>
                <w:sz w:val="18"/>
              </w:rPr>
            </w:pPr>
            <w:r>
              <w:rPr>
                <w:color w:val="414142"/>
                <w:w w:val="125"/>
                <w:sz w:val="18"/>
              </w:rPr>
              <w:t>Avoid or use with extreme caution and careful clinical monitoring</w:t>
            </w:r>
          </w:p>
        </w:tc>
      </w:tr>
      <w:tr>
        <w:trPr>
          <w:trHeight w:val="1467" w:hRule="atLeast"/>
        </w:trPr>
        <w:tc>
          <w:tcPr>
            <w:tcW w:w="2564" w:type="dxa"/>
            <w:tcBorders>
              <w:top w:val="single" w:sz="2" w:space="0" w:color="759EB4"/>
              <w:left w:val="nil"/>
              <w:bottom w:val="single" w:sz="18" w:space="0" w:color="377F9A"/>
              <w:right w:val="single" w:sz="2" w:space="0" w:color="759EB4"/>
            </w:tcBorders>
            <w:shd w:val="clear" w:color="auto" w:fill="FFF7F2"/>
          </w:tcPr>
          <w:p>
            <w:pPr>
              <w:pStyle w:val="TableParagraph"/>
              <w:spacing w:line="249" w:lineRule="auto" w:before="93"/>
              <w:ind w:left="101" w:right="118"/>
              <w:rPr>
                <w:rFonts w:ascii="Arial"/>
                <w:b/>
                <w:sz w:val="18"/>
              </w:rPr>
            </w:pPr>
            <w:r>
              <w:rPr>
                <w:rFonts w:ascii="Arial"/>
                <w:b/>
                <w:color w:val="231F20"/>
                <w:w w:val="110"/>
                <w:sz w:val="18"/>
              </w:rPr>
              <w:t>Serotonin/norepineph- rine reuptake inhibitors: Duloxetine, desvenlafax- ine, venlafaxine</w:t>
            </w:r>
          </w:p>
        </w:tc>
        <w:tc>
          <w:tcPr>
            <w:tcW w:w="2520"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ight="194"/>
              <w:rPr>
                <w:sz w:val="18"/>
              </w:rPr>
            </w:pPr>
            <w:r>
              <w:rPr>
                <w:color w:val="414142"/>
                <w:w w:val="120"/>
                <w:sz w:val="18"/>
              </w:rPr>
              <w:t>Increased risk for serotonin syndrome; increased risk for QTc prolongation and arrhythmia (venlafaxine)</w:t>
            </w:r>
          </w:p>
        </w:tc>
        <w:tc>
          <w:tcPr>
            <w:tcW w:w="1930"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ight="355"/>
              <w:rPr>
                <w:sz w:val="18"/>
              </w:rPr>
            </w:pPr>
            <w:r>
              <w:rPr>
                <w:color w:val="414142"/>
                <w:w w:val="120"/>
                <w:sz w:val="18"/>
              </w:rPr>
              <w:t>Blockade of serotonin transporter; blockade of hERG channel (venlafaxine)</w:t>
            </w:r>
          </w:p>
        </w:tc>
        <w:tc>
          <w:tcPr>
            <w:tcW w:w="2737" w:type="dxa"/>
            <w:tcBorders>
              <w:top w:val="single" w:sz="2" w:space="0" w:color="759EB4"/>
              <w:left w:val="single" w:sz="2" w:space="0" w:color="759EB4"/>
              <w:bottom w:val="single" w:sz="18" w:space="0" w:color="377F9A"/>
              <w:right w:val="nil"/>
            </w:tcBorders>
            <w:shd w:val="clear" w:color="auto" w:fill="FFF7F2"/>
          </w:tcPr>
          <w:p>
            <w:pPr>
              <w:pStyle w:val="TableParagraph"/>
              <w:spacing w:line="235" w:lineRule="auto" w:before="93"/>
              <w:ind w:left="96"/>
              <w:rPr>
                <w:sz w:val="18"/>
              </w:rPr>
            </w:pPr>
            <w:r>
              <w:rPr>
                <w:color w:val="414142"/>
                <w:w w:val="125"/>
                <w:sz w:val="18"/>
              </w:rPr>
              <w:t>Clinical experience with combination indicates it is generally safe with careful clinical monitoring</w:t>
            </w:r>
          </w:p>
        </w:tc>
      </w:tr>
    </w:tbl>
    <w:p>
      <w:pPr>
        <w:spacing w:before="118"/>
        <w:ind w:left="366" w:right="0" w:firstLine="0"/>
        <w:jc w:val="left"/>
        <w:rPr>
          <w:rFonts w:ascii="Calibri"/>
          <w:sz w:val="16"/>
        </w:rPr>
      </w:pPr>
      <w:r>
        <w:rPr>
          <w:rFonts w:ascii="Calibri"/>
          <w:color w:val="606163"/>
          <w:w w:val="125"/>
          <w:sz w:val="16"/>
        </w:rPr>
        <w:t>Continued on next page</w:t>
      </w:r>
    </w:p>
    <w:p>
      <w:pPr>
        <w:spacing w:after="0"/>
        <w:jc w:val="left"/>
        <w:rPr>
          <w:rFonts w:ascii="Calibri"/>
          <w:sz w:val="16"/>
        </w:rPr>
        <w:sectPr>
          <w:pgSz w:w="12240" w:h="15840"/>
          <w:pgMar w:header="576" w:footer="677" w:top="1340" w:bottom="860" w:left="940" w:right="920"/>
        </w:sectPr>
      </w:pPr>
    </w:p>
    <w:p>
      <w:pPr>
        <w:pStyle w:val="BodyText"/>
        <w:rPr>
          <w:rFonts w:ascii="Calibri"/>
          <w:sz w:val="20"/>
        </w:rPr>
      </w:pPr>
      <w:r>
        <w:rPr/>
        <w:pict>
          <v:group style="position:absolute;margin-left:54pt;margin-top:90pt;width:504.55pt;height:627.9pt;mso-position-horizontal-relative:page;mso-position-vertical-relative:page;z-index:-19571200" coordorigin="1080,1800" coordsize="10091,12558">
            <v:rect style="position:absolute;left:1085;top:1805;width:10081;height:12548" filled="true" fillcolor="#fff7f2" stroked="false">
              <v:fill type="solid"/>
            </v:rect>
            <v:rect style="position:absolute;left:1085;top:1805;width:10081;height:12548" filled="false" stroked="true" strokeweight=".5pt" strokecolor="#88aabd">
              <v:stroke dashstyle="solid"/>
            </v:rect>
            <v:line style="position:absolute" from="1270,2672" to="10980,2672" stroked="true" strokeweight="2pt" strokecolor="#598ea7">
              <v:stroke dashstyle="solid"/>
            </v:line>
            <w10:wrap type="none"/>
          </v:group>
        </w:pict>
      </w:r>
    </w:p>
    <w:p>
      <w:pPr>
        <w:pStyle w:val="BodyText"/>
        <w:spacing w:before="5"/>
        <w:rPr>
          <w:rFonts w:ascii="Calibri"/>
          <w:sz w:val="17"/>
        </w:rPr>
      </w:pPr>
    </w:p>
    <w:p>
      <w:pPr>
        <w:pStyle w:val="Heading3"/>
        <w:spacing w:before="136"/>
        <w:ind w:left="330"/>
        <w:rPr>
          <w:rFonts w:ascii="Arial" w:hAnsi="Arial"/>
        </w:rPr>
      </w:pPr>
      <w:r>
        <w:rPr>
          <w:rFonts w:ascii="Arial" w:hAnsi="Arial"/>
          <w:color w:val="137692"/>
          <w:w w:val="110"/>
        </w:rPr>
        <w:t>EXHIBIT 3B.2. Common Potential Methadone Drug–Drug Interactions</w:t>
      </w:r>
    </w:p>
    <w:p>
      <w:pPr>
        <w:spacing w:before="78"/>
        <w:ind w:left="330" w:right="0" w:firstLine="0"/>
        <w:jc w:val="left"/>
        <w:rPr>
          <w:rFonts w:ascii="Arial"/>
          <w:b/>
          <w:sz w:val="20"/>
        </w:rPr>
      </w:pPr>
      <w:r>
        <w:rPr>
          <w:rFonts w:ascii="Arial"/>
          <w:b/>
          <w:color w:val="137692"/>
          <w:w w:val="110"/>
          <w:sz w:val="20"/>
        </w:rPr>
        <w:t>(continued)</w:t>
      </w:r>
    </w:p>
    <w:p>
      <w:pPr>
        <w:pStyle w:val="BodyText"/>
        <w:spacing w:before="6"/>
        <w:rPr>
          <w:rFonts w:ascii="Arial"/>
          <w:b/>
          <w:sz w:val="31"/>
        </w:rPr>
      </w:pPr>
    </w:p>
    <w:p>
      <w:pPr>
        <w:pStyle w:val="Heading4"/>
      </w:pPr>
      <w:r>
        <w:rPr>
          <w:color w:val="137692"/>
          <w:w w:val="110"/>
        </w:rPr>
        <w:t>Antibiotics</w:t>
      </w:r>
    </w:p>
    <w:p>
      <w:pPr>
        <w:pStyle w:val="BodyText"/>
        <w:spacing w:before="6"/>
        <w:rPr>
          <w:rFonts w:ascii="Arial"/>
          <w:b/>
          <w:sz w:val="7"/>
        </w:rPr>
      </w:pPr>
    </w:p>
    <w:tbl>
      <w:tblPr>
        <w:tblW w:w="0" w:type="auto"/>
        <w:jc w:val="left"/>
        <w:tblInd w:w="3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593"/>
        <w:gridCol w:w="2520"/>
        <w:gridCol w:w="1853"/>
        <w:gridCol w:w="2737"/>
      </w:tblGrid>
      <w:tr>
        <w:trPr>
          <w:trHeight w:val="713" w:hRule="atLeast"/>
        </w:trPr>
        <w:tc>
          <w:tcPr>
            <w:tcW w:w="2593" w:type="dxa"/>
            <w:tcBorders>
              <w:right w:val="nil"/>
            </w:tcBorders>
            <w:shd w:val="clear" w:color="auto" w:fill="377F9A"/>
          </w:tcPr>
          <w:p>
            <w:pPr>
              <w:pStyle w:val="TableParagraph"/>
              <w:rPr>
                <w:rFonts w:ascii="Arial"/>
                <w:b/>
                <w:sz w:val="22"/>
              </w:rPr>
            </w:pPr>
          </w:p>
          <w:p>
            <w:pPr>
              <w:pStyle w:val="TableParagraph"/>
              <w:spacing w:before="158"/>
              <w:ind w:left="98"/>
              <w:rPr>
                <w:rFonts w:ascii="Arial"/>
                <w:b/>
                <w:sz w:val="17"/>
              </w:rPr>
            </w:pPr>
            <w:r>
              <w:rPr>
                <w:rFonts w:ascii="Arial"/>
                <w:b/>
                <w:color w:val="FFFFFF"/>
                <w:w w:val="105"/>
                <w:sz w:val="17"/>
              </w:rPr>
              <w:t>CLASS OR SPECIFIC DRUG</w:t>
            </w:r>
          </w:p>
        </w:tc>
        <w:tc>
          <w:tcPr>
            <w:tcW w:w="2520" w:type="dxa"/>
            <w:tcBorders>
              <w:left w:val="nil"/>
              <w:right w:val="nil"/>
            </w:tcBorders>
            <w:shd w:val="clear" w:color="auto" w:fill="377F9A"/>
          </w:tcPr>
          <w:p>
            <w:pPr>
              <w:pStyle w:val="TableParagraph"/>
              <w:rPr>
                <w:rFonts w:ascii="Arial"/>
                <w:b/>
                <w:sz w:val="22"/>
              </w:rPr>
            </w:pPr>
          </w:p>
          <w:p>
            <w:pPr>
              <w:pStyle w:val="TableParagraph"/>
              <w:spacing w:before="158"/>
              <w:ind w:left="646"/>
              <w:rPr>
                <w:rFonts w:ascii="Arial"/>
                <w:b/>
                <w:sz w:val="17"/>
              </w:rPr>
            </w:pPr>
            <w:r>
              <w:rPr>
                <w:rFonts w:ascii="Arial"/>
                <w:b/>
                <w:color w:val="FFFFFF"/>
                <w:w w:val="110"/>
                <w:sz w:val="17"/>
              </w:rPr>
              <w:t>INTERACTION</w:t>
            </w:r>
          </w:p>
        </w:tc>
        <w:tc>
          <w:tcPr>
            <w:tcW w:w="1853" w:type="dxa"/>
            <w:tcBorders>
              <w:left w:val="nil"/>
              <w:right w:val="nil"/>
            </w:tcBorders>
            <w:shd w:val="clear" w:color="auto" w:fill="377F9A"/>
          </w:tcPr>
          <w:p>
            <w:pPr>
              <w:pStyle w:val="TableParagraph"/>
              <w:spacing w:line="319" w:lineRule="auto" w:before="151"/>
              <w:ind w:left="363" w:right="316" w:firstLine="131"/>
              <w:rPr>
                <w:rFonts w:ascii="Arial"/>
                <w:b/>
                <w:sz w:val="17"/>
              </w:rPr>
            </w:pPr>
            <w:r>
              <w:rPr>
                <w:rFonts w:ascii="Arial"/>
                <w:b/>
                <w:color w:val="FFFFFF"/>
                <w:w w:val="110"/>
                <w:sz w:val="17"/>
              </w:rPr>
              <w:t>PUTATIVE MECHANISM</w:t>
            </w:r>
          </w:p>
        </w:tc>
        <w:tc>
          <w:tcPr>
            <w:tcW w:w="2737" w:type="dxa"/>
            <w:tcBorders>
              <w:left w:val="nil"/>
            </w:tcBorders>
            <w:shd w:val="clear" w:color="auto" w:fill="377F9A"/>
          </w:tcPr>
          <w:p>
            <w:pPr>
              <w:pStyle w:val="TableParagraph"/>
              <w:rPr>
                <w:rFonts w:ascii="Arial"/>
                <w:b/>
                <w:sz w:val="22"/>
              </w:rPr>
            </w:pPr>
          </w:p>
          <w:p>
            <w:pPr>
              <w:pStyle w:val="TableParagraph"/>
              <w:spacing w:before="158"/>
              <w:ind w:left="1059" w:right="1018"/>
              <w:jc w:val="center"/>
              <w:rPr>
                <w:rFonts w:ascii="Arial"/>
                <w:b/>
                <w:sz w:val="17"/>
              </w:rPr>
            </w:pPr>
            <w:r>
              <w:rPr>
                <w:rFonts w:ascii="Arial"/>
                <w:b/>
                <w:color w:val="FFFFFF"/>
                <w:w w:val="105"/>
                <w:sz w:val="17"/>
              </w:rPr>
              <w:t>NOTES</w:t>
            </w:r>
          </w:p>
        </w:tc>
      </w:tr>
      <w:tr>
        <w:trPr>
          <w:trHeight w:val="1049" w:hRule="atLeast"/>
        </w:trPr>
        <w:tc>
          <w:tcPr>
            <w:tcW w:w="2593" w:type="dxa"/>
            <w:tcBorders>
              <w:left w:val="nil"/>
              <w:bottom w:val="single" w:sz="2" w:space="0" w:color="759EB4"/>
              <w:right w:val="single" w:sz="2" w:space="0" w:color="759EB4"/>
            </w:tcBorders>
            <w:shd w:val="clear" w:color="auto" w:fill="FFF7F2"/>
          </w:tcPr>
          <w:p>
            <w:pPr>
              <w:pStyle w:val="TableParagraph"/>
              <w:spacing w:line="249" w:lineRule="auto" w:before="91"/>
              <w:ind w:left="101"/>
              <w:rPr>
                <w:rFonts w:ascii="Arial" w:hAnsi="Arial"/>
                <w:b/>
                <w:sz w:val="18"/>
              </w:rPr>
            </w:pPr>
            <w:r>
              <w:rPr>
                <w:rFonts w:ascii="Arial" w:hAnsi="Arial"/>
                <w:b/>
                <w:color w:val="231F20"/>
                <w:w w:val="105"/>
                <w:sz w:val="18"/>
              </w:rPr>
              <w:t>Ciproﬂoxacin, clarithro- </w:t>
            </w:r>
            <w:r>
              <w:rPr>
                <w:rFonts w:ascii="Arial" w:hAnsi="Arial"/>
                <w:b/>
                <w:color w:val="231F20"/>
                <w:w w:val="110"/>
                <w:sz w:val="18"/>
              </w:rPr>
              <w:t>mycin, erythromycin, azithromycin</w:t>
            </w:r>
          </w:p>
        </w:tc>
        <w:tc>
          <w:tcPr>
            <w:tcW w:w="2520"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Pr>
                <w:sz w:val="18"/>
              </w:rPr>
            </w:pPr>
            <w:r>
              <w:rPr>
                <w:color w:val="414142"/>
                <w:w w:val="125"/>
                <w:sz w:val="18"/>
              </w:rPr>
              <w:t>May increase methadone serum levels; increased risk for QTc prolongation and arrhythmia</w:t>
            </w:r>
          </w:p>
        </w:tc>
        <w:tc>
          <w:tcPr>
            <w:tcW w:w="1853"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473"/>
              <w:rPr>
                <w:sz w:val="18"/>
              </w:rPr>
            </w:pPr>
            <w:r>
              <w:rPr>
                <w:color w:val="414142"/>
                <w:w w:val="125"/>
                <w:sz w:val="18"/>
              </w:rPr>
              <w:t>Inhibition of CYP enzymes;</w:t>
            </w:r>
          </w:p>
          <w:p>
            <w:pPr>
              <w:pStyle w:val="TableParagraph"/>
              <w:spacing w:line="235" w:lineRule="auto" w:before="2"/>
              <w:ind w:left="97" w:right="125"/>
              <w:rPr>
                <w:sz w:val="18"/>
              </w:rPr>
            </w:pPr>
            <w:r>
              <w:rPr>
                <w:color w:val="414142"/>
                <w:w w:val="125"/>
                <w:sz w:val="18"/>
              </w:rPr>
              <w:t>blockade of hERG channel</w:t>
            </w:r>
          </w:p>
        </w:tc>
        <w:tc>
          <w:tcPr>
            <w:tcW w:w="2737" w:type="dxa"/>
            <w:tcBorders>
              <w:left w:val="single" w:sz="2" w:space="0" w:color="759EB4"/>
              <w:bottom w:val="single" w:sz="2" w:space="0" w:color="759EB4"/>
              <w:right w:val="nil"/>
            </w:tcBorders>
            <w:shd w:val="clear" w:color="auto" w:fill="FFF7F2"/>
          </w:tcPr>
          <w:p>
            <w:pPr>
              <w:pStyle w:val="TableParagraph"/>
              <w:spacing w:line="235" w:lineRule="auto" w:before="92"/>
              <w:ind w:left="96"/>
              <w:rPr>
                <w:sz w:val="18"/>
              </w:rPr>
            </w:pPr>
            <w:r>
              <w:rPr>
                <w:color w:val="414142"/>
                <w:w w:val="120"/>
                <w:sz w:val="18"/>
              </w:rPr>
              <w:t>One case report of sedation (ciproﬂoxacin); clinical monitoring required</w:t>
            </w:r>
          </w:p>
        </w:tc>
      </w:tr>
      <w:tr>
        <w:trPr>
          <w:trHeight w:val="819" w:hRule="atLeast"/>
        </w:trPr>
        <w:tc>
          <w:tcPr>
            <w:tcW w:w="2593"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Rifampin</w:t>
            </w:r>
          </w:p>
        </w:tc>
        <w:tc>
          <w:tcPr>
            <w:tcW w:w="2520"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ight="620"/>
              <w:rPr>
                <w:sz w:val="18"/>
              </w:rPr>
            </w:pPr>
            <w:r>
              <w:rPr>
                <w:color w:val="414142"/>
                <w:w w:val="125"/>
                <w:sz w:val="18"/>
              </w:rPr>
              <w:t>Reduction in serum methadone levels</w:t>
            </w:r>
          </w:p>
        </w:tc>
        <w:tc>
          <w:tcPr>
            <w:tcW w:w="1853"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ight="225"/>
              <w:rPr>
                <w:sz w:val="18"/>
              </w:rPr>
            </w:pPr>
            <w:r>
              <w:rPr>
                <w:color w:val="414142"/>
                <w:w w:val="125"/>
                <w:sz w:val="18"/>
              </w:rPr>
              <w:t>Induction of CYP enzymes</w:t>
            </w:r>
          </w:p>
        </w:tc>
        <w:tc>
          <w:tcPr>
            <w:tcW w:w="2737" w:type="dxa"/>
            <w:tcBorders>
              <w:top w:val="single" w:sz="2" w:space="0" w:color="759EB4"/>
              <w:left w:val="single" w:sz="2" w:space="0" w:color="759EB4"/>
              <w:bottom w:val="single" w:sz="18" w:space="0" w:color="377F9A"/>
              <w:right w:val="nil"/>
            </w:tcBorders>
            <w:shd w:val="clear" w:color="auto" w:fill="FFF7F2"/>
          </w:tcPr>
          <w:p>
            <w:pPr>
              <w:pStyle w:val="TableParagraph"/>
              <w:spacing w:line="235" w:lineRule="auto" w:before="93"/>
              <w:ind w:left="96" w:right="72"/>
              <w:rPr>
                <w:sz w:val="18"/>
              </w:rPr>
            </w:pPr>
            <w:r>
              <w:rPr>
                <w:color w:val="414142"/>
                <w:w w:val="125"/>
                <w:sz w:val="18"/>
              </w:rPr>
              <w:t>Severe opioid withdrawal can occur; need increased methadone dose</w:t>
            </w:r>
          </w:p>
        </w:tc>
      </w:tr>
    </w:tbl>
    <w:p>
      <w:pPr>
        <w:pStyle w:val="BodyText"/>
        <w:spacing w:before="9"/>
        <w:rPr>
          <w:rFonts w:ascii="Arial"/>
          <w:b/>
          <w:sz w:val="37"/>
        </w:rPr>
      </w:pPr>
    </w:p>
    <w:p>
      <w:pPr>
        <w:spacing w:before="0"/>
        <w:ind w:left="330" w:right="0" w:firstLine="0"/>
        <w:jc w:val="left"/>
        <w:rPr>
          <w:rFonts w:ascii="Arial"/>
          <w:b/>
          <w:sz w:val="24"/>
        </w:rPr>
      </w:pPr>
      <w:r>
        <w:rPr>
          <w:rFonts w:ascii="Arial"/>
          <w:b/>
          <w:color w:val="137692"/>
          <w:w w:val="110"/>
          <w:sz w:val="24"/>
        </w:rPr>
        <w:t>Antifungals</w:t>
      </w:r>
    </w:p>
    <w:p>
      <w:pPr>
        <w:pStyle w:val="BodyText"/>
        <w:spacing w:before="6"/>
        <w:rPr>
          <w:rFonts w:ascii="Arial"/>
          <w:b/>
          <w:sz w:val="7"/>
        </w:rPr>
      </w:pPr>
    </w:p>
    <w:tbl>
      <w:tblPr>
        <w:tblW w:w="0" w:type="auto"/>
        <w:jc w:val="left"/>
        <w:tblInd w:w="3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617"/>
        <w:gridCol w:w="2520"/>
        <w:gridCol w:w="1829"/>
        <w:gridCol w:w="2737"/>
      </w:tblGrid>
      <w:tr>
        <w:trPr>
          <w:trHeight w:val="713" w:hRule="atLeast"/>
        </w:trPr>
        <w:tc>
          <w:tcPr>
            <w:tcW w:w="2617" w:type="dxa"/>
            <w:tcBorders>
              <w:right w:val="nil"/>
            </w:tcBorders>
            <w:shd w:val="clear" w:color="auto" w:fill="377F9A"/>
          </w:tcPr>
          <w:p>
            <w:pPr>
              <w:pStyle w:val="TableParagraph"/>
              <w:rPr>
                <w:rFonts w:ascii="Arial"/>
                <w:b/>
                <w:sz w:val="22"/>
              </w:rPr>
            </w:pPr>
          </w:p>
          <w:p>
            <w:pPr>
              <w:pStyle w:val="TableParagraph"/>
              <w:spacing w:before="158"/>
              <w:ind w:left="98"/>
              <w:rPr>
                <w:rFonts w:ascii="Arial"/>
                <w:b/>
                <w:sz w:val="17"/>
              </w:rPr>
            </w:pPr>
            <w:r>
              <w:rPr>
                <w:rFonts w:ascii="Arial"/>
                <w:b/>
                <w:color w:val="FFFFFF"/>
                <w:w w:val="105"/>
                <w:sz w:val="17"/>
              </w:rPr>
              <w:t>CLASS OR SPECIFIC DRUG</w:t>
            </w:r>
          </w:p>
        </w:tc>
        <w:tc>
          <w:tcPr>
            <w:tcW w:w="2520" w:type="dxa"/>
            <w:tcBorders>
              <w:left w:val="nil"/>
              <w:right w:val="nil"/>
            </w:tcBorders>
            <w:shd w:val="clear" w:color="auto" w:fill="377F9A"/>
          </w:tcPr>
          <w:p>
            <w:pPr>
              <w:pStyle w:val="TableParagraph"/>
              <w:rPr>
                <w:rFonts w:ascii="Arial"/>
                <w:b/>
                <w:sz w:val="22"/>
              </w:rPr>
            </w:pPr>
          </w:p>
          <w:p>
            <w:pPr>
              <w:pStyle w:val="TableParagraph"/>
              <w:spacing w:before="158"/>
              <w:ind w:left="646"/>
              <w:rPr>
                <w:rFonts w:ascii="Arial"/>
                <w:b/>
                <w:sz w:val="17"/>
              </w:rPr>
            </w:pPr>
            <w:r>
              <w:rPr>
                <w:rFonts w:ascii="Arial"/>
                <w:b/>
                <w:color w:val="FFFFFF"/>
                <w:w w:val="110"/>
                <w:sz w:val="17"/>
              </w:rPr>
              <w:t>INTERACTION</w:t>
            </w:r>
          </w:p>
        </w:tc>
        <w:tc>
          <w:tcPr>
            <w:tcW w:w="1829" w:type="dxa"/>
            <w:tcBorders>
              <w:left w:val="nil"/>
              <w:right w:val="nil"/>
            </w:tcBorders>
            <w:shd w:val="clear" w:color="auto" w:fill="377F9A"/>
          </w:tcPr>
          <w:p>
            <w:pPr>
              <w:pStyle w:val="TableParagraph"/>
              <w:spacing w:line="319" w:lineRule="auto" w:before="151"/>
              <w:ind w:left="351" w:right="304" w:firstLine="131"/>
              <w:rPr>
                <w:rFonts w:ascii="Arial"/>
                <w:b/>
                <w:sz w:val="17"/>
              </w:rPr>
            </w:pPr>
            <w:r>
              <w:rPr>
                <w:rFonts w:ascii="Arial"/>
                <w:b/>
                <w:color w:val="FFFFFF"/>
                <w:w w:val="110"/>
                <w:sz w:val="17"/>
              </w:rPr>
              <w:t>PUTATIVE MECHANISM</w:t>
            </w:r>
          </w:p>
        </w:tc>
        <w:tc>
          <w:tcPr>
            <w:tcW w:w="2737" w:type="dxa"/>
            <w:tcBorders>
              <w:left w:val="nil"/>
            </w:tcBorders>
            <w:shd w:val="clear" w:color="auto" w:fill="377F9A"/>
          </w:tcPr>
          <w:p>
            <w:pPr>
              <w:pStyle w:val="TableParagraph"/>
              <w:rPr>
                <w:rFonts w:ascii="Arial"/>
                <w:b/>
                <w:sz w:val="22"/>
              </w:rPr>
            </w:pPr>
          </w:p>
          <w:p>
            <w:pPr>
              <w:pStyle w:val="TableParagraph"/>
              <w:spacing w:before="158"/>
              <w:ind w:left="1059" w:right="1018"/>
              <w:jc w:val="center"/>
              <w:rPr>
                <w:rFonts w:ascii="Arial"/>
                <w:b/>
                <w:sz w:val="17"/>
              </w:rPr>
            </w:pPr>
            <w:r>
              <w:rPr>
                <w:rFonts w:ascii="Arial"/>
                <w:b/>
                <w:color w:val="FFFFFF"/>
                <w:w w:val="105"/>
                <w:sz w:val="17"/>
              </w:rPr>
              <w:t>NOTES</w:t>
            </w:r>
          </w:p>
        </w:tc>
      </w:tr>
      <w:tr>
        <w:trPr>
          <w:trHeight w:val="602" w:hRule="atLeast"/>
        </w:trPr>
        <w:tc>
          <w:tcPr>
            <w:tcW w:w="2617" w:type="dxa"/>
            <w:tcBorders>
              <w:left w:val="nil"/>
              <w:bottom w:val="single" w:sz="18" w:space="0" w:color="377F9A"/>
              <w:right w:val="single" w:sz="2" w:space="0" w:color="759EB4"/>
            </w:tcBorders>
            <w:shd w:val="clear" w:color="auto" w:fill="FFF7F2"/>
          </w:tcPr>
          <w:p>
            <w:pPr>
              <w:pStyle w:val="TableParagraph"/>
              <w:spacing w:before="91"/>
              <w:ind w:left="101"/>
              <w:rPr>
                <w:rFonts w:ascii="Arial" w:hAnsi="Arial"/>
                <w:b/>
                <w:sz w:val="18"/>
              </w:rPr>
            </w:pPr>
            <w:r>
              <w:rPr>
                <w:rFonts w:ascii="Arial" w:hAnsi="Arial"/>
                <w:b/>
                <w:color w:val="231F20"/>
                <w:w w:val="110"/>
                <w:sz w:val="18"/>
              </w:rPr>
              <w:t>Ketoconazole, ﬂuconazole</w:t>
            </w:r>
          </w:p>
        </w:tc>
        <w:tc>
          <w:tcPr>
            <w:tcW w:w="2520" w:type="dxa"/>
            <w:tcBorders>
              <w:left w:val="single" w:sz="2" w:space="0" w:color="759EB4"/>
              <w:bottom w:val="single" w:sz="18" w:space="0" w:color="377F9A"/>
              <w:right w:val="single" w:sz="2" w:space="0" w:color="759EB4"/>
            </w:tcBorders>
            <w:shd w:val="clear" w:color="auto" w:fill="FFF7F2"/>
          </w:tcPr>
          <w:p>
            <w:pPr>
              <w:pStyle w:val="TableParagraph"/>
              <w:spacing w:line="235" w:lineRule="auto" w:before="92"/>
              <w:ind w:left="97"/>
              <w:rPr>
                <w:sz w:val="18"/>
              </w:rPr>
            </w:pPr>
            <w:r>
              <w:rPr>
                <w:color w:val="414142"/>
                <w:w w:val="125"/>
                <w:sz w:val="18"/>
              </w:rPr>
              <w:t>May increase methadone serum levels</w:t>
            </w:r>
          </w:p>
        </w:tc>
        <w:tc>
          <w:tcPr>
            <w:tcW w:w="1829" w:type="dxa"/>
            <w:tcBorders>
              <w:left w:val="single" w:sz="2" w:space="0" w:color="759EB4"/>
              <w:bottom w:val="single" w:sz="18" w:space="0" w:color="377F9A"/>
              <w:right w:val="single" w:sz="2" w:space="0" w:color="759EB4"/>
            </w:tcBorders>
            <w:shd w:val="clear" w:color="auto" w:fill="FFF7F2"/>
          </w:tcPr>
          <w:p>
            <w:pPr>
              <w:pStyle w:val="TableParagraph"/>
              <w:spacing w:line="235" w:lineRule="auto" w:before="92"/>
              <w:ind w:left="97"/>
              <w:rPr>
                <w:sz w:val="18"/>
              </w:rPr>
            </w:pPr>
            <w:r>
              <w:rPr>
                <w:color w:val="414142"/>
                <w:w w:val="125"/>
                <w:sz w:val="18"/>
              </w:rPr>
              <w:t>Inhibition of CYP enzymes</w:t>
            </w:r>
          </w:p>
        </w:tc>
        <w:tc>
          <w:tcPr>
            <w:tcW w:w="2737" w:type="dxa"/>
            <w:tcBorders>
              <w:left w:val="single" w:sz="2" w:space="0" w:color="759EB4"/>
              <w:bottom w:val="single" w:sz="18" w:space="0" w:color="377F9A"/>
              <w:right w:val="nil"/>
            </w:tcBorders>
            <w:shd w:val="clear" w:color="auto" w:fill="FFF7F2"/>
          </w:tcPr>
          <w:p>
            <w:pPr>
              <w:pStyle w:val="TableParagraph"/>
              <w:spacing w:line="235" w:lineRule="auto" w:before="92"/>
              <w:ind w:left="97" w:right="-6"/>
              <w:rPr>
                <w:sz w:val="18"/>
              </w:rPr>
            </w:pPr>
            <w:r>
              <w:rPr>
                <w:color w:val="414142"/>
                <w:w w:val="125"/>
                <w:sz w:val="18"/>
              </w:rPr>
              <w:t>Little evidence for important clinical effects</w:t>
            </w:r>
          </w:p>
        </w:tc>
      </w:tr>
    </w:tbl>
    <w:p>
      <w:pPr>
        <w:pStyle w:val="BodyText"/>
        <w:spacing w:before="10"/>
        <w:rPr>
          <w:rFonts w:ascii="Arial"/>
          <w:b/>
          <w:sz w:val="37"/>
        </w:rPr>
      </w:pPr>
    </w:p>
    <w:p>
      <w:pPr>
        <w:pStyle w:val="Heading4"/>
      </w:pPr>
      <w:r>
        <w:rPr>
          <w:color w:val="137692"/>
          <w:w w:val="110"/>
        </w:rPr>
        <w:t>Anticonvulsants</w:t>
      </w:r>
    </w:p>
    <w:p>
      <w:pPr>
        <w:pStyle w:val="BodyText"/>
        <w:spacing w:before="6"/>
        <w:rPr>
          <w:rFonts w:ascii="Arial"/>
          <w:b/>
          <w:sz w:val="7"/>
        </w:rPr>
      </w:pPr>
    </w:p>
    <w:tbl>
      <w:tblPr>
        <w:tblW w:w="0" w:type="auto"/>
        <w:jc w:val="left"/>
        <w:tblInd w:w="3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588"/>
        <w:gridCol w:w="2520"/>
        <w:gridCol w:w="1858"/>
        <w:gridCol w:w="2737"/>
      </w:tblGrid>
      <w:tr>
        <w:trPr>
          <w:trHeight w:val="713" w:hRule="atLeast"/>
        </w:trPr>
        <w:tc>
          <w:tcPr>
            <w:tcW w:w="2588" w:type="dxa"/>
            <w:tcBorders>
              <w:right w:val="nil"/>
            </w:tcBorders>
            <w:shd w:val="clear" w:color="auto" w:fill="377F9A"/>
          </w:tcPr>
          <w:p>
            <w:pPr>
              <w:pStyle w:val="TableParagraph"/>
              <w:rPr>
                <w:rFonts w:ascii="Arial"/>
                <w:b/>
                <w:sz w:val="22"/>
              </w:rPr>
            </w:pPr>
          </w:p>
          <w:p>
            <w:pPr>
              <w:pStyle w:val="TableParagraph"/>
              <w:spacing w:before="158"/>
              <w:ind w:left="98"/>
              <w:rPr>
                <w:rFonts w:ascii="Arial"/>
                <w:b/>
                <w:sz w:val="17"/>
              </w:rPr>
            </w:pPr>
            <w:r>
              <w:rPr>
                <w:rFonts w:ascii="Arial"/>
                <w:b/>
                <w:color w:val="FFFFFF"/>
                <w:w w:val="105"/>
                <w:sz w:val="17"/>
              </w:rPr>
              <w:t>CLASS OR SPECIFIC DRUG</w:t>
            </w:r>
          </w:p>
        </w:tc>
        <w:tc>
          <w:tcPr>
            <w:tcW w:w="2520" w:type="dxa"/>
            <w:tcBorders>
              <w:left w:val="nil"/>
              <w:right w:val="nil"/>
            </w:tcBorders>
            <w:shd w:val="clear" w:color="auto" w:fill="377F9A"/>
          </w:tcPr>
          <w:p>
            <w:pPr>
              <w:pStyle w:val="TableParagraph"/>
              <w:rPr>
                <w:rFonts w:ascii="Arial"/>
                <w:b/>
                <w:sz w:val="22"/>
              </w:rPr>
            </w:pPr>
          </w:p>
          <w:p>
            <w:pPr>
              <w:pStyle w:val="TableParagraph"/>
              <w:spacing w:before="158"/>
              <w:ind w:left="646"/>
              <w:rPr>
                <w:rFonts w:ascii="Arial"/>
                <w:b/>
                <w:sz w:val="17"/>
              </w:rPr>
            </w:pPr>
            <w:r>
              <w:rPr>
                <w:rFonts w:ascii="Arial"/>
                <w:b/>
                <w:color w:val="FFFFFF"/>
                <w:w w:val="110"/>
                <w:sz w:val="17"/>
              </w:rPr>
              <w:t>INTERACTION</w:t>
            </w:r>
          </w:p>
        </w:tc>
        <w:tc>
          <w:tcPr>
            <w:tcW w:w="1858" w:type="dxa"/>
            <w:tcBorders>
              <w:left w:val="nil"/>
              <w:right w:val="nil"/>
            </w:tcBorders>
            <w:shd w:val="clear" w:color="auto" w:fill="377F9A"/>
          </w:tcPr>
          <w:p>
            <w:pPr>
              <w:pStyle w:val="TableParagraph"/>
              <w:spacing w:line="319" w:lineRule="auto" w:before="151"/>
              <w:ind w:left="366" w:right="318" w:firstLine="131"/>
              <w:rPr>
                <w:rFonts w:ascii="Arial"/>
                <w:b/>
                <w:sz w:val="17"/>
              </w:rPr>
            </w:pPr>
            <w:r>
              <w:rPr>
                <w:rFonts w:ascii="Arial"/>
                <w:b/>
                <w:color w:val="FFFFFF"/>
                <w:w w:val="110"/>
                <w:sz w:val="17"/>
              </w:rPr>
              <w:t>PUTATIVE MECHANISM</w:t>
            </w:r>
          </w:p>
        </w:tc>
        <w:tc>
          <w:tcPr>
            <w:tcW w:w="2737" w:type="dxa"/>
            <w:tcBorders>
              <w:left w:val="nil"/>
            </w:tcBorders>
            <w:shd w:val="clear" w:color="auto" w:fill="377F9A"/>
          </w:tcPr>
          <w:p>
            <w:pPr>
              <w:pStyle w:val="TableParagraph"/>
              <w:rPr>
                <w:rFonts w:ascii="Arial"/>
                <w:b/>
                <w:sz w:val="22"/>
              </w:rPr>
            </w:pPr>
          </w:p>
          <w:p>
            <w:pPr>
              <w:pStyle w:val="TableParagraph"/>
              <w:spacing w:before="158"/>
              <w:ind w:left="1058" w:right="1018"/>
              <w:jc w:val="center"/>
              <w:rPr>
                <w:rFonts w:ascii="Arial"/>
                <w:b/>
                <w:sz w:val="17"/>
              </w:rPr>
            </w:pPr>
            <w:r>
              <w:rPr>
                <w:rFonts w:ascii="Arial"/>
                <w:b/>
                <w:color w:val="FFFFFF"/>
                <w:w w:val="105"/>
                <w:sz w:val="17"/>
              </w:rPr>
              <w:t>NOTES</w:t>
            </w:r>
          </w:p>
        </w:tc>
      </w:tr>
      <w:tr>
        <w:trPr>
          <w:trHeight w:val="818" w:hRule="atLeast"/>
        </w:trPr>
        <w:tc>
          <w:tcPr>
            <w:tcW w:w="2588" w:type="dxa"/>
            <w:tcBorders>
              <w:left w:val="nil"/>
              <w:bottom w:val="single" w:sz="18" w:space="0" w:color="377F9A"/>
              <w:right w:val="single" w:sz="2" w:space="0" w:color="759EB4"/>
            </w:tcBorders>
            <w:shd w:val="clear" w:color="auto" w:fill="FFF7F2"/>
          </w:tcPr>
          <w:p>
            <w:pPr>
              <w:pStyle w:val="TableParagraph"/>
              <w:spacing w:line="249" w:lineRule="auto" w:before="91"/>
              <w:ind w:left="101"/>
              <w:rPr>
                <w:rFonts w:ascii="Arial"/>
                <w:b/>
                <w:sz w:val="18"/>
              </w:rPr>
            </w:pPr>
            <w:r>
              <w:rPr>
                <w:rFonts w:ascii="Arial"/>
                <w:b/>
                <w:color w:val="231F20"/>
                <w:w w:val="110"/>
                <w:sz w:val="18"/>
              </w:rPr>
              <w:t>Carbamazepine, phenyto- in, phenobarbital</w:t>
            </w:r>
          </w:p>
        </w:tc>
        <w:tc>
          <w:tcPr>
            <w:tcW w:w="2520" w:type="dxa"/>
            <w:tcBorders>
              <w:left w:val="single" w:sz="2" w:space="0" w:color="759EB4"/>
              <w:bottom w:val="single" w:sz="18" w:space="0" w:color="377F9A"/>
              <w:right w:val="single" w:sz="2" w:space="0" w:color="759EB4"/>
            </w:tcBorders>
            <w:shd w:val="clear" w:color="auto" w:fill="FFF7F2"/>
          </w:tcPr>
          <w:p>
            <w:pPr>
              <w:pStyle w:val="TableParagraph"/>
              <w:spacing w:line="235" w:lineRule="auto" w:before="92"/>
              <w:ind w:left="97" w:right="620"/>
              <w:rPr>
                <w:sz w:val="18"/>
              </w:rPr>
            </w:pPr>
            <w:r>
              <w:rPr>
                <w:color w:val="414142"/>
                <w:w w:val="125"/>
                <w:sz w:val="18"/>
              </w:rPr>
              <w:t>Reduction in serum methadone levels</w:t>
            </w:r>
          </w:p>
        </w:tc>
        <w:tc>
          <w:tcPr>
            <w:tcW w:w="1858" w:type="dxa"/>
            <w:tcBorders>
              <w:left w:val="single" w:sz="2" w:space="0" w:color="759EB4"/>
              <w:bottom w:val="single" w:sz="18" w:space="0" w:color="377F9A"/>
              <w:right w:val="single" w:sz="2" w:space="0" w:color="759EB4"/>
            </w:tcBorders>
            <w:shd w:val="clear" w:color="auto" w:fill="FFF7F2"/>
          </w:tcPr>
          <w:p>
            <w:pPr>
              <w:pStyle w:val="TableParagraph"/>
              <w:spacing w:line="235" w:lineRule="auto" w:before="92"/>
              <w:ind w:left="97" w:right="230"/>
              <w:rPr>
                <w:sz w:val="18"/>
              </w:rPr>
            </w:pPr>
            <w:r>
              <w:rPr>
                <w:color w:val="414142"/>
                <w:w w:val="125"/>
                <w:sz w:val="18"/>
              </w:rPr>
              <w:t>Induction of CYP enzymes</w:t>
            </w:r>
          </w:p>
        </w:tc>
        <w:tc>
          <w:tcPr>
            <w:tcW w:w="2737" w:type="dxa"/>
            <w:tcBorders>
              <w:left w:val="single" w:sz="2" w:space="0" w:color="759EB4"/>
              <w:bottom w:val="single" w:sz="18" w:space="0" w:color="377F9A"/>
              <w:right w:val="nil"/>
            </w:tcBorders>
            <w:shd w:val="clear" w:color="auto" w:fill="FFF7F2"/>
          </w:tcPr>
          <w:p>
            <w:pPr>
              <w:pStyle w:val="TableParagraph"/>
              <w:spacing w:line="235" w:lineRule="auto" w:before="92"/>
              <w:ind w:left="97" w:right="72"/>
              <w:rPr>
                <w:sz w:val="18"/>
              </w:rPr>
            </w:pPr>
            <w:r>
              <w:rPr>
                <w:color w:val="414142"/>
                <w:w w:val="125"/>
                <w:sz w:val="18"/>
              </w:rPr>
              <w:t>Severe opioid withdrawal can occur; will need increased methadone dose</w:t>
            </w:r>
          </w:p>
        </w:tc>
      </w:tr>
    </w:tbl>
    <w:p>
      <w:pPr>
        <w:pStyle w:val="BodyText"/>
        <w:spacing w:before="9"/>
        <w:rPr>
          <w:rFonts w:ascii="Arial"/>
          <w:b/>
          <w:sz w:val="37"/>
        </w:rPr>
      </w:pPr>
    </w:p>
    <w:p>
      <w:pPr>
        <w:spacing w:before="1"/>
        <w:ind w:left="330" w:right="0" w:firstLine="0"/>
        <w:jc w:val="left"/>
        <w:rPr>
          <w:rFonts w:ascii="Arial"/>
          <w:b/>
          <w:sz w:val="24"/>
        </w:rPr>
      </w:pPr>
      <w:r>
        <w:rPr>
          <w:rFonts w:ascii="Arial"/>
          <w:b/>
          <w:color w:val="137692"/>
          <w:w w:val="110"/>
          <w:sz w:val="24"/>
        </w:rPr>
        <w:t>Antiarrhythmics</w:t>
      </w:r>
    </w:p>
    <w:p>
      <w:pPr>
        <w:pStyle w:val="BodyText"/>
        <w:spacing w:before="6"/>
        <w:rPr>
          <w:rFonts w:ascii="Arial"/>
          <w:b/>
          <w:sz w:val="7"/>
        </w:rPr>
      </w:pPr>
    </w:p>
    <w:tbl>
      <w:tblPr>
        <w:tblW w:w="0" w:type="auto"/>
        <w:jc w:val="left"/>
        <w:tblInd w:w="3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588"/>
        <w:gridCol w:w="2520"/>
        <w:gridCol w:w="1858"/>
        <w:gridCol w:w="2737"/>
      </w:tblGrid>
      <w:tr>
        <w:trPr>
          <w:trHeight w:val="713" w:hRule="atLeast"/>
        </w:trPr>
        <w:tc>
          <w:tcPr>
            <w:tcW w:w="2588" w:type="dxa"/>
            <w:tcBorders>
              <w:right w:val="nil"/>
            </w:tcBorders>
            <w:shd w:val="clear" w:color="auto" w:fill="377F9A"/>
          </w:tcPr>
          <w:p>
            <w:pPr>
              <w:pStyle w:val="TableParagraph"/>
              <w:rPr>
                <w:rFonts w:ascii="Arial"/>
                <w:b/>
                <w:sz w:val="22"/>
              </w:rPr>
            </w:pPr>
          </w:p>
          <w:p>
            <w:pPr>
              <w:pStyle w:val="TableParagraph"/>
              <w:spacing w:before="158"/>
              <w:ind w:left="98"/>
              <w:rPr>
                <w:rFonts w:ascii="Arial"/>
                <w:b/>
                <w:sz w:val="17"/>
              </w:rPr>
            </w:pPr>
            <w:r>
              <w:rPr>
                <w:rFonts w:ascii="Arial"/>
                <w:b/>
                <w:color w:val="FFFFFF"/>
                <w:w w:val="105"/>
                <w:sz w:val="17"/>
              </w:rPr>
              <w:t>CLASS OR SPECIFIC DRUG</w:t>
            </w:r>
          </w:p>
        </w:tc>
        <w:tc>
          <w:tcPr>
            <w:tcW w:w="2520" w:type="dxa"/>
            <w:tcBorders>
              <w:left w:val="nil"/>
              <w:right w:val="nil"/>
            </w:tcBorders>
            <w:shd w:val="clear" w:color="auto" w:fill="377F9A"/>
          </w:tcPr>
          <w:p>
            <w:pPr>
              <w:pStyle w:val="TableParagraph"/>
              <w:rPr>
                <w:rFonts w:ascii="Arial"/>
                <w:b/>
                <w:sz w:val="22"/>
              </w:rPr>
            </w:pPr>
          </w:p>
          <w:p>
            <w:pPr>
              <w:pStyle w:val="TableParagraph"/>
              <w:spacing w:before="158"/>
              <w:ind w:left="646"/>
              <w:rPr>
                <w:rFonts w:ascii="Arial"/>
                <w:b/>
                <w:sz w:val="17"/>
              </w:rPr>
            </w:pPr>
            <w:r>
              <w:rPr>
                <w:rFonts w:ascii="Arial"/>
                <w:b/>
                <w:color w:val="FFFFFF"/>
                <w:w w:val="110"/>
                <w:sz w:val="17"/>
              </w:rPr>
              <w:t>INTERACTION</w:t>
            </w:r>
          </w:p>
        </w:tc>
        <w:tc>
          <w:tcPr>
            <w:tcW w:w="1858" w:type="dxa"/>
            <w:tcBorders>
              <w:left w:val="nil"/>
              <w:right w:val="nil"/>
            </w:tcBorders>
            <w:shd w:val="clear" w:color="auto" w:fill="377F9A"/>
          </w:tcPr>
          <w:p>
            <w:pPr>
              <w:pStyle w:val="TableParagraph"/>
              <w:spacing w:line="319" w:lineRule="auto" w:before="151"/>
              <w:ind w:left="366" w:right="318" w:firstLine="131"/>
              <w:rPr>
                <w:rFonts w:ascii="Arial"/>
                <w:b/>
                <w:sz w:val="17"/>
              </w:rPr>
            </w:pPr>
            <w:r>
              <w:rPr>
                <w:rFonts w:ascii="Arial"/>
                <w:b/>
                <w:color w:val="FFFFFF"/>
                <w:w w:val="110"/>
                <w:sz w:val="17"/>
              </w:rPr>
              <w:t>PUTATIVE MECHANISM</w:t>
            </w:r>
          </w:p>
        </w:tc>
        <w:tc>
          <w:tcPr>
            <w:tcW w:w="2737" w:type="dxa"/>
            <w:tcBorders>
              <w:left w:val="nil"/>
            </w:tcBorders>
            <w:shd w:val="clear" w:color="auto" w:fill="377F9A"/>
          </w:tcPr>
          <w:p>
            <w:pPr>
              <w:pStyle w:val="TableParagraph"/>
              <w:rPr>
                <w:rFonts w:ascii="Arial"/>
                <w:b/>
                <w:sz w:val="22"/>
              </w:rPr>
            </w:pPr>
          </w:p>
          <w:p>
            <w:pPr>
              <w:pStyle w:val="TableParagraph"/>
              <w:spacing w:before="158"/>
              <w:ind w:left="1058" w:right="1018"/>
              <w:jc w:val="center"/>
              <w:rPr>
                <w:rFonts w:ascii="Arial"/>
                <w:b/>
                <w:sz w:val="17"/>
              </w:rPr>
            </w:pPr>
            <w:r>
              <w:rPr>
                <w:rFonts w:ascii="Arial"/>
                <w:b/>
                <w:color w:val="FFFFFF"/>
                <w:w w:val="105"/>
                <w:sz w:val="17"/>
              </w:rPr>
              <w:t>NOTES</w:t>
            </w:r>
          </w:p>
        </w:tc>
      </w:tr>
      <w:tr>
        <w:trPr>
          <w:trHeight w:val="834" w:hRule="atLeast"/>
        </w:trPr>
        <w:tc>
          <w:tcPr>
            <w:tcW w:w="2588"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8"/>
              </w:rPr>
            </w:pPr>
            <w:r>
              <w:rPr>
                <w:rFonts w:ascii="Arial"/>
                <w:b/>
                <w:color w:val="231F20"/>
                <w:w w:val="110"/>
                <w:sz w:val="18"/>
              </w:rPr>
              <w:t>Procainamide, quinidine</w:t>
            </w:r>
          </w:p>
        </w:tc>
        <w:tc>
          <w:tcPr>
            <w:tcW w:w="2520"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446"/>
              <w:rPr>
                <w:sz w:val="18"/>
              </w:rPr>
            </w:pPr>
            <w:r>
              <w:rPr>
                <w:color w:val="414142"/>
                <w:w w:val="125"/>
                <w:sz w:val="18"/>
              </w:rPr>
              <w:t>Increases risk for QTc prolongation and arrhythmia</w:t>
            </w:r>
          </w:p>
        </w:tc>
        <w:tc>
          <w:tcPr>
            <w:tcW w:w="1858"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126"/>
              <w:rPr>
                <w:sz w:val="18"/>
              </w:rPr>
            </w:pPr>
            <w:r>
              <w:rPr>
                <w:color w:val="414142"/>
                <w:w w:val="125"/>
                <w:sz w:val="18"/>
              </w:rPr>
              <w:t>Blockade of hERG channel</w:t>
            </w:r>
          </w:p>
        </w:tc>
        <w:tc>
          <w:tcPr>
            <w:tcW w:w="2737" w:type="dxa"/>
            <w:tcBorders>
              <w:left w:val="single" w:sz="2" w:space="0" w:color="759EB4"/>
              <w:bottom w:val="single" w:sz="2" w:space="0" w:color="759EB4"/>
              <w:right w:val="nil"/>
            </w:tcBorders>
            <w:shd w:val="clear" w:color="auto" w:fill="FFF7F2"/>
          </w:tcPr>
          <w:p>
            <w:pPr>
              <w:pStyle w:val="TableParagraph"/>
              <w:spacing w:line="235" w:lineRule="auto" w:before="92"/>
              <w:ind w:left="97"/>
              <w:rPr>
                <w:sz w:val="18"/>
              </w:rPr>
            </w:pPr>
            <w:r>
              <w:rPr>
                <w:color w:val="414142"/>
                <w:w w:val="125"/>
                <w:sz w:val="18"/>
              </w:rPr>
              <w:t>Careful clinical monitoring required</w:t>
            </w:r>
          </w:p>
        </w:tc>
      </w:tr>
      <w:tr>
        <w:trPr>
          <w:trHeight w:val="1035" w:hRule="atLeast"/>
        </w:trPr>
        <w:tc>
          <w:tcPr>
            <w:tcW w:w="2588"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Amiodarone</w:t>
            </w:r>
          </w:p>
        </w:tc>
        <w:tc>
          <w:tcPr>
            <w:tcW w:w="2520"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Pr>
                <w:sz w:val="18"/>
              </w:rPr>
            </w:pPr>
            <w:r>
              <w:rPr>
                <w:color w:val="414142"/>
                <w:w w:val="125"/>
                <w:sz w:val="18"/>
              </w:rPr>
              <w:t>May increase methadone serum levels; increased risk for QTc prolongation and arrhythmia</w:t>
            </w:r>
          </w:p>
        </w:tc>
        <w:tc>
          <w:tcPr>
            <w:tcW w:w="1858"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35" w:lineRule="auto" w:before="93"/>
              <w:ind w:left="97" w:right="478"/>
              <w:rPr>
                <w:sz w:val="18"/>
              </w:rPr>
            </w:pPr>
            <w:r>
              <w:rPr>
                <w:color w:val="414142"/>
                <w:w w:val="125"/>
                <w:sz w:val="18"/>
              </w:rPr>
              <w:t>Inhibition of CYP enzymes;</w:t>
            </w:r>
          </w:p>
          <w:p>
            <w:pPr>
              <w:pStyle w:val="TableParagraph"/>
              <w:spacing w:line="235" w:lineRule="auto" w:before="2"/>
              <w:ind w:left="97" w:right="130"/>
              <w:rPr>
                <w:sz w:val="18"/>
              </w:rPr>
            </w:pPr>
            <w:r>
              <w:rPr>
                <w:color w:val="414142"/>
                <w:w w:val="125"/>
                <w:sz w:val="18"/>
              </w:rPr>
              <w:t>blockade of hERG channel</w:t>
            </w:r>
          </w:p>
        </w:tc>
        <w:tc>
          <w:tcPr>
            <w:tcW w:w="2737" w:type="dxa"/>
            <w:tcBorders>
              <w:top w:val="single" w:sz="2" w:space="0" w:color="759EB4"/>
              <w:left w:val="single" w:sz="2" w:space="0" w:color="759EB4"/>
              <w:bottom w:val="single" w:sz="18" w:space="0" w:color="377F9A"/>
              <w:right w:val="nil"/>
            </w:tcBorders>
            <w:shd w:val="clear" w:color="auto" w:fill="FFF7F2"/>
          </w:tcPr>
          <w:p>
            <w:pPr>
              <w:pStyle w:val="TableParagraph"/>
              <w:spacing w:line="235" w:lineRule="auto" w:before="93"/>
              <w:ind w:left="97"/>
              <w:rPr>
                <w:sz w:val="18"/>
              </w:rPr>
            </w:pPr>
            <w:r>
              <w:rPr>
                <w:color w:val="414142"/>
                <w:w w:val="125"/>
                <w:sz w:val="18"/>
              </w:rPr>
              <w:t>Careful clinical monitoring required</w:t>
            </w:r>
          </w:p>
        </w:tc>
      </w:tr>
    </w:tbl>
    <w:p>
      <w:pPr>
        <w:spacing w:before="118"/>
        <w:ind w:left="371" w:right="0" w:firstLine="0"/>
        <w:jc w:val="left"/>
        <w:rPr>
          <w:rFonts w:ascii="Calibri"/>
          <w:sz w:val="16"/>
        </w:rPr>
      </w:pPr>
      <w:r>
        <w:rPr>
          <w:rFonts w:ascii="Calibri"/>
          <w:color w:val="606163"/>
          <w:w w:val="125"/>
          <w:sz w:val="16"/>
        </w:rPr>
        <w:t>Continued on next page</w:t>
      </w:r>
    </w:p>
    <w:p>
      <w:pPr>
        <w:spacing w:after="0"/>
        <w:jc w:val="left"/>
        <w:rPr>
          <w:rFonts w:ascii="Calibri"/>
          <w:sz w:val="16"/>
        </w:rPr>
        <w:sectPr>
          <w:pgSz w:w="12240" w:h="15840"/>
          <w:pgMar w:header="576" w:footer="677" w:top="1340" w:bottom="860" w:left="940" w:right="92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17"/>
        </w:rPr>
      </w:pPr>
    </w:p>
    <w:tbl>
      <w:tblPr>
        <w:tblW w:w="0" w:type="auto"/>
        <w:jc w:val="left"/>
        <w:tblInd w:w="31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334"/>
        <w:gridCol w:w="2520"/>
        <w:gridCol w:w="2117"/>
        <w:gridCol w:w="2737"/>
      </w:tblGrid>
      <w:tr>
        <w:trPr>
          <w:trHeight w:val="713" w:hRule="atLeast"/>
        </w:trPr>
        <w:tc>
          <w:tcPr>
            <w:tcW w:w="2334" w:type="dxa"/>
            <w:tcBorders>
              <w:right w:val="nil"/>
            </w:tcBorders>
            <w:shd w:val="clear" w:color="auto" w:fill="367E9A"/>
          </w:tcPr>
          <w:p>
            <w:pPr>
              <w:pStyle w:val="TableParagraph"/>
              <w:spacing w:line="319" w:lineRule="auto" w:before="151"/>
              <w:ind w:left="98" w:right="418"/>
              <w:rPr>
                <w:rFonts w:ascii="Arial"/>
                <w:b/>
                <w:sz w:val="17"/>
              </w:rPr>
            </w:pPr>
            <w:r>
              <w:rPr>
                <w:rFonts w:ascii="Arial"/>
                <w:b/>
                <w:color w:val="FFFFFF"/>
                <w:w w:val="105"/>
                <w:sz w:val="17"/>
              </w:rPr>
              <w:t>CLASS OR SPECIFIC DRUG</w:t>
            </w:r>
          </w:p>
        </w:tc>
        <w:tc>
          <w:tcPr>
            <w:tcW w:w="2520" w:type="dxa"/>
            <w:tcBorders>
              <w:left w:val="nil"/>
              <w:right w:val="nil"/>
            </w:tcBorders>
            <w:shd w:val="clear" w:color="auto" w:fill="367E9A"/>
          </w:tcPr>
          <w:p>
            <w:pPr>
              <w:pStyle w:val="TableParagraph"/>
              <w:rPr>
                <w:sz w:val="22"/>
              </w:rPr>
            </w:pPr>
          </w:p>
          <w:p>
            <w:pPr>
              <w:pStyle w:val="TableParagraph"/>
              <w:spacing w:before="143"/>
              <w:ind w:left="646"/>
              <w:rPr>
                <w:rFonts w:ascii="Arial"/>
                <w:b/>
                <w:sz w:val="17"/>
              </w:rPr>
            </w:pPr>
            <w:r>
              <w:rPr>
                <w:rFonts w:ascii="Arial"/>
                <w:b/>
                <w:color w:val="FFFFFF"/>
                <w:w w:val="110"/>
                <w:sz w:val="17"/>
              </w:rPr>
              <w:t>INTERACTION</w:t>
            </w:r>
          </w:p>
        </w:tc>
        <w:tc>
          <w:tcPr>
            <w:tcW w:w="2117" w:type="dxa"/>
            <w:tcBorders>
              <w:left w:val="nil"/>
              <w:right w:val="nil"/>
            </w:tcBorders>
            <w:shd w:val="clear" w:color="auto" w:fill="367E9A"/>
          </w:tcPr>
          <w:p>
            <w:pPr>
              <w:pStyle w:val="TableParagraph"/>
              <w:spacing w:line="319" w:lineRule="auto" w:before="151"/>
              <w:ind w:left="495" w:right="448" w:firstLine="131"/>
              <w:rPr>
                <w:rFonts w:ascii="Arial"/>
                <w:b/>
                <w:sz w:val="17"/>
              </w:rPr>
            </w:pPr>
            <w:r>
              <w:rPr>
                <w:rFonts w:ascii="Arial"/>
                <w:b/>
                <w:color w:val="FFFFFF"/>
                <w:w w:val="110"/>
                <w:sz w:val="17"/>
              </w:rPr>
              <w:t>PUTATIVE MECHANISM</w:t>
            </w:r>
          </w:p>
        </w:tc>
        <w:tc>
          <w:tcPr>
            <w:tcW w:w="2737" w:type="dxa"/>
            <w:tcBorders>
              <w:left w:val="nil"/>
            </w:tcBorders>
            <w:shd w:val="clear" w:color="auto" w:fill="367E9A"/>
          </w:tcPr>
          <w:p>
            <w:pPr>
              <w:pStyle w:val="TableParagraph"/>
              <w:rPr>
                <w:sz w:val="22"/>
              </w:rPr>
            </w:pPr>
          </w:p>
          <w:p>
            <w:pPr>
              <w:pStyle w:val="TableParagraph"/>
              <w:spacing w:before="143"/>
              <w:ind w:left="1058" w:right="1018"/>
              <w:jc w:val="center"/>
              <w:rPr>
                <w:rFonts w:ascii="Arial"/>
                <w:b/>
                <w:sz w:val="17"/>
              </w:rPr>
            </w:pPr>
            <w:r>
              <w:rPr>
                <w:rFonts w:ascii="Arial"/>
                <w:b/>
                <w:color w:val="FFFFFF"/>
                <w:w w:val="105"/>
                <w:sz w:val="17"/>
              </w:rPr>
              <w:t>NOTES</w:t>
            </w:r>
          </w:p>
        </w:tc>
      </w:tr>
      <w:tr>
        <w:trPr>
          <w:trHeight w:val="833" w:hRule="atLeast"/>
        </w:trPr>
        <w:tc>
          <w:tcPr>
            <w:tcW w:w="2334"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8"/>
              </w:rPr>
            </w:pPr>
            <w:r>
              <w:rPr>
                <w:rFonts w:ascii="Arial"/>
                <w:b/>
                <w:color w:val="231F20"/>
                <w:w w:val="110"/>
                <w:sz w:val="18"/>
              </w:rPr>
              <w:t>Benzodiazepines</w:t>
            </w:r>
          </w:p>
        </w:tc>
        <w:tc>
          <w:tcPr>
            <w:tcW w:w="2520"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322"/>
              <w:rPr>
                <w:sz w:val="18"/>
              </w:rPr>
            </w:pPr>
            <w:r>
              <w:rPr>
                <w:color w:val="414042"/>
                <w:w w:val="125"/>
                <w:sz w:val="18"/>
              </w:rPr>
              <w:t>Additive CNS and respiratory depressant effects</w:t>
            </w:r>
          </w:p>
        </w:tc>
        <w:tc>
          <w:tcPr>
            <w:tcW w:w="2117" w:type="dxa"/>
            <w:tcBorders>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124"/>
              <w:rPr>
                <w:sz w:val="18"/>
              </w:rPr>
            </w:pPr>
            <w:r>
              <w:rPr>
                <w:color w:val="414042"/>
                <w:w w:val="125"/>
                <w:sz w:val="18"/>
              </w:rPr>
              <w:t>Increased GABA activity</w:t>
            </w:r>
          </w:p>
        </w:tc>
        <w:tc>
          <w:tcPr>
            <w:tcW w:w="2737" w:type="dxa"/>
            <w:tcBorders>
              <w:left w:val="single" w:sz="2" w:space="0" w:color="759EB4"/>
              <w:bottom w:val="single" w:sz="2" w:space="0" w:color="759EB4"/>
              <w:right w:val="nil"/>
            </w:tcBorders>
            <w:shd w:val="clear" w:color="auto" w:fill="FFF7F2"/>
          </w:tcPr>
          <w:p>
            <w:pPr>
              <w:pStyle w:val="TableParagraph"/>
              <w:spacing w:line="235" w:lineRule="auto" w:before="92"/>
              <w:ind w:left="96"/>
              <w:rPr>
                <w:sz w:val="18"/>
              </w:rPr>
            </w:pPr>
            <w:r>
              <w:rPr>
                <w:color w:val="414042"/>
                <w:w w:val="125"/>
                <w:sz w:val="18"/>
              </w:rPr>
              <w:t>Careful clinical monitoring required</w:t>
            </w:r>
          </w:p>
        </w:tc>
      </w:tr>
      <w:tr>
        <w:trPr>
          <w:trHeight w:val="835" w:hRule="atLeast"/>
        </w:trPr>
        <w:tc>
          <w:tcPr>
            <w:tcW w:w="2334"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Barbiturates</w:t>
            </w:r>
          </w:p>
        </w:tc>
        <w:tc>
          <w:tcPr>
            <w:tcW w:w="252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322"/>
              <w:rPr>
                <w:sz w:val="18"/>
              </w:rPr>
            </w:pPr>
            <w:r>
              <w:rPr>
                <w:color w:val="414042"/>
                <w:w w:val="125"/>
                <w:sz w:val="18"/>
              </w:rPr>
              <w:t>Additive CNS and respiratory depressant effects</w:t>
            </w:r>
          </w:p>
        </w:tc>
        <w:tc>
          <w:tcPr>
            <w:tcW w:w="211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24"/>
              <w:rPr>
                <w:sz w:val="18"/>
              </w:rPr>
            </w:pPr>
            <w:r>
              <w:rPr>
                <w:color w:val="414042"/>
                <w:w w:val="125"/>
                <w:sz w:val="18"/>
              </w:rPr>
              <w:t>Increased GABA activity</w:t>
            </w:r>
          </w:p>
        </w:tc>
        <w:tc>
          <w:tcPr>
            <w:tcW w:w="2737"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6"/>
              <w:rPr>
                <w:sz w:val="18"/>
              </w:rPr>
            </w:pPr>
            <w:r>
              <w:rPr>
                <w:color w:val="414042"/>
                <w:w w:val="125"/>
                <w:sz w:val="18"/>
              </w:rPr>
              <w:t>Careful clinical monitoring required</w:t>
            </w:r>
          </w:p>
        </w:tc>
      </w:tr>
      <w:tr>
        <w:trPr>
          <w:trHeight w:val="619" w:hRule="atLeast"/>
        </w:trPr>
        <w:tc>
          <w:tcPr>
            <w:tcW w:w="2334"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Cimetidine</w:t>
            </w:r>
          </w:p>
        </w:tc>
        <w:tc>
          <w:tcPr>
            <w:tcW w:w="252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94"/>
              <w:rPr>
                <w:sz w:val="18"/>
              </w:rPr>
            </w:pPr>
            <w:r>
              <w:rPr>
                <w:color w:val="414042"/>
                <w:w w:val="125"/>
                <w:sz w:val="18"/>
              </w:rPr>
              <w:t>May increase serum methadone levels</w:t>
            </w:r>
          </w:p>
        </w:tc>
        <w:tc>
          <w:tcPr>
            <w:tcW w:w="211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24"/>
              <w:rPr>
                <w:sz w:val="18"/>
              </w:rPr>
            </w:pPr>
            <w:r>
              <w:rPr>
                <w:color w:val="414042"/>
                <w:w w:val="125"/>
                <w:sz w:val="18"/>
              </w:rPr>
              <w:t>Inhibition of CYP enzymes</w:t>
            </w:r>
          </w:p>
        </w:tc>
        <w:tc>
          <w:tcPr>
            <w:tcW w:w="2737"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6" w:right="72"/>
              <w:rPr>
                <w:sz w:val="18"/>
              </w:rPr>
            </w:pPr>
            <w:r>
              <w:rPr>
                <w:color w:val="414042"/>
                <w:w w:val="125"/>
                <w:sz w:val="18"/>
              </w:rPr>
              <w:t>No evidence of major clinical effect</w:t>
            </w:r>
          </w:p>
        </w:tc>
      </w:tr>
      <w:tr>
        <w:trPr>
          <w:trHeight w:val="819" w:hRule="atLeast"/>
        </w:trPr>
        <w:tc>
          <w:tcPr>
            <w:tcW w:w="2334" w:type="dxa"/>
            <w:tcBorders>
              <w:top w:val="single" w:sz="2" w:space="0" w:color="759EB4"/>
              <w:left w:val="nil"/>
              <w:bottom w:val="single" w:sz="18" w:space="0" w:color="367E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Naltrexone</w:t>
            </w:r>
          </w:p>
        </w:tc>
        <w:tc>
          <w:tcPr>
            <w:tcW w:w="2520" w:type="dxa"/>
            <w:tcBorders>
              <w:top w:val="single" w:sz="2" w:space="0" w:color="759EB4"/>
              <w:left w:val="single" w:sz="2" w:space="0" w:color="759EB4"/>
              <w:bottom w:val="single" w:sz="18" w:space="0" w:color="367E9A"/>
              <w:right w:val="single" w:sz="2" w:space="0" w:color="759EB4"/>
            </w:tcBorders>
            <w:shd w:val="clear" w:color="auto" w:fill="FFF7F2"/>
          </w:tcPr>
          <w:p>
            <w:pPr>
              <w:pStyle w:val="TableParagraph"/>
              <w:spacing w:line="235" w:lineRule="auto" w:before="93"/>
              <w:ind w:left="97" w:right="620"/>
              <w:rPr>
                <w:sz w:val="18"/>
              </w:rPr>
            </w:pPr>
            <w:r>
              <w:rPr>
                <w:color w:val="414042"/>
                <w:w w:val="125"/>
                <w:sz w:val="18"/>
              </w:rPr>
              <w:t>Precipitated opioid withdrawal</w:t>
            </w:r>
          </w:p>
        </w:tc>
        <w:tc>
          <w:tcPr>
            <w:tcW w:w="2117" w:type="dxa"/>
            <w:tcBorders>
              <w:top w:val="single" w:sz="2" w:space="0" w:color="759EB4"/>
              <w:left w:val="single" w:sz="2" w:space="0" w:color="759EB4"/>
              <w:bottom w:val="single" w:sz="18" w:space="0" w:color="367E9A"/>
              <w:right w:val="single" w:sz="2" w:space="0" w:color="759EB4"/>
            </w:tcBorders>
            <w:shd w:val="clear" w:color="auto" w:fill="FFF7F2"/>
          </w:tcPr>
          <w:p>
            <w:pPr>
              <w:pStyle w:val="TableParagraph"/>
              <w:spacing w:line="235" w:lineRule="auto" w:before="93"/>
              <w:ind w:left="97" w:right="124"/>
              <w:rPr>
                <w:sz w:val="18"/>
              </w:rPr>
            </w:pPr>
            <w:r>
              <w:rPr>
                <w:color w:val="414042"/>
                <w:w w:val="125"/>
                <w:sz w:val="18"/>
              </w:rPr>
              <w:t>Displaces methadone from mu-opioid receptors</w:t>
            </w:r>
          </w:p>
        </w:tc>
        <w:tc>
          <w:tcPr>
            <w:tcW w:w="2737" w:type="dxa"/>
            <w:tcBorders>
              <w:top w:val="single" w:sz="2" w:space="0" w:color="759EB4"/>
              <w:left w:val="single" w:sz="2" w:space="0" w:color="759EB4"/>
              <w:bottom w:val="single" w:sz="18" w:space="0" w:color="367E9A"/>
              <w:right w:val="nil"/>
            </w:tcBorders>
            <w:shd w:val="clear" w:color="auto" w:fill="FFF7F2"/>
          </w:tcPr>
          <w:p>
            <w:pPr>
              <w:pStyle w:val="TableParagraph"/>
              <w:spacing w:before="90"/>
              <w:ind w:left="96"/>
              <w:rPr>
                <w:sz w:val="18"/>
              </w:rPr>
            </w:pPr>
            <w:r>
              <w:rPr>
                <w:color w:val="414042"/>
                <w:w w:val="125"/>
                <w:sz w:val="18"/>
              </w:rPr>
              <w:t>Contraindicated</w:t>
            </w:r>
          </w:p>
        </w:tc>
      </w:tr>
    </w:tbl>
    <w:p>
      <w:pPr>
        <w:pStyle w:val="BodyText"/>
        <w:rPr>
          <w:rFonts w:ascii="Calibri"/>
          <w:sz w:val="20"/>
        </w:rPr>
      </w:pPr>
    </w:p>
    <w:p>
      <w:pPr>
        <w:pStyle w:val="BodyText"/>
        <w:rPr>
          <w:rFonts w:ascii="Calibri"/>
          <w:sz w:val="20"/>
        </w:rPr>
      </w:pPr>
    </w:p>
    <w:p>
      <w:pPr>
        <w:pStyle w:val="BodyText"/>
        <w:rPr>
          <w:rFonts w:ascii="Calibri"/>
          <w:sz w:val="20"/>
        </w:rPr>
      </w:pPr>
    </w:p>
    <w:p>
      <w:pPr>
        <w:spacing w:after="0"/>
        <w:rPr>
          <w:rFonts w:ascii="Calibri"/>
          <w:sz w:val="20"/>
        </w:rPr>
        <w:sectPr>
          <w:pgSz w:w="12240" w:h="15840"/>
          <w:pgMar w:header="576" w:footer="677" w:top="1340" w:bottom="860" w:left="940" w:right="920"/>
        </w:sectPr>
      </w:pPr>
    </w:p>
    <w:p>
      <w:pPr>
        <w:pStyle w:val="BodyText"/>
        <w:spacing w:before="5"/>
        <w:rPr>
          <w:rFonts w:ascii="Calibri"/>
          <w:sz w:val="20"/>
        </w:rPr>
      </w:pPr>
    </w:p>
    <w:p>
      <w:pPr>
        <w:pStyle w:val="BodyText"/>
        <w:spacing w:line="247" w:lineRule="auto" w:before="1"/>
        <w:ind w:left="135"/>
      </w:pPr>
      <w:r>
        <w:rPr/>
        <w:pict>
          <v:group style="position:absolute;margin-left:53.75pt;margin-top:-317.005615pt;width:504.55pt;height:290.95pt;mso-position-horizontal-relative:page;mso-position-vertical-relative:paragraph;z-index:-19570688" coordorigin="1075,-6340" coordsize="10091,5819">
            <v:rect style="position:absolute;left:1080;top:-6336;width:10081;height:5809" filled="true" fillcolor="#fff7f2" stroked="false">
              <v:fill type="solid"/>
            </v:rect>
            <v:line style="position:absolute" from="1265,-5468" to="10975,-5468" stroked="true" strokeweight="2pt" strokecolor="#588da6">
              <v:stroke dashstyle="solid"/>
            </v:line>
            <v:rect style="position:absolute;left:1080;top:-6336;width:10081;height:5809" filled="false" stroked="true" strokeweight=".5pt" strokecolor="#89aabe">
              <v:stroke dashstyle="solid"/>
            </v:rect>
            <v:shape style="position:absolute;left:1265;top:-6239;width:9246;height:1294" type="#_x0000_t202" filled="false" stroked="false">
              <v:textbox inset="0,0,0,0">
                <w:txbxContent>
                  <w:p>
                    <w:pPr>
                      <w:spacing w:before="36"/>
                      <w:ind w:left="0" w:right="0" w:firstLine="0"/>
                      <w:jc w:val="left"/>
                      <w:rPr>
                        <w:rFonts w:ascii="Arial" w:hAnsi="Arial"/>
                        <w:b/>
                        <w:sz w:val="26"/>
                      </w:rPr>
                    </w:pPr>
                    <w:r>
                      <w:rPr>
                        <w:rFonts w:ascii="Arial" w:hAnsi="Arial"/>
                        <w:b/>
                        <w:color w:val="147592"/>
                        <w:spacing w:val="-4"/>
                        <w:w w:val="110"/>
                        <w:sz w:val="26"/>
                      </w:rPr>
                      <w:t>EXHIBIT </w:t>
                    </w:r>
                    <w:r>
                      <w:rPr>
                        <w:rFonts w:ascii="Arial" w:hAnsi="Arial"/>
                        <w:b/>
                        <w:color w:val="147592"/>
                        <w:w w:val="110"/>
                        <w:sz w:val="26"/>
                      </w:rPr>
                      <w:t>3B.2. </w:t>
                    </w:r>
                    <w:r>
                      <w:rPr>
                        <w:rFonts w:ascii="Arial" w:hAnsi="Arial"/>
                        <w:b/>
                        <w:color w:val="147592"/>
                        <w:spacing w:val="-4"/>
                        <w:w w:val="110"/>
                        <w:sz w:val="26"/>
                      </w:rPr>
                      <w:t>Common Potential </w:t>
                    </w:r>
                    <w:r>
                      <w:rPr>
                        <w:rFonts w:ascii="Arial" w:hAnsi="Arial"/>
                        <w:b/>
                        <w:color w:val="147592"/>
                        <w:spacing w:val="-3"/>
                        <w:w w:val="110"/>
                        <w:sz w:val="26"/>
                      </w:rPr>
                      <w:t>Methadone Drug–Drug </w:t>
                    </w:r>
                    <w:r>
                      <w:rPr>
                        <w:rFonts w:ascii="Arial" w:hAnsi="Arial"/>
                        <w:b/>
                        <w:color w:val="147592"/>
                        <w:spacing w:val="-4"/>
                        <w:w w:val="110"/>
                        <w:sz w:val="26"/>
                      </w:rPr>
                      <w:t>Interactions</w:t>
                    </w:r>
                  </w:p>
                  <w:p>
                    <w:pPr>
                      <w:spacing w:before="77"/>
                      <w:ind w:left="0" w:right="0" w:firstLine="0"/>
                      <w:jc w:val="left"/>
                      <w:rPr>
                        <w:rFonts w:ascii="Arial"/>
                        <w:b/>
                        <w:sz w:val="20"/>
                      </w:rPr>
                    </w:pPr>
                    <w:r>
                      <w:rPr>
                        <w:rFonts w:ascii="Arial"/>
                        <w:b/>
                        <w:color w:val="147592"/>
                        <w:w w:val="110"/>
                        <w:sz w:val="20"/>
                      </w:rPr>
                      <w:t>(continued)</w:t>
                    </w:r>
                  </w:p>
                  <w:p>
                    <w:pPr>
                      <w:spacing w:line="240" w:lineRule="auto" w:before="6"/>
                      <w:rPr>
                        <w:rFonts w:ascii="Arial"/>
                        <w:b/>
                        <w:sz w:val="31"/>
                      </w:rPr>
                    </w:pPr>
                  </w:p>
                  <w:p>
                    <w:pPr>
                      <w:spacing w:before="0"/>
                      <w:ind w:left="0" w:right="0" w:firstLine="0"/>
                      <w:jc w:val="left"/>
                      <w:rPr>
                        <w:rFonts w:ascii="Arial" w:hAnsi="Arial"/>
                        <w:b/>
                        <w:sz w:val="24"/>
                      </w:rPr>
                    </w:pPr>
                    <w:r>
                      <w:rPr>
                        <w:rFonts w:ascii="Arial" w:hAnsi="Arial"/>
                        <w:b/>
                        <w:color w:val="147592"/>
                        <w:w w:val="110"/>
                        <w:sz w:val="24"/>
                      </w:rPr>
                      <w:t>Other Drugs and Speciﬁc Classes</w:t>
                    </w:r>
                  </w:p>
                </w:txbxContent>
              </v:textbox>
              <w10:wrap type="none"/>
            </v:shape>
            <v:shape style="position:absolute;left:1265;top:-879;width:2213;height:209" type="#_x0000_t202" filled="false" stroked="false">
              <v:textbox inset="0,0,0,0">
                <w:txbxContent>
                  <w:p>
                    <w:pPr>
                      <w:spacing w:line="194" w:lineRule="exact" w:before="14"/>
                      <w:ind w:left="0" w:right="0" w:firstLine="0"/>
                      <w:jc w:val="left"/>
                      <w:rPr>
                        <w:rFonts w:ascii="Calibri"/>
                        <w:i/>
                        <w:sz w:val="9"/>
                      </w:rPr>
                    </w:pPr>
                    <w:r>
                      <w:rPr>
                        <w:rFonts w:ascii="Calibri"/>
                        <w:i/>
                        <w:color w:val="606163"/>
                        <w:w w:val="120"/>
                        <w:sz w:val="16"/>
                      </w:rPr>
                      <w:t>Adapted with permission.</w:t>
                    </w:r>
                    <w:r>
                      <w:rPr>
                        <w:rFonts w:ascii="Calibri"/>
                        <w:i/>
                        <w:color w:val="606163"/>
                        <w:w w:val="120"/>
                        <w:position w:val="5"/>
                        <w:sz w:val="9"/>
                      </w:rPr>
                      <w:t>119</w:t>
                    </w:r>
                  </w:p>
                </w:txbxContent>
              </v:textbox>
              <w10:wrap type="none"/>
            </v:shape>
            <w10:wrap type="none"/>
          </v:group>
        </w:pict>
      </w:r>
      <w:r>
        <w:rPr>
          <w:color w:val="4C4D4F"/>
          <w:w w:val="110"/>
        </w:rPr>
        <w:t>methadone treatment. Monitoring for zidovudine side effects during treatment is warranted.</w:t>
      </w:r>
      <w:r>
        <w:rPr>
          <w:color w:val="4C4D4F"/>
          <w:w w:val="110"/>
          <w:position w:val="7"/>
          <w:sz w:val="13"/>
        </w:rPr>
        <w:t>120 </w:t>
      </w:r>
      <w:r>
        <w:rPr>
          <w:color w:val="4C4D4F"/>
          <w:w w:val="110"/>
        </w:rPr>
        <w:t>Check drug–drug interactions online (</w:t>
      </w:r>
      <w:r>
        <w:rPr>
          <w:color w:val="205E9E"/>
          <w:w w:val="110"/>
          <w:u w:val="single" w:color="205E9E"/>
        </w:rPr>
        <w:t>www</w:t>
      </w:r>
    </w:p>
    <w:p>
      <w:pPr>
        <w:pStyle w:val="BodyText"/>
        <w:spacing w:before="3"/>
        <w:ind w:left="135"/>
      </w:pPr>
      <w:r>
        <w:rPr>
          <w:color w:val="205E9E"/>
          <w:w w:val="110"/>
          <w:u w:val="single" w:color="205E9E"/>
        </w:rPr>
        <w:t>.drugs.com/drug_interactions.php</w:t>
      </w:r>
      <w:r>
        <w:rPr>
          <w:color w:val="4C4D4F"/>
          <w:w w:val="110"/>
        </w:rPr>
        <w:t>).</w:t>
      </w:r>
    </w:p>
    <w:p>
      <w:pPr>
        <w:pStyle w:val="BodyText"/>
        <w:spacing w:before="5"/>
        <w:rPr>
          <w:sz w:val="23"/>
        </w:rPr>
      </w:pPr>
    </w:p>
    <w:p>
      <w:pPr>
        <w:pStyle w:val="Heading3"/>
        <w:ind w:left="135"/>
      </w:pPr>
      <w:bookmarkStart w:name="_TOC_250091" w:id="24"/>
      <w:bookmarkEnd w:id="24"/>
      <w:r>
        <w:rPr>
          <w:color w:val="147592"/>
          <w:w w:val="105"/>
        </w:rPr>
        <w:t>Side Effects</w:t>
      </w:r>
    </w:p>
    <w:p>
      <w:pPr>
        <w:pStyle w:val="BodyText"/>
        <w:spacing w:line="247" w:lineRule="auto" w:before="48"/>
        <w:ind w:left="135" w:right="340"/>
      </w:pPr>
      <w:r>
        <w:rPr>
          <w:color w:val="4C4D4F"/>
          <w:w w:val="115"/>
        </w:rPr>
        <w:t>Possible side effects of methadone include the following (methadone FDA labels list all potential side effects and are available at </w:t>
      </w:r>
      <w:r>
        <w:rPr>
          <w:color w:val="205E9E"/>
          <w:w w:val="115"/>
          <w:u w:val="single" w:color="205E9E"/>
        </w:rPr>
        <w:t>https://dailymed.nlm.nih.gov/dailymed/search</w:t>
      </w:r>
    </w:p>
    <w:p>
      <w:pPr>
        <w:pStyle w:val="BodyText"/>
        <w:spacing w:before="5"/>
        <w:ind w:left="135"/>
      </w:pPr>
      <w:r>
        <w:rPr>
          <w:color w:val="205E9E"/>
          <w:w w:val="110"/>
          <w:u w:val="single" w:color="205E9E"/>
        </w:rPr>
        <w:t>.cfm?labeltype=all&amp;query=METHADONE</w:t>
      </w:r>
      <w:r>
        <w:rPr>
          <w:color w:val="4C4D4F"/>
          <w:w w:val="110"/>
        </w:rPr>
        <w:t>):</w:t>
      </w:r>
    </w:p>
    <w:p>
      <w:pPr>
        <w:pStyle w:val="ListParagraph"/>
        <w:numPr>
          <w:ilvl w:val="0"/>
          <w:numId w:val="4"/>
        </w:numPr>
        <w:tabs>
          <w:tab w:pos="405" w:val="left" w:leader="none"/>
        </w:tabs>
        <w:spacing w:line="315" w:lineRule="exact" w:before="105" w:after="0"/>
        <w:ind w:left="405" w:right="0" w:hanging="270"/>
        <w:jc w:val="left"/>
        <w:rPr>
          <w:rFonts w:ascii="Arial" w:hAnsi="Arial"/>
          <w:color w:val="147592"/>
          <w:sz w:val="28"/>
        </w:rPr>
      </w:pPr>
      <w:r>
        <w:rPr>
          <w:color w:val="4C4D4F"/>
          <w:w w:val="110"/>
          <w:sz w:val="22"/>
        </w:rPr>
        <w:t>Constipation</w:t>
      </w:r>
    </w:p>
    <w:p>
      <w:pPr>
        <w:pStyle w:val="ListParagraph"/>
        <w:numPr>
          <w:ilvl w:val="0"/>
          <w:numId w:val="4"/>
        </w:numPr>
        <w:tabs>
          <w:tab w:pos="405" w:val="left" w:leader="none"/>
        </w:tabs>
        <w:spacing w:line="307" w:lineRule="exact" w:before="0" w:after="0"/>
        <w:ind w:left="405" w:right="0" w:hanging="270"/>
        <w:jc w:val="left"/>
        <w:rPr>
          <w:rFonts w:ascii="Arial" w:hAnsi="Arial"/>
          <w:color w:val="147592"/>
          <w:sz w:val="28"/>
        </w:rPr>
      </w:pPr>
      <w:r>
        <w:rPr>
          <w:color w:val="4C4D4F"/>
          <w:w w:val="110"/>
          <w:sz w:val="22"/>
        </w:rPr>
        <w:t>Nausea</w:t>
      </w:r>
    </w:p>
    <w:p>
      <w:pPr>
        <w:pStyle w:val="ListParagraph"/>
        <w:numPr>
          <w:ilvl w:val="0"/>
          <w:numId w:val="4"/>
        </w:numPr>
        <w:tabs>
          <w:tab w:pos="405" w:val="left" w:leader="none"/>
        </w:tabs>
        <w:spacing w:line="307" w:lineRule="exact" w:before="0" w:after="0"/>
        <w:ind w:left="405" w:right="0" w:hanging="270"/>
        <w:jc w:val="left"/>
        <w:rPr>
          <w:rFonts w:ascii="Arial" w:hAnsi="Arial"/>
          <w:color w:val="147592"/>
          <w:sz w:val="28"/>
        </w:rPr>
      </w:pPr>
      <w:r>
        <w:rPr>
          <w:color w:val="4C4D4F"/>
          <w:w w:val="115"/>
          <w:sz w:val="22"/>
        </w:rPr>
        <w:t>Sweating</w:t>
      </w:r>
    </w:p>
    <w:p>
      <w:pPr>
        <w:pStyle w:val="ListParagraph"/>
        <w:numPr>
          <w:ilvl w:val="0"/>
          <w:numId w:val="4"/>
        </w:numPr>
        <w:tabs>
          <w:tab w:pos="405" w:val="left" w:leader="none"/>
        </w:tabs>
        <w:spacing w:line="307" w:lineRule="exact" w:before="0" w:after="0"/>
        <w:ind w:left="405" w:right="0" w:hanging="270"/>
        <w:jc w:val="left"/>
        <w:rPr>
          <w:rFonts w:ascii="Arial" w:hAnsi="Arial"/>
          <w:color w:val="147592"/>
          <w:sz w:val="28"/>
        </w:rPr>
      </w:pPr>
      <w:r>
        <w:rPr>
          <w:color w:val="4C4D4F"/>
          <w:w w:val="110"/>
          <w:sz w:val="22"/>
        </w:rPr>
        <w:t>Sexual dysfunction or decreased</w:t>
      </w:r>
      <w:r>
        <w:rPr>
          <w:color w:val="4C4D4F"/>
          <w:spacing w:val="-9"/>
          <w:w w:val="110"/>
          <w:sz w:val="22"/>
        </w:rPr>
        <w:t> </w:t>
      </w:r>
      <w:r>
        <w:rPr>
          <w:color w:val="4C4D4F"/>
          <w:w w:val="110"/>
          <w:sz w:val="22"/>
        </w:rPr>
        <w:t>libido</w:t>
      </w:r>
    </w:p>
    <w:p>
      <w:pPr>
        <w:pStyle w:val="ListParagraph"/>
        <w:numPr>
          <w:ilvl w:val="0"/>
          <w:numId w:val="4"/>
        </w:numPr>
        <w:tabs>
          <w:tab w:pos="405" w:val="left" w:leader="none"/>
        </w:tabs>
        <w:spacing w:line="307" w:lineRule="exact" w:before="0" w:after="0"/>
        <w:ind w:left="405" w:right="0" w:hanging="270"/>
        <w:jc w:val="left"/>
        <w:rPr>
          <w:rFonts w:ascii="Arial" w:hAnsi="Arial"/>
          <w:color w:val="147592"/>
          <w:sz w:val="28"/>
        </w:rPr>
      </w:pPr>
      <w:r>
        <w:rPr>
          <w:color w:val="4C4D4F"/>
          <w:w w:val="105"/>
          <w:sz w:val="22"/>
        </w:rPr>
        <w:t>Drowsiness</w:t>
      </w:r>
    </w:p>
    <w:p>
      <w:pPr>
        <w:pStyle w:val="ListParagraph"/>
        <w:numPr>
          <w:ilvl w:val="0"/>
          <w:numId w:val="4"/>
        </w:numPr>
        <w:tabs>
          <w:tab w:pos="405" w:val="left" w:leader="none"/>
        </w:tabs>
        <w:spacing w:line="307" w:lineRule="exact" w:before="0" w:after="0"/>
        <w:ind w:left="405" w:right="0" w:hanging="270"/>
        <w:jc w:val="left"/>
        <w:rPr>
          <w:rFonts w:ascii="Arial" w:hAnsi="Arial"/>
          <w:color w:val="147592"/>
          <w:sz w:val="28"/>
        </w:rPr>
      </w:pPr>
      <w:r>
        <w:rPr>
          <w:color w:val="4C4D4F"/>
          <w:w w:val="110"/>
          <w:sz w:val="22"/>
        </w:rPr>
        <w:t>Amenorrhea</w:t>
      </w:r>
    </w:p>
    <w:p>
      <w:pPr>
        <w:pStyle w:val="ListParagraph"/>
        <w:numPr>
          <w:ilvl w:val="0"/>
          <w:numId w:val="4"/>
        </w:numPr>
        <w:tabs>
          <w:tab w:pos="405" w:val="left" w:leader="none"/>
        </w:tabs>
        <w:spacing w:line="307" w:lineRule="exact" w:before="0" w:after="0"/>
        <w:ind w:left="405" w:right="0" w:hanging="270"/>
        <w:jc w:val="left"/>
        <w:rPr>
          <w:rFonts w:ascii="Arial" w:hAnsi="Arial"/>
          <w:color w:val="147592"/>
          <w:sz w:val="28"/>
        </w:rPr>
      </w:pPr>
      <w:r>
        <w:rPr>
          <w:color w:val="4C4D4F"/>
          <w:spacing w:val="-1"/>
          <w:w w:val="115"/>
          <w:sz w:val="22"/>
        </w:rPr>
        <w:t>Weight</w:t>
      </w:r>
      <w:r>
        <w:rPr>
          <w:color w:val="4C4D4F"/>
          <w:spacing w:val="-27"/>
          <w:w w:val="115"/>
          <w:sz w:val="22"/>
        </w:rPr>
        <w:t> </w:t>
      </w:r>
      <w:r>
        <w:rPr>
          <w:color w:val="4C4D4F"/>
          <w:w w:val="115"/>
          <w:sz w:val="22"/>
        </w:rPr>
        <w:t>gain</w:t>
      </w:r>
    </w:p>
    <w:p>
      <w:pPr>
        <w:pStyle w:val="ListParagraph"/>
        <w:numPr>
          <w:ilvl w:val="0"/>
          <w:numId w:val="4"/>
        </w:numPr>
        <w:tabs>
          <w:tab w:pos="405" w:val="left" w:leader="none"/>
        </w:tabs>
        <w:spacing w:line="315" w:lineRule="exact" w:before="0" w:after="0"/>
        <w:ind w:left="405" w:right="0" w:hanging="270"/>
        <w:jc w:val="left"/>
        <w:rPr>
          <w:rFonts w:ascii="Arial" w:hAnsi="Arial"/>
          <w:color w:val="147592"/>
          <w:sz w:val="28"/>
        </w:rPr>
      </w:pPr>
      <w:r>
        <w:rPr>
          <w:color w:val="4C4D4F"/>
          <w:w w:val="115"/>
          <w:sz w:val="22"/>
        </w:rPr>
        <w:t>Edema</w:t>
      </w:r>
    </w:p>
    <w:p>
      <w:pPr>
        <w:pStyle w:val="Heading3"/>
        <w:spacing w:before="237"/>
        <w:ind w:left="135"/>
      </w:pPr>
      <w:bookmarkStart w:name="_TOC_250090" w:id="25"/>
      <w:r>
        <w:rPr>
          <w:b w:val="0"/>
        </w:rPr>
        <w:br w:type="column"/>
      </w:r>
      <w:bookmarkEnd w:id="25"/>
      <w:r>
        <w:rPr>
          <w:color w:val="147592"/>
          <w:w w:val="110"/>
        </w:rPr>
        <w:t>Assessment</w:t>
      </w:r>
    </w:p>
    <w:p>
      <w:pPr>
        <w:pStyle w:val="BodyText"/>
        <w:spacing w:line="247" w:lineRule="auto" w:before="48"/>
        <w:ind w:left="135" w:right="228"/>
        <w:rPr>
          <w:rFonts w:ascii="Calibri"/>
          <w:b/>
        </w:rPr>
      </w:pPr>
      <w:r>
        <w:rPr>
          <w:color w:val="4C4D4F"/>
          <w:w w:val="110"/>
        </w:rPr>
        <w:t>A thorough assessment will help decide </w:t>
      </w:r>
      <w:r>
        <w:rPr>
          <w:color w:val="4C4D4F"/>
          <w:spacing w:val="-3"/>
          <w:w w:val="110"/>
        </w:rPr>
        <w:t>whether </w:t>
      </w:r>
      <w:r>
        <w:rPr>
          <w:color w:val="4C4D4F"/>
          <w:w w:val="110"/>
        </w:rPr>
        <w:t>a patient is appropriate for admission and </w:t>
      </w:r>
      <w:r>
        <w:rPr>
          <w:color w:val="4C4D4F"/>
          <w:spacing w:val="-4"/>
          <w:w w:val="110"/>
        </w:rPr>
        <w:t>meets </w:t>
      </w:r>
      <w:r>
        <w:rPr>
          <w:color w:val="4C4D4F"/>
          <w:w w:val="110"/>
        </w:rPr>
        <w:t>federal and any state regulatory requirements for methadone treatment. (See Part 2 of this TIP for detailed discussion of screening and assess- ment.) </w:t>
      </w:r>
      <w:r>
        <w:rPr>
          <w:rFonts w:ascii="Calibri"/>
          <w:b/>
          <w:color w:val="4C4D4F"/>
          <w:w w:val="110"/>
        </w:rPr>
        <w:t>Before ordering</w:t>
      </w:r>
      <w:r>
        <w:rPr>
          <w:rFonts w:ascii="Calibri"/>
          <w:b/>
          <w:color w:val="4C4D4F"/>
          <w:spacing w:val="24"/>
          <w:w w:val="110"/>
        </w:rPr>
        <w:t> </w:t>
      </w:r>
      <w:r>
        <w:rPr>
          <w:rFonts w:ascii="Calibri"/>
          <w:b/>
          <w:color w:val="4C4D4F"/>
          <w:w w:val="110"/>
        </w:rPr>
        <w:t>methadone:</w:t>
      </w:r>
    </w:p>
    <w:p>
      <w:pPr>
        <w:pStyle w:val="ListParagraph"/>
        <w:numPr>
          <w:ilvl w:val="0"/>
          <w:numId w:val="4"/>
        </w:numPr>
        <w:tabs>
          <w:tab w:pos="405" w:val="left" w:leader="none"/>
        </w:tabs>
        <w:spacing w:line="264" w:lineRule="exact" w:before="102" w:after="0"/>
        <w:ind w:left="405" w:right="336" w:hanging="270"/>
        <w:jc w:val="left"/>
        <w:rPr>
          <w:rFonts w:ascii="Arial" w:hAnsi="Arial"/>
          <w:color w:val="147592"/>
          <w:sz w:val="28"/>
        </w:rPr>
      </w:pPr>
      <w:r>
        <w:rPr>
          <w:rFonts w:ascii="Calibri" w:hAnsi="Calibri"/>
          <w:b/>
          <w:color w:val="4C4D4F"/>
          <w:w w:val="110"/>
          <w:sz w:val="22"/>
        </w:rPr>
        <w:t>Check the state PDMP </w:t>
      </w:r>
      <w:r>
        <w:rPr>
          <w:color w:val="4C4D4F"/>
          <w:w w:val="110"/>
          <w:sz w:val="22"/>
        </w:rPr>
        <w:t>for opioid or benzo- diazepine prescriptions from other</w:t>
      </w:r>
      <w:r>
        <w:rPr>
          <w:color w:val="4C4D4F"/>
          <w:spacing w:val="-34"/>
          <w:w w:val="110"/>
          <w:sz w:val="22"/>
        </w:rPr>
        <w:t> </w:t>
      </w:r>
      <w:r>
        <w:rPr>
          <w:color w:val="4C4D4F"/>
          <w:w w:val="110"/>
          <w:sz w:val="22"/>
        </w:rPr>
        <w:t>providers (see</w:t>
      </w:r>
      <w:r>
        <w:rPr>
          <w:color w:val="205E9E"/>
          <w:w w:val="110"/>
          <w:sz w:val="22"/>
        </w:rPr>
        <w:t> </w:t>
      </w:r>
      <w:hyperlink r:id="rId48">
        <w:r>
          <w:rPr>
            <w:color w:val="205E9E"/>
            <w:w w:val="110"/>
            <w:sz w:val="22"/>
            <w:u w:val="single" w:color="205E9E"/>
          </w:rPr>
          <w:t>www.nascsa.org/stateproﬁles.htm</w:t>
        </w:r>
        <w:r>
          <w:rPr>
            <w:color w:val="205E9E"/>
            <w:w w:val="110"/>
            <w:sz w:val="22"/>
          </w:rPr>
          <w:t> </w:t>
        </w:r>
      </w:hyperlink>
      <w:r>
        <w:rPr>
          <w:color w:val="4C4D4F"/>
          <w:w w:val="110"/>
          <w:sz w:val="22"/>
        </w:rPr>
        <w:t>for links to state PDMPs). Note that methadone for OUD treatment will not appear in the PDMP because of conﬁdentiality regulations regarding substance use treatment records. Obtain the patient’s consent to release </w:t>
      </w:r>
      <w:r>
        <w:rPr>
          <w:color w:val="4C4D4F"/>
          <w:spacing w:val="-6"/>
          <w:w w:val="110"/>
          <w:sz w:val="22"/>
        </w:rPr>
        <w:t>infor- </w:t>
      </w:r>
      <w:r>
        <w:rPr>
          <w:color w:val="4C4D4F"/>
          <w:w w:val="110"/>
          <w:sz w:val="22"/>
        </w:rPr>
        <w:t>mation and speak with treating providers to coordinate care for patient</w:t>
      </w:r>
      <w:r>
        <w:rPr>
          <w:color w:val="4C4D4F"/>
          <w:spacing w:val="-17"/>
          <w:w w:val="110"/>
          <w:sz w:val="22"/>
        </w:rPr>
        <w:t> </w:t>
      </w:r>
      <w:r>
        <w:rPr>
          <w:color w:val="4C4D4F"/>
          <w:spacing w:val="-3"/>
          <w:w w:val="110"/>
          <w:sz w:val="22"/>
        </w:rPr>
        <w:t>safety.</w:t>
      </w:r>
    </w:p>
    <w:p>
      <w:pPr>
        <w:pStyle w:val="Heading7"/>
        <w:numPr>
          <w:ilvl w:val="0"/>
          <w:numId w:val="4"/>
        </w:numPr>
        <w:tabs>
          <w:tab w:pos="405" w:val="left" w:leader="none"/>
        </w:tabs>
        <w:spacing w:line="313" w:lineRule="exact" w:before="31" w:after="0"/>
        <w:ind w:left="405" w:right="0" w:hanging="270"/>
        <w:jc w:val="left"/>
        <w:rPr>
          <w:rFonts w:ascii="Arial" w:hAnsi="Arial"/>
          <w:color w:val="147592"/>
          <w:sz w:val="28"/>
        </w:rPr>
      </w:pPr>
      <w:r>
        <w:rPr>
          <w:color w:val="4C4D4F"/>
          <w:spacing w:val="-6"/>
          <w:w w:val="115"/>
        </w:rPr>
        <w:t>Take </w:t>
      </w:r>
      <w:r>
        <w:rPr>
          <w:color w:val="4C4D4F"/>
          <w:w w:val="115"/>
        </w:rPr>
        <w:t>the patient’s</w:t>
      </w:r>
      <w:r>
        <w:rPr>
          <w:color w:val="4C4D4F"/>
          <w:spacing w:val="23"/>
          <w:w w:val="115"/>
        </w:rPr>
        <w:t> </w:t>
      </w:r>
      <w:r>
        <w:rPr>
          <w:color w:val="4C4D4F"/>
          <w:spacing w:val="-3"/>
          <w:w w:val="115"/>
        </w:rPr>
        <w:t>history.</w:t>
      </w:r>
    </w:p>
    <w:p>
      <w:pPr>
        <w:pStyle w:val="BodyText"/>
        <w:spacing w:line="247" w:lineRule="auto"/>
        <w:ind w:left="711" w:right="309" w:hanging="270"/>
      </w:pPr>
      <w:r>
        <w:rPr>
          <w:rFonts w:ascii="Arial"/>
          <w:color w:val="147592"/>
          <w:w w:val="145"/>
          <w:sz w:val="24"/>
        </w:rPr>
        <w:t>-</w:t>
      </w:r>
      <w:r>
        <w:rPr>
          <w:rFonts w:ascii="Arial"/>
          <w:color w:val="147592"/>
          <w:spacing w:val="5"/>
          <w:w w:val="145"/>
          <w:sz w:val="24"/>
        </w:rPr>
        <w:t> </w:t>
      </w:r>
      <w:r>
        <w:rPr>
          <w:color w:val="4C4D4F"/>
          <w:w w:val="115"/>
        </w:rPr>
        <w:t>Conduct</w:t>
      </w:r>
      <w:r>
        <w:rPr>
          <w:color w:val="4C4D4F"/>
          <w:spacing w:val="-22"/>
          <w:w w:val="115"/>
        </w:rPr>
        <w:t> </w:t>
      </w:r>
      <w:r>
        <w:rPr>
          <w:color w:val="4C4D4F"/>
          <w:w w:val="115"/>
        </w:rPr>
        <w:t>a</w:t>
      </w:r>
      <w:r>
        <w:rPr>
          <w:color w:val="4C4D4F"/>
          <w:spacing w:val="-22"/>
          <w:w w:val="115"/>
        </w:rPr>
        <w:t> </w:t>
      </w:r>
      <w:r>
        <w:rPr>
          <w:color w:val="4C4D4F"/>
          <w:w w:val="115"/>
        </w:rPr>
        <w:t>medical,</w:t>
      </w:r>
      <w:r>
        <w:rPr>
          <w:color w:val="4C4D4F"/>
          <w:spacing w:val="-22"/>
          <w:w w:val="115"/>
        </w:rPr>
        <w:t> </w:t>
      </w:r>
      <w:r>
        <w:rPr>
          <w:color w:val="4C4D4F"/>
          <w:w w:val="115"/>
        </w:rPr>
        <w:t>psychiatric,</w:t>
      </w:r>
      <w:r>
        <w:rPr>
          <w:color w:val="4C4D4F"/>
          <w:spacing w:val="-22"/>
          <w:w w:val="115"/>
        </w:rPr>
        <w:t> </w:t>
      </w:r>
      <w:r>
        <w:rPr>
          <w:color w:val="4C4D4F"/>
          <w:w w:val="115"/>
        </w:rPr>
        <w:t>substance use,</w:t>
      </w:r>
      <w:r>
        <w:rPr>
          <w:color w:val="4C4D4F"/>
          <w:spacing w:val="-27"/>
          <w:w w:val="115"/>
        </w:rPr>
        <w:t> </w:t>
      </w:r>
      <w:r>
        <w:rPr>
          <w:color w:val="4C4D4F"/>
          <w:w w:val="115"/>
        </w:rPr>
        <w:t>and</w:t>
      </w:r>
      <w:r>
        <w:rPr>
          <w:color w:val="4C4D4F"/>
          <w:spacing w:val="-27"/>
          <w:w w:val="115"/>
        </w:rPr>
        <w:t> </w:t>
      </w:r>
      <w:r>
        <w:rPr>
          <w:color w:val="4C4D4F"/>
          <w:w w:val="115"/>
        </w:rPr>
        <w:t>substance</w:t>
      </w:r>
      <w:r>
        <w:rPr>
          <w:color w:val="4C4D4F"/>
          <w:spacing w:val="-27"/>
          <w:w w:val="115"/>
        </w:rPr>
        <w:t> </w:t>
      </w:r>
      <w:r>
        <w:rPr>
          <w:color w:val="4C4D4F"/>
          <w:w w:val="115"/>
        </w:rPr>
        <w:t>use</w:t>
      </w:r>
      <w:r>
        <w:rPr>
          <w:color w:val="4C4D4F"/>
          <w:spacing w:val="-27"/>
          <w:w w:val="115"/>
        </w:rPr>
        <w:t> </w:t>
      </w:r>
      <w:r>
        <w:rPr>
          <w:color w:val="4C4D4F"/>
          <w:w w:val="115"/>
        </w:rPr>
        <w:t>treatment</w:t>
      </w:r>
      <w:r>
        <w:rPr>
          <w:color w:val="4C4D4F"/>
          <w:spacing w:val="-27"/>
          <w:w w:val="115"/>
        </w:rPr>
        <w:t> </w:t>
      </w:r>
      <w:r>
        <w:rPr>
          <w:color w:val="4C4D4F"/>
          <w:spacing w:val="-3"/>
          <w:w w:val="115"/>
        </w:rPr>
        <w:t>history.</w:t>
      </w:r>
    </w:p>
    <w:p>
      <w:pPr>
        <w:spacing w:after="0" w:line="247" w:lineRule="auto"/>
        <w:sectPr>
          <w:type w:val="continuous"/>
          <w:pgSz w:w="12240" w:h="15840"/>
          <w:pgMar w:top="540" w:bottom="280" w:left="940" w:right="920"/>
          <w:cols w:num="2" w:equalWidth="0">
            <w:col w:w="5036" w:space="189"/>
            <w:col w:w="5155"/>
          </w:cols>
        </w:sectPr>
      </w:pPr>
    </w:p>
    <w:p>
      <w:pPr>
        <w:pStyle w:val="BodyText"/>
        <w:spacing w:before="3"/>
        <w:rPr>
          <w:sz w:val="26"/>
        </w:rPr>
      </w:pPr>
    </w:p>
    <w:p>
      <w:pPr>
        <w:spacing w:after="0"/>
        <w:rPr>
          <w:sz w:val="26"/>
        </w:rPr>
        <w:sectPr>
          <w:pgSz w:w="12240" w:h="15840"/>
          <w:pgMar w:header="576" w:footer="677" w:top="1340" w:bottom="860" w:left="940" w:right="920"/>
        </w:sectPr>
      </w:pPr>
    </w:p>
    <w:p>
      <w:pPr>
        <w:pStyle w:val="ListParagraph"/>
        <w:numPr>
          <w:ilvl w:val="0"/>
          <w:numId w:val="15"/>
        </w:numPr>
        <w:tabs>
          <w:tab w:pos="716" w:val="left" w:leader="none"/>
        </w:tabs>
        <w:spacing w:line="247" w:lineRule="auto" w:before="92" w:after="0"/>
        <w:ind w:left="716" w:right="542" w:hanging="270"/>
        <w:jc w:val="left"/>
        <w:rPr>
          <w:sz w:val="22"/>
        </w:rPr>
      </w:pPr>
      <w:r>
        <w:rPr>
          <w:color w:val="4D4D4F"/>
          <w:w w:val="115"/>
          <w:sz w:val="22"/>
        </w:rPr>
        <w:t>Assess recent opioid use, including </w:t>
      </w:r>
      <w:r>
        <w:rPr>
          <w:color w:val="4D4D4F"/>
          <w:spacing w:val="-3"/>
          <w:w w:val="115"/>
          <w:sz w:val="22"/>
        </w:rPr>
        <w:t>frequency, </w:t>
      </w:r>
      <w:r>
        <w:rPr>
          <w:color w:val="4D4D4F"/>
          <w:w w:val="115"/>
          <w:sz w:val="22"/>
        </w:rPr>
        <w:t>quantity, type, route, and recency</w:t>
      </w:r>
      <w:r>
        <w:rPr>
          <w:color w:val="4D4D4F"/>
          <w:spacing w:val="-20"/>
          <w:w w:val="115"/>
          <w:sz w:val="22"/>
        </w:rPr>
        <w:t> </w:t>
      </w:r>
      <w:r>
        <w:rPr>
          <w:color w:val="4D4D4F"/>
          <w:w w:val="115"/>
          <w:sz w:val="22"/>
        </w:rPr>
        <w:t>(last</w:t>
      </w:r>
      <w:r>
        <w:rPr>
          <w:color w:val="4D4D4F"/>
          <w:spacing w:val="-20"/>
          <w:w w:val="115"/>
          <w:sz w:val="22"/>
        </w:rPr>
        <w:t> </w:t>
      </w:r>
      <w:r>
        <w:rPr>
          <w:color w:val="4D4D4F"/>
          <w:w w:val="115"/>
          <w:sz w:val="22"/>
        </w:rPr>
        <w:t>day</w:t>
      </w:r>
      <w:r>
        <w:rPr>
          <w:color w:val="4D4D4F"/>
          <w:spacing w:val="-20"/>
          <w:w w:val="115"/>
          <w:sz w:val="22"/>
        </w:rPr>
        <w:t> </w:t>
      </w:r>
      <w:r>
        <w:rPr>
          <w:color w:val="4D4D4F"/>
          <w:w w:val="115"/>
          <w:sz w:val="22"/>
        </w:rPr>
        <w:t>of</w:t>
      </w:r>
      <w:r>
        <w:rPr>
          <w:color w:val="4D4D4F"/>
          <w:spacing w:val="-19"/>
          <w:w w:val="115"/>
          <w:sz w:val="22"/>
        </w:rPr>
        <w:t> </w:t>
      </w:r>
      <w:r>
        <w:rPr>
          <w:color w:val="4D4D4F"/>
          <w:w w:val="115"/>
          <w:sz w:val="22"/>
        </w:rPr>
        <w:t>use</w:t>
      </w:r>
      <w:r>
        <w:rPr>
          <w:color w:val="4D4D4F"/>
          <w:spacing w:val="-20"/>
          <w:w w:val="115"/>
          <w:sz w:val="22"/>
        </w:rPr>
        <w:t> </w:t>
      </w:r>
      <w:r>
        <w:rPr>
          <w:color w:val="4D4D4F"/>
          <w:w w:val="115"/>
          <w:sz w:val="22"/>
        </w:rPr>
        <w:t>and</w:t>
      </w:r>
      <w:r>
        <w:rPr>
          <w:color w:val="4D4D4F"/>
          <w:spacing w:val="-20"/>
          <w:w w:val="115"/>
          <w:sz w:val="22"/>
        </w:rPr>
        <w:t> </w:t>
      </w:r>
      <w:r>
        <w:rPr>
          <w:color w:val="4D4D4F"/>
          <w:w w:val="115"/>
          <w:sz w:val="22"/>
        </w:rPr>
        <w:t>use</w:t>
      </w:r>
      <w:r>
        <w:rPr>
          <w:color w:val="4D4D4F"/>
          <w:spacing w:val="-20"/>
          <w:w w:val="115"/>
          <w:sz w:val="22"/>
        </w:rPr>
        <w:t> </w:t>
      </w:r>
      <w:r>
        <w:rPr>
          <w:color w:val="4D4D4F"/>
          <w:w w:val="115"/>
          <w:sz w:val="22"/>
        </w:rPr>
        <w:t>in</w:t>
      </w:r>
      <w:r>
        <w:rPr>
          <w:color w:val="4D4D4F"/>
          <w:spacing w:val="-19"/>
          <w:w w:val="115"/>
          <w:sz w:val="22"/>
        </w:rPr>
        <w:t> </w:t>
      </w:r>
      <w:r>
        <w:rPr>
          <w:color w:val="4D4D4F"/>
          <w:spacing w:val="-6"/>
          <w:w w:val="115"/>
          <w:sz w:val="22"/>
        </w:rPr>
        <w:t>the </w:t>
      </w:r>
      <w:r>
        <w:rPr>
          <w:color w:val="4D4D4F"/>
          <w:w w:val="115"/>
          <w:sz w:val="22"/>
        </w:rPr>
        <w:t>past 30</w:t>
      </w:r>
      <w:r>
        <w:rPr>
          <w:color w:val="4D4D4F"/>
          <w:spacing w:val="-20"/>
          <w:w w:val="115"/>
          <w:sz w:val="22"/>
        </w:rPr>
        <w:t> </w:t>
      </w:r>
      <w:r>
        <w:rPr>
          <w:color w:val="4D4D4F"/>
          <w:w w:val="115"/>
          <w:sz w:val="22"/>
        </w:rPr>
        <w:t>days).</w:t>
      </w:r>
    </w:p>
    <w:p>
      <w:pPr>
        <w:pStyle w:val="ListParagraph"/>
        <w:numPr>
          <w:ilvl w:val="0"/>
          <w:numId w:val="15"/>
        </w:numPr>
        <w:tabs>
          <w:tab w:pos="716" w:val="left" w:leader="none"/>
        </w:tabs>
        <w:spacing w:line="240" w:lineRule="auto" w:before="27" w:after="0"/>
        <w:ind w:left="716" w:right="0" w:hanging="271"/>
        <w:jc w:val="left"/>
        <w:rPr>
          <w:sz w:val="22"/>
        </w:rPr>
      </w:pPr>
      <w:r>
        <w:rPr>
          <w:color w:val="4D4D4F"/>
          <w:w w:val="110"/>
          <w:sz w:val="22"/>
        </w:rPr>
        <w:t>Establish OUD</w:t>
      </w:r>
      <w:r>
        <w:rPr>
          <w:color w:val="4D4D4F"/>
          <w:spacing w:val="-10"/>
          <w:w w:val="110"/>
          <w:sz w:val="22"/>
        </w:rPr>
        <w:t> </w:t>
      </w:r>
      <w:r>
        <w:rPr>
          <w:color w:val="4D4D4F"/>
          <w:w w:val="110"/>
          <w:sz w:val="22"/>
        </w:rPr>
        <w:t>diagnosis.</w:t>
      </w:r>
    </w:p>
    <w:p>
      <w:pPr>
        <w:pStyle w:val="ListParagraph"/>
        <w:numPr>
          <w:ilvl w:val="0"/>
          <w:numId w:val="15"/>
        </w:numPr>
        <w:tabs>
          <w:tab w:pos="716" w:val="left" w:leader="none"/>
        </w:tabs>
        <w:spacing w:line="247" w:lineRule="auto" w:before="31" w:after="0"/>
        <w:ind w:left="716" w:right="481" w:hanging="270"/>
        <w:jc w:val="both"/>
        <w:rPr>
          <w:sz w:val="22"/>
        </w:rPr>
      </w:pPr>
      <w:r>
        <w:rPr>
          <w:color w:val="4D4D4F"/>
          <w:w w:val="115"/>
          <w:sz w:val="22"/>
        </w:rPr>
        <w:t>Assess</w:t>
      </w:r>
      <w:r>
        <w:rPr>
          <w:color w:val="4D4D4F"/>
          <w:spacing w:val="-38"/>
          <w:w w:val="115"/>
          <w:sz w:val="22"/>
        </w:rPr>
        <w:t> </w:t>
      </w:r>
      <w:r>
        <w:rPr>
          <w:color w:val="4D4D4F"/>
          <w:w w:val="115"/>
          <w:sz w:val="22"/>
        </w:rPr>
        <w:t>for</w:t>
      </w:r>
      <w:r>
        <w:rPr>
          <w:color w:val="4D4D4F"/>
          <w:spacing w:val="-37"/>
          <w:w w:val="115"/>
          <w:sz w:val="22"/>
        </w:rPr>
        <w:t> </w:t>
      </w:r>
      <w:r>
        <w:rPr>
          <w:color w:val="4D4D4F"/>
          <w:w w:val="115"/>
          <w:sz w:val="22"/>
        </w:rPr>
        <w:t>other</w:t>
      </w:r>
      <w:r>
        <w:rPr>
          <w:color w:val="4D4D4F"/>
          <w:spacing w:val="-37"/>
          <w:w w:val="115"/>
          <w:sz w:val="22"/>
        </w:rPr>
        <w:t> </w:t>
      </w:r>
      <w:r>
        <w:rPr>
          <w:color w:val="4D4D4F"/>
          <w:w w:val="115"/>
          <w:sz w:val="22"/>
        </w:rPr>
        <w:t>SUDs,</w:t>
      </w:r>
      <w:r>
        <w:rPr>
          <w:color w:val="4D4D4F"/>
          <w:spacing w:val="-37"/>
          <w:w w:val="115"/>
          <w:sz w:val="22"/>
        </w:rPr>
        <w:t> </w:t>
      </w:r>
      <w:r>
        <w:rPr>
          <w:color w:val="4D4D4F"/>
          <w:w w:val="115"/>
          <w:sz w:val="22"/>
        </w:rPr>
        <w:t>including</w:t>
      </w:r>
      <w:r>
        <w:rPr>
          <w:color w:val="4D4D4F"/>
          <w:spacing w:val="-37"/>
          <w:w w:val="115"/>
          <w:sz w:val="22"/>
        </w:rPr>
        <w:t> </w:t>
      </w:r>
      <w:r>
        <w:rPr>
          <w:color w:val="4D4D4F"/>
          <w:spacing w:val="-4"/>
          <w:w w:val="115"/>
          <w:sz w:val="22"/>
        </w:rPr>
        <w:t>those </w:t>
      </w:r>
      <w:r>
        <w:rPr>
          <w:color w:val="4D4D4F"/>
          <w:w w:val="115"/>
          <w:sz w:val="22"/>
        </w:rPr>
        <w:t>that</w:t>
      </w:r>
      <w:r>
        <w:rPr>
          <w:color w:val="4D4D4F"/>
          <w:spacing w:val="-26"/>
          <w:w w:val="115"/>
          <w:sz w:val="22"/>
        </w:rPr>
        <w:t> </w:t>
      </w:r>
      <w:r>
        <w:rPr>
          <w:color w:val="4D4D4F"/>
          <w:w w:val="115"/>
          <w:sz w:val="22"/>
        </w:rPr>
        <w:t>involve</w:t>
      </w:r>
      <w:r>
        <w:rPr>
          <w:color w:val="4D4D4F"/>
          <w:spacing w:val="-25"/>
          <w:w w:val="115"/>
          <w:sz w:val="22"/>
        </w:rPr>
        <w:t> </w:t>
      </w:r>
      <w:r>
        <w:rPr>
          <w:color w:val="4D4D4F"/>
          <w:w w:val="115"/>
          <w:sz w:val="22"/>
        </w:rPr>
        <w:t>alcohol,</w:t>
      </w:r>
      <w:r>
        <w:rPr>
          <w:color w:val="4D4D4F"/>
          <w:spacing w:val="-26"/>
          <w:w w:val="115"/>
          <w:sz w:val="22"/>
        </w:rPr>
        <w:t> </w:t>
      </w:r>
      <w:r>
        <w:rPr>
          <w:color w:val="4D4D4F"/>
          <w:w w:val="115"/>
          <w:sz w:val="22"/>
        </w:rPr>
        <w:t>benzodiazepines, or</w:t>
      </w:r>
      <w:r>
        <w:rPr>
          <w:color w:val="4D4D4F"/>
          <w:spacing w:val="-11"/>
          <w:w w:val="115"/>
          <w:sz w:val="22"/>
        </w:rPr>
        <w:t> </w:t>
      </w:r>
      <w:r>
        <w:rPr>
          <w:color w:val="4D4D4F"/>
          <w:w w:val="115"/>
          <w:sz w:val="22"/>
        </w:rPr>
        <w:t>stimulants.</w:t>
      </w:r>
    </w:p>
    <w:p>
      <w:pPr>
        <w:pStyle w:val="Heading7"/>
        <w:numPr>
          <w:ilvl w:val="0"/>
          <w:numId w:val="4"/>
        </w:numPr>
        <w:tabs>
          <w:tab w:pos="410" w:val="left" w:leader="none"/>
        </w:tabs>
        <w:spacing w:line="313" w:lineRule="exact" w:before="164" w:after="0"/>
        <w:ind w:left="410" w:right="0" w:hanging="270"/>
        <w:jc w:val="left"/>
        <w:rPr>
          <w:rFonts w:ascii="Arial" w:hAnsi="Arial"/>
          <w:color w:val="137692"/>
          <w:sz w:val="28"/>
        </w:rPr>
      </w:pPr>
      <w:r>
        <w:rPr>
          <w:color w:val="4D4D4F"/>
          <w:w w:val="110"/>
        </w:rPr>
        <w:t>Conduct a physical</w:t>
      </w:r>
      <w:r>
        <w:rPr>
          <w:color w:val="4D4D4F"/>
          <w:spacing w:val="35"/>
          <w:w w:val="110"/>
        </w:rPr>
        <w:t> </w:t>
      </w:r>
      <w:r>
        <w:rPr>
          <w:color w:val="4D4D4F"/>
          <w:w w:val="110"/>
        </w:rPr>
        <w:t>exam.</w:t>
      </w:r>
    </w:p>
    <w:p>
      <w:pPr>
        <w:pStyle w:val="ListParagraph"/>
        <w:numPr>
          <w:ilvl w:val="0"/>
          <w:numId w:val="16"/>
        </w:numPr>
        <w:tabs>
          <w:tab w:pos="716" w:val="left" w:leader="none"/>
        </w:tabs>
        <w:spacing w:line="242" w:lineRule="auto" w:before="0" w:after="0"/>
        <w:ind w:left="716" w:right="449" w:hanging="270"/>
        <w:jc w:val="left"/>
        <w:rPr>
          <w:sz w:val="22"/>
        </w:rPr>
      </w:pPr>
      <w:r>
        <w:rPr>
          <w:rFonts w:ascii="Calibri" w:hAnsi="Calibri"/>
          <w:b/>
          <w:color w:val="4D4D4F"/>
          <w:w w:val="110"/>
          <w:sz w:val="22"/>
        </w:rPr>
        <w:t>Assess for signs and symptoms of intoxication. </w:t>
      </w:r>
      <w:r>
        <w:rPr>
          <w:color w:val="4D4D4F"/>
          <w:w w:val="110"/>
          <w:sz w:val="22"/>
        </w:rPr>
        <w:t>Do not give patients </w:t>
      </w:r>
      <w:r>
        <w:rPr>
          <w:color w:val="4D4D4F"/>
          <w:spacing w:val="-6"/>
          <w:w w:val="110"/>
          <w:sz w:val="22"/>
        </w:rPr>
        <w:t>who </w:t>
      </w:r>
      <w:r>
        <w:rPr>
          <w:color w:val="4D4D4F"/>
          <w:w w:val="110"/>
          <w:sz w:val="22"/>
        </w:rPr>
        <w:t>are sedated or intoxicated their ﬁrst dose. Instead, assess and treat them appropriately:</w:t>
      </w:r>
    </w:p>
    <w:p>
      <w:pPr>
        <w:pStyle w:val="ListParagraph"/>
        <w:numPr>
          <w:ilvl w:val="1"/>
          <w:numId w:val="16"/>
        </w:numPr>
        <w:tabs>
          <w:tab w:pos="950" w:val="left" w:leader="none"/>
        </w:tabs>
        <w:spacing w:line="208" w:lineRule="auto" w:before="102" w:after="0"/>
        <w:ind w:left="950" w:right="1160" w:hanging="270"/>
        <w:jc w:val="left"/>
        <w:rPr>
          <w:sz w:val="22"/>
        </w:rPr>
      </w:pPr>
      <w:r>
        <w:rPr>
          <w:color w:val="4D4D4F"/>
          <w:w w:val="110"/>
          <w:sz w:val="22"/>
        </w:rPr>
        <w:t>Identify causes of sedation </w:t>
      </w:r>
      <w:r>
        <w:rPr>
          <w:color w:val="4D4D4F"/>
          <w:spacing w:val="-9"/>
          <w:w w:val="110"/>
          <w:sz w:val="22"/>
        </w:rPr>
        <w:t>or </w:t>
      </w:r>
      <w:r>
        <w:rPr>
          <w:color w:val="4D4D4F"/>
          <w:w w:val="110"/>
          <w:sz w:val="22"/>
        </w:rPr>
        <w:t>intoxication.</w:t>
      </w:r>
    </w:p>
    <w:p>
      <w:pPr>
        <w:pStyle w:val="ListParagraph"/>
        <w:numPr>
          <w:ilvl w:val="1"/>
          <w:numId w:val="16"/>
        </w:numPr>
        <w:tabs>
          <w:tab w:pos="950" w:val="left" w:leader="none"/>
        </w:tabs>
        <w:spacing w:line="315" w:lineRule="exact" w:before="40" w:after="0"/>
        <w:ind w:left="950" w:right="0" w:hanging="270"/>
        <w:jc w:val="left"/>
        <w:rPr>
          <w:sz w:val="22"/>
        </w:rPr>
      </w:pPr>
      <w:r>
        <w:rPr>
          <w:color w:val="4D4D4F"/>
          <w:w w:val="115"/>
          <w:sz w:val="22"/>
        </w:rPr>
        <w:t>Ensure</w:t>
      </w:r>
      <w:r>
        <w:rPr>
          <w:color w:val="4D4D4F"/>
          <w:spacing w:val="-17"/>
          <w:w w:val="115"/>
          <w:sz w:val="22"/>
        </w:rPr>
        <w:t> </w:t>
      </w:r>
      <w:r>
        <w:rPr>
          <w:color w:val="4D4D4F"/>
          <w:w w:val="115"/>
          <w:sz w:val="22"/>
        </w:rPr>
        <w:t>the</w:t>
      </w:r>
      <w:r>
        <w:rPr>
          <w:color w:val="4D4D4F"/>
          <w:spacing w:val="-17"/>
          <w:w w:val="115"/>
          <w:sz w:val="22"/>
        </w:rPr>
        <w:t> </w:t>
      </w:r>
      <w:r>
        <w:rPr>
          <w:color w:val="4D4D4F"/>
          <w:w w:val="115"/>
          <w:sz w:val="22"/>
        </w:rPr>
        <w:t>patient’s</w:t>
      </w:r>
      <w:r>
        <w:rPr>
          <w:color w:val="4D4D4F"/>
          <w:spacing w:val="-17"/>
          <w:w w:val="115"/>
          <w:sz w:val="22"/>
        </w:rPr>
        <w:t> </w:t>
      </w:r>
      <w:r>
        <w:rPr>
          <w:color w:val="4D4D4F"/>
          <w:w w:val="115"/>
          <w:sz w:val="22"/>
        </w:rPr>
        <w:t>immediate</w:t>
      </w:r>
      <w:r>
        <w:rPr>
          <w:color w:val="4D4D4F"/>
          <w:spacing w:val="-17"/>
          <w:w w:val="115"/>
          <w:sz w:val="22"/>
        </w:rPr>
        <w:t> </w:t>
      </w:r>
      <w:r>
        <w:rPr>
          <w:color w:val="4D4D4F"/>
          <w:spacing w:val="-3"/>
          <w:w w:val="115"/>
          <w:sz w:val="22"/>
        </w:rPr>
        <w:t>safety.</w:t>
      </w:r>
    </w:p>
    <w:p>
      <w:pPr>
        <w:pStyle w:val="ListParagraph"/>
        <w:numPr>
          <w:ilvl w:val="1"/>
          <w:numId w:val="16"/>
        </w:numPr>
        <w:tabs>
          <w:tab w:pos="950" w:val="left" w:leader="none"/>
        </w:tabs>
        <w:spacing w:line="208" w:lineRule="auto" w:before="22" w:after="0"/>
        <w:ind w:left="950" w:right="1010" w:hanging="270"/>
        <w:jc w:val="left"/>
        <w:rPr>
          <w:sz w:val="22"/>
        </w:rPr>
      </w:pPr>
      <w:r>
        <w:rPr>
          <w:color w:val="4D4D4F"/>
          <w:w w:val="110"/>
          <w:sz w:val="22"/>
        </w:rPr>
        <w:t>Reassess methadone induction appropriateness.</w:t>
      </w:r>
    </w:p>
    <w:p>
      <w:pPr>
        <w:pStyle w:val="ListParagraph"/>
        <w:numPr>
          <w:ilvl w:val="1"/>
          <w:numId w:val="16"/>
        </w:numPr>
        <w:tabs>
          <w:tab w:pos="950" w:val="left" w:leader="none"/>
        </w:tabs>
        <w:spacing w:line="225" w:lineRule="auto" w:before="53" w:after="0"/>
        <w:ind w:left="950" w:right="100" w:hanging="270"/>
        <w:jc w:val="left"/>
        <w:rPr>
          <w:sz w:val="22"/>
        </w:rPr>
      </w:pPr>
      <w:r>
        <w:rPr>
          <w:color w:val="4D4D4F"/>
          <w:w w:val="115"/>
          <w:sz w:val="22"/>
        </w:rPr>
        <w:t>Develop a plan to reattempt induction or</w:t>
      </w:r>
      <w:r>
        <w:rPr>
          <w:color w:val="4D4D4F"/>
          <w:spacing w:val="-37"/>
          <w:w w:val="115"/>
          <w:sz w:val="22"/>
        </w:rPr>
        <w:t> </w:t>
      </w:r>
      <w:r>
        <w:rPr>
          <w:color w:val="4D4D4F"/>
          <w:w w:val="115"/>
          <w:sz w:val="22"/>
        </w:rPr>
        <w:t>follow</w:t>
      </w:r>
      <w:r>
        <w:rPr>
          <w:color w:val="4D4D4F"/>
          <w:spacing w:val="-36"/>
          <w:w w:val="115"/>
          <w:sz w:val="22"/>
        </w:rPr>
        <w:t> </w:t>
      </w:r>
      <w:r>
        <w:rPr>
          <w:color w:val="4D4D4F"/>
          <w:w w:val="115"/>
          <w:sz w:val="22"/>
        </w:rPr>
        <w:t>a</w:t>
      </w:r>
      <w:r>
        <w:rPr>
          <w:color w:val="4D4D4F"/>
          <w:spacing w:val="-37"/>
          <w:w w:val="115"/>
          <w:sz w:val="22"/>
        </w:rPr>
        <w:t> </w:t>
      </w:r>
      <w:r>
        <w:rPr>
          <w:color w:val="4D4D4F"/>
          <w:w w:val="115"/>
          <w:sz w:val="22"/>
        </w:rPr>
        <w:t>different</w:t>
      </w:r>
      <w:r>
        <w:rPr>
          <w:color w:val="4D4D4F"/>
          <w:spacing w:val="-36"/>
          <w:w w:val="115"/>
          <w:sz w:val="22"/>
        </w:rPr>
        <w:t> </w:t>
      </w:r>
      <w:r>
        <w:rPr>
          <w:color w:val="4D4D4F"/>
          <w:w w:val="115"/>
          <w:sz w:val="22"/>
        </w:rPr>
        <w:t>course</w:t>
      </w:r>
      <w:r>
        <w:rPr>
          <w:color w:val="4D4D4F"/>
          <w:spacing w:val="-37"/>
          <w:w w:val="115"/>
          <w:sz w:val="22"/>
        </w:rPr>
        <w:t> </w:t>
      </w:r>
      <w:r>
        <w:rPr>
          <w:color w:val="4D4D4F"/>
          <w:w w:val="115"/>
          <w:sz w:val="22"/>
        </w:rPr>
        <w:t>of</w:t>
      </w:r>
      <w:r>
        <w:rPr>
          <w:color w:val="4D4D4F"/>
          <w:spacing w:val="-36"/>
          <w:w w:val="115"/>
          <w:sz w:val="22"/>
        </w:rPr>
        <w:t> </w:t>
      </w:r>
      <w:r>
        <w:rPr>
          <w:color w:val="4D4D4F"/>
          <w:spacing w:val="-3"/>
          <w:w w:val="115"/>
          <w:sz w:val="22"/>
        </w:rPr>
        <w:t>treatment </w:t>
      </w:r>
      <w:r>
        <w:rPr>
          <w:color w:val="4D4D4F"/>
          <w:w w:val="115"/>
          <w:sz w:val="22"/>
        </w:rPr>
        <w:t>as</w:t>
      </w:r>
      <w:r>
        <w:rPr>
          <w:color w:val="4D4D4F"/>
          <w:spacing w:val="-10"/>
          <w:w w:val="115"/>
          <w:sz w:val="22"/>
        </w:rPr>
        <w:t> </w:t>
      </w:r>
      <w:r>
        <w:rPr>
          <w:color w:val="4D4D4F"/>
          <w:w w:val="115"/>
          <w:sz w:val="22"/>
        </w:rPr>
        <w:t>appropriate.</w:t>
      </w:r>
    </w:p>
    <w:p>
      <w:pPr>
        <w:pStyle w:val="ListParagraph"/>
        <w:numPr>
          <w:ilvl w:val="0"/>
          <w:numId w:val="16"/>
        </w:numPr>
        <w:tabs>
          <w:tab w:pos="716" w:val="left" w:leader="none"/>
        </w:tabs>
        <w:spacing w:line="244" w:lineRule="auto" w:before="84" w:after="0"/>
        <w:ind w:left="716" w:right="38" w:hanging="270"/>
        <w:jc w:val="left"/>
        <w:rPr>
          <w:sz w:val="22"/>
        </w:rPr>
      </w:pPr>
      <w:r>
        <w:rPr/>
        <w:pict>
          <v:group style="position:absolute;margin-left:314.501007pt;margin-top:22.316071pt;width:243.5pt;height:264.2pt;mso-position-horizontal-relative:page;mso-position-vertical-relative:paragraph;z-index:15746048" coordorigin="6290,446" coordsize="4870,5284">
            <v:rect style="position:absolute;left:6295;top:451;width:4860;height:5274" filled="false" stroked="true" strokeweight=".5pt" strokecolor="#88aabd">
              <v:stroke dashstyle="solid"/>
            </v:rect>
            <v:shape style="position:absolute;left:6300;top:1043;width:4850;height:4677" type="#_x0000_t202" filled="false" stroked="false">
              <v:textbox inset="0,0,0,0">
                <w:txbxContent>
                  <w:p>
                    <w:pPr>
                      <w:spacing w:before="59"/>
                      <w:ind w:left="230" w:right="0" w:firstLine="0"/>
                      <w:jc w:val="left"/>
                      <w:rPr>
                        <w:rFonts w:ascii="Arial"/>
                        <w:b/>
                        <w:sz w:val="24"/>
                      </w:rPr>
                    </w:pPr>
                    <w:r>
                      <w:rPr>
                        <w:rFonts w:ascii="Arial"/>
                        <w:b/>
                        <w:color w:val="137692"/>
                        <w:w w:val="110"/>
                        <w:sz w:val="24"/>
                      </w:rPr>
                      <w:t>Opioid Withdrawal Scales</w:t>
                    </w:r>
                  </w:p>
                  <w:p>
                    <w:pPr>
                      <w:spacing w:line="348" w:lineRule="auto" w:before="198"/>
                      <w:ind w:left="230" w:right="780" w:firstLine="0"/>
                      <w:jc w:val="left"/>
                      <w:rPr>
                        <w:rFonts w:ascii="Arial"/>
                        <w:sz w:val="18"/>
                      </w:rPr>
                    </w:pPr>
                    <w:r>
                      <w:rPr>
                        <w:rFonts w:ascii="Arial"/>
                        <w:color w:val="414142"/>
                        <w:w w:val="115"/>
                        <w:sz w:val="18"/>
                      </w:rPr>
                      <w:t>The COWS and other opioid withdrawal scales from Annex 10 of the World Health</w:t>
                    </w:r>
                  </w:p>
                  <w:p>
                    <w:pPr>
                      <w:spacing w:line="348" w:lineRule="auto" w:before="0"/>
                      <w:ind w:left="230" w:right="181" w:firstLine="0"/>
                      <w:jc w:val="left"/>
                      <w:rPr>
                        <w:rFonts w:ascii="Arial" w:hAnsi="Arial"/>
                        <w:sz w:val="18"/>
                      </w:rPr>
                    </w:pPr>
                    <w:r>
                      <w:rPr>
                        <w:rFonts w:ascii="Arial" w:hAnsi="Arial"/>
                        <w:color w:val="414142"/>
                        <w:w w:val="115"/>
                        <w:sz w:val="18"/>
                      </w:rPr>
                      <w:t>Organization’s </w:t>
                    </w:r>
                    <w:r>
                      <w:rPr>
                        <w:rFonts w:ascii="Arial" w:hAnsi="Arial"/>
                        <w:i/>
                        <w:color w:val="414142"/>
                        <w:w w:val="115"/>
                        <w:sz w:val="18"/>
                      </w:rPr>
                      <w:t>Guidelines for the Psychosocially </w:t>
                    </w:r>
                    <w:r>
                      <w:rPr>
                        <w:rFonts w:ascii="Arial" w:hAnsi="Arial"/>
                        <w:i/>
                        <w:color w:val="414142"/>
                        <w:w w:val="115"/>
                        <w:sz w:val="18"/>
                      </w:rPr>
                      <w:t>Assisted Pharmacological Treatment of Opioid Dependence </w:t>
                    </w:r>
                    <w:r>
                      <w:rPr>
                        <w:rFonts w:ascii="Arial" w:hAnsi="Arial"/>
                        <w:color w:val="414142"/>
                        <w:w w:val="115"/>
                        <w:sz w:val="18"/>
                      </w:rPr>
                      <w:t>can be downloaded from the National Center for Biotechnology Information website (</w:t>
                    </w:r>
                    <w:hyperlink r:id="rId49">
                      <w:r>
                        <w:rPr>
                          <w:rFonts w:ascii="Arial" w:hAnsi="Arial"/>
                          <w:color w:val="3B68A6"/>
                          <w:w w:val="115"/>
                          <w:sz w:val="18"/>
                          <w:u w:val="single" w:color="3B68A6"/>
                        </w:rPr>
                        <w:t>www.ncbi.nlm.nih.gov/books</w:t>
                      </w:r>
                    </w:hyperlink>
                  </w:p>
                  <w:p>
                    <w:pPr>
                      <w:spacing w:line="207" w:lineRule="exact" w:before="0"/>
                      <w:ind w:left="230" w:right="0" w:firstLine="0"/>
                      <w:jc w:val="left"/>
                      <w:rPr>
                        <w:rFonts w:ascii="Arial"/>
                        <w:sz w:val="18"/>
                      </w:rPr>
                    </w:pPr>
                    <w:r>
                      <w:rPr>
                        <w:rFonts w:ascii="Arial"/>
                        <w:color w:val="3B68A6"/>
                        <w:sz w:val="18"/>
                        <w:u w:val="single" w:color="3B68A6"/>
                      </w:rPr>
                      <w:t>/NBK143183</w:t>
                    </w:r>
                    <w:r>
                      <w:rPr>
                        <w:rFonts w:ascii="Arial"/>
                        <w:color w:val="414142"/>
                        <w:sz w:val="18"/>
                      </w:rPr>
                      <w:t>).</w:t>
                    </w:r>
                  </w:p>
                  <w:p>
                    <w:pPr>
                      <w:spacing w:line="240" w:lineRule="auto" w:before="7"/>
                      <w:rPr>
                        <w:rFonts w:ascii="Arial"/>
                        <w:sz w:val="20"/>
                      </w:rPr>
                    </w:pPr>
                  </w:p>
                  <w:p>
                    <w:pPr>
                      <w:spacing w:line="348" w:lineRule="auto" w:before="0"/>
                      <w:ind w:left="230" w:right="354" w:firstLine="0"/>
                      <w:jc w:val="left"/>
                      <w:rPr>
                        <w:rFonts w:ascii="Arial"/>
                        <w:sz w:val="18"/>
                      </w:rPr>
                    </w:pPr>
                    <w:r>
                      <w:rPr>
                        <w:rFonts w:ascii="Arial"/>
                        <w:color w:val="414142"/>
                        <w:w w:val="115"/>
                        <w:sz w:val="18"/>
                      </w:rPr>
                      <w:t>The CINA Scale for Withdrawal Symptoms also is available online (</w:t>
                    </w:r>
                    <w:r>
                      <w:rPr>
                        <w:rFonts w:ascii="Arial"/>
                        <w:color w:val="3B68A6"/>
                        <w:w w:val="115"/>
                        <w:sz w:val="18"/>
                        <w:u w:val="single" w:color="3B68A6"/>
                      </w:rPr>
                      <w:t>https://ncpoep.org/wp-</w:t>
                    </w:r>
                    <w:r>
                      <w:rPr>
                        <w:rFonts w:ascii="Arial"/>
                        <w:color w:val="3B68A6"/>
                        <w:w w:val="115"/>
                        <w:sz w:val="18"/>
                      </w:rPr>
                      <w:t> </w:t>
                    </w:r>
                    <w:r>
                      <w:rPr>
                        <w:rFonts w:ascii="Arial"/>
                        <w:color w:val="3B68A6"/>
                        <w:w w:val="110"/>
                        <w:sz w:val="18"/>
                        <w:u w:val="single" w:color="3B68A6"/>
                      </w:rPr>
                      <w:t>content/uploads/2015/02/Appendix_7_Clinical_</w:t>
                    </w:r>
                    <w:r>
                      <w:rPr>
                        <w:rFonts w:ascii="Arial"/>
                        <w:color w:val="3B68A6"/>
                        <w:w w:val="110"/>
                        <w:sz w:val="18"/>
                      </w:rPr>
                      <w:t> </w:t>
                    </w:r>
                    <w:r>
                      <w:rPr>
                        <w:rFonts w:ascii="Arial"/>
                        <w:color w:val="3B68A6"/>
                        <w:w w:val="110"/>
                        <w:sz w:val="18"/>
                        <w:u w:val="single" w:color="3B68A6"/>
                      </w:rPr>
                      <w:t>Institute_Narcotic_Assessment_CINA_Scale_</w:t>
                    </w:r>
                    <w:r>
                      <w:rPr>
                        <w:rFonts w:ascii="Arial"/>
                        <w:color w:val="3B68A6"/>
                        <w:w w:val="110"/>
                        <w:sz w:val="18"/>
                      </w:rPr>
                      <w:t> </w:t>
                    </w:r>
                    <w:r>
                      <w:rPr>
                        <w:rFonts w:ascii="Arial"/>
                        <w:color w:val="3B68A6"/>
                        <w:w w:val="115"/>
                        <w:sz w:val="18"/>
                        <w:u w:val="single" w:color="3B68A6"/>
                      </w:rPr>
                      <w:t>for_Withdrawal_Symptoms.pdf</w:t>
                    </w:r>
                    <w:r>
                      <w:rPr>
                        <w:rFonts w:ascii="Arial"/>
                        <w:color w:val="414142"/>
                        <w:w w:val="115"/>
                        <w:sz w:val="18"/>
                      </w:rPr>
                      <w:t>).</w:t>
                    </w:r>
                  </w:p>
                </w:txbxContent>
              </v:textbox>
              <w10:wrap type="none"/>
            </v:shape>
            <v:shape style="position:absolute;left:6300;top:456;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none"/>
          </v:group>
        </w:pict>
      </w:r>
      <w:r>
        <w:rPr>
          <w:rFonts w:ascii="Calibri" w:hAnsi="Calibri"/>
          <w:b/>
          <w:color w:val="4D4D4F"/>
          <w:w w:val="115"/>
          <w:sz w:val="22"/>
        </w:rPr>
        <w:t>Assess for signs and symptoms of </w:t>
      </w:r>
      <w:r>
        <w:rPr>
          <w:rFonts w:ascii="Calibri" w:hAnsi="Calibri"/>
          <w:b/>
          <w:color w:val="4D4D4F"/>
          <w:spacing w:val="-3"/>
          <w:w w:val="115"/>
          <w:sz w:val="22"/>
        </w:rPr>
        <w:t>opioid </w:t>
      </w:r>
      <w:r>
        <w:rPr>
          <w:rFonts w:ascii="Calibri" w:hAnsi="Calibri"/>
          <w:b/>
          <w:color w:val="4D4D4F"/>
          <w:w w:val="115"/>
          <w:sz w:val="22"/>
        </w:rPr>
        <w:t>withdrawal and physiological depen- dence. </w:t>
      </w:r>
      <w:r>
        <w:rPr>
          <w:color w:val="4D4D4F"/>
          <w:w w:val="115"/>
          <w:sz w:val="22"/>
        </w:rPr>
        <w:t>One approach to documenting withdrawal</w:t>
      </w:r>
      <w:r>
        <w:rPr>
          <w:color w:val="4D4D4F"/>
          <w:spacing w:val="-28"/>
          <w:w w:val="115"/>
          <w:sz w:val="22"/>
        </w:rPr>
        <w:t> </w:t>
      </w:r>
      <w:r>
        <w:rPr>
          <w:color w:val="4D4D4F"/>
          <w:w w:val="115"/>
          <w:sz w:val="22"/>
        </w:rPr>
        <w:t>symptoms</w:t>
      </w:r>
      <w:r>
        <w:rPr>
          <w:color w:val="4D4D4F"/>
          <w:spacing w:val="-28"/>
          <w:w w:val="115"/>
          <w:sz w:val="22"/>
        </w:rPr>
        <w:t> </w:t>
      </w:r>
      <w:r>
        <w:rPr>
          <w:color w:val="4D4D4F"/>
          <w:w w:val="115"/>
          <w:sz w:val="22"/>
        </w:rPr>
        <w:t>is</w:t>
      </w:r>
      <w:r>
        <w:rPr>
          <w:color w:val="4D4D4F"/>
          <w:spacing w:val="-27"/>
          <w:w w:val="115"/>
          <w:sz w:val="22"/>
        </w:rPr>
        <w:t> </w:t>
      </w:r>
      <w:r>
        <w:rPr>
          <w:color w:val="4D4D4F"/>
          <w:w w:val="115"/>
          <w:sz w:val="22"/>
        </w:rPr>
        <w:t>to</w:t>
      </w:r>
      <w:r>
        <w:rPr>
          <w:color w:val="4D4D4F"/>
          <w:spacing w:val="-28"/>
          <w:w w:val="115"/>
          <w:sz w:val="22"/>
        </w:rPr>
        <w:t> </w:t>
      </w:r>
      <w:r>
        <w:rPr>
          <w:color w:val="4D4D4F"/>
          <w:w w:val="115"/>
          <w:sz w:val="22"/>
        </w:rPr>
        <w:t>use</w:t>
      </w:r>
      <w:r>
        <w:rPr>
          <w:color w:val="4D4D4F"/>
          <w:spacing w:val="-27"/>
          <w:w w:val="115"/>
          <w:sz w:val="22"/>
        </w:rPr>
        <w:t> </w:t>
      </w:r>
      <w:r>
        <w:rPr>
          <w:color w:val="4D4D4F"/>
          <w:w w:val="115"/>
          <w:sz w:val="22"/>
        </w:rPr>
        <w:t>a</w:t>
      </w:r>
      <w:r>
        <w:rPr>
          <w:color w:val="4D4D4F"/>
          <w:spacing w:val="-28"/>
          <w:w w:val="115"/>
          <w:sz w:val="22"/>
        </w:rPr>
        <w:t> </w:t>
      </w:r>
      <w:r>
        <w:rPr>
          <w:color w:val="4D4D4F"/>
          <w:w w:val="115"/>
          <w:sz w:val="22"/>
        </w:rPr>
        <w:t>scale</w:t>
      </w:r>
      <w:r>
        <w:rPr>
          <w:color w:val="4D4D4F"/>
          <w:spacing w:val="-27"/>
          <w:w w:val="115"/>
          <w:sz w:val="22"/>
        </w:rPr>
        <w:t> </w:t>
      </w:r>
      <w:r>
        <w:rPr>
          <w:color w:val="4D4D4F"/>
          <w:spacing w:val="-5"/>
          <w:w w:val="115"/>
          <w:sz w:val="22"/>
        </w:rPr>
        <w:t>such </w:t>
      </w:r>
      <w:r>
        <w:rPr>
          <w:color w:val="4D4D4F"/>
          <w:w w:val="115"/>
          <w:sz w:val="22"/>
        </w:rPr>
        <w:t>as the Clinical Opioid Withdrawal Scale (COWS)</w:t>
      </w:r>
      <w:r>
        <w:rPr>
          <w:color w:val="4D4D4F"/>
          <w:spacing w:val="-44"/>
          <w:w w:val="115"/>
          <w:sz w:val="22"/>
        </w:rPr>
        <w:t> </w:t>
      </w:r>
      <w:r>
        <w:rPr>
          <w:color w:val="4D4D4F"/>
          <w:w w:val="115"/>
          <w:sz w:val="22"/>
        </w:rPr>
        <w:t>or</w:t>
      </w:r>
      <w:r>
        <w:rPr>
          <w:color w:val="4D4D4F"/>
          <w:spacing w:val="-44"/>
          <w:w w:val="115"/>
          <w:sz w:val="22"/>
        </w:rPr>
        <w:t> </w:t>
      </w:r>
      <w:r>
        <w:rPr>
          <w:color w:val="4D4D4F"/>
          <w:w w:val="115"/>
          <w:sz w:val="22"/>
        </w:rPr>
        <w:t>the</w:t>
      </w:r>
      <w:r>
        <w:rPr>
          <w:color w:val="4D4D4F"/>
          <w:spacing w:val="-43"/>
          <w:w w:val="115"/>
          <w:sz w:val="22"/>
        </w:rPr>
        <w:t> </w:t>
      </w:r>
      <w:r>
        <w:rPr>
          <w:color w:val="4D4D4F"/>
          <w:w w:val="115"/>
          <w:sz w:val="22"/>
        </w:rPr>
        <w:t>Clinical</w:t>
      </w:r>
      <w:r>
        <w:rPr>
          <w:color w:val="4D4D4F"/>
          <w:spacing w:val="-44"/>
          <w:w w:val="115"/>
          <w:sz w:val="22"/>
        </w:rPr>
        <w:t> </w:t>
      </w:r>
      <w:r>
        <w:rPr>
          <w:color w:val="4D4D4F"/>
          <w:w w:val="115"/>
          <w:sz w:val="22"/>
        </w:rPr>
        <w:t>Institute</w:t>
      </w:r>
      <w:r>
        <w:rPr>
          <w:color w:val="4D4D4F"/>
          <w:spacing w:val="-43"/>
          <w:w w:val="115"/>
          <w:sz w:val="22"/>
        </w:rPr>
        <w:t> </w:t>
      </w:r>
      <w:r>
        <w:rPr>
          <w:color w:val="4D4D4F"/>
          <w:w w:val="115"/>
          <w:sz w:val="22"/>
        </w:rPr>
        <w:t>Narcotic Assessment</w:t>
      </w:r>
      <w:r>
        <w:rPr>
          <w:color w:val="4D4D4F"/>
          <w:spacing w:val="-41"/>
          <w:w w:val="115"/>
          <w:sz w:val="22"/>
        </w:rPr>
        <w:t> </w:t>
      </w:r>
      <w:r>
        <w:rPr>
          <w:color w:val="4D4D4F"/>
          <w:w w:val="115"/>
          <w:sz w:val="22"/>
        </w:rPr>
        <w:t>(CINA)</w:t>
      </w:r>
      <w:r>
        <w:rPr>
          <w:color w:val="4D4D4F"/>
          <w:spacing w:val="-41"/>
          <w:w w:val="115"/>
          <w:sz w:val="22"/>
        </w:rPr>
        <w:t> </w:t>
      </w:r>
      <w:r>
        <w:rPr>
          <w:color w:val="4D4D4F"/>
          <w:w w:val="115"/>
          <w:sz w:val="22"/>
        </w:rPr>
        <w:t>Scale</w:t>
      </w:r>
      <w:r>
        <w:rPr>
          <w:color w:val="4D4D4F"/>
          <w:spacing w:val="-41"/>
          <w:w w:val="115"/>
          <w:sz w:val="22"/>
        </w:rPr>
        <w:t> </w:t>
      </w:r>
      <w:r>
        <w:rPr>
          <w:color w:val="4D4D4F"/>
          <w:w w:val="115"/>
          <w:sz w:val="22"/>
        </w:rPr>
        <w:t>for</w:t>
      </w:r>
      <w:r>
        <w:rPr>
          <w:color w:val="4D4D4F"/>
          <w:spacing w:val="-41"/>
          <w:w w:val="115"/>
          <w:sz w:val="22"/>
        </w:rPr>
        <w:t> </w:t>
      </w:r>
      <w:r>
        <w:rPr>
          <w:color w:val="4D4D4F"/>
          <w:w w:val="115"/>
          <w:sz w:val="22"/>
        </w:rPr>
        <w:t>Withdrawal Symptoms (see “Resource Alert: Opioid Withdrawal</w:t>
      </w:r>
      <w:r>
        <w:rPr>
          <w:color w:val="4D4D4F"/>
          <w:spacing w:val="-34"/>
          <w:w w:val="115"/>
          <w:sz w:val="22"/>
        </w:rPr>
        <w:t> </w:t>
      </w:r>
      <w:r>
        <w:rPr>
          <w:color w:val="4D4D4F"/>
          <w:w w:val="115"/>
          <w:sz w:val="22"/>
        </w:rPr>
        <w:t>Scales”).</w:t>
      </w:r>
      <w:r>
        <w:rPr>
          <w:color w:val="4D4D4F"/>
          <w:spacing w:val="-34"/>
          <w:w w:val="115"/>
          <w:sz w:val="22"/>
        </w:rPr>
        <w:t> </w:t>
      </w:r>
      <w:r>
        <w:rPr>
          <w:color w:val="4D4D4F"/>
          <w:w w:val="115"/>
          <w:sz w:val="22"/>
        </w:rPr>
        <w:t>Before</w:t>
      </w:r>
      <w:r>
        <w:rPr>
          <w:color w:val="4D4D4F"/>
          <w:spacing w:val="-34"/>
          <w:w w:val="115"/>
          <w:sz w:val="22"/>
        </w:rPr>
        <w:t> </w:t>
      </w:r>
      <w:r>
        <w:rPr>
          <w:color w:val="4D4D4F"/>
          <w:w w:val="115"/>
          <w:sz w:val="22"/>
        </w:rPr>
        <w:t>the</w:t>
      </w:r>
      <w:r>
        <w:rPr>
          <w:color w:val="4D4D4F"/>
          <w:spacing w:val="-34"/>
          <w:w w:val="115"/>
          <w:sz w:val="22"/>
        </w:rPr>
        <w:t> </w:t>
      </w:r>
      <w:r>
        <w:rPr>
          <w:color w:val="4D4D4F"/>
          <w:w w:val="115"/>
          <w:sz w:val="22"/>
        </w:rPr>
        <w:t>ﬁrst</w:t>
      </w:r>
      <w:r>
        <w:rPr>
          <w:color w:val="4D4D4F"/>
          <w:spacing w:val="-34"/>
          <w:w w:val="115"/>
          <w:sz w:val="22"/>
        </w:rPr>
        <w:t> </w:t>
      </w:r>
      <w:r>
        <w:rPr>
          <w:color w:val="4D4D4F"/>
          <w:w w:val="115"/>
          <w:sz w:val="22"/>
        </w:rPr>
        <w:t>dose of methadone, conﬁrm signs of opioid withdrawal to provide some conﬁdence that</w:t>
      </w:r>
      <w:r>
        <w:rPr>
          <w:color w:val="4D4D4F"/>
          <w:spacing w:val="-15"/>
          <w:w w:val="115"/>
          <w:sz w:val="22"/>
        </w:rPr>
        <w:t> </w:t>
      </w:r>
      <w:r>
        <w:rPr>
          <w:color w:val="4D4D4F"/>
          <w:w w:val="115"/>
          <w:sz w:val="22"/>
        </w:rPr>
        <w:t>the</w:t>
      </w:r>
      <w:r>
        <w:rPr>
          <w:color w:val="4D4D4F"/>
          <w:spacing w:val="-15"/>
          <w:w w:val="115"/>
          <w:sz w:val="22"/>
        </w:rPr>
        <w:t> </w:t>
      </w:r>
      <w:r>
        <w:rPr>
          <w:color w:val="4D4D4F"/>
          <w:w w:val="115"/>
          <w:sz w:val="22"/>
        </w:rPr>
        <w:t>patient</w:t>
      </w:r>
      <w:r>
        <w:rPr>
          <w:color w:val="4D4D4F"/>
          <w:spacing w:val="-14"/>
          <w:w w:val="115"/>
          <w:sz w:val="22"/>
        </w:rPr>
        <w:t> </w:t>
      </w:r>
      <w:r>
        <w:rPr>
          <w:color w:val="4D4D4F"/>
          <w:w w:val="115"/>
          <w:sz w:val="22"/>
        </w:rPr>
        <w:t>is</w:t>
      </w:r>
      <w:r>
        <w:rPr>
          <w:color w:val="4D4D4F"/>
          <w:spacing w:val="-15"/>
          <w:w w:val="115"/>
          <w:sz w:val="22"/>
        </w:rPr>
        <w:t> </w:t>
      </w:r>
      <w:r>
        <w:rPr>
          <w:color w:val="4D4D4F"/>
          <w:w w:val="115"/>
          <w:sz w:val="22"/>
        </w:rPr>
        <w:t>opioid</w:t>
      </w:r>
      <w:r>
        <w:rPr>
          <w:color w:val="4D4D4F"/>
          <w:spacing w:val="-14"/>
          <w:w w:val="115"/>
          <w:sz w:val="22"/>
        </w:rPr>
        <w:t> </w:t>
      </w:r>
      <w:r>
        <w:rPr>
          <w:color w:val="4D4D4F"/>
          <w:w w:val="115"/>
          <w:sz w:val="22"/>
        </w:rPr>
        <w:t>tolerant</w:t>
      </w:r>
      <w:r>
        <w:rPr>
          <w:color w:val="4D4D4F"/>
          <w:spacing w:val="-15"/>
          <w:w w:val="115"/>
          <w:sz w:val="22"/>
        </w:rPr>
        <w:t> </w:t>
      </w:r>
      <w:r>
        <w:rPr>
          <w:color w:val="4D4D4F"/>
          <w:w w:val="115"/>
          <w:sz w:val="22"/>
        </w:rPr>
        <w:t>and</w:t>
      </w:r>
    </w:p>
    <w:p>
      <w:pPr>
        <w:pStyle w:val="BodyText"/>
        <w:spacing w:line="247" w:lineRule="auto" w:before="9"/>
        <w:ind w:left="716" w:right="74"/>
        <w:rPr>
          <w:sz w:val="13"/>
        </w:rPr>
      </w:pPr>
      <w:r>
        <w:rPr>
          <w:color w:val="4D4D4F"/>
          <w:w w:val="115"/>
        </w:rPr>
        <w:t>can begin dose induction. The Naloxone Challenge</w:t>
      </w:r>
      <w:r>
        <w:rPr>
          <w:color w:val="4D4D4F"/>
          <w:spacing w:val="-25"/>
          <w:w w:val="115"/>
        </w:rPr>
        <w:t> </w:t>
      </w:r>
      <w:r>
        <w:rPr>
          <w:color w:val="4D4D4F"/>
          <w:w w:val="115"/>
        </w:rPr>
        <w:t>should</w:t>
      </w:r>
      <w:r>
        <w:rPr>
          <w:color w:val="4D4D4F"/>
          <w:spacing w:val="-25"/>
          <w:w w:val="115"/>
        </w:rPr>
        <w:t> </w:t>
      </w:r>
      <w:r>
        <w:rPr>
          <w:color w:val="4D4D4F"/>
          <w:w w:val="115"/>
        </w:rPr>
        <w:t>not</w:t>
      </w:r>
      <w:r>
        <w:rPr>
          <w:color w:val="4D4D4F"/>
          <w:spacing w:val="-25"/>
          <w:w w:val="115"/>
        </w:rPr>
        <w:t> </w:t>
      </w:r>
      <w:r>
        <w:rPr>
          <w:color w:val="4D4D4F"/>
          <w:w w:val="115"/>
        </w:rPr>
        <w:t>be</w:t>
      </w:r>
      <w:r>
        <w:rPr>
          <w:color w:val="4D4D4F"/>
          <w:spacing w:val="-25"/>
          <w:w w:val="115"/>
        </w:rPr>
        <w:t> </w:t>
      </w:r>
      <w:r>
        <w:rPr>
          <w:color w:val="4D4D4F"/>
          <w:w w:val="115"/>
        </w:rPr>
        <w:t>routinely</w:t>
      </w:r>
      <w:r>
        <w:rPr>
          <w:color w:val="4D4D4F"/>
          <w:spacing w:val="-24"/>
          <w:w w:val="115"/>
        </w:rPr>
        <w:t> </w:t>
      </w:r>
      <w:r>
        <w:rPr>
          <w:color w:val="4D4D4F"/>
          <w:w w:val="115"/>
        </w:rPr>
        <w:t>used</w:t>
      </w:r>
      <w:r>
        <w:rPr>
          <w:color w:val="4D4D4F"/>
          <w:spacing w:val="-25"/>
          <w:w w:val="115"/>
        </w:rPr>
        <w:t> </w:t>
      </w:r>
      <w:r>
        <w:rPr>
          <w:color w:val="4D4D4F"/>
          <w:w w:val="115"/>
        </w:rPr>
        <w:t>to determine</w:t>
      </w:r>
      <w:r>
        <w:rPr>
          <w:color w:val="4D4D4F"/>
          <w:spacing w:val="-38"/>
          <w:w w:val="115"/>
        </w:rPr>
        <w:t> </w:t>
      </w:r>
      <w:r>
        <w:rPr>
          <w:color w:val="4D4D4F"/>
          <w:w w:val="115"/>
        </w:rPr>
        <w:t>physiologic</w:t>
      </w:r>
      <w:r>
        <w:rPr>
          <w:color w:val="4D4D4F"/>
          <w:spacing w:val="-38"/>
          <w:w w:val="115"/>
        </w:rPr>
        <w:t> </w:t>
      </w:r>
      <w:r>
        <w:rPr>
          <w:color w:val="4D4D4F"/>
          <w:w w:val="115"/>
        </w:rPr>
        <w:t>withdrawal</w:t>
      </w:r>
      <w:r>
        <w:rPr>
          <w:color w:val="4D4D4F"/>
          <w:spacing w:val="-38"/>
          <w:w w:val="115"/>
        </w:rPr>
        <w:t> </w:t>
      </w:r>
      <w:r>
        <w:rPr>
          <w:color w:val="4D4D4F"/>
          <w:spacing w:val="-3"/>
          <w:w w:val="115"/>
        </w:rPr>
        <w:t>because </w:t>
      </w:r>
      <w:r>
        <w:rPr>
          <w:color w:val="4D4D4F"/>
          <w:w w:val="115"/>
        </w:rPr>
        <w:t>withdrawal symptoms will be visible, if present, on physical exam if enough time has</w:t>
      </w:r>
      <w:r>
        <w:rPr>
          <w:color w:val="4D4D4F"/>
          <w:spacing w:val="-11"/>
          <w:w w:val="115"/>
        </w:rPr>
        <w:t> </w:t>
      </w:r>
      <w:r>
        <w:rPr>
          <w:color w:val="4D4D4F"/>
          <w:w w:val="115"/>
        </w:rPr>
        <w:t>passed</w:t>
      </w:r>
      <w:r>
        <w:rPr>
          <w:color w:val="4D4D4F"/>
          <w:spacing w:val="-11"/>
          <w:w w:val="115"/>
        </w:rPr>
        <w:t> </w:t>
      </w:r>
      <w:r>
        <w:rPr>
          <w:color w:val="4D4D4F"/>
          <w:w w:val="115"/>
        </w:rPr>
        <w:t>since</w:t>
      </w:r>
      <w:r>
        <w:rPr>
          <w:color w:val="4D4D4F"/>
          <w:spacing w:val="-11"/>
          <w:w w:val="115"/>
        </w:rPr>
        <w:t> </w:t>
      </w:r>
      <w:r>
        <w:rPr>
          <w:color w:val="4D4D4F"/>
          <w:w w:val="115"/>
        </w:rPr>
        <w:t>last</w:t>
      </w:r>
      <w:r>
        <w:rPr>
          <w:color w:val="4D4D4F"/>
          <w:spacing w:val="-11"/>
          <w:w w:val="115"/>
        </w:rPr>
        <w:t> </w:t>
      </w:r>
      <w:r>
        <w:rPr>
          <w:color w:val="4D4D4F"/>
          <w:w w:val="115"/>
        </w:rPr>
        <w:t>opioid</w:t>
      </w:r>
      <w:r>
        <w:rPr>
          <w:color w:val="4D4D4F"/>
          <w:spacing w:val="-11"/>
          <w:w w:val="115"/>
        </w:rPr>
        <w:t> </w:t>
      </w:r>
      <w:r>
        <w:rPr>
          <w:color w:val="4D4D4F"/>
          <w:w w:val="115"/>
        </w:rPr>
        <w:t>use.</w:t>
      </w:r>
      <w:r>
        <w:rPr>
          <w:color w:val="4D4D4F"/>
          <w:w w:val="115"/>
          <w:position w:val="7"/>
          <w:sz w:val="13"/>
        </w:rPr>
        <w:t>121</w:t>
      </w:r>
    </w:p>
    <w:p>
      <w:pPr>
        <w:pStyle w:val="Heading7"/>
        <w:numPr>
          <w:ilvl w:val="0"/>
          <w:numId w:val="4"/>
        </w:numPr>
        <w:tabs>
          <w:tab w:pos="411" w:val="left" w:leader="none"/>
        </w:tabs>
        <w:spacing w:line="313" w:lineRule="exact" w:before="94" w:after="0"/>
        <w:ind w:left="410" w:right="0" w:hanging="271"/>
        <w:jc w:val="left"/>
        <w:rPr>
          <w:rFonts w:ascii="Arial" w:hAnsi="Arial"/>
          <w:color w:val="137692"/>
          <w:sz w:val="28"/>
        </w:rPr>
      </w:pPr>
      <w:r>
        <w:rPr>
          <w:color w:val="4D4D4F"/>
          <w:w w:val="114"/>
        </w:rPr>
        <w:br w:type="column"/>
      </w:r>
      <w:r>
        <w:rPr>
          <w:color w:val="4D4D4F"/>
          <w:w w:val="115"/>
        </w:rPr>
        <w:t>Obtain laboratory</w:t>
      </w:r>
      <w:r>
        <w:rPr>
          <w:color w:val="4D4D4F"/>
          <w:spacing w:val="14"/>
          <w:w w:val="115"/>
        </w:rPr>
        <w:t> </w:t>
      </w:r>
      <w:r>
        <w:rPr>
          <w:color w:val="4D4D4F"/>
          <w:w w:val="115"/>
        </w:rPr>
        <w:t>tests.</w:t>
      </w:r>
    </w:p>
    <w:p>
      <w:pPr>
        <w:pStyle w:val="BodyText"/>
        <w:spacing w:line="247" w:lineRule="auto"/>
        <w:ind w:left="716" w:right="262" w:hanging="270"/>
      </w:pPr>
      <w:r>
        <w:rPr>
          <w:rFonts w:ascii="Arial" w:hAnsi="Arial"/>
          <w:color w:val="137692"/>
          <w:w w:val="145"/>
          <w:sz w:val="24"/>
        </w:rPr>
        <w:t>- </w:t>
      </w:r>
      <w:r>
        <w:rPr>
          <w:rFonts w:ascii="Calibri" w:hAnsi="Calibri"/>
          <w:b/>
          <w:color w:val="4D4D4F"/>
          <w:w w:val="110"/>
        </w:rPr>
        <w:t>Conduct drug and alcohol tests. </w:t>
      </w:r>
      <w:r>
        <w:rPr>
          <w:color w:val="4D4D4F"/>
          <w:w w:val="110"/>
        </w:rPr>
        <w:t>Use reliable urine tests for drugs, including opioids (e.g., morphine, methadone, buprenorphine, oxycodone), benzodiaze- pines, cocaine, and other drugs that may be commonly used in the area (e.g., meth- amphetamine). Obtain an opioid urine or oral ﬂuid test before initiating treatment.</w:t>
      </w:r>
    </w:p>
    <w:p>
      <w:pPr>
        <w:pStyle w:val="BodyText"/>
        <w:spacing w:line="247" w:lineRule="auto"/>
        <w:ind w:left="716" w:right="697"/>
      </w:pPr>
      <w:r>
        <w:rPr>
          <w:color w:val="4D4D4F"/>
          <w:w w:val="110"/>
        </w:rPr>
        <w:t>A negative opioid test in the absence of clear opioid withdrawal symptoms</w:t>
      </w:r>
    </w:p>
    <w:p>
      <w:pPr>
        <w:pStyle w:val="BodyText"/>
        <w:spacing w:line="247" w:lineRule="auto"/>
        <w:ind w:left="716" w:right="182"/>
      </w:pPr>
      <w:r>
        <w:rPr>
          <w:color w:val="4D4D4F"/>
          <w:spacing w:val="-3"/>
          <w:w w:val="110"/>
        </w:rPr>
        <w:t>indicates that </w:t>
      </w:r>
      <w:r>
        <w:rPr>
          <w:color w:val="4D4D4F"/>
          <w:w w:val="110"/>
        </w:rPr>
        <w:t>the </w:t>
      </w:r>
      <w:r>
        <w:rPr>
          <w:color w:val="4D4D4F"/>
          <w:spacing w:val="-3"/>
          <w:w w:val="110"/>
        </w:rPr>
        <w:t>patient </w:t>
      </w:r>
      <w:r>
        <w:rPr>
          <w:color w:val="4D4D4F"/>
          <w:w w:val="110"/>
        </w:rPr>
        <w:t>is </w:t>
      </w:r>
      <w:r>
        <w:rPr>
          <w:color w:val="4D4D4F"/>
          <w:spacing w:val="-3"/>
          <w:w w:val="110"/>
        </w:rPr>
        <w:t>likely </w:t>
      </w:r>
      <w:r>
        <w:rPr>
          <w:color w:val="4D4D4F"/>
          <w:w w:val="110"/>
        </w:rPr>
        <w:t>no </w:t>
      </w:r>
      <w:r>
        <w:rPr>
          <w:color w:val="4D4D4F"/>
          <w:spacing w:val="-3"/>
          <w:w w:val="110"/>
        </w:rPr>
        <w:t>longer </w:t>
      </w:r>
      <w:r>
        <w:rPr>
          <w:color w:val="4D4D4F"/>
          <w:w w:val="110"/>
        </w:rPr>
        <w:t>opioid tolerant; diagnosis should be reconﬁrmed. If such patients are to start taking methadone (rather than naltrexone for relapse prevention), use caution in initiating treatment (see the subsection “First dose for patients without current </w:t>
      </w:r>
      <w:r>
        <w:rPr>
          <w:color w:val="4D4D4F"/>
          <w:spacing w:val="-3"/>
          <w:w w:val="110"/>
        </w:rPr>
        <w:t>opioid tolerance” </w:t>
      </w:r>
      <w:r>
        <w:rPr>
          <w:color w:val="4D4D4F"/>
          <w:w w:val="110"/>
        </w:rPr>
        <w:t>in the </w:t>
      </w:r>
      <w:r>
        <w:rPr>
          <w:color w:val="4D4D4F"/>
          <w:spacing w:val="-3"/>
          <w:w w:val="110"/>
        </w:rPr>
        <w:t>section “Initiating </w:t>
      </w:r>
      <w:r>
        <w:rPr>
          <w:color w:val="4D4D4F"/>
          <w:w w:val="110"/>
        </w:rPr>
        <w:t>Methadone </w:t>
      </w:r>
      <w:r>
        <w:rPr>
          <w:color w:val="4D4D4F"/>
          <w:spacing w:val="-3"/>
          <w:w w:val="110"/>
        </w:rPr>
        <w:t>Treatment”). </w:t>
      </w:r>
      <w:r>
        <w:rPr>
          <w:color w:val="4D4D4F"/>
          <w:w w:val="110"/>
        </w:rPr>
        <w:t>Use an alcohol </w:t>
      </w:r>
      <w:r>
        <w:rPr>
          <w:color w:val="4D4D4F"/>
          <w:spacing w:val="-4"/>
          <w:w w:val="110"/>
        </w:rPr>
        <w:t>breathalyzer </w:t>
      </w:r>
      <w:r>
        <w:rPr>
          <w:color w:val="4D4D4F"/>
          <w:w w:val="110"/>
        </w:rPr>
        <w:t>to </w:t>
      </w:r>
      <w:r>
        <w:rPr>
          <w:color w:val="4D4D4F"/>
          <w:spacing w:val="-3"/>
          <w:w w:val="110"/>
        </w:rPr>
        <w:t>estimate </w:t>
      </w:r>
      <w:r>
        <w:rPr>
          <w:color w:val="4D4D4F"/>
          <w:w w:val="110"/>
        </w:rPr>
        <w:t>the </w:t>
      </w:r>
      <w:r>
        <w:rPr>
          <w:color w:val="4D4D4F"/>
          <w:spacing w:val="-5"/>
          <w:w w:val="110"/>
        </w:rPr>
        <w:t>patient’s </w:t>
      </w:r>
      <w:r>
        <w:rPr>
          <w:color w:val="4D4D4F"/>
          <w:spacing w:val="-3"/>
          <w:w w:val="110"/>
        </w:rPr>
        <w:t>blood alcohol content. </w:t>
      </w:r>
      <w:r>
        <w:rPr>
          <w:color w:val="4D4D4F"/>
          <w:w w:val="110"/>
        </w:rPr>
        <w:t>Do not </w:t>
      </w:r>
      <w:r>
        <w:rPr>
          <w:color w:val="4D4D4F"/>
          <w:spacing w:val="-4"/>
          <w:w w:val="110"/>
        </w:rPr>
        <w:t>provide </w:t>
      </w:r>
      <w:r>
        <w:rPr>
          <w:color w:val="4D4D4F"/>
          <w:spacing w:val="-3"/>
          <w:w w:val="110"/>
        </w:rPr>
        <w:t>methadone </w:t>
      </w:r>
      <w:r>
        <w:rPr>
          <w:color w:val="4D4D4F"/>
          <w:w w:val="110"/>
        </w:rPr>
        <w:t>until the alcohol reading is </w:t>
      </w:r>
      <w:r>
        <w:rPr>
          <w:color w:val="4D4D4F"/>
          <w:spacing w:val="2"/>
          <w:w w:val="110"/>
        </w:rPr>
        <w:t>considerably </w:t>
      </w:r>
      <w:r>
        <w:rPr>
          <w:color w:val="4D4D4F"/>
          <w:spacing w:val="-4"/>
          <w:w w:val="110"/>
        </w:rPr>
        <w:t>below </w:t>
      </w:r>
      <w:r>
        <w:rPr>
          <w:color w:val="4D4D4F"/>
          <w:spacing w:val="-3"/>
          <w:w w:val="110"/>
        </w:rPr>
        <w:t>the </w:t>
      </w:r>
      <w:r>
        <w:rPr>
          <w:color w:val="4D4D4F"/>
          <w:spacing w:val="-4"/>
          <w:w w:val="110"/>
        </w:rPr>
        <w:t>legal level </w:t>
      </w:r>
      <w:r>
        <w:rPr>
          <w:color w:val="4D4D4F"/>
          <w:w w:val="110"/>
        </w:rPr>
        <w:t>of </w:t>
      </w:r>
      <w:r>
        <w:rPr>
          <w:color w:val="4D4D4F"/>
          <w:spacing w:val="-4"/>
          <w:w w:val="110"/>
        </w:rPr>
        <w:t>alcohol intoxication.</w:t>
      </w:r>
    </w:p>
    <w:p>
      <w:pPr>
        <w:spacing w:after="0" w:line="247" w:lineRule="auto"/>
        <w:sectPr>
          <w:type w:val="continuous"/>
          <w:pgSz w:w="12240" w:h="15840"/>
          <w:pgMar w:top="540" w:bottom="280" w:left="940" w:right="920"/>
          <w:cols w:num="2" w:equalWidth="0">
            <w:col w:w="5008" w:space="212"/>
            <w:col w:w="5160"/>
          </w:cols>
        </w:sectPr>
      </w:pPr>
    </w:p>
    <w:p>
      <w:pPr>
        <w:pStyle w:val="BodyText"/>
        <w:spacing w:before="3"/>
        <w:rPr>
          <w:sz w:val="26"/>
        </w:rPr>
      </w:pPr>
    </w:p>
    <w:p>
      <w:pPr>
        <w:spacing w:after="0"/>
        <w:rPr>
          <w:sz w:val="26"/>
        </w:rPr>
        <w:sectPr>
          <w:pgSz w:w="12240" w:h="15840"/>
          <w:pgMar w:header="576" w:footer="677" w:top="1340" w:bottom="860" w:left="940" w:right="920"/>
        </w:sectPr>
      </w:pPr>
    </w:p>
    <w:p>
      <w:pPr>
        <w:pStyle w:val="ListParagraph"/>
        <w:numPr>
          <w:ilvl w:val="0"/>
          <w:numId w:val="17"/>
        </w:numPr>
        <w:tabs>
          <w:tab w:pos="716" w:val="left" w:leader="none"/>
        </w:tabs>
        <w:spacing w:line="247" w:lineRule="auto" w:before="92" w:after="0"/>
        <w:ind w:left="715" w:right="74" w:hanging="270"/>
        <w:jc w:val="left"/>
        <w:rPr>
          <w:sz w:val="22"/>
        </w:rPr>
      </w:pPr>
      <w:r>
        <w:rPr>
          <w:rFonts w:ascii="Calibri" w:hAnsi="Calibri"/>
          <w:b/>
          <w:color w:val="4D4D4F"/>
          <w:w w:val="110"/>
          <w:sz w:val="22"/>
        </w:rPr>
        <w:t>Conduct a pregnancy test. </w:t>
      </w:r>
      <w:r>
        <w:rPr>
          <w:color w:val="4D4D4F"/>
          <w:w w:val="110"/>
          <w:sz w:val="22"/>
        </w:rPr>
        <w:t>Pregnant patients with OUD should be treated with methadone or transmucosal buprenor- phine.</w:t>
      </w:r>
      <w:r>
        <w:rPr>
          <w:color w:val="4D4D4F"/>
          <w:w w:val="110"/>
          <w:position w:val="7"/>
          <w:sz w:val="13"/>
        </w:rPr>
        <w:t>122,123 </w:t>
      </w:r>
      <w:r>
        <w:rPr>
          <w:color w:val="4D4D4F"/>
          <w:w w:val="110"/>
          <w:sz w:val="22"/>
        </w:rPr>
        <w:t>Discuss risks and beneﬁts of treatment with methadone and alternative approaches for each patient and fetus versus the risks of continued illicit opioid use. Refer pregnant patients to prenatal care. </w:t>
      </w:r>
      <w:r>
        <w:rPr>
          <w:color w:val="4D4D4F"/>
          <w:spacing w:val="-3"/>
          <w:w w:val="110"/>
          <w:sz w:val="22"/>
        </w:rPr>
        <w:t>Women </w:t>
      </w:r>
      <w:r>
        <w:rPr>
          <w:color w:val="4D4D4F"/>
          <w:w w:val="110"/>
          <w:sz w:val="22"/>
        </w:rPr>
        <w:t>should be advised that their menstrual</w:t>
      </w:r>
      <w:r>
        <w:rPr>
          <w:color w:val="4D4D4F"/>
          <w:spacing w:val="-10"/>
          <w:w w:val="110"/>
          <w:sz w:val="22"/>
        </w:rPr>
        <w:t> </w:t>
      </w:r>
      <w:r>
        <w:rPr>
          <w:color w:val="4D4D4F"/>
          <w:w w:val="110"/>
          <w:sz w:val="22"/>
        </w:rPr>
        <w:t>cycle</w:t>
      </w:r>
      <w:r>
        <w:rPr>
          <w:color w:val="4D4D4F"/>
          <w:spacing w:val="-10"/>
          <w:w w:val="110"/>
          <w:sz w:val="22"/>
        </w:rPr>
        <w:t> </w:t>
      </w:r>
      <w:r>
        <w:rPr>
          <w:color w:val="4D4D4F"/>
          <w:w w:val="110"/>
          <w:sz w:val="22"/>
        </w:rPr>
        <w:t>may</w:t>
      </w:r>
      <w:r>
        <w:rPr>
          <w:color w:val="4D4D4F"/>
          <w:spacing w:val="-10"/>
          <w:w w:val="110"/>
          <w:sz w:val="22"/>
        </w:rPr>
        <w:t> </w:t>
      </w:r>
      <w:r>
        <w:rPr>
          <w:color w:val="4D4D4F"/>
          <w:w w:val="110"/>
          <w:sz w:val="22"/>
        </w:rPr>
        <w:t>return</w:t>
      </w:r>
      <w:r>
        <w:rPr>
          <w:color w:val="4D4D4F"/>
          <w:spacing w:val="-10"/>
          <w:w w:val="110"/>
          <w:sz w:val="22"/>
        </w:rPr>
        <w:t> </w:t>
      </w:r>
      <w:r>
        <w:rPr>
          <w:color w:val="4D4D4F"/>
          <w:w w:val="110"/>
          <w:sz w:val="22"/>
        </w:rPr>
        <w:t>to</w:t>
      </w:r>
      <w:r>
        <w:rPr>
          <w:color w:val="4D4D4F"/>
          <w:spacing w:val="-9"/>
          <w:w w:val="110"/>
          <w:sz w:val="22"/>
        </w:rPr>
        <w:t> </w:t>
      </w:r>
      <w:r>
        <w:rPr>
          <w:color w:val="4D4D4F"/>
          <w:w w:val="110"/>
          <w:sz w:val="22"/>
        </w:rPr>
        <w:t>normal</w:t>
      </w:r>
      <w:r>
        <w:rPr>
          <w:color w:val="4D4D4F"/>
          <w:spacing w:val="-10"/>
          <w:w w:val="110"/>
          <w:sz w:val="22"/>
        </w:rPr>
        <w:t> </w:t>
      </w:r>
      <w:r>
        <w:rPr>
          <w:color w:val="4D4D4F"/>
          <w:spacing w:val="-5"/>
          <w:w w:val="110"/>
          <w:sz w:val="22"/>
        </w:rPr>
        <w:t>once </w:t>
      </w:r>
      <w:r>
        <w:rPr>
          <w:color w:val="4D4D4F"/>
          <w:w w:val="110"/>
          <w:sz w:val="22"/>
        </w:rPr>
        <w:t>they are stabilized on medication, and hence they should use birth control if they wish to avoid</w:t>
      </w:r>
      <w:r>
        <w:rPr>
          <w:color w:val="4D4D4F"/>
          <w:spacing w:val="-13"/>
          <w:w w:val="110"/>
          <w:sz w:val="22"/>
        </w:rPr>
        <w:t> </w:t>
      </w:r>
      <w:r>
        <w:rPr>
          <w:color w:val="4D4D4F"/>
          <w:spacing w:val="-3"/>
          <w:w w:val="110"/>
          <w:sz w:val="22"/>
        </w:rPr>
        <w:t>pregnancy.</w:t>
      </w:r>
    </w:p>
    <w:p>
      <w:pPr>
        <w:pStyle w:val="ListParagraph"/>
        <w:numPr>
          <w:ilvl w:val="0"/>
          <w:numId w:val="17"/>
        </w:numPr>
        <w:tabs>
          <w:tab w:pos="716" w:val="left" w:leader="none"/>
        </w:tabs>
        <w:spacing w:line="247" w:lineRule="auto" w:before="29" w:after="0"/>
        <w:ind w:left="716" w:right="91" w:hanging="270"/>
        <w:jc w:val="left"/>
        <w:rPr>
          <w:sz w:val="22"/>
        </w:rPr>
      </w:pPr>
      <w:r>
        <w:rPr>
          <w:rFonts w:ascii="Calibri" w:hAnsi="Calibri"/>
          <w:b/>
          <w:color w:val="4D4D4F"/>
          <w:w w:val="110"/>
          <w:sz w:val="22"/>
        </w:rPr>
        <w:t>Conduct liver function tests. </w:t>
      </w:r>
      <w:r>
        <w:rPr>
          <w:color w:val="4D4D4F"/>
          <w:w w:val="110"/>
          <w:sz w:val="22"/>
        </w:rPr>
        <w:t>If possible, assess liver function tests. It is not necessary to wait for the results of these tests to begin treatment, because the risk of not starting methadone outweighs the beneﬁts of having the test results. </w:t>
      </w:r>
      <w:r>
        <w:rPr>
          <w:color w:val="4D4D4F"/>
          <w:spacing w:val="-3"/>
          <w:w w:val="110"/>
          <w:sz w:val="22"/>
        </w:rPr>
        <w:t>Patients </w:t>
      </w:r>
      <w:r>
        <w:rPr>
          <w:color w:val="4D4D4F"/>
          <w:w w:val="110"/>
          <w:sz w:val="22"/>
        </w:rPr>
        <w:t>with suspected cirrhosis based on history and clinical exam should be started at</w:t>
      </w:r>
    </w:p>
    <w:p>
      <w:pPr>
        <w:pStyle w:val="BodyText"/>
        <w:spacing w:line="247" w:lineRule="auto" w:before="1"/>
        <w:ind w:left="716" w:right="290"/>
      </w:pPr>
      <w:r>
        <w:rPr>
          <w:color w:val="4D4D4F"/>
          <w:w w:val="115"/>
        </w:rPr>
        <w:t>a lower methadone dose than typical patients, with more cautious titration. Patients</w:t>
      </w:r>
      <w:r>
        <w:rPr>
          <w:color w:val="4D4D4F"/>
          <w:spacing w:val="-27"/>
          <w:w w:val="115"/>
        </w:rPr>
        <w:t> </w:t>
      </w:r>
      <w:r>
        <w:rPr>
          <w:color w:val="4D4D4F"/>
          <w:w w:val="115"/>
        </w:rPr>
        <w:t>who</w:t>
      </w:r>
      <w:r>
        <w:rPr>
          <w:color w:val="4D4D4F"/>
          <w:spacing w:val="-27"/>
          <w:w w:val="115"/>
        </w:rPr>
        <w:t> </w:t>
      </w:r>
      <w:r>
        <w:rPr>
          <w:color w:val="4D4D4F"/>
          <w:w w:val="115"/>
        </w:rPr>
        <w:t>have</w:t>
      </w:r>
      <w:r>
        <w:rPr>
          <w:color w:val="4D4D4F"/>
          <w:spacing w:val="-27"/>
          <w:w w:val="115"/>
        </w:rPr>
        <w:t> </w:t>
      </w:r>
      <w:r>
        <w:rPr>
          <w:color w:val="4D4D4F"/>
          <w:w w:val="115"/>
        </w:rPr>
        <w:t>chronic</w:t>
      </w:r>
      <w:r>
        <w:rPr>
          <w:color w:val="4D4D4F"/>
          <w:spacing w:val="-27"/>
          <w:w w:val="115"/>
        </w:rPr>
        <w:t> </w:t>
      </w:r>
      <w:r>
        <w:rPr>
          <w:color w:val="4D4D4F"/>
          <w:w w:val="115"/>
        </w:rPr>
        <w:t>hepatitis</w:t>
      </w:r>
      <w:r>
        <w:rPr>
          <w:color w:val="4D4D4F"/>
          <w:spacing w:val="-27"/>
          <w:w w:val="115"/>
        </w:rPr>
        <w:t> </w:t>
      </w:r>
      <w:r>
        <w:rPr>
          <w:color w:val="4D4D4F"/>
          <w:w w:val="115"/>
        </w:rPr>
        <w:t>can be</w:t>
      </w:r>
      <w:r>
        <w:rPr>
          <w:color w:val="4D4D4F"/>
          <w:spacing w:val="-26"/>
          <w:w w:val="115"/>
        </w:rPr>
        <w:t> </w:t>
      </w:r>
      <w:r>
        <w:rPr>
          <w:color w:val="4D4D4F"/>
          <w:w w:val="115"/>
        </w:rPr>
        <w:t>treated</w:t>
      </w:r>
      <w:r>
        <w:rPr>
          <w:color w:val="4D4D4F"/>
          <w:spacing w:val="-26"/>
          <w:w w:val="115"/>
        </w:rPr>
        <w:t> </w:t>
      </w:r>
      <w:r>
        <w:rPr>
          <w:color w:val="4D4D4F"/>
          <w:w w:val="115"/>
        </w:rPr>
        <w:t>with</w:t>
      </w:r>
      <w:r>
        <w:rPr>
          <w:color w:val="4D4D4F"/>
          <w:spacing w:val="-26"/>
          <w:w w:val="115"/>
        </w:rPr>
        <w:t> </w:t>
      </w:r>
      <w:r>
        <w:rPr>
          <w:color w:val="4D4D4F"/>
          <w:w w:val="115"/>
        </w:rPr>
        <w:t>methadone.</w:t>
      </w:r>
      <w:r>
        <w:rPr>
          <w:color w:val="4D4D4F"/>
          <w:spacing w:val="-26"/>
          <w:w w:val="115"/>
        </w:rPr>
        <w:t> </w:t>
      </w:r>
      <w:r>
        <w:rPr>
          <w:color w:val="4D4D4F"/>
          <w:w w:val="115"/>
        </w:rPr>
        <w:t>Have</w:t>
      </w:r>
      <w:r>
        <w:rPr>
          <w:color w:val="4D4D4F"/>
          <w:spacing w:val="-26"/>
          <w:w w:val="115"/>
        </w:rPr>
        <w:t> </w:t>
      </w:r>
      <w:r>
        <w:rPr>
          <w:color w:val="4D4D4F"/>
          <w:w w:val="115"/>
        </w:rPr>
        <w:t>a</w:t>
      </w:r>
      <w:r>
        <w:rPr>
          <w:color w:val="4D4D4F"/>
          <w:spacing w:val="-26"/>
          <w:w w:val="115"/>
        </w:rPr>
        <w:t> </w:t>
      </w:r>
      <w:r>
        <w:rPr>
          <w:color w:val="4D4D4F"/>
          <w:spacing w:val="-4"/>
          <w:w w:val="115"/>
        </w:rPr>
        <w:t>risk/</w:t>
      </w:r>
    </w:p>
    <w:p>
      <w:pPr>
        <w:pStyle w:val="BodyText"/>
        <w:spacing w:line="247" w:lineRule="auto" w:before="5"/>
        <w:ind w:left="716" w:right="3"/>
      </w:pPr>
      <w:r>
        <w:rPr>
          <w:color w:val="4D4D4F"/>
          <w:w w:val="110"/>
        </w:rPr>
        <w:t>beneﬁt discussion with patients whose liver enzymes are at or greater than ﬁve times the normal level and monitor their liver function during treatment.</w:t>
      </w:r>
    </w:p>
    <w:p>
      <w:pPr>
        <w:pStyle w:val="ListParagraph"/>
        <w:numPr>
          <w:ilvl w:val="0"/>
          <w:numId w:val="17"/>
        </w:numPr>
        <w:tabs>
          <w:tab w:pos="716" w:val="left" w:leader="none"/>
        </w:tabs>
        <w:spacing w:line="247" w:lineRule="auto" w:before="27" w:after="0"/>
        <w:ind w:left="716" w:right="10" w:hanging="270"/>
        <w:jc w:val="left"/>
        <w:rPr>
          <w:sz w:val="22"/>
        </w:rPr>
      </w:pPr>
      <w:r>
        <w:rPr>
          <w:rFonts w:ascii="Calibri" w:hAnsi="Calibri"/>
          <w:b/>
          <w:color w:val="4D4D4F"/>
          <w:w w:val="115"/>
          <w:sz w:val="22"/>
        </w:rPr>
        <w:t>Conduct hepatitis and HIV testing. </w:t>
      </w:r>
      <w:r>
        <w:rPr>
          <w:color w:val="4D4D4F"/>
          <w:w w:val="115"/>
          <w:sz w:val="22"/>
        </w:rPr>
        <w:t>Hepatitis B and C are common among patients</w:t>
      </w:r>
      <w:r>
        <w:rPr>
          <w:color w:val="4D4D4F"/>
          <w:spacing w:val="-32"/>
          <w:w w:val="115"/>
          <w:sz w:val="22"/>
        </w:rPr>
        <w:t> </w:t>
      </w:r>
      <w:r>
        <w:rPr>
          <w:color w:val="4D4D4F"/>
          <w:w w:val="115"/>
          <w:sz w:val="22"/>
        </w:rPr>
        <w:t>who</w:t>
      </w:r>
      <w:r>
        <w:rPr>
          <w:color w:val="4D4D4F"/>
          <w:spacing w:val="-31"/>
          <w:w w:val="115"/>
          <w:sz w:val="22"/>
        </w:rPr>
        <w:t> </w:t>
      </w:r>
      <w:r>
        <w:rPr>
          <w:color w:val="4D4D4F"/>
          <w:w w:val="115"/>
          <w:sz w:val="22"/>
        </w:rPr>
        <w:t>enter</w:t>
      </w:r>
      <w:r>
        <w:rPr>
          <w:color w:val="4D4D4F"/>
          <w:spacing w:val="-31"/>
          <w:w w:val="115"/>
          <w:sz w:val="22"/>
        </w:rPr>
        <w:t> </w:t>
      </w:r>
      <w:r>
        <w:rPr>
          <w:color w:val="4D4D4F"/>
          <w:w w:val="115"/>
          <w:sz w:val="22"/>
        </w:rPr>
        <w:t>methadone</w:t>
      </w:r>
      <w:r>
        <w:rPr>
          <w:color w:val="4D4D4F"/>
          <w:spacing w:val="-32"/>
          <w:w w:val="115"/>
          <w:sz w:val="22"/>
        </w:rPr>
        <w:t> </w:t>
      </w:r>
      <w:r>
        <w:rPr>
          <w:color w:val="4D4D4F"/>
          <w:w w:val="115"/>
          <w:sz w:val="22"/>
        </w:rPr>
        <w:t>treatment. HIV infection is also prevalent. Everyone ages 15 to 65 should be tested at least once for </w:t>
      </w:r>
      <w:r>
        <w:rPr>
          <w:color w:val="4D4D4F"/>
          <w:spacing w:val="-8"/>
          <w:w w:val="115"/>
          <w:sz w:val="22"/>
        </w:rPr>
        <w:t>HIV. </w:t>
      </w:r>
      <w:r>
        <w:rPr>
          <w:color w:val="4D4D4F"/>
          <w:w w:val="115"/>
          <w:sz w:val="22"/>
        </w:rPr>
        <w:t>Persons at higher risk, such as people who use drugs by injection, should be tested annually.</w:t>
      </w:r>
      <w:r>
        <w:rPr>
          <w:color w:val="4D4D4F"/>
          <w:w w:val="115"/>
          <w:position w:val="7"/>
          <w:sz w:val="13"/>
        </w:rPr>
        <w:t>124 </w:t>
      </w:r>
      <w:r>
        <w:rPr>
          <w:color w:val="4D4D4F"/>
          <w:w w:val="115"/>
          <w:sz w:val="22"/>
        </w:rPr>
        <w:t>Anyone who is</w:t>
      </w:r>
      <w:r>
        <w:rPr>
          <w:color w:val="4D4D4F"/>
          <w:spacing w:val="-20"/>
          <w:w w:val="115"/>
          <w:sz w:val="22"/>
        </w:rPr>
        <w:t> </w:t>
      </w:r>
      <w:r>
        <w:rPr>
          <w:color w:val="4D4D4F"/>
          <w:w w:val="115"/>
          <w:sz w:val="22"/>
        </w:rPr>
        <w:t>injecting</w:t>
      </w:r>
      <w:r>
        <w:rPr>
          <w:color w:val="4D4D4F"/>
          <w:spacing w:val="-19"/>
          <w:w w:val="115"/>
          <w:sz w:val="22"/>
        </w:rPr>
        <w:t> </w:t>
      </w:r>
      <w:r>
        <w:rPr>
          <w:color w:val="4D4D4F"/>
          <w:w w:val="115"/>
          <w:sz w:val="22"/>
        </w:rPr>
        <w:t>or</w:t>
      </w:r>
      <w:r>
        <w:rPr>
          <w:color w:val="4D4D4F"/>
          <w:spacing w:val="-20"/>
          <w:w w:val="115"/>
          <w:sz w:val="22"/>
        </w:rPr>
        <w:t> </w:t>
      </w:r>
      <w:r>
        <w:rPr>
          <w:color w:val="4D4D4F"/>
          <w:w w:val="115"/>
          <w:sz w:val="22"/>
        </w:rPr>
        <w:t>has</w:t>
      </w:r>
      <w:r>
        <w:rPr>
          <w:color w:val="4D4D4F"/>
          <w:spacing w:val="-19"/>
          <w:w w:val="115"/>
          <w:sz w:val="22"/>
        </w:rPr>
        <w:t> </w:t>
      </w:r>
      <w:r>
        <w:rPr>
          <w:color w:val="4D4D4F"/>
          <w:w w:val="115"/>
          <w:sz w:val="22"/>
        </w:rPr>
        <w:t>ever</w:t>
      </w:r>
      <w:r>
        <w:rPr>
          <w:color w:val="4D4D4F"/>
          <w:spacing w:val="-20"/>
          <w:w w:val="115"/>
          <w:sz w:val="22"/>
        </w:rPr>
        <w:t> </w:t>
      </w:r>
      <w:r>
        <w:rPr>
          <w:color w:val="4D4D4F"/>
          <w:w w:val="115"/>
          <w:sz w:val="22"/>
        </w:rPr>
        <w:t>injected</w:t>
      </w:r>
      <w:r>
        <w:rPr>
          <w:color w:val="4D4D4F"/>
          <w:spacing w:val="-19"/>
          <w:w w:val="115"/>
          <w:sz w:val="22"/>
        </w:rPr>
        <w:t> </w:t>
      </w:r>
      <w:r>
        <w:rPr>
          <w:color w:val="4D4D4F"/>
          <w:w w:val="115"/>
          <w:sz w:val="22"/>
        </w:rPr>
        <w:t>drugs,</w:t>
      </w:r>
      <w:r>
        <w:rPr>
          <w:color w:val="4D4D4F"/>
          <w:spacing w:val="-20"/>
          <w:w w:val="115"/>
          <w:sz w:val="22"/>
        </w:rPr>
        <w:t> </w:t>
      </w:r>
      <w:r>
        <w:rPr>
          <w:color w:val="4D4D4F"/>
          <w:spacing w:val="-5"/>
          <w:w w:val="115"/>
          <w:sz w:val="22"/>
        </w:rPr>
        <w:t>even </w:t>
      </w:r>
      <w:r>
        <w:rPr>
          <w:color w:val="4D4D4F"/>
          <w:w w:val="115"/>
          <w:sz w:val="22"/>
        </w:rPr>
        <w:t>once, no matter how long ago, should be tested for hepatitis C, regardless of their intention</w:t>
      </w:r>
      <w:r>
        <w:rPr>
          <w:color w:val="4D4D4F"/>
          <w:spacing w:val="-44"/>
          <w:w w:val="115"/>
          <w:sz w:val="22"/>
        </w:rPr>
        <w:t> </w:t>
      </w:r>
      <w:r>
        <w:rPr>
          <w:color w:val="4D4D4F"/>
          <w:w w:val="115"/>
          <w:sz w:val="22"/>
        </w:rPr>
        <w:t>to</w:t>
      </w:r>
      <w:r>
        <w:rPr>
          <w:color w:val="4D4D4F"/>
          <w:spacing w:val="-43"/>
          <w:w w:val="115"/>
          <w:sz w:val="22"/>
        </w:rPr>
        <w:t> </w:t>
      </w:r>
      <w:r>
        <w:rPr>
          <w:color w:val="4D4D4F"/>
          <w:w w:val="115"/>
          <w:sz w:val="22"/>
        </w:rPr>
        <w:t>seek</w:t>
      </w:r>
      <w:r>
        <w:rPr>
          <w:color w:val="4D4D4F"/>
          <w:spacing w:val="-43"/>
          <w:w w:val="115"/>
          <w:sz w:val="22"/>
        </w:rPr>
        <w:t> </w:t>
      </w:r>
      <w:r>
        <w:rPr>
          <w:color w:val="4D4D4F"/>
          <w:w w:val="115"/>
          <w:sz w:val="22"/>
        </w:rPr>
        <w:t>treatment</w:t>
      </w:r>
      <w:r>
        <w:rPr>
          <w:color w:val="4D4D4F"/>
          <w:spacing w:val="-44"/>
          <w:w w:val="115"/>
          <w:sz w:val="22"/>
        </w:rPr>
        <w:t> </w:t>
      </w:r>
      <w:r>
        <w:rPr>
          <w:color w:val="4D4D4F"/>
          <w:w w:val="115"/>
          <w:sz w:val="22"/>
        </w:rPr>
        <w:t>for</w:t>
      </w:r>
      <w:r>
        <w:rPr>
          <w:color w:val="4D4D4F"/>
          <w:spacing w:val="-43"/>
          <w:w w:val="115"/>
          <w:sz w:val="22"/>
        </w:rPr>
        <w:t> </w:t>
      </w:r>
      <w:r>
        <w:rPr>
          <w:color w:val="4D4D4F"/>
          <w:w w:val="115"/>
          <w:sz w:val="22"/>
        </w:rPr>
        <w:t>SUD.</w:t>
      </w:r>
      <w:r>
        <w:rPr>
          <w:color w:val="4D4D4F"/>
          <w:w w:val="115"/>
          <w:position w:val="7"/>
          <w:sz w:val="13"/>
        </w:rPr>
        <w:t>125</w:t>
      </w:r>
      <w:r>
        <w:rPr>
          <w:color w:val="4D4D4F"/>
          <w:spacing w:val="-15"/>
          <w:w w:val="115"/>
          <w:position w:val="7"/>
          <w:sz w:val="13"/>
        </w:rPr>
        <w:t> </w:t>
      </w:r>
      <w:r>
        <w:rPr>
          <w:color w:val="4D4D4F"/>
          <w:w w:val="115"/>
          <w:sz w:val="22"/>
        </w:rPr>
        <w:t>The</w:t>
      </w:r>
    </w:p>
    <w:p>
      <w:pPr>
        <w:pStyle w:val="BodyText"/>
        <w:spacing w:line="247" w:lineRule="auto" w:before="6"/>
        <w:ind w:left="716" w:right="-3"/>
        <w:rPr>
          <w:sz w:val="13"/>
        </w:rPr>
      </w:pPr>
      <w:r>
        <w:rPr>
          <w:color w:val="4D4D4F"/>
          <w:w w:val="110"/>
        </w:rPr>
        <w:t>Centers</w:t>
      </w:r>
      <w:r>
        <w:rPr>
          <w:color w:val="4D4D4F"/>
          <w:spacing w:val="-17"/>
          <w:w w:val="110"/>
        </w:rPr>
        <w:t> </w:t>
      </w:r>
      <w:r>
        <w:rPr>
          <w:color w:val="4D4D4F"/>
          <w:w w:val="110"/>
        </w:rPr>
        <w:t>for</w:t>
      </w:r>
      <w:r>
        <w:rPr>
          <w:color w:val="4D4D4F"/>
          <w:spacing w:val="-16"/>
          <w:w w:val="110"/>
        </w:rPr>
        <w:t> </w:t>
      </w:r>
      <w:r>
        <w:rPr>
          <w:color w:val="4D4D4F"/>
          <w:w w:val="110"/>
        </w:rPr>
        <w:t>Disease</w:t>
      </w:r>
      <w:r>
        <w:rPr>
          <w:color w:val="4D4D4F"/>
          <w:spacing w:val="-17"/>
          <w:w w:val="110"/>
        </w:rPr>
        <w:t> </w:t>
      </w:r>
      <w:r>
        <w:rPr>
          <w:color w:val="4D4D4F"/>
          <w:w w:val="110"/>
        </w:rPr>
        <w:t>Control</w:t>
      </w:r>
      <w:r>
        <w:rPr>
          <w:color w:val="4D4D4F"/>
          <w:spacing w:val="-16"/>
          <w:w w:val="110"/>
        </w:rPr>
        <w:t> </w:t>
      </w:r>
      <w:r>
        <w:rPr>
          <w:color w:val="4D4D4F"/>
          <w:w w:val="110"/>
        </w:rPr>
        <w:t>and</w:t>
      </w:r>
      <w:r>
        <w:rPr>
          <w:color w:val="4D4D4F"/>
          <w:spacing w:val="-16"/>
          <w:w w:val="110"/>
        </w:rPr>
        <w:t> </w:t>
      </w:r>
      <w:r>
        <w:rPr>
          <w:color w:val="4D4D4F"/>
          <w:spacing w:val="-3"/>
          <w:w w:val="110"/>
        </w:rPr>
        <w:t>Prevention </w:t>
      </w:r>
      <w:r>
        <w:rPr>
          <w:color w:val="4D4D4F"/>
          <w:w w:val="110"/>
        </w:rPr>
        <w:t>recommends hepatitis B vaccination for people seeking treatment for</w:t>
      </w:r>
      <w:r>
        <w:rPr>
          <w:color w:val="4D4D4F"/>
          <w:spacing w:val="-12"/>
          <w:w w:val="110"/>
        </w:rPr>
        <w:t> </w:t>
      </w:r>
      <w:r>
        <w:rPr>
          <w:color w:val="4D4D4F"/>
          <w:w w:val="110"/>
        </w:rPr>
        <w:t>SUDs.</w:t>
      </w:r>
      <w:r>
        <w:rPr>
          <w:color w:val="4D4D4F"/>
          <w:w w:val="110"/>
          <w:position w:val="7"/>
          <w:sz w:val="13"/>
        </w:rPr>
        <w:t>126</w:t>
      </w:r>
    </w:p>
    <w:p>
      <w:pPr>
        <w:pStyle w:val="Heading3"/>
        <w:spacing w:before="100"/>
        <w:ind w:left="340"/>
      </w:pPr>
      <w:bookmarkStart w:name="_TOC_250089" w:id="26"/>
      <w:r>
        <w:rPr>
          <w:b w:val="0"/>
        </w:rPr>
        <w:br w:type="column"/>
      </w:r>
      <w:bookmarkEnd w:id="26"/>
      <w:r>
        <w:rPr>
          <w:color w:val="137692"/>
          <w:w w:val="105"/>
        </w:rPr>
        <w:t>Patient Selection</w:t>
      </w:r>
    </w:p>
    <w:p>
      <w:pPr>
        <w:spacing w:line="244" w:lineRule="auto" w:before="43"/>
        <w:ind w:left="340" w:right="466" w:firstLine="0"/>
        <w:jc w:val="left"/>
        <w:rPr>
          <w:sz w:val="22"/>
        </w:rPr>
      </w:pPr>
      <w:r>
        <w:rPr>
          <w:rFonts w:ascii="Calibri" w:hAnsi="Calibri"/>
          <w:b/>
          <w:color w:val="4D4D4F"/>
          <w:w w:val="110"/>
          <w:sz w:val="22"/>
        </w:rPr>
        <w:t>No evidence clearly predicts which patients will respond best to methadone treatment </w:t>
      </w:r>
      <w:r>
        <w:rPr>
          <w:color w:val="4D4D4F"/>
          <w:w w:val="110"/>
          <w:sz w:val="22"/>
        </w:rPr>
        <w:t>versus alternative pharmacotherapies. Inform patients of all options and the settings in which they’re available, as appropriate. (See </w:t>
      </w:r>
      <w:r>
        <w:rPr>
          <w:color w:val="4D4D4F"/>
          <w:spacing w:val="-3"/>
          <w:w w:val="110"/>
          <w:sz w:val="22"/>
        </w:rPr>
        <w:t>“Treatment </w:t>
      </w:r>
      <w:r>
        <w:rPr>
          <w:color w:val="4D4D4F"/>
          <w:w w:val="110"/>
          <w:sz w:val="22"/>
        </w:rPr>
        <w:t>Planning or Referral” in Part 2 of this TIP for more on shared decision</w:t>
      </w:r>
      <w:r>
        <w:rPr>
          <w:color w:val="4D4D4F"/>
          <w:spacing w:val="-40"/>
          <w:w w:val="110"/>
          <w:sz w:val="22"/>
        </w:rPr>
        <w:t> </w:t>
      </w:r>
      <w:r>
        <w:rPr>
          <w:color w:val="4D4D4F"/>
          <w:w w:val="110"/>
          <w:sz w:val="22"/>
        </w:rPr>
        <w:t>making.)</w:t>
      </w:r>
    </w:p>
    <w:p>
      <w:pPr>
        <w:pStyle w:val="Heading7"/>
        <w:spacing w:line="235" w:lineRule="auto" w:before="183"/>
        <w:ind w:left="340" w:right="466"/>
      </w:pPr>
      <w:r>
        <w:rPr>
          <w:color w:val="4D4D4F"/>
          <w:w w:val="110"/>
        </w:rPr>
        <w:t>Patients who responded well to methadone in the past should be considered for this treatment.</w:t>
      </w:r>
    </w:p>
    <w:p>
      <w:pPr>
        <w:spacing w:line="242" w:lineRule="auto" w:before="178"/>
        <w:ind w:left="340" w:right="251" w:firstLine="0"/>
        <w:jc w:val="left"/>
        <w:rPr>
          <w:sz w:val="22"/>
        </w:rPr>
      </w:pPr>
      <w:r>
        <w:rPr>
          <w:rFonts w:ascii="Calibri"/>
          <w:b/>
          <w:color w:val="4D4D4F"/>
          <w:w w:val="110"/>
          <w:sz w:val="22"/>
        </w:rPr>
        <w:t>Unsuccessful treatment experiences with methadone in the past do not necessarily indicate that methadone will be ineffective again. </w:t>
      </w:r>
      <w:r>
        <w:rPr>
          <w:color w:val="4D4D4F"/>
          <w:w w:val="110"/>
          <w:sz w:val="22"/>
        </w:rPr>
        <w:t>Motivation and circumstances change over time. Also, treatment varies by OTP, as it does for other medical illnesses. Records from previous providers can contextualize the extent of past treatment.</w:t>
      </w:r>
    </w:p>
    <w:p>
      <w:pPr>
        <w:pStyle w:val="Heading7"/>
        <w:spacing w:line="235" w:lineRule="auto" w:before="180"/>
        <w:ind w:left="340"/>
      </w:pPr>
      <w:r>
        <w:rPr>
          <w:color w:val="4D4D4F"/>
          <w:w w:val="115"/>
        </w:rPr>
        <w:t>Pregnant women should be considered for methadone treatment.</w:t>
      </w:r>
    </w:p>
    <w:p>
      <w:pPr>
        <w:spacing w:line="240" w:lineRule="auto" w:before="178"/>
        <w:ind w:left="340" w:right="320" w:firstLine="0"/>
        <w:jc w:val="left"/>
        <w:rPr>
          <w:sz w:val="22"/>
        </w:rPr>
      </w:pPr>
      <w:r>
        <w:rPr>
          <w:rFonts w:ascii="Calibri" w:hAnsi="Calibri"/>
          <w:b/>
          <w:color w:val="4D4D4F"/>
          <w:w w:val="110"/>
          <w:sz w:val="22"/>
        </w:rPr>
        <w:t>Methadone (or buprenorphine) treatment through OTPs may be best for patients who need a higher level of outpatient structure </w:t>
      </w:r>
      <w:r>
        <w:rPr>
          <w:rFonts w:ascii="Calibri" w:hAnsi="Calibri"/>
          <w:b/>
          <w:color w:val="4D4D4F"/>
          <w:spacing w:val="-7"/>
          <w:w w:val="110"/>
          <w:sz w:val="22"/>
        </w:rPr>
        <w:t>or </w:t>
      </w:r>
      <w:r>
        <w:rPr>
          <w:rFonts w:ascii="Calibri" w:hAnsi="Calibri"/>
          <w:b/>
          <w:color w:val="4D4D4F"/>
          <w:w w:val="110"/>
          <w:sz w:val="22"/>
        </w:rPr>
        <w:t>supervision of medication adherence. </w:t>
      </w:r>
      <w:r>
        <w:rPr>
          <w:color w:val="4D4D4F"/>
          <w:spacing w:val="-5"/>
          <w:w w:val="110"/>
          <w:sz w:val="22"/>
        </w:rPr>
        <w:t>Tailor </w:t>
      </w:r>
      <w:r>
        <w:rPr>
          <w:color w:val="4D4D4F"/>
          <w:w w:val="110"/>
          <w:sz w:val="22"/>
        </w:rPr>
        <w:t>medication decisions to patients’ medical and substance use histories, patient preferences, and treatment</w:t>
      </w:r>
      <w:r>
        <w:rPr>
          <w:color w:val="4D4D4F"/>
          <w:spacing w:val="-10"/>
          <w:w w:val="110"/>
          <w:sz w:val="22"/>
        </w:rPr>
        <w:t> </w:t>
      </w:r>
      <w:r>
        <w:rPr>
          <w:color w:val="4D4D4F"/>
          <w:w w:val="110"/>
          <w:sz w:val="22"/>
        </w:rPr>
        <w:t>availability.</w:t>
      </w:r>
    </w:p>
    <w:p>
      <w:pPr>
        <w:pStyle w:val="BodyText"/>
        <w:spacing w:before="9"/>
        <w:rPr>
          <w:sz w:val="23"/>
        </w:rPr>
      </w:pPr>
    </w:p>
    <w:p>
      <w:pPr>
        <w:pStyle w:val="Heading3"/>
        <w:spacing w:before="1"/>
        <w:ind w:left="340"/>
      </w:pPr>
      <w:bookmarkStart w:name="_TOC_250088" w:id="27"/>
      <w:bookmarkEnd w:id="27"/>
      <w:r>
        <w:rPr>
          <w:color w:val="137692"/>
          <w:w w:val="110"/>
        </w:rPr>
        <w:t>Informed Consent</w:t>
      </w:r>
    </w:p>
    <w:p>
      <w:pPr>
        <w:pStyle w:val="Heading7"/>
        <w:spacing w:before="42"/>
        <w:ind w:left="340"/>
      </w:pPr>
      <w:r>
        <w:rPr>
          <w:color w:val="4D4D4F"/>
          <w:w w:val="110"/>
        </w:rPr>
        <w:t>Inform all patients of:</w:t>
      </w:r>
    </w:p>
    <w:p>
      <w:pPr>
        <w:pStyle w:val="ListParagraph"/>
        <w:numPr>
          <w:ilvl w:val="1"/>
          <w:numId w:val="4"/>
        </w:numPr>
        <w:tabs>
          <w:tab w:pos="611" w:val="left" w:leader="none"/>
        </w:tabs>
        <w:spacing w:line="208" w:lineRule="auto" w:before="126" w:after="0"/>
        <w:ind w:left="610" w:right="521" w:hanging="270"/>
        <w:jc w:val="left"/>
        <w:rPr>
          <w:rFonts w:ascii="Arial" w:hAnsi="Arial"/>
          <w:color w:val="137692"/>
          <w:sz w:val="28"/>
        </w:rPr>
      </w:pPr>
      <w:r>
        <w:rPr>
          <w:color w:val="4D4D4F"/>
          <w:w w:val="110"/>
          <w:sz w:val="22"/>
        </w:rPr>
        <w:t>Their OUD diagnosis and the nature of</w:t>
      </w:r>
      <w:r>
        <w:rPr>
          <w:color w:val="4D4D4F"/>
          <w:spacing w:val="-39"/>
          <w:w w:val="110"/>
          <w:sz w:val="22"/>
        </w:rPr>
        <w:t> </w:t>
      </w:r>
      <w:r>
        <w:rPr>
          <w:color w:val="4D4D4F"/>
          <w:spacing w:val="-6"/>
          <w:w w:val="110"/>
          <w:sz w:val="22"/>
        </w:rPr>
        <w:t>the </w:t>
      </w:r>
      <w:r>
        <w:rPr>
          <w:color w:val="4D4D4F"/>
          <w:spacing w:val="-3"/>
          <w:w w:val="110"/>
          <w:sz w:val="22"/>
        </w:rPr>
        <w:t>disorder.</w:t>
      </w:r>
    </w:p>
    <w:p>
      <w:pPr>
        <w:pStyle w:val="ListParagraph"/>
        <w:numPr>
          <w:ilvl w:val="1"/>
          <w:numId w:val="4"/>
        </w:numPr>
        <w:tabs>
          <w:tab w:pos="611" w:val="left" w:leader="none"/>
        </w:tabs>
        <w:spacing w:line="208" w:lineRule="auto" w:before="69" w:after="0"/>
        <w:ind w:left="610" w:right="480" w:hanging="270"/>
        <w:jc w:val="left"/>
        <w:rPr>
          <w:rFonts w:ascii="Arial" w:hAnsi="Arial"/>
          <w:color w:val="137692"/>
          <w:sz w:val="28"/>
        </w:rPr>
      </w:pPr>
      <w:r>
        <w:rPr>
          <w:color w:val="4D4D4F"/>
          <w:w w:val="110"/>
          <w:sz w:val="22"/>
        </w:rPr>
        <w:t>Risks and beneﬁts of methadone and </w:t>
      </w:r>
      <w:r>
        <w:rPr>
          <w:color w:val="4D4D4F"/>
          <w:spacing w:val="-4"/>
          <w:w w:val="110"/>
          <w:sz w:val="22"/>
        </w:rPr>
        <w:t>other </w:t>
      </w:r>
      <w:r>
        <w:rPr>
          <w:color w:val="4D4D4F"/>
          <w:w w:val="110"/>
          <w:sz w:val="22"/>
        </w:rPr>
        <w:t>OUD</w:t>
      </w:r>
      <w:r>
        <w:rPr>
          <w:color w:val="4D4D4F"/>
          <w:spacing w:val="-7"/>
          <w:w w:val="110"/>
          <w:sz w:val="22"/>
        </w:rPr>
        <w:t> </w:t>
      </w:r>
      <w:r>
        <w:rPr>
          <w:color w:val="4D4D4F"/>
          <w:w w:val="110"/>
          <w:sz w:val="22"/>
        </w:rPr>
        <w:t>medications.</w:t>
      </w:r>
    </w:p>
    <w:p>
      <w:pPr>
        <w:pStyle w:val="ListParagraph"/>
        <w:numPr>
          <w:ilvl w:val="1"/>
          <w:numId w:val="4"/>
        </w:numPr>
        <w:tabs>
          <w:tab w:pos="611" w:val="left" w:leader="none"/>
        </w:tabs>
        <w:spacing w:line="208" w:lineRule="auto" w:before="70" w:after="0"/>
        <w:ind w:left="610" w:right="1161" w:hanging="270"/>
        <w:jc w:val="left"/>
        <w:rPr>
          <w:rFonts w:ascii="Arial" w:hAnsi="Arial"/>
          <w:color w:val="137692"/>
          <w:sz w:val="28"/>
        </w:rPr>
      </w:pPr>
      <w:r>
        <w:rPr>
          <w:color w:val="4D4D4F"/>
          <w:w w:val="110"/>
          <w:sz w:val="22"/>
        </w:rPr>
        <w:t>Risks and beneﬁts of </w:t>
      </w:r>
      <w:r>
        <w:rPr>
          <w:color w:val="4D4D4F"/>
          <w:spacing w:val="-2"/>
          <w:w w:val="110"/>
          <w:sz w:val="22"/>
        </w:rPr>
        <w:t>nonmedication </w:t>
      </w:r>
      <w:r>
        <w:rPr>
          <w:color w:val="4D4D4F"/>
          <w:w w:val="110"/>
          <w:sz w:val="22"/>
        </w:rPr>
        <w:t>treatments.</w:t>
      </w:r>
    </w:p>
    <w:p>
      <w:pPr>
        <w:pStyle w:val="BodyText"/>
        <w:spacing w:before="9"/>
        <w:rPr>
          <w:sz w:val="31"/>
        </w:rPr>
      </w:pPr>
    </w:p>
    <w:p>
      <w:pPr>
        <w:spacing w:line="304" w:lineRule="auto" w:before="0"/>
        <w:ind w:left="638" w:right="83" w:firstLine="0"/>
        <w:jc w:val="left"/>
        <w:rPr>
          <w:rFonts w:ascii="Arial" w:hAnsi="Arial"/>
          <w:b/>
          <w:sz w:val="22"/>
        </w:rPr>
      </w:pPr>
      <w:r>
        <w:rPr/>
        <w:pict>
          <v:line style="position:absolute;mso-position-horizontal-relative:page;mso-position-vertical-relative:paragraph;z-index:15746560" from="316.501007pt,74.314675pt" to="316.501007pt,-.333325pt" stroked="true" strokeweight="1pt" strokecolor="#759eb4">
            <v:stroke dashstyle="solid"/>
            <w10:wrap type="none"/>
          </v:line>
        </w:pict>
      </w:r>
      <w:r>
        <w:rPr>
          <w:rFonts w:ascii="Arial" w:hAnsi="Arial"/>
          <w:b/>
          <w:color w:val="B15651"/>
          <w:w w:val="110"/>
          <w:sz w:val="22"/>
        </w:rPr>
        <w:t>Use language and written materials appropriate to each patient’s comprehension level to ensure that he or she understands the options and can make informed decisions.</w:t>
      </w:r>
    </w:p>
    <w:p>
      <w:pPr>
        <w:spacing w:after="0" w:line="304" w:lineRule="auto"/>
        <w:jc w:val="left"/>
        <w:rPr>
          <w:rFonts w:ascii="Arial" w:hAnsi="Arial"/>
          <w:sz w:val="22"/>
        </w:rPr>
        <w:sectPr>
          <w:type w:val="continuous"/>
          <w:pgSz w:w="12240" w:h="15840"/>
          <w:pgMar w:top="540" w:bottom="280" w:left="940" w:right="920"/>
          <w:cols w:num="2" w:equalWidth="0">
            <w:col w:w="5000" w:space="40"/>
            <w:col w:w="5340"/>
          </w:cols>
        </w:sectPr>
      </w:pPr>
    </w:p>
    <w:p>
      <w:pPr>
        <w:pStyle w:val="BodyText"/>
        <w:rPr>
          <w:rFonts w:ascii="Arial"/>
          <w:b/>
          <w:sz w:val="20"/>
        </w:rPr>
      </w:pPr>
    </w:p>
    <w:p>
      <w:pPr>
        <w:pStyle w:val="BodyText"/>
        <w:spacing w:before="6"/>
        <w:rPr>
          <w:rFonts w:ascii="Arial"/>
          <w:b/>
          <w:sz w:val="27"/>
        </w:rPr>
      </w:pPr>
    </w:p>
    <w:p>
      <w:pPr>
        <w:pStyle w:val="Heading3"/>
        <w:spacing w:before="137"/>
        <w:ind w:left="420"/>
        <w:rPr>
          <w:rFonts w:ascii="Arial"/>
        </w:rPr>
      </w:pPr>
      <w:r>
        <w:rPr/>
        <w:pict>
          <v:group style="position:absolute;margin-left:54.048pt;margin-top:-4.540381pt;width:503.95pt;height:345.65pt;mso-position-horizontal-relative:page;mso-position-vertical-relative:paragraph;z-index:-19568640" coordorigin="1081,-91" coordsize="10079,6913">
            <v:rect style="position:absolute;left:1085;top:-86;width:10069;height:6903" filled="true" fillcolor="#fff7f2" stroked="false">
              <v:fill type="solid"/>
            </v:rect>
            <v:rect style="position:absolute;left:1085;top:-86;width:10069;height:6903" filled="false" stroked="true" strokeweight=".5pt" strokecolor="#89aabe">
              <v:stroke dashstyle="solid"/>
            </v:rect>
            <v:line style="position:absolute" from="1361,551" to="10879,551" stroked="true" strokeweight="2pt" strokecolor="#588da6">
              <v:stroke dashstyle="solid"/>
            </v:line>
            <w10:wrap type="none"/>
          </v:group>
        </w:pict>
      </w:r>
      <w:r>
        <w:rPr>
          <w:rFonts w:ascii="Arial"/>
          <w:color w:val="147592"/>
          <w:w w:val="110"/>
        </w:rPr>
        <w:t>EXHIBIT 3B.3. </w:t>
      </w:r>
      <w:r>
        <w:rPr>
          <w:rFonts w:ascii="Arial"/>
          <w:color w:val="147592"/>
          <w:spacing w:val="-3"/>
          <w:w w:val="110"/>
        </w:rPr>
        <w:t>Key </w:t>
      </w:r>
      <w:r>
        <w:rPr>
          <w:rFonts w:ascii="Arial"/>
          <w:color w:val="147592"/>
          <w:w w:val="110"/>
        </w:rPr>
        <w:t>Points of Patient Education for</w:t>
      </w:r>
      <w:r>
        <w:rPr>
          <w:rFonts w:ascii="Arial"/>
          <w:color w:val="147592"/>
          <w:spacing w:val="-54"/>
          <w:w w:val="110"/>
        </w:rPr>
        <w:t> </w:t>
      </w:r>
      <w:r>
        <w:rPr>
          <w:rFonts w:ascii="Arial"/>
          <w:color w:val="147592"/>
          <w:w w:val="110"/>
        </w:rPr>
        <w:t>Methadone</w:t>
      </w:r>
    </w:p>
    <w:p>
      <w:pPr>
        <w:pStyle w:val="BodyText"/>
        <w:spacing w:before="4"/>
        <w:rPr>
          <w:rFonts w:ascii="Arial"/>
          <w:b/>
          <w:sz w:val="24"/>
        </w:rPr>
      </w:pPr>
    </w:p>
    <w:p>
      <w:pPr>
        <w:spacing w:after="0"/>
        <w:rPr>
          <w:rFonts w:ascii="Arial"/>
          <w:sz w:val="24"/>
        </w:rPr>
        <w:sectPr>
          <w:pgSz w:w="12240" w:h="15840"/>
          <w:pgMar w:header="576" w:footer="677" w:top="1340" w:bottom="860" w:left="940" w:right="920"/>
        </w:sectPr>
      </w:pPr>
    </w:p>
    <w:p>
      <w:pPr>
        <w:spacing w:line="261" w:lineRule="auto" w:before="142"/>
        <w:ind w:left="410" w:right="153" w:firstLine="0"/>
        <w:jc w:val="both"/>
        <w:rPr>
          <w:rFonts w:ascii="Calibri"/>
          <w:sz w:val="18"/>
        </w:rPr>
      </w:pPr>
      <w:r>
        <w:rPr>
          <w:rFonts w:ascii="Calibri"/>
          <w:color w:val="414042"/>
          <w:w w:val="125"/>
          <w:sz w:val="18"/>
        </w:rPr>
        <w:t>Before</w:t>
      </w:r>
      <w:r>
        <w:rPr>
          <w:rFonts w:ascii="Calibri"/>
          <w:color w:val="414042"/>
          <w:spacing w:val="-12"/>
          <w:w w:val="125"/>
          <w:sz w:val="18"/>
        </w:rPr>
        <w:t> </w:t>
      </w:r>
      <w:r>
        <w:rPr>
          <w:rFonts w:ascii="Calibri"/>
          <w:color w:val="414042"/>
          <w:w w:val="125"/>
          <w:sz w:val="18"/>
        </w:rPr>
        <w:t>starting</w:t>
      </w:r>
      <w:r>
        <w:rPr>
          <w:rFonts w:ascii="Calibri"/>
          <w:color w:val="414042"/>
          <w:spacing w:val="-11"/>
          <w:w w:val="125"/>
          <w:sz w:val="18"/>
        </w:rPr>
        <w:t> </w:t>
      </w:r>
      <w:r>
        <w:rPr>
          <w:rFonts w:ascii="Calibri"/>
          <w:color w:val="414042"/>
          <w:w w:val="125"/>
          <w:sz w:val="18"/>
        </w:rPr>
        <w:t>OUD</w:t>
      </w:r>
      <w:r>
        <w:rPr>
          <w:rFonts w:ascii="Calibri"/>
          <w:color w:val="414042"/>
          <w:spacing w:val="-12"/>
          <w:w w:val="125"/>
          <w:sz w:val="18"/>
        </w:rPr>
        <w:t> </w:t>
      </w:r>
      <w:r>
        <w:rPr>
          <w:rFonts w:ascii="Calibri"/>
          <w:color w:val="414042"/>
          <w:w w:val="125"/>
          <w:sz w:val="18"/>
        </w:rPr>
        <w:t>treatment</w:t>
      </w:r>
      <w:r>
        <w:rPr>
          <w:rFonts w:ascii="Calibri"/>
          <w:color w:val="414042"/>
          <w:spacing w:val="-11"/>
          <w:w w:val="125"/>
          <w:sz w:val="18"/>
        </w:rPr>
        <w:t> </w:t>
      </w:r>
      <w:r>
        <w:rPr>
          <w:rFonts w:ascii="Calibri"/>
          <w:color w:val="414042"/>
          <w:w w:val="125"/>
          <w:sz w:val="18"/>
        </w:rPr>
        <w:t>with</w:t>
      </w:r>
      <w:r>
        <w:rPr>
          <w:rFonts w:ascii="Calibri"/>
          <w:color w:val="414042"/>
          <w:spacing w:val="-12"/>
          <w:w w:val="125"/>
          <w:sz w:val="18"/>
        </w:rPr>
        <w:t> </w:t>
      </w:r>
      <w:r>
        <w:rPr>
          <w:rFonts w:ascii="Calibri"/>
          <w:color w:val="414042"/>
          <w:w w:val="125"/>
          <w:sz w:val="18"/>
        </w:rPr>
        <w:t>methadone, patients</w:t>
      </w:r>
      <w:r>
        <w:rPr>
          <w:rFonts w:ascii="Calibri"/>
          <w:color w:val="414042"/>
          <w:spacing w:val="-5"/>
          <w:w w:val="125"/>
          <w:sz w:val="18"/>
        </w:rPr>
        <w:t> </w:t>
      </w:r>
      <w:r>
        <w:rPr>
          <w:rFonts w:ascii="Calibri"/>
          <w:color w:val="414042"/>
          <w:w w:val="125"/>
          <w:sz w:val="18"/>
        </w:rPr>
        <w:t>should:</w:t>
      </w:r>
    </w:p>
    <w:p>
      <w:pPr>
        <w:pStyle w:val="ListParagraph"/>
        <w:numPr>
          <w:ilvl w:val="1"/>
          <w:numId w:val="4"/>
        </w:numPr>
        <w:tabs>
          <w:tab w:pos="590" w:val="left" w:leader="none"/>
        </w:tabs>
        <w:spacing w:line="235" w:lineRule="auto" w:before="44" w:after="0"/>
        <w:ind w:left="590" w:right="138" w:hanging="180"/>
        <w:jc w:val="both"/>
        <w:rPr>
          <w:rFonts w:ascii="Arial" w:hAnsi="Arial"/>
          <w:color w:val="147592"/>
          <w:sz w:val="28"/>
        </w:rPr>
      </w:pPr>
      <w:r>
        <w:rPr>
          <w:rFonts w:ascii="Calibri" w:hAnsi="Calibri"/>
          <w:color w:val="4C4D4F"/>
          <w:w w:val="125"/>
          <w:sz w:val="18"/>
        </w:rPr>
        <w:t>Be</w:t>
      </w:r>
      <w:r>
        <w:rPr>
          <w:rFonts w:ascii="Calibri" w:hAnsi="Calibri"/>
          <w:color w:val="4C4D4F"/>
          <w:spacing w:val="-8"/>
          <w:w w:val="125"/>
          <w:sz w:val="18"/>
        </w:rPr>
        <w:t> </w:t>
      </w:r>
      <w:r>
        <w:rPr>
          <w:rFonts w:ascii="Calibri" w:hAnsi="Calibri"/>
          <w:color w:val="4C4D4F"/>
          <w:w w:val="125"/>
          <w:sz w:val="18"/>
        </w:rPr>
        <w:t>told</w:t>
      </w:r>
      <w:r>
        <w:rPr>
          <w:rFonts w:ascii="Calibri" w:hAnsi="Calibri"/>
          <w:color w:val="4C4D4F"/>
          <w:spacing w:val="-8"/>
          <w:w w:val="125"/>
          <w:sz w:val="18"/>
        </w:rPr>
        <w:t> </w:t>
      </w:r>
      <w:r>
        <w:rPr>
          <w:rFonts w:ascii="Calibri" w:hAnsi="Calibri"/>
          <w:color w:val="4C4D4F"/>
          <w:w w:val="125"/>
          <w:sz w:val="18"/>
        </w:rPr>
        <w:t>that</w:t>
      </w:r>
      <w:r>
        <w:rPr>
          <w:rFonts w:ascii="Calibri" w:hAnsi="Calibri"/>
          <w:color w:val="4C4D4F"/>
          <w:spacing w:val="-8"/>
          <w:w w:val="125"/>
          <w:sz w:val="18"/>
        </w:rPr>
        <w:t> </w:t>
      </w:r>
      <w:r>
        <w:rPr>
          <w:rFonts w:ascii="Calibri" w:hAnsi="Calibri"/>
          <w:color w:val="4C4D4F"/>
          <w:w w:val="125"/>
          <w:sz w:val="18"/>
        </w:rPr>
        <w:t>the</w:t>
      </w:r>
      <w:r>
        <w:rPr>
          <w:rFonts w:ascii="Calibri" w:hAnsi="Calibri"/>
          <w:color w:val="4C4D4F"/>
          <w:spacing w:val="-8"/>
          <w:w w:val="125"/>
          <w:sz w:val="18"/>
        </w:rPr>
        <w:t> </w:t>
      </w:r>
      <w:r>
        <w:rPr>
          <w:rFonts w:ascii="Calibri" w:hAnsi="Calibri"/>
          <w:color w:val="4C4D4F"/>
          <w:w w:val="125"/>
          <w:sz w:val="18"/>
        </w:rPr>
        <w:t>methadone</w:t>
      </w:r>
      <w:r>
        <w:rPr>
          <w:rFonts w:ascii="Calibri" w:hAnsi="Calibri"/>
          <w:color w:val="4C4D4F"/>
          <w:spacing w:val="-8"/>
          <w:w w:val="125"/>
          <w:sz w:val="18"/>
        </w:rPr>
        <w:t> </w:t>
      </w:r>
      <w:r>
        <w:rPr>
          <w:rFonts w:ascii="Calibri" w:hAnsi="Calibri"/>
          <w:color w:val="4C4D4F"/>
          <w:w w:val="125"/>
          <w:sz w:val="18"/>
        </w:rPr>
        <w:t>dose</w:t>
      </w:r>
      <w:r>
        <w:rPr>
          <w:rFonts w:ascii="Calibri" w:hAnsi="Calibri"/>
          <w:color w:val="4C4D4F"/>
          <w:spacing w:val="-8"/>
          <w:w w:val="125"/>
          <w:sz w:val="18"/>
        </w:rPr>
        <w:t> </w:t>
      </w:r>
      <w:r>
        <w:rPr>
          <w:rFonts w:ascii="Calibri" w:hAnsi="Calibri"/>
          <w:color w:val="4C4D4F"/>
          <w:w w:val="125"/>
          <w:sz w:val="18"/>
        </w:rPr>
        <w:t>is</w:t>
      </w:r>
      <w:r>
        <w:rPr>
          <w:rFonts w:ascii="Calibri" w:hAnsi="Calibri"/>
          <w:color w:val="4C4D4F"/>
          <w:spacing w:val="-8"/>
          <w:w w:val="125"/>
          <w:sz w:val="18"/>
        </w:rPr>
        <w:t> </w:t>
      </w:r>
      <w:r>
        <w:rPr>
          <w:rFonts w:ascii="Calibri" w:hAnsi="Calibri"/>
          <w:color w:val="4C4D4F"/>
          <w:w w:val="125"/>
          <w:sz w:val="18"/>
        </w:rPr>
        <w:t>started</w:t>
      </w:r>
      <w:r>
        <w:rPr>
          <w:rFonts w:ascii="Calibri" w:hAnsi="Calibri"/>
          <w:color w:val="4C4D4F"/>
          <w:spacing w:val="-8"/>
          <w:w w:val="125"/>
          <w:sz w:val="18"/>
        </w:rPr>
        <w:t> </w:t>
      </w:r>
      <w:r>
        <w:rPr>
          <w:rFonts w:ascii="Calibri" w:hAnsi="Calibri"/>
          <w:color w:val="4C4D4F"/>
          <w:spacing w:val="-5"/>
          <w:w w:val="125"/>
          <w:sz w:val="18"/>
        </w:rPr>
        <w:t>low </w:t>
      </w:r>
      <w:r>
        <w:rPr>
          <w:rFonts w:ascii="Calibri" w:hAnsi="Calibri"/>
          <w:color w:val="4C4D4F"/>
          <w:w w:val="125"/>
          <w:sz w:val="18"/>
        </w:rPr>
        <w:t>and</w:t>
      </w:r>
      <w:r>
        <w:rPr>
          <w:rFonts w:ascii="Calibri" w:hAnsi="Calibri"/>
          <w:color w:val="4C4D4F"/>
          <w:spacing w:val="-13"/>
          <w:w w:val="125"/>
          <w:sz w:val="18"/>
        </w:rPr>
        <w:t> </w:t>
      </w:r>
      <w:r>
        <w:rPr>
          <w:rFonts w:ascii="Calibri" w:hAnsi="Calibri"/>
          <w:color w:val="4C4D4F"/>
          <w:w w:val="125"/>
          <w:sz w:val="18"/>
        </w:rPr>
        <w:t>increased</w:t>
      </w:r>
      <w:r>
        <w:rPr>
          <w:rFonts w:ascii="Calibri" w:hAnsi="Calibri"/>
          <w:color w:val="4C4D4F"/>
          <w:spacing w:val="-12"/>
          <w:w w:val="125"/>
          <w:sz w:val="18"/>
        </w:rPr>
        <w:t> </w:t>
      </w:r>
      <w:r>
        <w:rPr>
          <w:rFonts w:ascii="Calibri" w:hAnsi="Calibri"/>
          <w:color w:val="4C4D4F"/>
          <w:w w:val="125"/>
          <w:sz w:val="18"/>
        </w:rPr>
        <w:t>slowly</w:t>
      </w:r>
      <w:r>
        <w:rPr>
          <w:rFonts w:ascii="Calibri" w:hAnsi="Calibri"/>
          <w:color w:val="4C4D4F"/>
          <w:spacing w:val="-13"/>
          <w:w w:val="125"/>
          <w:sz w:val="18"/>
        </w:rPr>
        <w:t> </w:t>
      </w:r>
      <w:r>
        <w:rPr>
          <w:rFonts w:ascii="Calibri" w:hAnsi="Calibri"/>
          <w:color w:val="4C4D4F"/>
          <w:w w:val="125"/>
          <w:sz w:val="18"/>
        </w:rPr>
        <w:t>over</w:t>
      </w:r>
      <w:r>
        <w:rPr>
          <w:rFonts w:ascii="Calibri" w:hAnsi="Calibri"/>
          <w:color w:val="4C4D4F"/>
          <w:spacing w:val="-12"/>
          <w:w w:val="125"/>
          <w:sz w:val="18"/>
        </w:rPr>
        <w:t> </w:t>
      </w:r>
      <w:r>
        <w:rPr>
          <w:rFonts w:ascii="Calibri" w:hAnsi="Calibri"/>
          <w:color w:val="4C4D4F"/>
          <w:w w:val="125"/>
          <w:sz w:val="18"/>
        </w:rPr>
        <w:t>days</w:t>
      </w:r>
      <w:r>
        <w:rPr>
          <w:rFonts w:ascii="Calibri" w:hAnsi="Calibri"/>
          <w:color w:val="4C4D4F"/>
          <w:spacing w:val="-13"/>
          <w:w w:val="125"/>
          <w:sz w:val="18"/>
        </w:rPr>
        <w:t> </w:t>
      </w:r>
      <w:r>
        <w:rPr>
          <w:rFonts w:ascii="Calibri" w:hAnsi="Calibri"/>
          <w:color w:val="4C4D4F"/>
          <w:w w:val="125"/>
          <w:sz w:val="18"/>
        </w:rPr>
        <w:t>and</w:t>
      </w:r>
      <w:r>
        <w:rPr>
          <w:rFonts w:ascii="Calibri" w:hAnsi="Calibri"/>
          <w:color w:val="4C4D4F"/>
          <w:spacing w:val="-12"/>
          <w:w w:val="125"/>
          <w:sz w:val="18"/>
        </w:rPr>
        <w:t> </w:t>
      </w:r>
      <w:r>
        <w:rPr>
          <w:rFonts w:ascii="Calibri" w:hAnsi="Calibri"/>
          <w:color w:val="4C4D4F"/>
          <w:w w:val="125"/>
          <w:sz w:val="18"/>
        </w:rPr>
        <w:t>weeks</w:t>
      </w:r>
      <w:r>
        <w:rPr>
          <w:rFonts w:ascii="Calibri" w:hAnsi="Calibri"/>
          <w:color w:val="4C4D4F"/>
          <w:spacing w:val="-13"/>
          <w:w w:val="125"/>
          <w:sz w:val="18"/>
        </w:rPr>
        <w:t> </w:t>
      </w:r>
      <w:r>
        <w:rPr>
          <w:rFonts w:ascii="Calibri" w:hAnsi="Calibri"/>
          <w:color w:val="4C4D4F"/>
          <w:w w:val="125"/>
          <w:sz w:val="18"/>
        </w:rPr>
        <w:t>with monitoring,</w:t>
      </w:r>
      <w:r>
        <w:rPr>
          <w:rFonts w:ascii="Calibri" w:hAnsi="Calibri"/>
          <w:color w:val="4C4D4F"/>
          <w:spacing w:val="-8"/>
          <w:w w:val="125"/>
          <w:sz w:val="18"/>
        </w:rPr>
        <w:t> </w:t>
      </w:r>
      <w:r>
        <w:rPr>
          <w:rFonts w:ascii="Calibri" w:hAnsi="Calibri"/>
          <w:color w:val="4C4D4F"/>
          <w:w w:val="125"/>
          <w:sz w:val="18"/>
        </w:rPr>
        <w:t>because</w:t>
      </w:r>
      <w:r>
        <w:rPr>
          <w:rFonts w:ascii="Calibri" w:hAnsi="Calibri"/>
          <w:color w:val="4C4D4F"/>
          <w:spacing w:val="-7"/>
          <w:w w:val="125"/>
          <w:sz w:val="18"/>
        </w:rPr>
        <w:t> </w:t>
      </w:r>
      <w:r>
        <w:rPr>
          <w:rFonts w:ascii="Calibri" w:hAnsi="Calibri"/>
          <w:color w:val="4C4D4F"/>
          <w:w w:val="125"/>
          <w:sz w:val="18"/>
        </w:rPr>
        <w:t>it</w:t>
      </w:r>
      <w:r>
        <w:rPr>
          <w:rFonts w:ascii="Calibri" w:hAnsi="Calibri"/>
          <w:color w:val="4C4D4F"/>
          <w:spacing w:val="-7"/>
          <w:w w:val="125"/>
          <w:sz w:val="18"/>
        </w:rPr>
        <w:t> </w:t>
      </w:r>
      <w:r>
        <w:rPr>
          <w:rFonts w:ascii="Calibri" w:hAnsi="Calibri"/>
          <w:color w:val="4C4D4F"/>
          <w:w w:val="125"/>
          <w:sz w:val="18"/>
        </w:rPr>
        <w:t>takes</w:t>
      </w:r>
      <w:r>
        <w:rPr>
          <w:rFonts w:ascii="Calibri" w:hAnsi="Calibri"/>
          <w:color w:val="4C4D4F"/>
          <w:spacing w:val="-7"/>
          <w:w w:val="125"/>
          <w:sz w:val="18"/>
        </w:rPr>
        <w:t> </w:t>
      </w:r>
      <w:r>
        <w:rPr>
          <w:rFonts w:ascii="Calibri" w:hAnsi="Calibri"/>
          <w:color w:val="4C4D4F"/>
          <w:w w:val="125"/>
          <w:sz w:val="18"/>
        </w:rPr>
        <w:t>4</w:t>
      </w:r>
      <w:r>
        <w:rPr>
          <w:rFonts w:ascii="Calibri" w:hAnsi="Calibri"/>
          <w:color w:val="4C4D4F"/>
          <w:spacing w:val="-7"/>
          <w:w w:val="125"/>
          <w:sz w:val="18"/>
        </w:rPr>
        <w:t> </w:t>
      </w:r>
      <w:r>
        <w:rPr>
          <w:rFonts w:ascii="Calibri" w:hAnsi="Calibri"/>
          <w:color w:val="4C4D4F"/>
          <w:w w:val="125"/>
          <w:sz w:val="18"/>
        </w:rPr>
        <w:t>or</w:t>
      </w:r>
      <w:r>
        <w:rPr>
          <w:rFonts w:ascii="Calibri" w:hAnsi="Calibri"/>
          <w:color w:val="4C4D4F"/>
          <w:spacing w:val="-7"/>
          <w:w w:val="125"/>
          <w:sz w:val="18"/>
        </w:rPr>
        <w:t> </w:t>
      </w:r>
      <w:r>
        <w:rPr>
          <w:rFonts w:ascii="Calibri" w:hAnsi="Calibri"/>
          <w:color w:val="4C4D4F"/>
          <w:w w:val="125"/>
          <w:sz w:val="18"/>
        </w:rPr>
        <w:t>more</w:t>
      </w:r>
      <w:r>
        <w:rPr>
          <w:rFonts w:ascii="Calibri" w:hAnsi="Calibri"/>
          <w:color w:val="4C4D4F"/>
          <w:spacing w:val="-7"/>
          <w:w w:val="125"/>
          <w:sz w:val="18"/>
        </w:rPr>
        <w:t> </w:t>
      </w:r>
      <w:r>
        <w:rPr>
          <w:rFonts w:ascii="Calibri" w:hAnsi="Calibri"/>
          <w:color w:val="4C4D4F"/>
          <w:w w:val="125"/>
          <w:sz w:val="18"/>
        </w:rPr>
        <w:t>days</w:t>
      </w:r>
    </w:p>
    <w:p>
      <w:pPr>
        <w:spacing w:line="261" w:lineRule="auto" w:before="21"/>
        <w:ind w:left="590" w:right="230" w:firstLine="0"/>
        <w:jc w:val="both"/>
        <w:rPr>
          <w:rFonts w:ascii="Calibri"/>
          <w:sz w:val="18"/>
        </w:rPr>
      </w:pPr>
      <w:r>
        <w:rPr>
          <w:rFonts w:ascii="Calibri"/>
          <w:color w:val="4C4D4F"/>
          <w:w w:val="125"/>
          <w:sz w:val="18"/>
        </w:rPr>
        <w:t>for</w:t>
      </w:r>
      <w:r>
        <w:rPr>
          <w:rFonts w:ascii="Calibri"/>
          <w:color w:val="4C4D4F"/>
          <w:spacing w:val="-10"/>
          <w:w w:val="125"/>
          <w:sz w:val="18"/>
        </w:rPr>
        <w:t> </w:t>
      </w:r>
      <w:r>
        <w:rPr>
          <w:rFonts w:ascii="Calibri"/>
          <w:color w:val="4C4D4F"/>
          <w:w w:val="125"/>
          <w:sz w:val="18"/>
        </w:rPr>
        <w:t>the</w:t>
      </w:r>
      <w:r>
        <w:rPr>
          <w:rFonts w:ascii="Calibri"/>
          <w:color w:val="4C4D4F"/>
          <w:spacing w:val="-10"/>
          <w:w w:val="125"/>
          <w:sz w:val="18"/>
        </w:rPr>
        <w:t> </w:t>
      </w:r>
      <w:r>
        <w:rPr>
          <w:rFonts w:ascii="Calibri"/>
          <w:color w:val="4C4D4F"/>
          <w:w w:val="125"/>
          <w:sz w:val="18"/>
        </w:rPr>
        <w:t>body</w:t>
      </w:r>
      <w:r>
        <w:rPr>
          <w:rFonts w:ascii="Calibri"/>
          <w:color w:val="4C4D4F"/>
          <w:spacing w:val="-10"/>
          <w:w w:val="125"/>
          <w:sz w:val="18"/>
        </w:rPr>
        <w:t> </w:t>
      </w:r>
      <w:r>
        <w:rPr>
          <w:rFonts w:ascii="Calibri"/>
          <w:color w:val="4C4D4F"/>
          <w:w w:val="125"/>
          <w:sz w:val="18"/>
        </w:rPr>
        <w:t>to</w:t>
      </w:r>
      <w:r>
        <w:rPr>
          <w:rFonts w:ascii="Calibri"/>
          <w:color w:val="4C4D4F"/>
          <w:spacing w:val="-10"/>
          <w:w w:val="125"/>
          <w:sz w:val="18"/>
        </w:rPr>
        <w:t> </w:t>
      </w:r>
      <w:r>
        <w:rPr>
          <w:rFonts w:ascii="Calibri"/>
          <w:color w:val="4C4D4F"/>
          <w:w w:val="125"/>
          <w:sz w:val="18"/>
        </w:rPr>
        <w:t>adjust</w:t>
      </w:r>
      <w:r>
        <w:rPr>
          <w:rFonts w:ascii="Calibri"/>
          <w:color w:val="4C4D4F"/>
          <w:spacing w:val="-10"/>
          <w:w w:val="125"/>
          <w:sz w:val="18"/>
        </w:rPr>
        <w:t> </w:t>
      </w:r>
      <w:r>
        <w:rPr>
          <w:rFonts w:ascii="Calibri"/>
          <w:color w:val="4C4D4F"/>
          <w:w w:val="125"/>
          <w:sz w:val="18"/>
        </w:rPr>
        <w:t>to</w:t>
      </w:r>
      <w:r>
        <w:rPr>
          <w:rFonts w:ascii="Calibri"/>
          <w:color w:val="4C4D4F"/>
          <w:spacing w:val="-10"/>
          <w:w w:val="125"/>
          <w:sz w:val="18"/>
        </w:rPr>
        <w:t> </w:t>
      </w:r>
      <w:r>
        <w:rPr>
          <w:rFonts w:ascii="Calibri"/>
          <w:color w:val="4C4D4F"/>
          <w:w w:val="125"/>
          <w:sz w:val="18"/>
        </w:rPr>
        <w:t>a</w:t>
      </w:r>
      <w:r>
        <w:rPr>
          <w:rFonts w:ascii="Calibri"/>
          <w:color w:val="4C4D4F"/>
          <w:spacing w:val="-10"/>
          <w:w w:val="125"/>
          <w:sz w:val="18"/>
        </w:rPr>
        <w:t> </w:t>
      </w:r>
      <w:r>
        <w:rPr>
          <w:rFonts w:ascii="Calibri"/>
          <w:color w:val="4C4D4F"/>
          <w:w w:val="125"/>
          <w:sz w:val="18"/>
        </w:rPr>
        <w:t>dose</w:t>
      </w:r>
      <w:r>
        <w:rPr>
          <w:rFonts w:ascii="Calibri"/>
          <w:color w:val="4C4D4F"/>
          <w:spacing w:val="-10"/>
          <w:w w:val="125"/>
          <w:sz w:val="18"/>
        </w:rPr>
        <w:t> </w:t>
      </w:r>
      <w:r>
        <w:rPr>
          <w:rFonts w:ascii="Calibri"/>
          <w:color w:val="4C4D4F"/>
          <w:w w:val="125"/>
          <w:sz w:val="18"/>
        </w:rPr>
        <w:t>change.</w:t>
      </w:r>
      <w:r>
        <w:rPr>
          <w:rFonts w:ascii="Calibri"/>
          <w:color w:val="4C4D4F"/>
          <w:spacing w:val="-10"/>
          <w:w w:val="125"/>
          <w:sz w:val="18"/>
        </w:rPr>
        <w:t> </w:t>
      </w:r>
      <w:r>
        <w:rPr>
          <w:rFonts w:ascii="Calibri"/>
          <w:color w:val="4C4D4F"/>
          <w:w w:val="125"/>
          <w:sz w:val="18"/>
        </w:rPr>
        <w:t>This</w:t>
      </w:r>
      <w:r>
        <w:rPr>
          <w:rFonts w:ascii="Calibri"/>
          <w:color w:val="4C4D4F"/>
          <w:spacing w:val="-10"/>
          <w:w w:val="125"/>
          <w:sz w:val="18"/>
        </w:rPr>
        <w:t> </w:t>
      </w:r>
      <w:r>
        <w:rPr>
          <w:rFonts w:ascii="Calibri"/>
          <w:color w:val="4C4D4F"/>
          <w:spacing w:val="-6"/>
          <w:w w:val="125"/>
          <w:sz w:val="18"/>
        </w:rPr>
        <w:t>is </w:t>
      </w:r>
      <w:r>
        <w:rPr>
          <w:rFonts w:ascii="Calibri"/>
          <w:color w:val="4C4D4F"/>
          <w:w w:val="125"/>
          <w:sz w:val="18"/>
        </w:rPr>
        <w:t>necessary</w:t>
      </w:r>
      <w:r>
        <w:rPr>
          <w:rFonts w:ascii="Calibri"/>
          <w:color w:val="4C4D4F"/>
          <w:spacing w:val="-10"/>
          <w:w w:val="125"/>
          <w:sz w:val="18"/>
        </w:rPr>
        <w:t> </w:t>
      </w:r>
      <w:r>
        <w:rPr>
          <w:rFonts w:ascii="Calibri"/>
          <w:color w:val="4C4D4F"/>
          <w:w w:val="125"/>
          <w:sz w:val="18"/>
        </w:rPr>
        <w:t>to</w:t>
      </w:r>
      <w:r>
        <w:rPr>
          <w:rFonts w:ascii="Calibri"/>
          <w:color w:val="4C4D4F"/>
          <w:spacing w:val="-10"/>
          <w:w w:val="125"/>
          <w:sz w:val="18"/>
        </w:rPr>
        <w:t> </w:t>
      </w:r>
      <w:r>
        <w:rPr>
          <w:rFonts w:ascii="Calibri"/>
          <w:color w:val="4C4D4F"/>
          <w:w w:val="125"/>
          <w:sz w:val="18"/>
        </w:rPr>
        <w:t>avoid</w:t>
      </w:r>
      <w:r>
        <w:rPr>
          <w:rFonts w:ascii="Calibri"/>
          <w:color w:val="4C4D4F"/>
          <w:spacing w:val="-9"/>
          <w:w w:val="125"/>
          <w:sz w:val="18"/>
        </w:rPr>
        <w:t> </w:t>
      </w:r>
      <w:r>
        <w:rPr>
          <w:rFonts w:ascii="Calibri"/>
          <w:color w:val="4C4D4F"/>
          <w:w w:val="125"/>
          <w:sz w:val="18"/>
        </w:rPr>
        <w:t>the</w:t>
      </w:r>
      <w:r>
        <w:rPr>
          <w:rFonts w:ascii="Calibri"/>
          <w:color w:val="4C4D4F"/>
          <w:spacing w:val="-10"/>
          <w:w w:val="125"/>
          <w:sz w:val="18"/>
        </w:rPr>
        <w:t> </w:t>
      </w:r>
      <w:r>
        <w:rPr>
          <w:rFonts w:ascii="Calibri"/>
          <w:color w:val="4C4D4F"/>
          <w:w w:val="125"/>
          <w:sz w:val="18"/>
        </w:rPr>
        <w:t>risk</w:t>
      </w:r>
      <w:r>
        <w:rPr>
          <w:rFonts w:ascii="Calibri"/>
          <w:color w:val="4C4D4F"/>
          <w:spacing w:val="-9"/>
          <w:w w:val="125"/>
          <w:sz w:val="18"/>
        </w:rPr>
        <w:t> </w:t>
      </w:r>
      <w:r>
        <w:rPr>
          <w:rFonts w:ascii="Calibri"/>
          <w:color w:val="4C4D4F"/>
          <w:w w:val="125"/>
          <w:sz w:val="18"/>
        </w:rPr>
        <w:t>of</w:t>
      </w:r>
      <w:r>
        <w:rPr>
          <w:rFonts w:ascii="Calibri"/>
          <w:color w:val="4C4D4F"/>
          <w:spacing w:val="-10"/>
          <w:w w:val="125"/>
          <w:sz w:val="18"/>
        </w:rPr>
        <w:t> </w:t>
      </w:r>
      <w:r>
        <w:rPr>
          <w:rFonts w:ascii="Calibri"/>
          <w:color w:val="4C4D4F"/>
          <w:w w:val="125"/>
          <w:sz w:val="18"/>
        </w:rPr>
        <w:t>overdose.</w:t>
      </w:r>
    </w:p>
    <w:p>
      <w:pPr>
        <w:pStyle w:val="ListParagraph"/>
        <w:numPr>
          <w:ilvl w:val="1"/>
          <w:numId w:val="4"/>
        </w:numPr>
        <w:tabs>
          <w:tab w:pos="590" w:val="left" w:leader="none"/>
        </w:tabs>
        <w:spacing w:line="213" w:lineRule="auto" w:before="3" w:after="0"/>
        <w:ind w:left="590" w:right="196" w:hanging="180"/>
        <w:jc w:val="both"/>
        <w:rPr>
          <w:rFonts w:ascii="Arial" w:hAnsi="Arial"/>
          <w:color w:val="147592"/>
          <w:sz w:val="28"/>
        </w:rPr>
      </w:pPr>
      <w:r>
        <w:rPr>
          <w:rFonts w:ascii="Calibri" w:hAnsi="Calibri"/>
          <w:color w:val="4C4D4F"/>
          <w:w w:val="125"/>
          <w:sz w:val="18"/>
        </w:rPr>
        <w:t>Understand that the goal of the ﬁrst weeks of treatment</w:t>
      </w:r>
      <w:r>
        <w:rPr>
          <w:rFonts w:ascii="Calibri" w:hAnsi="Calibri"/>
          <w:color w:val="4C4D4F"/>
          <w:spacing w:val="-13"/>
          <w:w w:val="125"/>
          <w:sz w:val="18"/>
        </w:rPr>
        <w:t> </w:t>
      </w:r>
      <w:r>
        <w:rPr>
          <w:rFonts w:ascii="Calibri" w:hAnsi="Calibri"/>
          <w:color w:val="4C4D4F"/>
          <w:w w:val="125"/>
          <w:sz w:val="18"/>
        </w:rPr>
        <w:t>is</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2"/>
          <w:w w:val="125"/>
          <w:sz w:val="18"/>
        </w:rPr>
        <w:t> </w:t>
      </w:r>
      <w:r>
        <w:rPr>
          <w:rFonts w:ascii="Calibri" w:hAnsi="Calibri"/>
          <w:color w:val="4C4D4F"/>
          <w:w w:val="125"/>
          <w:sz w:val="18"/>
        </w:rPr>
        <w:t>improve</w:t>
      </w:r>
      <w:r>
        <w:rPr>
          <w:rFonts w:ascii="Calibri" w:hAnsi="Calibri"/>
          <w:color w:val="4C4D4F"/>
          <w:spacing w:val="-13"/>
          <w:w w:val="125"/>
          <w:sz w:val="18"/>
        </w:rPr>
        <w:t> </w:t>
      </w:r>
      <w:r>
        <w:rPr>
          <w:rFonts w:ascii="Calibri" w:hAnsi="Calibri"/>
          <w:color w:val="4C4D4F"/>
          <w:w w:val="125"/>
          <w:sz w:val="18"/>
        </w:rPr>
        <w:t>withdrawal</w:t>
      </w:r>
      <w:r>
        <w:rPr>
          <w:rFonts w:ascii="Calibri" w:hAnsi="Calibri"/>
          <w:color w:val="4C4D4F"/>
          <w:spacing w:val="-12"/>
          <w:w w:val="125"/>
          <w:sz w:val="18"/>
        </w:rPr>
        <w:t> </w:t>
      </w:r>
      <w:r>
        <w:rPr>
          <w:rFonts w:ascii="Calibri" w:hAnsi="Calibri"/>
          <w:color w:val="4C4D4F"/>
          <w:spacing w:val="-3"/>
          <w:w w:val="125"/>
          <w:sz w:val="18"/>
        </w:rPr>
        <w:t>symptoms</w:t>
      </w:r>
    </w:p>
    <w:p>
      <w:pPr>
        <w:spacing w:line="261" w:lineRule="auto" w:before="24"/>
        <w:ind w:left="590" w:right="0" w:firstLine="0"/>
        <w:jc w:val="left"/>
        <w:rPr>
          <w:rFonts w:ascii="Calibri" w:hAnsi="Calibri"/>
          <w:sz w:val="18"/>
        </w:rPr>
      </w:pPr>
      <w:r>
        <w:rPr>
          <w:rFonts w:ascii="Calibri" w:hAnsi="Calibri"/>
          <w:color w:val="4C4D4F"/>
          <w:w w:val="120"/>
          <w:sz w:val="18"/>
        </w:rPr>
        <w:t>without oversedation. Patients should inform providers if they feel sedated or “high” within the ﬁrst 4 hours after their dose.</w:t>
      </w:r>
    </w:p>
    <w:p>
      <w:pPr>
        <w:pStyle w:val="ListParagraph"/>
        <w:numPr>
          <w:ilvl w:val="1"/>
          <w:numId w:val="4"/>
        </w:numPr>
        <w:tabs>
          <w:tab w:pos="590" w:val="left" w:leader="none"/>
        </w:tabs>
        <w:spacing w:line="213" w:lineRule="auto" w:before="4" w:after="0"/>
        <w:ind w:left="590" w:right="79" w:hanging="180"/>
        <w:jc w:val="left"/>
        <w:rPr>
          <w:rFonts w:ascii="Arial" w:hAnsi="Arial"/>
          <w:color w:val="147592"/>
          <w:sz w:val="28"/>
        </w:rPr>
      </w:pPr>
      <w:r>
        <w:rPr>
          <w:rFonts w:ascii="Calibri" w:hAnsi="Calibri"/>
          <w:color w:val="4C4D4F"/>
          <w:w w:val="125"/>
          <w:sz w:val="18"/>
        </w:rPr>
        <w:t>Learn</w:t>
      </w:r>
      <w:r>
        <w:rPr>
          <w:rFonts w:ascii="Calibri" w:hAnsi="Calibri"/>
          <w:color w:val="4C4D4F"/>
          <w:spacing w:val="-12"/>
          <w:w w:val="125"/>
          <w:sz w:val="18"/>
        </w:rPr>
        <w:t> </w:t>
      </w:r>
      <w:r>
        <w:rPr>
          <w:rFonts w:ascii="Calibri" w:hAnsi="Calibri"/>
          <w:color w:val="4C4D4F"/>
          <w:w w:val="125"/>
          <w:sz w:val="18"/>
        </w:rPr>
        <w:t>the</w:t>
      </w:r>
      <w:r>
        <w:rPr>
          <w:rFonts w:ascii="Calibri" w:hAnsi="Calibri"/>
          <w:color w:val="4C4D4F"/>
          <w:spacing w:val="-11"/>
          <w:w w:val="125"/>
          <w:sz w:val="18"/>
        </w:rPr>
        <w:t> </w:t>
      </w:r>
      <w:r>
        <w:rPr>
          <w:rFonts w:ascii="Calibri" w:hAnsi="Calibri"/>
          <w:color w:val="4C4D4F"/>
          <w:w w:val="125"/>
          <w:sz w:val="18"/>
        </w:rPr>
        <w:t>symptoms</w:t>
      </w:r>
      <w:r>
        <w:rPr>
          <w:rFonts w:ascii="Calibri" w:hAnsi="Calibri"/>
          <w:color w:val="4C4D4F"/>
          <w:spacing w:val="-11"/>
          <w:w w:val="125"/>
          <w:sz w:val="18"/>
        </w:rPr>
        <w:t> </w:t>
      </w:r>
      <w:r>
        <w:rPr>
          <w:rFonts w:ascii="Calibri" w:hAnsi="Calibri"/>
          <w:color w:val="4C4D4F"/>
          <w:w w:val="125"/>
          <w:sz w:val="18"/>
        </w:rPr>
        <w:t>of</w:t>
      </w:r>
      <w:r>
        <w:rPr>
          <w:rFonts w:ascii="Calibri" w:hAnsi="Calibri"/>
          <w:color w:val="4C4D4F"/>
          <w:spacing w:val="-11"/>
          <w:w w:val="125"/>
          <w:sz w:val="18"/>
        </w:rPr>
        <w:t> </w:t>
      </w:r>
      <w:r>
        <w:rPr>
          <w:rFonts w:ascii="Calibri" w:hAnsi="Calibri"/>
          <w:color w:val="4C4D4F"/>
          <w:w w:val="125"/>
          <w:sz w:val="18"/>
        </w:rPr>
        <w:t>methadone</w:t>
      </w:r>
      <w:r>
        <w:rPr>
          <w:rFonts w:ascii="Calibri" w:hAnsi="Calibri"/>
          <w:color w:val="4C4D4F"/>
          <w:spacing w:val="-11"/>
          <w:w w:val="125"/>
          <w:sz w:val="18"/>
        </w:rPr>
        <w:t> </w:t>
      </w:r>
      <w:r>
        <w:rPr>
          <w:rFonts w:ascii="Calibri" w:hAnsi="Calibri"/>
          <w:color w:val="4C4D4F"/>
          <w:w w:val="125"/>
          <w:sz w:val="18"/>
        </w:rPr>
        <w:t>intoxication and</w:t>
      </w:r>
      <w:r>
        <w:rPr>
          <w:rFonts w:ascii="Calibri" w:hAnsi="Calibri"/>
          <w:color w:val="4C4D4F"/>
          <w:spacing w:val="-8"/>
          <w:w w:val="125"/>
          <w:sz w:val="18"/>
        </w:rPr>
        <w:t> </w:t>
      </w:r>
      <w:r>
        <w:rPr>
          <w:rFonts w:ascii="Calibri" w:hAnsi="Calibri"/>
          <w:color w:val="4C4D4F"/>
          <w:w w:val="125"/>
          <w:sz w:val="18"/>
        </w:rPr>
        <w:t>how</w:t>
      </w:r>
      <w:r>
        <w:rPr>
          <w:rFonts w:ascii="Calibri" w:hAnsi="Calibri"/>
          <w:color w:val="4C4D4F"/>
          <w:spacing w:val="-7"/>
          <w:w w:val="125"/>
          <w:sz w:val="18"/>
        </w:rPr>
        <w:t> </w:t>
      </w:r>
      <w:r>
        <w:rPr>
          <w:rFonts w:ascii="Calibri" w:hAnsi="Calibri"/>
          <w:color w:val="4C4D4F"/>
          <w:w w:val="125"/>
          <w:sz w:val="18"/>
        </w:rPr>
        <w:t>to</w:t>
      </w:r>
      <w:r>
        <w:rPr>
          <w:rFonts w:ascii="Calibri" w:hAnsi="Calibri"/>
          <w:color w:val="4C4D4F"/>
          <w:spacing w:val="-7"/>
          <w:w w:val="125"/>
          <w:sz w:val="18"/>
        </w:rPr>
        <w:t> </w:t>
      </w:r>
      <w:r>
        <w:rPr>
          <w:rFonts w:ascii="Calibri" w:hAnsi="Calibri"/>
          <w:color w:val="4C4D4F"/>
          <w:w w:val="125"/>
          <w:sz w:val="18"/>
        </w:rPr>
        <w:t>seek</w:t>
      </w:r>
      <w:r>
        <w:rPr>
          <w:rFonts w:ascii="Calibri" w:hAnsi="Calibri"/>
          <w:color w:val="4C4D4F"/>
          <w:spacing w:val="-8"/>
          <w:w w:val="125"/>
          <w:sz w:val="18"/>
        </w:rPr>
        <w:t> </w:t>
      </w:r>
      <w:r>
        <w:rPr>
          <w:rFonts w:ascii="Calibri" w:hAnsi="Calibri"/>
          <w:color w:val="4C4D4F"/>
          <w:w w:val="125"/>
          <w:sz w:val="18"/>
        </w:rPr>
        <w:t>emergency</w:t>
      </w:r>
      <w:r>
        <w:rPr>
          <w:rFonts w:ascii="Calibri" w:hAnsi="Calibri"/>
          <w:color w:val="4C4D4F"/>
          <w:spacing w:val="-7"/>
          <w:w w:val="125"/>
          <w:sz w:val="18"/>
        </w:rPr>
        <w:t> </w:t>
      </w:r>
      <w:r>
        <w:rPr>
          <w:rFonts w:ascii="Calibri" w:hAnsi="Calibri"/>
          <w:color w:val="4C4D4F"/>
          <w:w w:val="125"/>
          <w:sz w:val="18"/>
        </w:rPr>
        <w:t>care.</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8"/>
          <w:w w:val="125"/>
          <w:sz w:val="18"/>
        </w:rPr>
        <w:t> </w:t>
      </w:r>
      <w:r>
        <w:rPr>
          <w:rFonts w:ascii="Calibri" w:hAnsi="Calibri"/>
          <w:color w:val="4C4D4F"/>
          <w:w w:val="125"/>
          <w:sz w:val="18"/>
        </w:rPr>
        <w:t>ﬁrst</w:t>
      </w:r>
      <w:r>
        <w:rPr>
          <w:rFonts w:ascii="Calibri" w:hAnsi="Calibri"/>
          <w:color w:val="4C4D4F"/>
          <w:spacing w:val="-7"/>
          <w:w w:val="125"/>
          <w:sz w:val="18"/>
        </w:rPr>
        <w:t> </w:t>
      </w:r>
      <w:r>
        <w:rPr>
          <w:rFonts w:ascii="Calibri" w:hAnsi="Calibri"/>
          <w:color w:val="4C4D4F"/>
          <w:w w:val="125"/>
          <w:sz w:val="18"/>
        </w:rPr>
        <w:t>2</w:t>
      </w:r>
    </w:p>
    <w:p>
      <w:pPr>
        <w:spacing w:line="261" w:lineRule="auto" w:before="25"/>
        <w:ind w:left="590" w:right="481" w:firstLine="0"/>
        <w:jc w:val="left"/>
        <w:rPr>
          <w:rFonts w:ascii="Calibri"/>
          <w:sz w:val="18"/>
        </w:rPr>
      </w:pPr>
      <w:r>
        <w:rPr>
          <w:rFonts w:ascii="Calibri"/>
          <w:color w:val="4C4D4F"/>
          <w:w w:val="125"/>
          <w:sz w:val="18"/>
        </w:rPr>
        <w:t>weeks</w:t>
      </w:r>
      <w:r>
        <w:rPr>
          <w:rFonts w:ascii="Calibri"/>
          <w:color w:val="4C4D4F"/>
          <w:spacing w:val="-11"/>
          <w:w w:val="125"/>
          <w:sz w:val="18"/>
        </w:rPr>
        <w:t> </w:t>
      </w:r>
      <w:r>
        <w:rPr>
          <w:rFonts w:ascii="Calibri"/>
          <w:color w:val="4C4D4F"/>
          <w:w w:val="125"/>
          <w:sz w:val="18"/>
        </w:rPr>
        <w:t>of</w:t>
      </w:r>
      <w:r>
        <w:rPr>
          <w:rFonts w:ascii="Calibri"/>
          <w:color w:val="4C4D4F"/>
          <w:spacing w:val="-11"/>
          <w:w w:val="125"/>
          <w:sz w:val="18"/>
        </w:rPr>
        <w:t> </w:t>
      </w:r>
      <w:r>
        <w:rPr>
          <w:rFonts w:ascii="Calibri"/>
          <w:color w:val="4C4D4F"/>
          <w:w w:val="125"/>
          <w:sz w:val="18"/>
        </w:rPr>
        <w:t>treatment</w:t>
      </w:r>
      <w:r>
        <w:rPr>
          <w:rFonts w:ascii="Calibri"/>
          <w:color w:val="4C4D4F"/>
          <w:spacing w:val="-11"/>
          <w:w w:val="125"/>
          <w:sz w:val="18"/>
        </w:rPr>
        <w:t> </w:t>
      </w:r>
      <w:r>
        <w:rPr>
          <w:rFonts w:ascii="Calibri"/>
          <w:color w:val="4C4D4F"/>
          <w:w w:val="125"/>
          <w:sz w:val="18"/>
        </w:rPr>
        <w:t>have</w:t>
      </w:r>
      <w:r>
        <w:rPr>
          <w:rFonts w:ascii="Calibri"/>
          <w:color w:val="4C4D4F"/>
          <w:spacing w:val="-10"/>
          <w:w w:val="125"/>
          <w:sz w:val="18"/>
        </w:rPr>
        <w:t> </w:t>
      </w:r>
      <w:r>
        <w:rPr>
          <w:rFonts w:ascii="Calibri"/>
          <w:color w:val="4C4D4F"/>
          <w:w w:val="125"/>
          <w:sz w:val="18"/>
        </w:rPr>
        <w:t>the</w:t>
      </w:r>
      <w:r>
        <w:rPr>
          <w:rFonts w:ascii="Calibri"/>
          <w:color w:val="4C4D4F"/>
          <w:spacing w:val="-11"/>
          <w:w w:val="125"/>
          <w:sz w:val="18"/>
        </w:rPr>
        <w:t> </w:t>
      </w:r>
      <w:r>
        <w:rPr>
          <w:rFonts w:ascii="Calibri"/>
          <w:color w:val="4C4D4F"/>
          <w:w w:val="125"/>
          <w:sz w:val="18"/>
        </w:rPr>
        <w:t>highest</w:t>
      </w:r>
      <w:r>
        <w:rPr>
          <w:rFonts w:ascii="Calibri"/>
          <w:color w:val="4C4D4F"/>
          <w:spacing w:val="-11"/>
          <w:w w:val="125"/>
          <w:sz w:val="18"/>
        </w:rPr>
        <w:t> </w:t>
      </w:r>
      <w:r>
        <w:rPr>
          <w:rFonts w:ascii="Calibri"/>
          <w:color w:val="4C4D4F"/>
          <w:w w:val="125"/>
          <w:sz w:val="18"/>
        </w:rPr>
        <w:t>risk</w:t>
      </w:r>
      <w:r>
        <w:rPr>
          <w:rFonts w:ascii="Calibri"/>
          <w:color w:val="4C4D4F"/>
          <w:spacing w:val="-10"/>
          <w:w w:val="125"/>
          <w:sz w:val="18"/>
        </w:rPr>
        <w:t> </w:t>
      </w:r>
      <w:r>
        <w:rPr>
          <w:rFonts w:ascii="Calibri"/>
          <w:color w:val="4C4D4F"/>
          <w:spacing w:val="-6"/>
          <w:w w:val="125"/>
          <w:sz w:val="18"/>
        </w:rPr>
        <w:t>of </w:t>
      </w:r>
      <w:r>
        <w:rPr>
          <w:rFonts w:ascii="Calibri"/>
          <w:color w:val="4C4D4F"/>
          <w:w w:val="125"/>
          <w:sz w:val="18"/>
        </w:rPr>
        <w:t>overdose.</w:t>
      </w:r>
    </w:p>
    <w:p>
      <w:pPr>
        <w:pStyle w:val="ListParagraph"/>
        <w:numPr>
          <w:ilvl w:val="1"/>
          <w:numId w:val="4"/>
        </w:numPr>
        <w:tabs>
          <w:tab w:pos="590" w:val="left" w:leader="none"/>
        </w:tabs>
        <w:spacing w:line="213" w:lineRule="auto" w:before="3" w:after="0"/>
        <w:ind w:left="590" w:right="172" w:hanging="180"/>
        <w:jc w:val="left"/>
        <w:rPr>
          <w:rFonts w:ascii="Arial" w:hAnsi="Arial"/>
          <w:color w:val="147592"/>
          <w:sz w:val="28"/>
        </w:rPr>
      </w:pPr>
      <w:r>
        <w:rPr>
          <w:rFonts w:ascii="Calibri" w:hAnsi="Calibri"/>
          <w:color w:val="4C4D4F"/>
          <w:w w:val="125"/>
          <w:sz w:val="18"/>
        </w:rPr>
        <w:t>Be aware that rescue naloxone does not last very</w:t>
      </w:r>
      <w:r>
        <w:rPr>
          <w:rFonts w:ascii="Calibri" w:hAnsi="Calibri"/>
          <w:color w:val="4C4D4F"/>
          <w:spacing w:val="-8"/>
          <w:w w:val="125"/>
          <w:sz w:val="18"/>
        </w:rPr>
        <w:t> </w:t>
      </w:r>
      <w:r>
        <w:rPr>
          <w:rFonts w:ascii="Calibri" w:hAnsi="Calibri"/>
          <w:color w:val="4C4D4F"/>
          <w:w w:val="125"/>
          <w:sz w:val="18"/>
        </w:rPr>
        <w:t>long,</w:t>
      </w:r>
      <w:r>
        <w:rPr>
          <w:rFonts w:ascii="Calibri" w:hAnsi="Calibri"/>
          <w:color w:val="4C4D4F"/>
          <w:spacing w:val="-8"/>
          <w:w w:val="125"/>
          <w:sz w:val="18"/>
        </w:rPr>
        <w:t> </w:t>
      </w:r>
      <w:r>
        <w:rPr>
          <w:rFonts w:ascii="Calibri" w:hAnsi="Calibri"/>
          <w:color w:val="4C4D4F"/>
          <w:w w:val="125"/>
          <w:sz w:val="18"/>
        </w:rPr>
        <w:t>so</w:t>
      </w:r>
      <w:r>
        <w:rPr>
          <w:rFonts w:ascii="Calibri" w:hAnsi="Calibri"/>
          <w:color w:val="4C4D4F"/>
          <w:spacing w:val="-8"/>
          <w:w w:val="125"/>
          <w:sz w:val="18"/>
        </w:rPr>
        <w:t> </w:t>
      </w:r>
      <w:r>
        <w:rPr>
          <w:rFonts w:ascii="Calibri" w:hAnsi="Calibri"/>
          <w:color w:val="4C4D4F"/>
          <w:w w:val="125"/>
          <w:sz w:val="18"/>
        </w:rPr>
        <w:t>they</w:t>
      </w:r>
      <w:r>
        <w:rPr>
          <w:rFonts w:ascii="Calibri" w:hAnsi="Calibri"/>
          <w:color w:val="4C4D4F"/>
          <w:spacing w:val="-7"/>
          <w:w w:val="125"/>
          <w:sz w:val="18"/>
        </w:rPr>
        <w:t> </w:t>
      </w:r>
      <w:r>
        <w:rPr>
          <w:rFonts w:ascii="Calibri" w:hAnsi="Calibri"/>
          <w:color w:val="4C4D4F"/>
          <w:w w:val="125"/>
          <w:sz w:val="18"/>
        </w:rPr>
        <w:t>should</w:t>
      </w:r>
      <w:r>
        <w:rPr>
          <w:rFonts w:ascii="Calibri" w:hAnsi="Calibri"/>
          <w:color w:val="4C4D4F"/>
          <w:spacing w:val="-8"/>
          <w:w w:val="125"/>
          <w:sz w:val="18"/>
        </w:rPr>
        <w:t> </w:t>
      </w:r>
      <w:r>
        <w:rPr>
          <w:rFonts w:ascii="Calibri" w:hAnsi="Calibri"/>
          <w:color w:val="4C4D4F"/>
          <w:w w:val="125"/>
          <w:sz w:val="18"/>
        </w:rPr>
        <w:t>remain</w:t>
      </w:r>
      <w:r>
        <w:rPr>
          <w:rFonts w:ascii="Calibri" w:hAnsi="Calibri"/>
          <w:color w:val="4C4D4F"/>
          <w:spacing w:val="-8"/>
          <w:w w:val="125"/>
          <w:sz w:val="18"/>
        </w:rPr>
        <w:t> </w:t>
      </w:r>
      <w:r>
        <w:rPr>
          <w:rFonts w:ascii="Calibri" w:hAnsi="Calibri"/>
          <w:color w:val="4C4D4F"/>
          <w:w w:val="125"/>
          <w:sz w:val="18"/>
        </w:rPr>
        <w:t>in</w:t>
      </w:r>
      <w:r>
        <w:rPr>
          <w:rFonts w:ascii="Calibri" w:hAnsi="Calibri"/>
          <w:color w:val="4C4D4F"/>
          <w:spacing w:val="-7"/>
          <w:w w:val="125"/>
          <w:sz w:val="18"/>
        </w:rPr>
        <w:t> </w:t>
      </w:r>
      <w:r>
        <w:rPr>
          <w:rFonts w:ascii="Calibri" w:hAnsi="Calibri"/>
          <w:color w:val="4C4D4F"/>
          <w:w w:val="125"/>
          <w:sz w:val="18"/>
        </w:rPr>
        <w:t>emergency</w:t>
      </w:r>
    </w:p>
    <w:p>
      <w:pPr>
        <w:spacing w:line="261" w:lineRule="auto" w:before="24"/>
        <w:ind w:left="590" w:right="46" w:firstLine="0"/>
        <w:jc w:val="left"/>
        <w:rPr>
          <w:rFonts w:ascii="Calibri"/>
          <w:sz w:val="18"/>
        </w:rPr>
      </w:pPr>
      <w:r>
        <w:rPr>
          <w:rFonts w:ascii="Calibri"/>
          <w:color w:val="4C4D4F"/>
          <w:w w:val="120"/>
          <w:sz w:val="18"/>
        </w:rPr>
        <w:t>care for observation if they are treated for opioid overdose.</w:t>
      </w:r>
    </w:p>
    <w:p>
      <w:pPr>
        <w:pStyle w:val="ListParagraph"/>
        <w:numPr>
          <w:ilvl w:val="1"/>
          <w:numId w:val="4"/>
        </w:numPr>
        <w:tabs>
          <w:tab w:pos="590" w:val="left" w:leader="none"/>
        </w:tabs>
        <w:spacing w:line="213" w:lineRule="auto" w:before="3" w:after="0"/>
        <w:ind w:left="590" w:right="53" w:hanging="180"/>
        <w:jc w:val="left"/>
        <w:rPr>
          <w:rFonts w:ascii="Arial" w:hAnsi="Arial"/>
          <w:color w:val="147592"/>
          <w:sz w:val="28"/>
        </w:rPr>
      </w:pPr>
      <w:r>
        <w:rPr>
          <w:rFonts w:ascii="Calibri" w:hAnsi="Calibri"/>
          <w:color w:val="4C4D4F"/>
          <w:w w:val="125"/>
          <w:sz w:val="18"/>
        </w:rPr>
        <w:t>Know that concurrent alcohol, benzodiazepine, or</w:t>
      </w:r>
      <w:r>
        <w:rPr>
          <w:rFonts w:ascii="Calibri" w:hAnsi="Calibri"/>
          <w:color w:val="4C4D4F"/>
          <w:spacing w:val="-11"/>
          <w:w w:val="125"/>
          <w:sz w:val="18"/>
        </w:rPr>
        <w:t> </w:t>
      </w:r>
      <w:r>
        <w:rPr>
          <w:rFonts w:ascii="Calibri" w:hAnsi="Calibri"/>
          <w:color w:val="4C4D4F"/>
          <w:w w:val="125"/>
          <w:sz w:val="18"/>
        </w:rPr>
        <w:t>other</w:t>
      </w:r>
      <w:r>
        <w:rPr>
          <w:rFonts w:ascii="Calibri" w:hAnsi="Calibri"/>
          <w:color w:val="4C4D4F"/>
          <w:spacing w:val="-10"/>
          <w:w w:val="125"/>
          <w:sz w:val="18"/>
        </w:rPr>
        <w:t> </w:t>
      </w:r>
      <w:r>
        <w:rPr>
          <w:rFonts w:ascii="Calibri" w:hAnsi="Calibri"/>
          <w:color w:val="4C4D4F"/>
          <w:w w:val="125"/>
          <w:sz w:val="18"/>
        </w:rPr>
        <w:t>sedative</w:t>
      </w:r>
      <w:r>
        <w:rPr>
          <w:rFonts w:ascii="Calibri" w:hAnsi="Calibri"/>
          <w:color w:val="4C4D4F"/>
          <w:spacing w:val="-11"/>
          <w:w w:val="125"/>
          <w:sz w:val="18"/>
        </w:rPr>
        <w:t> </w:t>
      </w:r>
      <w:r>
        <w:rPr>
          <w:rFonts w:ascii="Calibri" w:hAnsi="Calibri"/>
          <w:color w:val="4C4D4F"/>
          <w:w w:val="125"/>
          <w:sz w:val="18"/>
        </w:rPr>
        <w:t>use</w:t>
      </w:r>
      <w:r>
        <w:rPr>
          <w:rFonts w:ascii="Calibri" w:hAnsi="Calibri"/>
          <w:color w:val="4C4D4F"/>
          <w:spacing w:val="-10"/>
          <w:w w:val="125"/>
          <w:sz w:val="18"/>
        </w:rPr>
        <w:t> </w:t>
      </w:r>
      <w:r>
        <w:rPr>
          <w:rFonts w:ascii="Calibri" w:hAnsi="Calibri"/>
          <w:color w:val="4C4D4F"/>
          <w:w w:val="125"/>
          <w:sz w:val="18"/>
        </w:rPr>
        <w:t>with</w:t>
      </w:r>
      <w:r>
        <w:rPr>
          <w:rFonts w:ascii="Calibri" w:hAnsi="Calibri"/>
          <w:color w:val="4C4D4F"/>
          <w:spacing w:val="-10"/>
          <w:w w:val="125"/>
          <w:sz w:val="18"/>
        </w:rPr>
        <w:t> </w:t>
      </w:r>
      <w:r>
        <w:rPr>
          <w:rFonts w:ascii="Calibri" w:hAnsi="Calibri"/>
          <w:color w:val="4C4D4F"/>
          <w:w w:val="125"/>
          <w:sz w:val="18"/>
        </w:rPr>
        <w:t>methadone</w:t>
      </w:r>
      <w:r>
        <w:rPr>
          <w:rFonts w:ascii="Calibri" w:hAnsi="Calibri"/>
          <w:color w:val="4C4D4F"/>
          <w:spacing w:val="-11"/>
          <w:w w:val="125"/>
          <w:sz w:val="18"/>
        </w:rPr>
        <w:t> </w:t>
      </w:r>
      <w:r>
        <w:rPr>
          <w:rFonts w:ascii="Calibri" w:hAnsi="Calibri"/>
          <w:color w:val="4C4D4F"/>
          <w:spacing w:val="-3"/>
          <w:w w:val="125"/>
          <w:sz w:val="18"/>
        </w:rPr>
        <w:t>increases</w:t>
      </w:r>
    </w:p>
    <w:p>
      <w:pPr>
        <w:spacing w:before="25"/>
        <w:ind w:left="590" w:right="0" w:firstLine="0"/>
        <w:jc w:val="left"/>
        <w:rPr>
          <w:rFonts w:ascii="Calibri"/>
          <w:sz w:val="18"/>
        </w:rPr>
      </w:pPr>
      <w:r>
        <w:rPr>
          <w:rFonts w:ascii="Calibri"/>
          <w:color w:val="4C4D4F"/>
          <w:w w:val="120"/>
          <w:sz w:val="18"/>
        </w:rPr>
        <w:t>the risk of overdose and death.</w:t>
      </w:r>
    </w:p>
    <w:p>
      <w:pPr>
        <w:pStyle w:val="ListParagraph"/>
        <w:numPr>
          <w:ilvl w:val="1"/>
          <w:numId w:val="4"/>
        </w:numPr>
        <w:tabs>
          <w:tab w:pos="522" w:val="left" w:leader="none"/>
        </w:tabs>
        <w:spacing w:line="235" w:lineRule="auto" w:before="95" w:after="0"/>
        <w:ind w:left="522" w:right="724" w:hanging="180"/>
        <w:jc w:val="left"/>
        <w:rPr>
          <w:rFonts w:ascii="Arial" w:hAnsi="Arial"/>
          <w:color w:val="147592"/>
          <w:sz w:val="28"/>
        </w:rPr>
      </w:pPr>
      <w:r>
        <w:rPr>
          <w:rFonts w:ascii="Calibri" w:hAnsi="Calibri"/>
          <w:color w:val="4C4D4F"/>
          <w:w w:val="121"/>
          <w:sz w:val="18"/>
        </w:rPr>
        <w:br w:type="column"/>
      </w:r>
      <w:r>
        <w:rPr>
          <w:rFonts w:ascii="Calibri" w:hAnsi="Calibri"/>
          <w:color w:val="4C4D4F"/>
          <w:w w:val="125"/>
          <w:sz w:val="18"/>
        </w:rPr>
        <w:t>Inform OTP nursing/medical staff about prescribed</w:t>
      </w:r>
      <w:r>
        <w:rPr>
          <w:rFonts w:ascii="Calibri" w:hAnsi="Calibri"/>
          <w:color w:val="4C4D4F"/>
          <w:spacing w:val="-16"/>
          <w:w w:val="125"/>
          <w:sz w:val="18"/>
        </w:rPr>
        <w:t> </w:t>
      </w:r>
      <w:r>
        <w:rPr>
          <w:rFonts w:ascii="Calibri" w:hAnsi="Calibri"/>
          <w:color w:val="4C4D4F"/>
          <w:w w:val="125"/>
          <w:sz w:val="18"/>
        </w:rPr>
        <w:t>and</w:t>
      </w:r>
      <w:r>
        <w:rPr>
          <w:rFonts w:ascii="Calibri" w:hAnsi="Calibri"/>
          <w:color w:val="4C4D4F"/>
          <w:spacing w:val="-15"/>
          <w:w w:val="125"/>
          <w:sz w:val="18"/>
        </w:rPr>
        <w:t> </w:t>
      </w:r>
      <w:r>
        <w:rPr>
          <w:rFonts w:ascii="Calibri" w:hAnsi="Calibri"/>
          <w:color w:val="4C4D4F"/>
          <w:w w:val="125"/>
          <w:sz w:val="18"/>
        </w:rPr>
        <w:t>over-the-counter</w:t>
      </w:r>
      <w:r>
        <w:rPr>
          <w:rFonts w:ascii="Calibri" w:hAnsi="Calibri"/>
          <w:color w:val="4C4D4F"/>
          <w:spacing w:val="-15"/>
          <w:w w:val="125"/>
          <w:sz w:val="18"/>
        </w:rPr>
        <w:t> </w:t>
      </w:r>
      <w:r>
        <w:rPr>
          <w:rFonts w:ascii="Calibri" w:hAnsi="Calibri"/>
          <w:color w:val="4C4D4F"/>
          <w:w w:val="125"/>
          <w:sz w:val="18"/>
        </w:rPr>
        <w:t>medications and</w:t>
      </w:r>
      <w:r>
        <w:rPr>
          <w:rFonts w:ascii="Calibri" w:hAnsi="Calibri"/>
          <w:color w:val="4C4D4F"/>
          <w:spacing w:val="-11"/>
          <w:w w:val="125"/>
          <w:sz w:val="18"/>
        </w:rPr>
        <w:t> </w:t>
      </w:r>
      <w:r>
        <w:rPr>
          <w:rFonts w:ascii="Calibri" w:hAnsi="Calibri"/>
          <w:color w:val="4C4D4F"/>
          <w:w w:val="125"/>
          <w:sz w:val="18"/>
        </w:rPr>
        <w:t>herbs</w:t>
      </w:r>
      <w:r>
        <w:rPr>
          <w:rFonts w:ascii="Calibri" w:hAnsi="Calibri"/>
          <w:color w:val="4C4D4F"/>
          <w:spacing w:val="-10"/>
          <w:w w:val="125"/>
          <w:sz w:val="18"/>
        </w:rPr>
        <w:t> </w:t>
      </w:r>
      <w:r>
        <w:rPr>
          <w:rFonts w:ascii="Calibri" w:hAnsi="Calibri"/>
          <w:color w:val="4C4D4F"/>
          <w:w w:val="125"/>
          <w:sz w:val="18"/>
        </w:rPr>
        <w:t>(e.g.,</w:t>
      </w:r>
      <w:r>
        <w:rPr>
          <w:rFonts w:ascii="Calibri" w:hAnsi="Calibri"/>
          <w:color w:val="4C4D4F"/>
          <w:spacing w:val="-10"/>
          <w:w w:val="125"/>
          <w:sz w:val="18"/>
        </w:rPr>
        <w:t> </w:t>
      </w:r>
      <w:r>
        <w:rPr>
          <w:rFonts w:ascii="Calibri" w:hAnsi="Calibri"/>
          <w:color w:val="4C4D4F"/>
          <w:w w:val="125"/>
          <w:sz w:val="18"/>
        </w:rPr>
        <w:t>St.</w:t>
      </w:r>
      <w:r>
        <w:rPr>
          <w:rFonts w:ascii="Calibri" w:hAnsi="Calibri"/>
          <w:color w:val="4C4D4F"/>
          <w:spacing w:val="-10"/>
          <w:w w:val="125"/>
          <w:sz w:val="18"/>
        </w:rPr>
        <w:t> </w:t>
      </w:r>
      <w:r>
        <w:rPr>
          <w:rFonts w:ascii="Calibri" w:hAnsi="Calibri"/>
          <w:color w:val="4C4D4F"/>
          <w:w w:val="125"/>
          <w:sz w:val="18"/>
        </w:rPr>
        <w:t>John’s</w:t>
      </w:r>
      <w:r>
        <w:rPr>
          <w:rFonts w:ascii="Calibri" w:hAnsi="Calibri"/>
          <w:color w:val="4C4D4F"/>
          <w:spacing w:val="-10"/>
          <w:w w:val="125"/>
          <w:sz w:val="18"/>
        </w:rPr>
        <w:t> </w:t>
      </w:r>
      <w:r>
        <w:rPr>
          <w:rFonts w:ascii="Calibri" w:hAnsi="Calibri"/>
          <w:color w:val="4C4D4F"/>
          <w:w w:val="125"/>
          <w:sz w:val="18"/>
        </w:rPr>
        <w:t>wort)</w:t>
      </w:r>
      <w:r>
        <w:rPr>
          <w:rFonts w:ascii="Calibri" w:hAnsi="Calibri"/>
          <w:color w:val="4C4D4F"/>
          <w:spacing w:val="-10"/>
          <w:w w:val="125"/>
          <w:sz w:val="18"/>
        </w:rPr>
        <w:t> </w:t>
      </w:r>
      <w:r>
        <w:rPr>
          <w:rFonts w:ascii="Calibri" w:hAnsi="Calibri"/>
          <w:color w:val="4C4D4F"/>
          <w:w w:val="125"/>
          <w:sz w:val="18"/>
        </w:rPr>
        <w:t>they</w:t>
      </w:r>
      <w:r>
        <w:rPr>
          <w:rFonts w:ascii="Calibri" w:hAnsi="Calibri"/>
          <w:color w:val="4C4D4F"/>
          <w:spacing w:val="-11"/>
          <w:w w:val="125"/>
          <w:sz w:val="18"/>
        </w:rPr>
        <w:t> </w:t>
      </w:r>
      <w:r>
        <w:rPr>
          <w:rFonts w:ascii="Calibri" w:hAnsi="Calibri"/>
          <w:color w:val="4C4D4F"/>
          <w:w w:val="125"/>
          <w:sz w:val="18"/>
        </w:rPr>
        <w:t>are</w:t>
      </w:r>
    </w:p>
    <w:p>
      <w:pPr>
        <w:spacing w:line="261" w:lineRule="auto" w:before="21"/>
        <w:ind w:left="522" w:right="0" w:firstLine="0"/>
        <w:jc w:val="left"/>
        <w:rPr>
          <w:rFonts w:ascii="Calibri" w:hAnsi="Calibri"/>
          <w:sz w:val="18"/>
        </w:rPr>
      </w:pPr>
      <w:r>
        <w:rPr>
          <w:rFonts w:ascii="Calibri" w:hAnsi="Calibri"/>
          <w:color w:val="4C4D4F"/>
          <w:w w:val="120"/>
          <w:sz w:val="18"/>
        </w:rPr>
        <w:t>taking, stopping, or changing doses of to allow assessment of potential drug–drug interactions.</w:t>
      </w:r>
    </w:p>
    <w:p>
      <w:pPr>
        <w:pStyle w:val="ListParagraph"/>
        <w:numPr>
          <w:ilvl w:val="1"/>
          <w:numId w:val="4"/>
        </w:numPr>
        <w:tabs>
          <w:tab w:pos="522" w:val="left" w:leader="none"/>
        </w:tabs>
        <w:spacing w:line="213" w:lineRule="auto" w:before="3" w:after="0"/>
        <w:ind w:left="522" w:right="686" w:hanging="180"/>
        <w:jc w:val="left"/>
        <w:rPr>
          <w:rFonts w:ascii="Arial" w:hAnsi="Arial"/>
          <w:color w:val="147592"/>
          <w:sz w:val="28"/>
        </w:rPr>
      </w:pPr>
      <w:r>
        <w:rPr>
          <w:rFonts w:ascii="Calibri" w:hAnsi="Calibri"/>
          <w:color w:val="4C4D4F"/>
          <w:w w:val="125"/>
          <w:sz w:val="18"/>
        </w:rPr>
        <w:t>Inform</w:t>
      </w:r>
      <w:r>
        <w:rPr>
          <w:rFonts w:ascii="Calibri" w:hAnsi="Calibri"/>
          <w:color w:val="4C4D4F"/>
          <w:spacing w:val="-23"/>
          <w:w w:val="125"/>
          <w:sz w:val="18"/>
        </w:rPr>
        <w:t> </w:t>
      </w:r>
      <w:r>
        <w:rPr>
          <w:rFonts w:ascii="Calibri" w:hAnsi="Calibri"/>
          <w:color w:val="4C4D4F"/>
          <w:w w:val="125"/>
          <w:sz w:val="18"/>
        </w:rPr>
        <w:t>other</w:t>
      </w:r>
      <w:r>
        <w:rPr>
          <w:rFonts w:ascii="Calibri" w:hAnsi="Calibri"/>
          <w:color w:val="4C4D4F"/>
          <w:spacing w:val="-22"/>
          <w:w w:val="125"/>
          <w:sz w:val="18"/>
        </w:rPr>
        <w:t> </w:t>
      </w:r>
      <w:r>
        <w:rPr>
          <w:rFonts w:ascii="Calibri" w:hAnsi="Calibri"/>
          <w:color w:val="4C4D4F"/>
          <w:w w:val="125"/>
          <w:sz w:val="18"/>
        </w:rPr>
        <w:t>treating</w:t>
      </w:r>
      <w:r>
        <w:rPr>
          <w:rFonts w:ascii="Calibri" w:hAnsi="Calibri"/>
          <w:color w:val="4C4D4F"/>
          <w:spacing w:val="-22"/>
          <w:w w:val="125"/>
          <w:sz w:val="18"/>
        </w:rPr>
        <w:t> </w:t>
      </w:r>
      <w:r>
        <w:rPr>
          <w:rFonts w:ascii="Calibri" w:hAnsi="Calibri"/>
          <w:color w:val="4C4D4F"/>
          <w:w w:val="125"/>
          <w:sz w:val="18"/>
        </w:rPr>
        <w:t>healthcare</w:t>
      </w:r>
      <w:r>
        <w:rPr>
          <w:rFonts w:ascii="Calibri" w:hAnsi="Calibri"/>
          <w:color w:val="4C4D4F"/>
          <w:spacing w:val="-23"/>
          <w:w w:val="125"/>
          <w:sz w:val="18"/>
        </w:rPr>
        <w:t> </w:t>
      </w:r>
      <w:r>
        <w:rPr>
          <w:rFonts w:ascii="Calibri" w:hAnsi="Calibri"/>
          <w:color w:val="4C4D4F"/>
          <w:w w:val="125"/>
          <w:sz w:val="18"/>
        </w:rPr>
        <w:t>professionals that</w:t>
      </w:r>
      <w:r>
        <w:rPr>
          <w:rFonts w:ascii="Calibri" w:hAnsi="Calibri"/>
          <w:color w:val="4C4D4F"/>
          <w:spacing w:val="-16"/>
          <w:w w:val="125"/>
          <w:sz w:val="18"/>
        </w:rPr>
        <w:t> </w:t>
      </w:r>
      <w:r>
        <w:rPr>
          <w:rFonts w:ascii="Calibri" w:hAnsi="Calibri"/>
          <w:color w:val="4C4D4F"/>
          <w:w w:val="125"/>
          <w:sz w:val="18"/>
        </w:rPr>
        <w:t>they</w:t>
      </w:r>
      <w:r>
        <w:rPr>
          <w:rFonts w:ascii="Calibri" w:hAnsi="Calibri"/>
          <w:color w:val="4C4D4F"/>
          <w:spacing w:val="-15"/>
          <w:w w:val="125"/>
          <w:sz w:val="18"/>
        </w:rPr>
        <w:t> </w:t>
      </w:r>
      <w:r>
        <w:rPr>
          <w:rFonts w:ascii="Calibri" w:hAnsi="Calibri"/>
          <w:color w:val="4C4D4F"/>
          <w:w w:val="125"/>
          <w:sz w:val="18"/>
        </w:rPr>
        <w:t>are</w:t>
      </w:r>
      <w:r>
        <w:rPr>
          <w:rFonts w:ascii="Calibri" w:hAnsi="Calibri"/>
          <w:color w:val="4C4D4F"/>
          <w:spacing w:val="-15"/>
          <w:w w:val="125"/>
          <w:sz w:val="18"/>
        </w:rPr>
        <w:t> </w:t>
      </w:r>
      <w:r>
        <w:rPr>
          <w:rFonts w:ascii="Calibri" w:hAnsi="Calibri"/>
          <w:color w:val="4C4D4F"/>
          <w:w w:val="125"/>
          <w:sz w:val="18"/>
        </w:rPr>
        <w:t>receiving</w:t>
      </w:r>
      <w:r>
        <w:rPr>
          <w:rFonts w:ascii="Calibri" w:hAnsi="Calibri"/>
          <w:color w:val="4C4D4F"/>
          <w:spacing w:val="-15"/>
          <w:w w:val="125"/>
          <w:sz w:val="18"/>
        </w:rPr>
        <w:t> </w:t>
      </w:r>
      <w:r>
        <w:rPr>
          <w:rFonts w:ascii="Calibri" w:hAnsi="Calibri"/>
          <w:color w:val="4C4D4F"/>
          <w:w w:val="125"/>
          <w:sz w:val="18"/>
        </w:rPr>
        <w:t>methadone</w:t>
      </w:r>
      <w:r>
        <w:rPr>
          <w:rFonts w:ascii="Calibri" w:hAnsi="Calibri"/>
          <w:color w:val="4C4D4F"/>
          <w:spacing w:val="-15"/>
          <w:w w:val="125"/>
          <w:sz w:val="18"/>
        </w:rPr>
        <w:t> </w:t>
      </w:r>
      <w:r>
        <w:rPr>
          <w:rFonts w:ascii="Calibri" w:hAnsi="Calibri"/>
          <w:color w:val="4C4D4F"/>
          <w:w w:val="125"/>
          <w:sz w:val="18"/>
        </w:rPr>
        <w:t>treatment.</w:t>
      </w:r>
    </w:p>
    <w:p>
      <w:pPr>
        <w:pStyle w:val="ListParagraph"/>
        <w:numPr>
          <w:ilvl w:val="1"/>
          <w:numId w:val="4"/>
        </w:numPr>
        <w:tabs>
          <w:tab w:pos="522" w:val="left" w:leader="none"/>
        </w:tabs>
        <w:spacing w:line="213" w:lineRule="auto" w:before="27" w:after="0"/>
        <w:ind w:left="522" w:right="1252" w:hanging="180"/>
        <w:jc w:val="left"/>
        <w:rPr>
          <w:rFonts w:ascii="Arial" w:hAnsi="Arial"/>
          <w:color w:val="147592"/>
          <w:sz w:val="28"/>
        </w:rPr>
      </w:pPr>
      <w:r>
        <w:rPr>
          <w:rFonts w:ascii="Calibri" w:hAnsi="Calibri"/>
          <w:color w:val="4C4D4F"/>
          <w:w w:val="125"/>
          <w:sz w:val="18"/>
        </w:rPr>
        <w:t>Plan</w:t>
      </w:r>
      <w:r>
        <w:rPr>
          <w:rFonts w:ascii="Calibri" w:hAnsi="Calibri"/>
          <w:color w:val="4C4D4F"/>
          <w:spacing w:val="-8"/>
          <w:w w:val="125"/>
          <w:sz w:val="18"/>
        </w:rPr>
        <w:t> </w:t>
      </w:r>
      <w:r>
        <w:rPr>
          <w:rFonts w:ascii="Calibri" w:hAnsi="Calibri"/>
          <w:color w:val="4C4D4F"/>
          <w:w w:val="125"/>
          <w:sz w:val="18"/>
        </w:rPr>
        <w:t>to</w:t>
      </w:r>
      <w:r>
        <w:rPr>
          <w:rFonts w:ascii="Calibri" w:hAnsi="Calibri"/>
          <w:color w:val="4C4D4F"/>
          <w:spacing w:val="-8"/>
          <w:w w:val="125"/>
          <w:sz w:val="18"/>
        </w:rPr>
        <w:t> </w:t>
      </w:r>
      <w:r>
        <w:rPr>
          <w:rFonts w:ascii="Calibri" w:hAnsi="Calibri"/>
          <w:color w:val="4C4D4F"/>
          <w:w w:val="125"/>
          <w:sz w:val="18"/>
        </w:rPr>
        <w:t>avoid</w:t>
      </w:r>
      <w:r>
        <w:rPr>
          <w:rFonts w:ascii="Calibri" w:hAnsi="Calibri"/>
          <w:color w:val="4C4D4F"/>
          <w:spacing w:val="-8"/>
          <w:w w:val="125"/>
          <w:sz w:val="18"/>
        </w:rPr>
        <w:t> </w:t>
      </w:r>
      <w:r>
        <w:rPr>
          <w:rFonts w:ascii="Calibri" w:hAnsi="Calibri"/>
          <w:color w:val="4C4D4F"/>
          <w:w w:val="125"/>
          <w:sz w:val="18"/>
        </w:rPr>
        <w:t>driving</w:t>
      </w:r>
      <w:r>
        <w:rPr>
          <w:rFonts w:ascii="Calibri" w:hAnsi="Calibri"/>
          <w:color w:val="4C4D4F"/>
          <w:spacing w:val="-8"/>
          <w:w w:val="125"/>
          <w:sz w:val="18"/>
        </w:rPr>
        <w:t> </w:t>
      </w:r>
      <w:r>
        <w:rPr>
          <w:rFonts w:ascii="Calibri" w:hAnsi="Calibri"/>
          <w:color w:val="4C4D4F"/>
          <w:w w:val="125"/>
          <w:sz w:val="18"/>
        </w:rPr>
        <w:t>or</w:t>
      </w:r>
      <w:r>
        <w:rPr>
          <w:rFonts w:ascii="Calibri" w:hAnsi="Calibri"/>
          <w:color w:val="4C4D4F"/>
          <w:spacing w:val="-7"/>
          <w:w w:val="125"/>
          <w:sz w:val="18"/>
        </w:rPr>
        <w:t> </w:t>
      </w:r>
      <w:r>
        <w:rPr>
          <w:rFonts w:ascii="Calibri" w:hAnsi="Calibri"/>
          <w:color w:val="4C4D4F"/>
          <w:w w:val="125"/>
          <w:sz w:val="18"/>
        </w:rPr>
        <w:t>operating</w:t>
      </w:r>
      <w:r>
        <w:rPr>
          <w:rFonts w:ascii="Calibri" w:hAnsi="Calibri"/>
          <w:color w:val="4C4D4F"/>
          <w:spacing w:val="-8"/>
          <w:w w:val="125"/>
          <w:sz w:val="18"/>
        </w:rPr>
        <w:t> </w:t>
      </w:r>
      <w:r>
        <w:rPr>
          <w:rFonts w:ascii="Calibri" w:hAnsi="Calibri"/>
          <w:color w:val="4C4D4F"/>
          <w:spacing w:val="-5"/>
          <w:w w:val="125"/>
          <w:sz w:val="18"/>
        </w:rPr>
        <w:t>heavy </w:t>
      </w:r>
      <w:r>
        <w:rPr>
          <w:rFonts w:ascii="Calibri" w:hAnsi="Calibri"/>
          <w:color w:val="4C4D4F"/>
          <w:w w:val="125"/>
          <w:sz w:val="18"/>
        </w:rPr>
        <w:t>machinery</w:t>
      </w:r>
      <w:r>
        <w:rPr>
          <w:rFonts w:ascii="Calibri" w:hAnsi="Calibri"/>
          <w:color w:val="4C4D4F"/>
          <w:spacing w:val="-11"/>
          <w:w w:val="125"/>
          <w:sz w:val="18"/>
        </w:rPr>
        <w:t> </w:t>
      </w:r>
      <w:r>
        <w:rPr>
          <w:rFonts w:ascii="Calibri" w:hAnsi="Calibri"/>
          <w:color w:val="4C4D4F"/>
          <w:w w:val="125"/>
          <w:sz w:val="18"/>
        </w:rPr>
        <w:t>until</w:t>
      </w:r>
      <w:r>
        <w:rPr>
          <w:rFonts w:ascii="Calibri" w:hAnsi="Calibri"/>
          <w:color w:val="4C4D4F"/>
          <w:spacing w:val="-10"/>
          <w:w w:val="125"/>
          <w:sz w:val="18"/>
        </w:rPr>
        <w:t> </w:t>
      </w:r>
      <w:r>
        <w:rPr>
          <w:rFonts w:ascii="Calibri" w:hAnsi="Calibri"/>
          <w:color w:val="4C4D4F"/>
          <w:w w:val="125"/>
          <w:sz w:val="18"/>
        </w:rPr>
        <w:t>their</w:t>
      </w:r>
      <w:r>
        <w:rPr>
          <w:rFonts w:ascii="Calibri" w:hAnsi="Calibri"/>
          <w:color w:val="4C4D4F"/>
          <w:spacing w:val="-11"/>
          <w:w w:val="125"/>
          <w:sz w:val="18"/>
        </w:rPr>
        <w:t> </w:t>
      </w:r>
      <w:r>
        <w:rPr>
          <w:rFonts w:ascii="Calibri" w:hAnsi="Calibri"/>
          <w:color w:val="4C4D4F"/>
          <w:w w:val="125"/>
          <w:sz w:val="18"/>
        </w:rPr>
        <w:t>dose</w:t>
      </w:r>
      <w:r>
        <w:rPr>
          <w:rFonts w:ascii="Calibri" w:hAnsi="Calibri"/>
          <w:color w:val="4C4D4F"/>
          <w:spacing w:val="-10"/>
          <w:w w:val="125"/>
          <w:sz w:val="18"/>
        </w:rPr>
        <w:t> </w:t>
      </w:r>
      <w:r>
        <w:rPr>
          <w:rFonts w:ascii="Calibri" w:hAnsi="Calibri"/>
          <w:color w:val="4C4D4F"/>
          <w:w w:val="125"/>
          <w:sz w:val="18"/>
        </w:rPr>
        <w:t>is</w:t>
      </w:r>
      <w:r>
        <w:rPr>
          <w:rFonts w:ascii="Calibri" w:hAnsi="Calibri"/>
          <w:color w:val="4C4D4F"/>
          <w:spacing w:val="-10"/>
          <w:w w:val="125"/>
          <w:sz w:val="18"/>
        </w:rPr>
        <w:t> </w:t>
      </w:r>
      <w:r>
        <w:rPr>
          <w:rFonts w:ascii="Calibri" w:hAnsi="Calibri"/>
          <w:color w:val="4C4D4F"/>
          <w:w w:val="125"/>
          <w:sz w:val="18"/>
        </w:rPr>
        <w:t>stabilized.</w:t>
      </w:r>
    </w:p>
    <w:p>
      <w:pPr>
        <w:pStyle w:val="ListParagraph"/>
        <w:numPr>
          <w:ilvl w:val="1"/>
          <w:numId w:val="4"/>
        </w:numPr>
        <w:tabs>
          <w:tab w:pos="522" w:val="left" w:leader="none"/>
        </w:tabs>
        <w:spacing w:line="235" w:lineRule="auto" w:before="6" w:after="0"/>
        <w:ind w:left="522" w:right="746" w:hanging="180"/>
        <w:jc w:val="left"/>
        <w:rPr>
          <w:rFonts w:ascii="Arial" w:hAnsi="Arial"/>
          <w:color w:val="147592"/>
          <w:sz w:val="28"/>
        </w:rPr>
      </w:pPr>
      <w:r>
        <w:rPr>
          <w:rFonts w:ascii="Calibri" w:hAnsi="Calibri"/>
          <w:color w:val="4C4D4F"/>
          <w:w w:val="125"/>
          <w:sz w:val="18"/>
        </w:rPr>
        <w:t>Learn about other possible side effects of methadone, including dizziness, nausea, vomiting,</w:t>
      </w:r>
      <w:r>
        <w:rPr>
          <w:rFonts w:ascii="Calibri" w:hAnsi="Calibri"/>
          <w:color w:val="4C4D4F"/>
          <w:spacing w:val="-17"/>
          <w:w w:val="125"/>
          <w:sz w:val="18"/>
        </w:rPr>
        <w:t> </w:t>
      </w:r>
      <w:r>
        <w:rPr>
          <w:rFonts w:ascii="Calibri" w:hAnsi="Calibri"/>
          <w:color w:val="4C4D4F"/>
          <w:w w:val="125"/>
          <w:sz w:val="18"/>
        </w:rPr>
        <w:t>sweating,</w:t>
      </w:r>
      <w:r>
        <w:rPr>
          <w:rFonts w:ascii="Calibri" w:hAnsi="Calibri"/>
          <w:color w:val="4C4D4F"/>
          <w:spacing w:val="-17"/>
          <w:w w:val="125"/>
          <w:sz w:val="18"/>
        </w:rPr>
        <w:t> </w:t>
      </w:r>
      <w:r>
        <w:rPr>
          <w:rFonts w:ascii="Calibri" w:hAnsi="Calibri"/>
          <w:color w:val="4C4D4F"/>
          <w:w w:val="125"/>
          <w:sz w:val="18"/>
        </w:rPr>
        <w:t>constipation,</w:t>
      </w:r>
      <w:r>
        <w:rPr>
          <w:rFonts w:ascii="Calibri" w:hAnsi="Calibri"/>
          <w:color w:val="4C4D4F"/>
          <w:spacing w:val="-17"/>
          <w:w w:val="125"/>
          <w:sz w:val="18"/>
        </w:rPr>
        <w:t> </w:t>
      </w:r>
      <w:r>
        <w:rPr>
          <w:rFonts w:ascii="Calibri" w:hAnsi="Calibri"/>
          <w:color w:val="4C4D4F"/>
          <w:w w:val="125"/>
          <w:sz w:val="18"/>
        </w:rPr>
        <w:t>edema,</w:t>
      </w:r>
      <w:r>
        <w:rPr>
          <w:rFonts w:ascii="Calibri" w:hAnsi="Calibri"/>
          <w:color w:val="4C4D4F"/>
          <w:spacing w:val="-17"/>
          <w:w w:val="125"/>
          <w:sz w:val="18"/>
        </w:rPr>
        <w:t> </w:t>
      </w:r>
      <w:r>
        <w:rPr>
          <w:rFonts w:ascii="Calibri" w:hAnsi="Calibri"/>
          <w:color w:val="4C4D4F"/>
          <w:spacing w:val="-5"/>
          <w:w w:val="125"/>
          <w:sz w:val="18"/>
        </w:rPr>
        <w:t>and</w:t>
      </w:r>
    </w:p>
    <w:p>
      <w:pPr>
        <w:spacing w:line="219" w:lineRule="exact" w:before="21"/>
        <w:ind w:left="522" w:right="0" w:firstLine="0"/>
        <w:jc w:val="left"/>
        <w:rPr>
          <w:rFonts w:ascii="Calibri"/>
          <w:sz w:val="18"/>
        </w:rPr>
      </w:pPr>
      <w:r>
        <w:rPr>
          <w:rFonts w:ascii="Calibri"/>
          <w:color w:val="4C4D4F"/>
          <w:w w:val="125"/>
          <w:sz w:val="18"/>
        </w:rPr>
        <w:t>sexual dysfunction.</w:t>
      </w:r>
    </w:p>
    <w:p>
      <w:pPr>
        <w:pStyle w:val="ListParagraph"/>
        <w:numPr>
          <w:ilvl w:val="1"/>
          <w:numId w:val="4"/>
        </w:numPr>
        <w:tabs>
          <w:tab w:pos="522" w:val="left" w:leader="none"/>
        </w:tabs>
        <w:spacing w:line="235" w:lineRule="auto" w:before="3" w:after="0"/>
        <w:ind w:left="522" w:right="635" w:hanging="180"/>
        <w:jc w:val="left"/>
        <w:rPr>
          <w:rFonts w:ascii="Arial" w:hAnsi="Arial"/>
          <w:color w:val="147592"/>
          <w:sz w:val="28"/>
        </w:rPr>
      </w:pPr>
      <w:r>
        <w:rPr>
          <w:rFonts w:ascii="Calibri" w:hAnsi="Calibri"/>
          <w:color w:val="4C4D4F"/>
          <w:w w:val="125"/>
          <w:sz w:val="18"/>
        </w:rPr>
        <w:t>Agree to keep take-home doses locked up</w:t>
      </w:r>
      <w:r>
        <w:rPr>
          <w:rFonts w:ascii="Calibri" w:hAnsi="Calibri"/>
          <w:color w:val="4C4D4F"/>
          <w:spacing w:val="-34"/>
          <w:w w:val="125"/>
          <w:sz w:val="18"/>
        </w:rPr>
        <w:t> </w:t>
      </w:r>
      <w:r>
        <w:rPr>
          <w:rFonts w:ascii="Calibri" w:hAnsi="Calibri"/>
          <w:color w:val="4C4D4F"/>
          <w:spacing w:val="-4"/>
          <w:w w:val="125"/>
          <w:sz w:val="18"/>
        </w:rPr>
        <w:t>and </w:t>
      </w:r>
      <w:r>
        <w:rPr>
          <w:rFonts w:ascii="Calibri" w:hAnsi="Calibri"/>
          <w:color w:val="4C4D4F"/>
          <w:w w:val="125"/>
          <w:sz w:val="18"/>
        </w:rPr>
        <w:t>out of the reach of others. Understand that giving methadone, even small amounts,</w:t>
      </w:r>
      <w:r>
        <w:rPr>
          <w:rFonts w:ascii="Calibri" w:hAnsi="Calibri"/>
          <w:color w:val="4C4D4F"/>
          <w:spacing w:val="-27"/>
          <w:w w:val="125"/>
          <w:sz w:val="18"/>
        </w:rPr>
        <w:t> </w:t>
      </w:r>
      <w:r>
        <w:rPr>
          <w:rFonts w:ascii="Calibri" w:hAnsi="Calibri"/>
          <w:color w:val="4C4D4F"/>
          <w:w w:val="125"/>
          <w:sz w:val="18"/>
        </w:rPr>
        <w:t>to</w:t>
      </w:r>
    </w:p>
    <w:p>
      <w:pPr>
        <w:spacing w:line="219" w:lineRule="exact" w:before="21"/>
        <w:ind w:left="522" w:right="0" w:firstLine="0"/>
        <w:jc w:val="left"/>
        <w:rPr>
          <w:rFonts w:ascii="Calibri"/>
          <w:sz w:val="18"/>
        </w:rPr>
      </w:pPr>
      <w:r>
        <w:rPr>
          <w:rFonts w:ascii="Calibri"/>
          <w:color w:val="4C4D4F"/>
          <w:w w:val="120"/>
          <w:sz w:val="18"/>
        </w:rPr>
        <w:t>others may be fatal.</w:t>
      </w:r>
    </w:p>
    <w:p>
      <w:pPr>
        <w:pStyle w:val="ListParagraph"/>
        <w:numPr>
          <w:ilvl w:val="1"/>
          <w:numId w:val="4"/>
        </w:numPr>
        <w:tabs>
          <w:tab w:pos="522" w:val="left" w:leader="none"/>
        </w:tabs>
        <w:spacing w:line="294" w:lineRule="exact" w:before="0" w:after="0"/>
        <w:ind w:left="522" w:right="0" w:hanging="180"/>
        <w:jc w:val="left"/>
        <w:rPr>
          <w:rFonts w:ascii="Arial" w:hAnsi="Arial"/>
          <w:color w:val="147592"/>
          <w:sz w:val="28"/>
        </w:rPr>
      </w:pPr>
      <w:r>
        <w:rPr>
          <w:rFonts w:ascii="Calibri" w:hAnsi="Calibri"/>
          <w:color w:val="4C4D4F"/>
          <w:w w:val="120"/>
          <w:sz w:val="18"/>
        </w:rPr>
        <w:t>Inform providers if they become</w:t>
      </w:r>
      <w:r>
        <w:rPr>
          <w:rFonts w:ascii="Calibri" w:hAnsi="Calibri"/>
          <w:color w:val="4C4D4F"/>
          <w:spacing w:val="6"/>
          <w:w w:val="120"/>
          <w:sz w:val="18"/>
        </w:rPr>
        <w:t> </w:t>
      </w:r>
      <w:r>
        <w:rPr>
          <w:rFonts w:ascii="Calibri" w:hAnsi="Calibri"/>
          <w:color w:val="4C4D4F"/>
          <w:w w:val="120"/>
          <w:sz w:val="18"/>
        </w:rPr>
        <w:t>pregnant.</w:t>
      </w:r>
    </w:p>
    <w:p>
      <w:pPr>
        <w:pStyle w:val="ListParagraph"/>
        <w:numPr>
          <w:ilvl w:val="1"/>
          <w:numId w:val="4"/>
        </w:numPr>
        <w:tabs>
          <w:tab w:pos="522" w:val="left" w:leader="none"/>
        </w:tabs>
        <w:spacing w:line="213" w:lineRule="auto" w:before="0" w:after="0"/>
        <w:ind w:left="522" w:right="481" w:hanging="180"/>
        <w:jc w:val="left"/>
        <w:rPr>
          <w:rFonts w:ascii="Arial" w:hAnsi="Arial"/>
          <w:color w:val="147592"/>
          <w:sz w:val="28"/>
        </w:rPr>
      </w:pPr>
      <w:r>
        <w:rPr>
          <w:rFonts w:ascii="Calibri" w:hAnsi="Calibri"/>
          <w:color w:val="4C4D4F"/>
          <w:w w:val="125"/>
          <w:sz w:val="18"/>
        </w:rPr>
        <w:t>Understand that stopping methadone </w:t>
      </w:r>
      <w:r>
        <w:rPr>
          <w:rFonts w:ascii="Calibri" w:hAnsi="Calibri"/>
          <w:color w:val="4C4D4F"/>
          <w:spacing w:val="-3"/>
          <w:w w:val="125"/>
          <w:sz w:val="18"/>
        </w:rPr>
        <w:t>increases </w:t>
      </w:r>
      <w:r>
        <w:rPr>
          <w:rFonts w:ascii="Calibri" w:hAnsi="Calibri"/>
          <w:color w:val="4C4D4F"/>
          <w:w w:val="125"/>
          <w:sz w:val="18"/>
        </w:rPr>
        <w:t>their</w:t>
      </w:r>
      <w:r>
        <w:rPr>
          <w:rFonts w:ascii="Calibri" w:hAnsi="Calibri"/>
          <w:color w:val="4C4D4F"/>
          <w:spacing w:val="-18"/>
          <w:w w:val="125"/>
          <w:sz w:val="18"/>
        </w:rPr>
        <w:t> </w:t>
      </w:r>
      <w:r>
        <w:rPr>
          <w:rFonts w:ascii="Calibri" w:hAnsi="Calibri"/>
          <w:color w:val="4C4D4F"/>
          <w:w w:val="125"/>
          <w:sz w:val="18"/>
        </w:rPr>
        <w:t>risk</w:t>
      </w:r>
      <w:r>
        <w:rPr>
          <w:rFonts w:ascii="Calibri" w:hAnsi="Calibri"/>
          <w:color w:val="4C4D4F"/>
          <w:spacing w:val="-18"/>
          <w:w w:val="125"/>
          <w:sz w:val="18"/>
        </w:rPr>
        <w:t> </w:t>
      </w:r>
      <w:r>
        <w:rPr>
          <w:rFonts w:ascii="Calibri" w:hAnsi="Calibri"/>
          <w:color w:val="4C4D4F"/>
          <w:w w:val="125"/>
          <w:sz w:val="18"/>
        </w:rPr>
        <w:t>of</w:t>
      </w:r>
      <w:r>
        <w:rPr>
          <w:rFonts w:ascii="Calibri" w:hAnsi="Calibri"/>
          <w:color w:val="4C4D4F"/>
          <w:spacing w:val="-18"/>
          <w:w w:val="125"/>
          <w:sz w:val="18"/>
        </w:rPr>
        <w:t> </w:t>
      </w:r>
      <w:r>
        <w:rPr>
          <w:rFonts w:ascii="Calibri" w:hAnsi="Calibri"/>
          <w:color w:val="4C4D4F"/>
          <w:w w:val="125"/>
          <w:sz w:val="18"/>
        </w:rPr>
        <w:t>overdose</w:t>
      </w:r>
      <w:r>
        <w:rPr>
          <w:rFonts w:ascii="Calibri" w:hAnsi="Calibri"/>
          <w:color w:val="4C4D4F"/>
          <w:spacing w:val="-18"/>
          <w:w w:val="125"/>
          <w:sz w:val="18"/>
        </w:rPr>
        <w:t> </w:t>
      </w:r>
      <w:r>
        <w:rPr>
          <w:rFonts w:ascii="Calibri" w:hAnsi="Calibri"/>
          <w:color w:val="4C4D4F"/>
          <w:w w:val="125"/>
          <w:sz w:val="18"/>
        </w:rPr>
        <w:t>death</w:t>
      </w:r>
      <w:r>
        <w:rPr>
          <w:rFonts w:ascii="Calibri" w:hAnsi="Calibri"/>
          <w:color w:val="4C4D4F"/>
          <w:spacing w:val="-18"/>
          <w:w w:val="125"/>
          <w:sz w:val="18"/>
        </w:rPr>
        <w:t> </w:t>
      </w:r>
      <w:r>
        <w:rPr>
          <w:rFonts w:ascii="Calibri" w:hAnsi="Calibri"/>
          <w:color w:val="4C4D4F"/>
          <w:w w:val="125"/>
          <w:sz w:val="18"/>
        </w:rPr>
        <w:t>if</w:t>
      </w:r>
      <w:r>
        <w:rPr>
          <w:rFonts w:ascii="Calibri" w:hAnsi="Calibri"/>
          <w:color w:val="4C4D4F"/>
          <w:spacing w:val="-18"/>
          <w:w w:val="125"/>
          <w:sz w:val="18"/>
        </w:rPr>
        <w:t> </w:t>
      </w:r>
      <w:r>
        <w:rPr>
          <w:rFonts w:ascii="Calibri" w:hAnsi="Calibri"/>
          <w:color w:val="4C4D4F"/>
          <w:w w:val="125"/>
          <w:sz w:val="18"/>
        </w:rPr>
        <w:t>they</w:t>
      </w:r>
      <w:r>
        <w:rPr>
          <w:rFonts w:ascii="Calibri" w:hAnsi="Calibri"/>
          <w:color w:val="4C4D4F"/>
          <w:spacing w:val="-17"/>
          <w:w w:val="125"/>
          <w:sz w:val="18"/>
        </w:rPr>
        <w:t> </w:t>
      </w:r>
      <w:r>
        <w:rPr>
          <w:rFonts w:ascii="Calibri" w:hAnsi="Calibri"/>
          <w:color w:val="4C4D4F"/>
          <w:w w:val="125"/>
          <w:sz w:val="18"/>
        </w:rPr>
        <w:t>return</w:t>
      </w:r>
      <w:r>
        <w:rPr>
          <w:rFonts w:ascii="Calibri" w:hAnsi="Calibri"/>
          <w:color w:val="4C4D4F"/>
          <w:spacing w:val="-18"/>
          <w:w w:val="125"/>
          <w:sz w:val="18"/>
        </w:rPr>
        <w:t> </w:t>
      </w:r>
      <w:r>
        <w:rPr>
          <w:rFonts w:ascii="Calibri" w:hAnsi="Calibri"/>
          <w:color w:val="4C4D4F"/>
          <w:w w:val="125"/>
          <w:sz w:val="18"/>
        </w:rPr>
        <w:t>to</w:t>
      </w:r>
      <w:r>
        <w:rPr>
          <w:rFonts w:ascii="Calibri" w:hAnsi="Calibri"/>
          <w:color w:val="4C4D4F"/>
          <w:spacing w:val="-18"/>
          <w:w w:val="125"/>
          <w:sz w:val="18"/>
        </w:rPr>
        <w:t> </w:t>
      </w:r>
      <w:r>
        <w:rPr>
          <w:rFonts w:ascii="Calibri" w:hAnsi="Calibri"/>
          <w:color w:val="4C4D4F"/>
          <w:w w:val="125"/>
          <w:sz w:val="18"/>
        </w:rPr>
        <w:t>illicit</w:t>
      </w:r>
    </w:p>
    <w:p>
      <w:pPr>
        <w:spacing w:before="22"/>
        <w:ind w:left="521" w:right="0" w:firstLine="0"/>
        <w:jc w:val="left"/>
        <w:rPr>
          <w:rFonts w:ascii="Calibri"/>
          <w:sz w:val="18"/>
        </w:rPr>
      </w:pPr>
      <w:r>
        <w:rPr>
          <w:rFonts w:ascii="Calibri"/>
          <w:color w:val="4C4D4F"/>
          <w:w w:val="120"/>
          <w:sz w:val="18"/>
        </w:rPr>
        <w:t>opioid use.</w:t>
      </w:r>
    </w:p>
    <w:p>
      <w:pPr>
        <w:spacing w:after="0"/>
        <w:jc w:val="left"/>
        <w:rPr>
          <w:rFonts w:ascii="Calibri"/>
          <w:sz w:val="18"/>
        </w:rPr>
        <w:sectPr>
          <w:type w:val="continuous"/>
          <w:pgSz w:w="12240" w:h="15840"/>
          <w:pgMar w:top="540" w:bottom="280" w:left="940" w:right="920"/>
          <w:cols w:num="2" w:equalWidth="0">
            <w:col w:w="4979" w:space="40"/>
            <w:col w:w="5361"/>
          </w:cols>
        </w:sectPr>
      </w:pPr>
    </w:p>
    <w:p>
      <w:pPr>
        <w:pStyle w:val="BodyText"/>
        <w:rPr>
          <w:rFonts w:ascii="Calibri"/>
          <w:sz w:val="20"/>
        </w:rPr>
      </w:pPr>
    </w:p>
    <w:p>
      <w:pPr>
        <w:pStyle w:val="BodyText"/>
        <w:rPr>
          <w:rFonts w:ascii="Calibri"/>
          <w:sz w:val="20"/>
        </w:rPr>
      </w:pPr>
    </w:p>
    <w:p>
      <w:pPr>
        <w:pStyle w:val="BodyText"/>
        <w:spacing w:before="10"/>
        <w:rPr>
          <w:rFonts w:ascii="Calibri"/>
          <w:sz w:val="15"/>
        </w:rPr>
      </w:pPr>
    </w:p>
    <w:p>
      <w:pPr>
        <w:pStyle w:val="BodyText"/>
        <w:spacing w:line="247" w:lineRule="auto" w:before="100" w:after="4"/>
        <w:ind w:left="140" w:right="5452"/>
      </w:pPr>
      <w:r>
        <w:rPr/>
        <w:pict>
          <v:group style="position:absolute;margin-left:315.001007pt;margin-top:6.904304pt;width:243.5pt;height:250.2pt;mso-position-horizontal-relative:page;mso-position-vertical-relative:paragraph;z-index:15748096" coordorigin="6300,138" coordsize="4870,5004">
            <v:rect style="position:absolute;left:6305;top:143;width:4860;height:4994" filled="false" stroked="true" strokeweight=".5pt" strokecolor="#89aabe">
              <v:stroke dashstyle="solid"/>
            </v:rect>
            <v:shape style="position:absolute;left:6310;top:735;width:4850;height:4397" type="#_x0000_t202" filled="false" stroked="false">
              <v:textbox inset="0,0,0,0">
                <w:txbxContent>
                  <w:p>
                    <w:pPr>
                      <w:spacing w:line="278" w:lineRule="auto" w:before="59"/>
                      <w:ind w:left="230" w:right="333" w:firstLine="0"/>
                      <w:jc w:val="left"/>
                      <w:rPr>
                        <w:rFonts w:ascii="Arial"/>
                        <w:b/>
                        <w:sz w:val="24"/>
                      </w:rPr>
                    </w:pPr>
                    <w:r>
                      <w:rPr>
                        <w:rFonts w:ascii="Arial"/>
                        <w:b/>
                        <w:color w:val="147592"/>
                        <w:w w:val="110"/>
                        <w:sz w:val="24"/>
                      </w:rPr>
                      <w:t>Patient and Family Member Educational Resources</w:t>
                    </w:r>
                  </w:p>
                  <w:p>
                    <w:pPr>
                      <w:spacing w:line="348" w:lineRule="auto" w:before="154"/>
                      <w:ind w:left="230" w:right="181" w:firstLine="0"/>
                      <w:jc w:val="left"/>
                      <w:rPr>
                        <w:rFonts w:ascii="Arial"/>
                        <w:sz w:val="18"/>
                      </w:rPr>
                    </w:pPr>
                    <w:r>
                      <w:rPr>
                        <w:rFonts w:ascii="Arial"/>
                        <w:b/>
                        <w:i/>
                        <w:color w:val="414042"/>
                        <w:w w:val="115"/>
                        <w:sz w:val="18"/>
                      </w:rPr>
                      <w:t>Decisions</w:t>
                    </w:r>
                    <w:r>
                      <w:rPr>
                        <w:rFonts w:ascii="Arial"/>
                        <w:b/>
                        <w:i/>
                        <w:color w:val="414042"/>
                        <w:spacing w:val="-33"/>
                        <w:w w:val="115"/>
                        <w:sz w:val="18"/>
                      </w:rPr>
                      <w:t> </w:t>
                    </w:r>
                    <w:r>
                      <w:rPr>
                        <w:rFonts w:ascii="Arial"/>
                        <w:b/>
                        <w:i/>
                        <w:color w:val="414042"/>
                        <w:w w:val="115"/>
                        <w:sz w:val="18"/>
                      </w:rPr>
                      <w:t>in</w:t>
                    </w:r>
                    <w:r>
                      <w:rPr>
                        <w:rFonts w:ascii="Arial"/>
                        <w:b/>
                        <w:i/>
                        <w:color w:val="414042"/>
                        <w:spacing w:val="-33"/>
                        <w:w w:val="115"/>
                        <w:sz w:val="18"/>
                      </w:rPr>
                      <w:t> </w:t>
                    </w:r>
                    <w:r>
                      <w:rPr>
                        <w:rFonts w:ascii="Arial"/>
                        <w:b/>
                        <w:i/>
                        <w:color w:val="414042"/>
                        <w:w w:val="115"/>
                        <w:sz w:val="18"/>
                      </w:rPr>
                      <w:t>Recovery:</w:t>
                    </w:r>
                    <w:r>
                      <w:rPr>
                        <w:rFonts w:ascii="Arial"/>
                        <w:b/>
                        <w:i/>
                        <w:color w:val="414042"/>
                        <w:spacing w:val="-33"/>
                        <w:w w:val="115"/>
                        <w:sz w:val="18"/>
                      </w:rPr>
                      <w:t> </w:t>
                    </w:r>
                    <w:r>
                      <w:rPr>
                        <w:rFonts w:ascii="Arial"/>
                        <w:b/>
                        <w:i/>
                        <w:color w:val="414042"/>
                        <w:w w:val="115"/>
                        <w:sz w:val="18"/>
                      </w:rPr>
                      <w:t>Treatment</w:t>
                    </w:r>
                    <w:r>
                      <w:rPr>
                        <w:rFonts w:ascii="Arial"/>
                        <w:b/>
                        <w:i/>
                        <w:color w:val="414042"/>
                        <w:spacing w:val="-32"/>
                        <w:w w:val="115"/>
                        <w:sz w:val="18"/>
                      </w:rPr>
                      <w:t> </w:t>
                    </w:r>
                    <w:r>
                      <w:rPr>
                        <w:rFonts w:ascii="Arial"/>
                        <w:b/>
                        <w:i/>
                        <w:color w:val="414042"/>
                        <w:w w:val="115"/>
                        <w:sz w:val="18"/>
                      </w:rPr>
                      <w:t>for</w:t>
                    </w:r>
                    <w:r>
                      <w:rPr>
                        <w:rFonts w:ascii="Arial"/>
                        <w:b/>
                        <w:i/>
                        <w:color w:val="414042"/>
                        <w:spacing w:val="-33"/>
                        <w:w w:val="115"/>
                        <w:sz w:val="18"/>
                      </w:rPr>
                      <w:t> </w:t>
                    </w:r>
                    <w:r>
                      <w:rPr>
                        <w:rFonts w:ascii="Arial"/>
                        <w:b/>
                        <w:i/>
                        <w:color w:val="414042"/>
                        <w:w w:val="115"/>
                        <w:sz w:val="18"/>
                      </w:rPr>
                      <w:t>Opioid </w:t>
                    </w:r>
                    <w:r>
                      <w:rPr>
                        <w:rFonts w:ascii="Arial"/>
                        <w:b/>
                        <w:i/>
                        <w:color w:val="414042"/>
                        <w:w w:val="115"/>
                        <w:sz w:val="18"/>
                      </w:rPr>
                      <w:t>Use</w:t>
                    </w:r>
                    <w:r>
                      <w:rPr>
                        <w:rFonts w:ascii="Arial"/>
                        <w:b/>
                        <w:i/>
                        <w:color w:val="414042"/>
                        <w:spacing w:val="-8"/>
                        <w:w w:val="115"/>
                        <w:sz w:val="18"/>
                      </w:rPr>
                      <w:t> </w:t>
                    </w:r>
                    <w:r>
                      <w:rPr>
                        <w:rFonts w:ascii="Arial"/>
                        <w:b/>
                        <w:i/>
                        <w:color w:val="414042"/>
                        <w:w w:val="115"/>
                        <w:sz w:val="18"/>
                      </w:rPr>
                      <w:t>Disorder</w:t>
                    </w:r>
                    <w:r>
                      <w:rPr>
                        <w:rFonts w:ascii="Arial"/>
                        <w:b/>
                        <w:i/>
                        <w:color w:val="414042"/>
                        <w:spacing w:val="-10"/>
                        <w:w w:val="115"/>
                        <w:sz w:val="18"/>
                      </w:rPr>
                      <w:t> </w:t>
                    </w:r>
                    <w:r>
                      <w:rPr>
                        <w:rFonts w:ascii="Arial"/>
                        <w:color w:val="414042"/>
                        <w:w w:val="115"/>
                        <w:sz w:val="18"/>
                      </w:rPr>
                      <w:t>offers</w:t>
                    </w:r>
                    <w:r>
                      <w:rPr>
                        <w:rFonts w:ascii="Arial"/>
                        <w:color w:val="414042"/>
                        <w:spacing w:val="-10"/>
                        <w:w w:val="115"/>
                        <w:sz w:val="18"/>
                      </w:rPr>
                      <w:t> </w:t>
                    </w:r>
                    <w:r>
                      <w:rPr>
                        <w:rFonts w:ascii="Arial"/>
                        <w:color w:val="414042"/>
                        <w:w w:val="115"/>
                        <w:sz w:val="18"/>
                      </w:rPr>
                      <w:t>information</w:t>
                    </w:r>
                    <w:r>
                      <w:rPr>
                        <w:rFonts w:ascii="Arial"/>
                        <w:color w:val="414042"/>
                        <w:spacing w:val="-10"/>
                        <w:w w:val="115"/>
                        <w:sz w:val="18"/>
                      </w:rPr>
                      <w:t> </w:t>
                    </w:r>
                    <w:r>
                      <w:rPr>
                        <w:rFonts w:ascii="Arial"/>
                        <w:color w:val="414042"/>
                        <w:w w:val="115"/>
                        <w:sz w:val="18"/>
                      </w:rPr>
                      <w:t>for</w:t>
                    </w:r>
                    <w:r>
                      <w:rPr>
                        <w:rFonts w:ascii="Arial"/>
                        <w:color w:val="414042"/>
                        <w:spacing w:val="-9"/>
                        <w:w w:val="115"/>
                        <w:sz w:val="18"/>
                      </w:rPr>
                      <w:t> </w:t>
                    </w:r>
                    <w:r>
                      <w:rPr>
                        <w:rFonts w:ascii="Arial"/>
                        <w:color w:val="414042"/>
                        <w:w w:val="115"/>
                        <w:sz w:val="18"/>
                      </w:rPr>
                      <w:t>patients</w:t>
                    </w:r>
                    <w:r>
                      <w:rPr>
                        <w:rFonts w:ascii="Arial"/>
                        <w:color w:val="414042"/>
                        <w:spacing w:val="-10"/>
                        <w:w w:val="115"/>
                        <w:sz w:val="18"/>
                      </w:rPr>
                      <w:t> </w:t>
                    </w:r>
                    <w:r>
                      <w:rPr>
                        <w:rFonts w:ascii="Arial"/>
                        <w:color w:val="414042"/>
                        <w:w w:val="115"/>
                        <w:sz w:val="18"/>
                      </w:rPr>
                      <w:t>on the use of medications for OUD</w:t>
                    </w:r>
                    <w:r>
                      <w:rPr>
                        <w:rFonts w:ascii="Arial"/>
                        <w:color w:val="414042"/>
                        <w:spacing w:val="-39"/>
                        <w:w w:val="115"/>
                        <w:sz w:val="18"/>
                      </w:rPr>
                      <w:t> </w:t>
                    </w:r>
                    <w:r>
                      <w:rPr>
                        <w:rFonts w:ascii="Arial"/>
                        <w:color w:val="414042"/>
                        <w:w w:val="115"/>
                        <w:sz w:val="18"/>
                      </w:rPr>
                      <w:t>(</w:t>
                    </w:r>
                    <w:r>
                      <w:rPr>
                        <w:rFonts w:ascii="Arial"/>
                        <w:color w:val="3A68A5"/>
                        <w:w w:val="115"/>
                        <w:sz w:val="18"/>
                        <w:u w:val="single" w:color="3A68A5"/>
                      </w:rPr>
                      <w:t>https://store</w:t>
                    </w:r>
                  </w:p>
                  <w:p>
                    <w:pPr>
                      <w:spacing w:before="0"/>
                      <w:ind w:left="230" w:right="0" w:firstLine="0"/>
                      <w:jc w:val="left"/>
                      <w:rPr>
                        <w:rFonts w:ascii="Arial"/>
                        <w:sz w:val="18"/>
                      </w:rPr>
                    </w:pPr>
                    <w:r>
                      <w:rPr>
                        <w:rFonts w:ascii="Arial"/>
                        <w:color w:val="3A68A5"/>
                        <w:w w:val="110"/>
                        <w:sz w:val="18"/>
                        <w:u w:val="single" w:color="3A68A5"/>
                      </w:rPr>
                      <w:t>.samhsa.gov/product/SMA16-4993</w:t>
                    </w:r>
                    <w:r>
                      <w:rPr>
                        <w:rFonts w:ascii="Arial"/>
                        <w:color w:val="414042"/>
                        <w:w w:val="110"/>
                        <w:sz w:val="18"/>
                      </w:rPr>
                      <w:t>)</w:t>
                    </w:r>
                  </w:p>
                  <w:p>
                    <w:pPr>
                      <w:spacing w:line="240" w:lineRule="auto" w:before="7"/>
                      <w:rPr>
                        <w:rFonts w:ascii="Arial"/>
                        <w:sz w:val="20"/>
                      </w:rPr>
                    </w:pPr>
                  </w:p>
                  <w:p>
                    <w:pPr>
                      <w:spacing w:line="348" w:lineRule="auto" w:before="0"/>
                      <w:ind w:left="230" w:right="333" w:firstLine="0"/>
                      <w:jc w:val="left"/>
                      <w:rPr>
                        <w:rFonts w:ascii="Arial"/>
                        <w:sz w:val="18"/>
                      </w:rPr>
                    </w:pPr>
                    <w:r>
                      <w:rPr>
                        <w:rFonts w:ascii="Arial"/>
                        <w:b/>
                        <w:i/>
                        <w:color w:val="414042"/>
                        <w:w w:val="110"/>
                        <w:sz w:val="18"/>
                      </w:rPr>
                      <w:t>Medication-Assisted Treatment for Opioid </w:t>
                    </w:r>
                    <w:r>
                      <w:rPr>
                        <w:rFonts w:ascii="Arial"/>
                        <w:b/>
                        <w:i/>
                        <w:color w:val="414042"/>
                        <w:w w:val="110"/>
                        <w:sz w:val="18"/>
                      </w:rPr>
                      <w:t>Addiction: Facts for Families and Friends </w:t>
                    </w:r>
                    <w:r>
                      <w:rPr>
                        <w:rFonts w:ascii="Arial"/>
                        <w:color w:val="414042"/>
                        <w:w w:val="110"/>
                        <w:sz w:val="18"/>
                      </w:rPr>
                      <w:t>offers information for family members and</w:t>
                    </w:r>
                  </w:p>
                  <w:p>
                    <w:pPr>
                      <w:spacing w:line="348" w:lineRule="auto" w:before="0"/>
                      <w:ind w:left="230" w:right="384" w:firstLine="0"/>
                      <w:jc w:val="left"/>
                      <w:rPr>
                        <w:rFonts w:ascii="Arial"/>
                        <w:sz w:val="18"/>
                      </w:rPr>
                    </w:pPr>
                    <w:r>
                      <w:rPr>
                        <w:rFonts w:ascii="Arial"/>
                        <w:color w:val="414042"/>
                        <w:w w:val="115"/>
                        <w:sz w:val="18"/>
                      </w:rPr>
                      <w:t>friends (</w:t>
                    </w:r>
                    <w:r>
                      <w:rPr>
                        <w:rFonts w:ascii="Arial"/>
                        <w:color w:val="3A68A5"/>
                        <w:w w:val="115"/>
                        <w:sz w:val="18"/>
                        <w:u w:val="single" w:color="3A68A5"/>
                      </w:rPr>
                      <w:t>https://mha.ohio.gov/Portals/0/assets/</w:t>
                    </w:r>
                    <w:r>
                      <w:rPr>
                        <w:rFonts w:ascii="Arial"/>
                        <w:color w:val="3A68A5"/>
                        <w:w w:val="115"/>
                        <w:sz w:val="18"/>
                      </w:rPr>
                      <w:t> </w:t>
                    </w:r>
                    <w:r>
                      <w:rPr>
                        <w:rFonts w:ascii="Arial"/>
                        <w:color w:val="3A68A5"/>
                        <w:w w:val="110"/>
                        <w:sz w:val="18"/>
                        <w:u w:val="single" w:color="3A68A5"/>
                      </w:rPr>
                      <w:t>HealthProfessionals/About%20MH%20and%20</w:t>
                    </w:r>
                    <w:r>
                      <w:rPr>
                        <w:rFonts w:ascii="Arial"/>
                        <w:color w:val="3A68A5"/>
                        <w:w w:val="110"/>
                        <w:sz w:val="18"/>
                      </w:rPr>
                      <w:t> </w:t>
                    </w:r>
                    <w:r>
                      <w:rPr>
                        <w:rFonts w:ascii="Arial"/>
                        <w:color w:val="3A68A5"/>
                        <w:w w:val="115"/>
                        <w:sz w:val="18"/>
                        <w:u w:val="single" w:color="3A68A5"/>
                      </w:rPr>
                      <w:t>Addiction%20Treatment/MAT/SMA14-4443.</w:t>
                    </w:r>
                    <w:r>
                      <w:rPr>
                        <w:rFonts w:ascii="Arial"/>
                        <w:color w:val="3A68A5"/>
                        <w:w w:val="115"/>
                        <w:sz w:val="18"/>
                      </w:rPr>
                      <w:t> </w:t>
                    </w:r>
                    <w:r>
                      <w:rPr>
                        <w:rFonts w:ascii="Arial"/>
                        <w:color w:val="3A68A5"/>
                        <w:w w:val="115"/>
                        <w:sz w:val="18"/>
                        <w:u w:val="single" w:color="3A68A5"/>
                      </w:rPr>
                      <w:t>pdf?ver=2018-11-26-113004-157</w:t>
                    </w:r>
                    <w:r>
                      <w:rPr>
                        <w:rFonts w:ascii="Arial"/>
                        <w:color w:val="414042"/>
                        <w:w w:val="115"/>
                        <w:sz w:val="18"/>
                      </w:rPr>
                      <w:t>)</w:t>
                    </w:r>
                  </w:p>
                </w:txbxContent>
              </v:textbox>
              <w10:wrap type="none"/>
            </v:shape>
            <v:shape style="position:absolute;left:6310;top:148;width:4850;height:587" type="#_x0000_t202" filled="true" fillcolor="#367e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none"/>
          </v:group>
        </w:pict>
      </w:r>
      <w:r>
        <w:rPr>
          <w:color w:val="4C4D4F"/>
          <w:w w:val="110"/>
        </w:rPr>
        <w:t>Patients should sign consent forms before starting treatment. The Chapter 3B Appendix provides a sample consent form for treatment</w:t>
      </w:r>
      <w:r>
        <w:rPr>
          <w:color w:val="4C4D4F"/>
          <w:spacing w:val="-19"/>
          <w:w w:val="110"/>
        </w:rPr>
        <w:t> </w:t>
      </w:r>
      <w:r>
        <w:rPr>
          <w:color w:val="4C4D4F"/>
          <w:spacing w:val="-9"/>
          <w:w w:val="110"/>
        </w:rPr>
        <w:t>in</w:t>
      </w:r>
    </w:p>
    <w:p>
      <w:pPr>
        <w:pStyle w:val="BodyText"/>
        <w:ind w:left="140"/>
        <w:rPr>
          <w:sz w:val="20"/>
        </w:rPr>
      </w:pPr>
      <w:r>
        <w:rPr>
          <w:sz w:val="20"/>
        </w:rPr>
        <w:pict>
          <v:shape style="width:38pt;height:13pt;mso-position-horizontal-relative:char;mso-position-vertical-relative:line" type="#_x0000_t202" filled="false" stroked="false">
            <w10:anchorlock/>
            <v:textbox inset="0,0,0,0">
              <w:txbxContent>
                <w:p>
                  <w:pPr>
                    <w:pStyle w:val="BodyText"/>
                    <w:spacing w:line="255" w:lineRule="exact"/>
                  </w:pPr>
                  <w:r>
                    <w:rPr>
                      <w:color w:val="4C4D4F"/>
                      <w:w w:val="115"/>
                    </w:rPr>
                    <w:t>an</w:t>
                  </w:r>
                  <w:r>
                    <w:rPr>
                      <w:color w:val="4C4D4F"/>
                      <w:spacing w:val="-41"/>
                      <w:w w:val="115"/>
                    </w:rPr>
                    <w:t> </w:t>
                  </w:r>
                  <w:r>
                    <w:rPr>
                      <w:color w:val="4C4D4F"/>
                      <w:spacing w:val="-15"/>
                      <w:w w:val="115"/>
                    </w:rPr>
                    <w:t>OTP.</w:t>
                  </w:r>
                </w:p>
              </w:txbxContent>
            </v:textbox>
          </v:shape>
        </w:pict>
      </w:r>
      <w:r>
        <w:rPr>
          <w:sz w:val="20"/>
        </w:rPr>
      </w:r>
    </w:p>
    <w:p>
      <w:pPr>
        <w:spacing w:line="242" w:lineRule="auto" w:before="178"/>
        <w:ind w:left="140" w:right="5558" w:firstLine="0"/>
        <w:jc w:val="left"/>
        <w:rPr>
          <w:sz w:val="22"/>
        </w:rPr>
      </w:pPr>
      <w:r>
        <w:rPr>
          <w:rFonts w:ascii="Calibri" w:hAnsi="Calibri"/>
          <w:b/>
          <w:color w:val="4C4D4F"/>
          <w:w w:val="110"/>
          <w:sz w:val="22"/>
        </w:rPr>
        <w:t>Educate patients about what to expect when receiving methadone treatment </w:t>
      </w:r>
      <w:r>
        <w:rPr>
          <w:color w:val="4C4D4F"/>
          <w:w w:val="110"/>
          <w:sz w:val="22"/>
        </w:rPr>
        <w:t>(Exhibit </w:t>
      </w:r>
      <w:r>
        <w:rPr>
          <w:color w:val="4C4D4F"/>
          <w:spacing w:val="-3"/>
          <w:w w:val="110"/>
          <w:sz w:val="22"/>
        </w:rPr>
        <w:t>3B.3). </w:t>
      </w:r>
      <w:r>
        <w:rPr>
          <w:color w:val="4C4D4F"/>
          <w:w w:val="110"/>
          <w:sz w:val="22"/>
        </w:rPr>
        <w:t>Caution them against using alcohol and drugs during methadone treatment. </w:t>
      </w:r>
      <w:r>
        <w:rPr>
          <w:color w:val="4C4D4F"/>
          <w:spacing w:val="-3"/>
          <w:w w:val="110"/>
          <w:sz w:val="22"/>
        </w:rPr>
        <w:t>Warn </w:t>
      </w:r>
      <w:r>
        <w:rPr>
          <w:color w:val="4C4D4F"/>
          <w:w w:val="110"/>
          <w:sz w:val="22"/>
        </w:rPr>
        <w:t>them of the increased risk of overdose during the ﬁrst</w:t>
      </w:r>
      <w:r>
        <w:rPr>
          <w:color w:val="4C4D4F"/>
          <w:spacing w:val="-45"/>
          <w:w w:val="110"/>
          <w:sz w:val="22"/>
        </w:rPr>
        <w:t> </w:t>
      </w:r>
      <w:r>
        <w:rPr>
          <w:color w:val="4C4D4F"/>
          <w:w w:val="110"/>
          <w:sz w:val="22"/>
        </w:rPr>
        <w:t>2</w:t>
      </w:r>
    </w:p>
    <w:p>
      <w:pPr>
        <w:pStyle w:val="BodyText"/>
        <w:spacing w:line="247" w:lineRule="auto" w:before="10"/>
        <w:ind w:left="140" w:right="5439"/>
      </w:pPr>
      <w:r>
        <w:rPr>
          <w:color w:val="4C4D4F"/>
          <w:w w:val="110"/>
        </w:rPr>
        <w:t>weeks of treatment. Also warn them that</w:t>
      </w:r>
      <w:r>
        <w:rPr>
          <w:color w:val="4C4D4F"/>
          <w:spacing w:val="-44"/>
          <w:w w:val="110"/>
        </w:rPr>
        <w:t> </w:t>
      </w:r>
      <w:r>
        <w:rPr>
          <w:color w:val="4C4D4F"/>
          <w:spacing w:val="-3"/>
          <w:w w:val="110"/>
        </w:rPr>
        <w:t>discon- </w:t>
      </w:r>
      <w:r>
        <w:rPr>
          <w:color w:val="4C4D4F"/>
          <w:w w:val="110"/>
        </w:rPr>
        <w:t>tinuing treatment and returning to opioid use will increase their risk of overdose. Document patient education in the medical</w:t>
      </w:r>
      <w:r>
        <w:rPr>
          <w:color w:val="4C4D4F"/>
          <w:spacing w:val="-14"/>
          <w:w w:val="110"/>
        </w:rPr>
        <w:t> </w:t>
      </w:r>
      <w:r>
        <w:rPr>
          <w:color w:val="4C4D4F"/>
          <w:w w:val="110"/>
        </w:rPr>
        <w:t>record.</w:t>
      </w:r>
    </w:p>
    <w:p>
      <w:pPr>
        <w:spacing w:line="242" w:lineRule="auto" w:before="180"/>
        <w:ind w:left="140" w:right="5479" w:firstLine="0"/>
        <w:jc w:val="left"/>
        <w:rPr>
          <w:sz w:val="22"/>
        </w:rPr>
      </w:pPr>
      <w:r>
        <w:rPr>
          <w:rFonts w:ascii="Calibri"/>
          <w:b/>
          <w:color w:val="4C4D4F"/>
          <w:w w:val="110"/>
          <w:sz w:val="22"/>
        </w:rPr>
        <w:t>Educate patients about the  importance  of safe storage of take-home methadone doses. </w:t>
      </w:r>
      <w:r>
        <w:rPr>
          <w:color w:val="4C4D4F"/>
          <w:w w:val="110"/>
          <w:sz w:val="22"/>
        </w:rPr>
        <w:t>Discuss</w:t>
      </w:r>
      <w:r>
        <w:rPr>
          <w:color w:val="4C4D4F"/>
          <w:spacing w:val="-14"/>
          <w:w w:val="110"/>
          <w:sz w:val="22"/>
        </w:rPr>
        <w:t> </w:t>
      </w:r>
      <w:r>
        <w:rPr>
          <w:color w:val="4C4D4F"/>
          <w:w w:val="110"/>
          <w:sz w:val="22"/>
        </w:rPr>
        <w:t>with</w:t>
      </w:r>
      <w:r>
        <w:rPr>
          <w:color w:val="4C4D4F"/>
          <w:spacing w:val="-14"/>
          <w:w w:val="110"/>
          <w:sz w:val="22"/>
        </w:rPr>
        <w:t> </w:t>
      </w:r>
      <w:r>
        <w:rPr>
          <w:color w:val="4C4D4F"/>
          <w:w w:val="110"/>
          <w:sz w:val="22"/>
        </w:rPr>
        <w:t>patients</w:t>
      </w:r>
      <w:r>
        <w:rPr>
          <w:color w:val="4C4D4F"/>
          <w:spacing w:val="-13"/>
          <w:w w:val="110"/>
          <w:sz w:val="22"/>
        </w:rPr>
        <w:t> </w:t>
      </w:r>
      <w:r>
        <w:rPr>
          <w:color w:val="4C4D4F"/>
          <w:w w:val="110"/>
          <w:sz w:val="22"/>
        </w:rPr>
        <w:t>where</w:t>
      </w:r>
      <w:r>
        <w:rPr>
          <w:color w:val="4C4D4F"/>
          <w:spacing w:val="-14"/>
          <w:w w:val="110"/>
          <w:sz w:val="22"/>
        </w:rPr>
        <w:t> </w:t>
      </w:r>
      <w:r>
        <w:rPr>
          <w:color w:val="4C4D4F"/>
          <w:w w:val="110"/>
          <w:sz w:val="22"/>
        </w:rPr>
        <w:t>they</w:t>
      </w:r>
      <w:r>
        <w:rPr>
          <w:color w:val="4C4D4F"/>
          <w:spacing w:val="-14"/>
          <w:w w:val="110"/>
          <w:sz w:val="22"/>
        </w:rPr>
        <w:t> </w:t>
      </w:r>
      <w:r>
        <w:rPr>
          <w:color w:val="4C4D4F"/>
          <w:w w:val="110"/>
          <w:sz w:val="22"/>
        </w:rPr>
        <w:t>will</w:t>
      </w:r>
      <w:r>
        <w:rPr>
          <w:color w:val="4C4D4F"/>
          <w:spacing w:val="-13"/>
          <w:w w:val="110"/>
          <w:sz w:val="22"/>
        </w:rPr>
        <w:t> </w:t>
      </w:r>
      <w:r>
        <w:rPr>
          <w:color w:val="4C4D4F"/>
          <w:w w:val="110"/>
          <w:sz w:val="22"/>
        </w:rPr>
        <w:t>store</w:t>
      </w:r>
      <w:r>
        <w:rPr>
          <w:color w:val="4C4D4F"/>
          <w:spacing w:val="-14"/>
          <w:w w:val="110"/>
          <w:sz w:val="22"/>
        </w:rPr>
        <w:t> </w:t>
      </w:r>
      <w:r>
        <w:rPr>
          <w:color w:val="4C4D4F"/>
          <w:w w:val="110"/>
          <w:sz w:val="22"/>
        </w:rPr>
        <w:t>their take-home medication. Advise them against </w:t>
      </w:r>
      <w:r>
        <w:rPr>
          <w:color w:val="4C4D4F"/>
          <w:spacing w:val="-3"/>
          <w:w w:val="110"/>
          <w:sz w:val="22"/>
        </w:rPr>
        <w:t>storing medication </w:t>
      </w:r>
      <w:r>
        <w:rPr>
          <w:color w:val="4C4D4F"/>
          <w:w w:val="110"/>
          <w:sz w:val="22"/>
        </w:rPr>
        <w:t>in </w:t>
      </w:r>
      <w:r>
        <w:rPr>
          <w:color w:val="4C4D4F"/>
          <w:spacing w:val="-3"/>
          <w:w w:val="110"/>
          <w:sz w:val="22"/>
        </w:rPr>
        <w:t>common </w:t>
      </w:r>
      <w:r>
        <w:rPr>
          <w:color w:val="4C4D4F"/>
          <w:spacing w:val="-4"/>
          <w:w w:val="110"/>
          <w:sz w:val="22"/>
        </w:rPr>
        <w:t>areas </w:t>
      </w:r>
      <w:r>
        <w:rPr>
          <w:color w:val="4C4D4F"/>
          <w:w w:val="110"/>
          <w:sz w:val="22"/>
        </w:rPr>
        <w:t>of the</w:t>
      </w:r>
      <w:r>
        <w:rPr>
          <w:color w:val="4C4D4F"/>
          <w:spacing w:val="-11"/>
          <w:w w:val="110"/>
          <w:sz w:val="22"/>
        </w:rPr>
        <w:t> </w:t>
      </w:r>
      <w:r>
        <w:rPr>
          <w:color w:val="4C4D4F"/>
          <w:spacing w:val="-3"/>
          <w:w w:val="110"/>
          <w:sz w:val="22"/>
        </w:rPr>
        <w:t>home</w:t>
      </w:r>
    </w:p>
    <w:p>
      <w:pPr>
        <w:spacing w:after="0" w:line="242" w:lineRule="auto"/>
        <w:jc w:val="left"/>
        <w:rPr>
          <w:sz w:val="22"/>
        </w:rPr>
        <w:sectPr>
          <w:type w:val="continuous"/>
          <w:pgSz w:w="12240" w:h="15840"/>
          <w:pgMar w:top="540" w:bottom="280" w:left="940" w:right="920"/>
        </w:sectPr>
      </w:pPr>
    </w:p>
    <w:p>
      <w:pPr>
        <w:pStyle w:val="BodyText"/>
        <w:spacing w:before="6"/>
        <w:rPr>
          <w:sz w:val="26"/>
        </w:rPr>
      </w:pPr>
    </w:p>
    <w:p>
      <w:pPr>
        <w:spacing w:after="0"/>
        <w:rPr>
          <w:sz w:val="26"/>
        </w:rPr>
        <w:sectPr>
          <w:pgSz w:w="12240" w:h="15840"/>
          <w:pgMar w:header="576" w:footer="677" w:top="1340" w:bottom="860" w:left="940" w:right="920"/>
        </w:sectPr>
      </w:pPr>
    </w:p>
    <w:p>
      <w:pPr>
        <w:pStyle w:val="BodyText"/>
        <w:spacing w:line="247" w:lineRule="auto" w:before="110"/>
        <w:ind w:left="140" w:right="78"/>
      </w:pPr>
      <w:r>
        <w:rPr>
          <w:color w:val="4D4D4F"/>
          <w:w w:val="110"/>
        </w:rPr>
        <w:t>where visitors or children would have access, such as kitchens and bathrooms. Take-home doses should be kept in their original childproof packaging in a lockbox. The key should not be left in the box. Inform patients that any portion of a dose taken by another person, a child,</w:t>
      </w:r>
    </w:p>
    <w:p>
      <w:pPr>
        <w:pStyle w:val="BodyText"/>
        <w:spacing w:line="247" w:lineRule="auto" w:before="7"/>
        <w:ind w:left="140" w:right="447"/>
      </w:pPr>
      <w:r>
        <w:rPr>
          <w:color w:val="4D4D4F"/>
          <w:w w:val="115"/>
        </w:rPr>
        <w:t>or</w:t>
      </w:r>
      <w:r>
        <w:rPr>
          <w:color w:val="4D4D4F"/>
          <w:spacing w:val="-20"/>
          <w:w w:val="115"/>
        </w:rPr>
        <w:t> </w:t>
      </w:r>
      <w:r>
        <w:rPr>
          <w:color w:val="4D4D4F"/>
          <w:w w:val="115"/>
        </w:rPr>
        <w:t>pet</w:t>
      </w:r>
      <w:r>
        <w:rPr>
          <w:color w:val="4D4D4F"/>
          <w:spacing w:val="-19"/>
          <w:w w:val="115"/>
        </w:rPr>
        <w:t> </w:t>
      </w:r>
      <w:r>
        <w:rPr>
          <w:color w:val="4D4D4F"/>
          <w:w w:val="115"/>
        </w:rPr>
        <w:t>can</w:t>
      </w:r>
      <w:r>
        <w:rPr>
          <w:color w:val="4D4D4F"/>
          <w:spacing w:val="-19"/>
          <w:w w:val="115"/>
        </w:rPr>
        <w:t> </w:t>
      </w:r>
      <w:r>
        <w:rPr>
          <w:color w:val="4D4D4F"/>
          <w:w w:val="115"/>
        </w:rPr>
        <w:t>be</w:t>
      </w:r>
      <w:r>
        <w:rPr>
          <w:color w:val="4D4D4F"/>
          <w:spacing w:val="-19"/>
          <w:w w:val="115"/>
        </w:rPr>
        <w:t> </w:t>
      </w:r>
      <w:r>
        <w:rPr>
          <w:color w:val="4D4D4F"/>
          <w:spacing w:val="-3"/>
          <w:w w:val="115"/>
        </w:rPr>
        <w:t>deadly.</w:t>
      </w:r>
      <w:r>
        <w:rPr>
          <w:color w:val="4D4D4F"/>
          <w:spacing w:val="-19"/>
          <w:w w:val="115"/>
        </w:rPr>
        <w:t> </w:t>
      </w:r>
      <w:r>
        <w:rPr>
          <w:color w:val="4D4D4F"/>
          <w:w w:val="115"/>
        </w:rPr>
        <w:t>If</w:t>
      </w:r>
      <w:r>
        <w:rPr>
          <w:color w:val="4D4D4F"/>
          <w:spacing w:val="-20"/>
          <w:w w:val="115"/>
        </w:rPr>
        <w:t> </w:t>
      </w:r>
      <w:r>
        <w:rPr>
          <w:color w:val="4D4D4F"/>
          <w:w w:val="115"/>
        </w:rPr>
        <w:t>this</w:t>
      </w:r>
      <w:r>
        <w:rPr>
          <w:color w:val="4D4D4F"/>
          <w:spacing w:val="-19"/>
          <w:w w:val="115"/>
        </w:rPr>
        <w:t> </w:t>
      </w:r>
      <w:r>
        <w:rPr>
          <w:color w:val="4D4D4F"/>
          <w:w w:val="115"/>
        </w:rPr>
        <w:t>occurs,</w:t>
      </w:r>
      <w:r>
        <w:rPr>
          <w:color w:val="4D4D4F"/>
          <w:spacing w:val="-19"/>
          <w:w w:val="115"/>
        </w:rPr>
        <w:t> </w:t>
      </w:r>
      <w:r>
        <w:rPr>
          <w:color w:val="4D4D4F"/>
          <w:w w:val="115"/>
        </w:rPr>
        <w:t>call</w:t>
      </w:r>
      <w:r>
        <w:rPr>
          <w:color w:val="4D4D4F"/>
          <w:spacing w:val="-19"/>
          <w:w w:val="115"/>
        </w:rPr>
        <w:t> </w:t>
      </w:r>
      <w:r>
        <w:rPr>
          <w:color w:val="4D4D4F"/>
          <w:spacing w:val="-4"/>
          <w:w w:val="115"/>
        </w:rPr>
        <w:t>9-1-1 </w:t>
      </w:r>
      <w:r>
        <w:rPr>
          <w:color w:val="4D4D4F"/>
          <w:w w:val="115"/>
        </w:rPr>
        <w:t>immediately.</w:t>
      </w:r>
    </w:p>
    <w:p>
      <w:pPr>
        <w:pStyle w:val="Heading2"/>
        <w:spacing w:before="216"/>
      </w:pPr>
      <w:bookmarkStart w:name="_TOC_250087" w:id="28"/>
      <w:bookmarkEnd w:id="28"/>
      <w:r>
        <w:rPr>
          <w:color w:val="137692"/>
          <w:w w:val="110"/>
        </w:rPr>
        <w:t>Initiating Methadone Treatment</w:t>
      </w:r>
    </w:p>
    <w:p>
      <w:pPr>
        <w:pStyle w:val="BodyText"/>
        <w:spacing w:line="244" w:lineRule="auto" w:before="26"/>
        <w:ind w:left="140" w:right="78"/>
      </w:pPr>
      <w:r>
        <w:rPr>
          <w:rFonts w:ascii="Calibri" w:hAnsi="Calibri"/>
          <w:b/>
          <w:color w:val="4D4D4F"/>
          <w:w w:val="110"/>
        </w:rPr>
        <w:t>Observing patients directly when they take doses early in treatment is not just required; </w:t>
      </w:r>
      <w:r>
        <w:rPr>
          <w:rFonts w:ascii="Calibri" w:hAnsi="Calibri"/>
          <w:b/>
          <w:color w:val="4D4D4F"/>
          <w:spacing w:val="-5"/>
          <w:w w:val="110"/>
        </w:rPr>
        <w:t>it’s </w:t>
      </w:r>
      <w:r>
        <w:rPr>
          <w:rFonts w:ascii="Calibri" w:hAnsi="Calibri"/>
          <w:b/>
          <w:color w:val="4D4D4F"/>
          <w:w w:val="110"/>
        </w:rPr>
        <w:t>beneﬁcial. </w:t>
      </w:r>
      <w:r>
        <w:rPr>
          <w:color w:val="4D4D4F"/>
          <w:w w:val="110"/>
        </w:rPr>
        <w:t>It maximizes adherence, provides a daily opportunity to assess response to </w:t>
      </w:r>
      <w:r>
        <w:rPr>
          <w:color w:val="4D4D4F"/>
          <w:spacing w:val="2"/>
          <w:w w:val="110"/>
        </w:rPr>
        <w:t>the </w:t>
      </w:r>
      <w:r>
        <w:rPr>
          <w:color w:val="4D4D4F"/>
          <w:spacing w:val="-3"/>
          <w:w w:val="110"/>
        </w:rPr>
        <w:t>medication, </w:t>
      </w:r>
      <w:r>
        <w:rPr>
          <w:color w:val="4D4D4F"/>
          <w:w w:val="110"/>
        </w:rPr>
        <w:t>and </w:t>
      </w:r>
      <w:r>
        <w:rPr>
          <w:color w:val="4D4D4F"/>
          <w:spacing w:val="-3"/>
          <w:w w:val="110"/>
        </w:rPr>
        <w:t>minimizes </w:t>
      </w:r>
      <w:r>
        <w:rPr>
          <w:color w:val="4D4D4F"/>
          <w:w w:val="110"/>
        </w:rPr>
        <w:t>the </w:t>
      </w:r>
      <w:r>
        <w:rPr>
          <w:color w:val="4D4D4F"/>
          <w:spacing w:val="-3"/>
          <w:w w:val="110"/>
        </w:rPr>
        <w:t>likelihood </w:t>
      </w:r>
      <w:r>
        <w:rPr>
          <w:color w:val="4D4D4F"/>
          <w:w w:val="110"/>
        </w:rPr>
        <w:t>of </w:t>
      </w:r>
      <w:r>
        <w:rPr>
          <w:color w:val="4D4D4F"/>
          <w:spacing w:val="-3"/>
          <w:w w:val="110"/>
        </w:rPr>
        <w:t>med- ication diversion. Federal </w:t>
      </w:r>
      <w:r>
        <w:rPr>
          <w:color w:val="4D4D4F"/>
          <w:w w:val="110"/>
        </w:rPr>
        <w:t>OTP </w:t>
      </w:r>
      <w:r>
        <w:rPr>
          <w:color w:val="4D4D4F"/>
          <w:spacing w:val="-4"/>
          <w:w w:val="110"/>
        </w:rPr>
        <w:t>regulations </w:t>
      </w:r>
      <w:r>
        <w:rPr>
          <w:color w:val="4D4D4F"/>
          <w:spacing w:val="-3"/>
          <w:w w:val="110"/>
        </w:rPr>
        <w:t>permit </w:t>
      </w:r>
      <w:r>
        <w:rPr>
          <w:color w:val="4D4D4F"/>
          <w:w w:val="110"/>
        </w:rPr>
        <w:t>patients to receive one take-home dose </w:t>
      </w:r>
      <w:r>
        <w:rPr>
          <w:color w:val="4D4D4F"/>
          <w:spacing w:val="2"/>
          <w:w w:val="110"/>
        </w:rPr>
        <w:t>per </w:t>
      </w:r>
      <w:r>
        <w:rPr>
          <w:color w:val="4D4D4F"/>
          <w:w w:val="110"/>
        </w:rPr>
        <w:t>week, given routine clinic closure on weekends. Patients who demonstrate progress can earn one additional take-home dose per week for </w:t>
      </w:r>
      <w:r>
        <w:rPr>
          <w:color w:val="4D4D4F"/>
          <w:spacing w:val="-6"/>
          <w:w w:val="110"/>
        </w:rPr>
        <w:t>the </w:t>
      </w:r>
      <w:r>
        <w:rPr>
          <w:color w:val="4D4D4F"/>
          <w:w w:val="110"/>
        </w:rPr>
        <w:t>ﬁrst 90 days of treatment at the OTP medical </w:t>
      </w:r>
      <w:r>
        <w:rPr>
          <w:color w:val="4D4D4F"/>
          <w:spacing w:val="-3"/>
          <w:w w:val="110"/>
        </w:rPr>
        <w:t>director’s </w:t>
      </w:r>
      <w:r>
        <w:rPr>
          <w:color w:val="4D4D4F"/>
          <w:w w:val="110"/>
        </w:rPr>
        <w:t>discretion. All other doses are directly observed at the clinic in the ﬁrst 90</w:t>
      </w:r>
      <w:r>
        <w:rPr>
          <w:color w:val="4D4D4F"/>
          <w:spacing w:val="-32"/>
          <w:w w:val="110"/>
        </w:rPr>
        <w:t> </w:t>
      </w:r>
      <w:r>
        <w:rPr>
          <w:color w:val="4D4D4F"/>
          <w:w w:val="110"/>
        </w:rPr>
        <w:t>days.</w:t>
      </w:r>
    </w:p>
    <w:p>
      <w:pPr>
        <w:pStyle w:val="BodyText"/>
        <w:spacing w:line="247" w:lineRule="auto" w:before="193"/>
        <w:ind w:left="140" w:right="56"/>
      </w:pPr>
      <w:r>
        <w:rPr>
          <w:color w:val="4D4D4F"/>
          <w:w w:val="115"/>
        </w:rPr>
        <w:t>The</w:t>
      </w:r>
      <w:r>
        <w:rPr>
          <w:color w:val="4D4D4F"/>
          <w:spacing w:val="-23"/>
          <w:w w:val="115"/>
        </w:rPr>
        <w:t> </w:t>
      </w:r>
      <w:r>
        <w:rPr>
          <w:color w:val="4D4D4F"/>
          <w:w w:val="115"/>
        </w:rPr>
        <w:t>goal</w:t>
      </w:r>
      <w:r>
        <w:rPr>
          <w:color w:val="4D4D4F"/>
          <w:spacing w:val="-22"/>
          <w:w w:val="115"/>
        </w:rPr>
        <w:t> </w:t>
      </w:r>
      <w:r>
        <w:rPr>
          <w:color w:val="4D4D4F"/>
          <w:w w:val="115"/>
        </w:rPr>
        <w:t>of</w:t>
      </w:r>
      <w:r>
        <w:rPr>
          <w:color w:val="4D4D4F"/>
          <w:spacing w:val="-22"/>
          <w:w w:val="115"/>
        </w:rPr>
        <w:t> </w:t>
      </w:r>
      <w:r>
        <w:rPr>
          <w:color w:val="4D4D4F"/>
          <w:w w:val="115"/>
        </w:rPr>
        <w:t>initiating</w:t>
      </w:r>
      <w:r>
        <w:rPr>
          <w:color w:val="4D4D4F"/>
          <w:spacing w:val="-22"/>
          <w:w w:val="115"/>
        </w:rPr>
        <w:t> </w:t>
      </w:r>
      <w:r>
        <w:rPr>
          <w:color w:val="4D4D4F"/>
          <w:w w:val="115"/>
        </w:rPr>
        <w:t>methadone</w:t>
      </w:r>
      <w:r>
        <w:rPr>
          <w:color w:val="4D4D4F"/>
          <w:spacing w:val="-23"/>
          <w:w w:val="115"/>
        </w:rPr>
        <w:t> </w:t>
      </w:r>
      <w:r>
        <w:rPr>
          <w:color w:val="4D4D4F"/>
          <w:w w:val="115"/>
        </w:rPr>
        <w:t>treatment</w:t>
      </w:r>
      <w:r>
        <w:rPr>
          <w:color w:val="4D4D4F"/>
          <w:spacing w:val="-22"/>
          <w:w w:val="115"/>
        </w:rPr>
        <w:t> </w:t>
      </w:r>
      <w:r>
        <w:rPr>
          <w:color w:val="4D4D4F"/>
          <w:w w:val="115"/>
        </w:rPr>
        <w:t>is</w:t>
      </w:r>
      <w:r>
        <w:rPr>
          <w:color w:val="4D4D4F"/>
          <w:spacing w:val="-22"/>
          <w:w w:val="115"/>
        </w:rPr>
        <w:t> </w:t>
      </w:r>
      <w:r>
        <w:rPr>
          <w:color w:val="4D4D4F"/>
          <w:w w:val="115"/>
        </w:rPr>
        <w:t>to increase</w:t>
      </w:r>
      <w:r>
        <w:rPr>
          <w:color w:val="4D4D4F"/>
          <w:spacing w:val="-28"/>
          <w:w w:val="115"/>
        </w:rPr>
        <w:t> </w:t>
      </w:r>
      <w:r>
        <w:rPr>
          <w:color w:val="4D4D4F"/>
          <w:w w:val="115"/>
        </w:rPr>
        <w:t>the</w:t>
      </w:r>
      <w:r>
        <w:rPr>
          <w:color w:val="4D4D4F"/>
          <w:spacing w:val="-27"/>
          <w:w w:val="115"/>
        </w:rPr>
        <w:t> </w:t>
      </w:r>
      <w:r>
        <w:rPr>
          <w:color w:val="4D4D4F"/>
          <w:w w:val="115"/>
        </w:rPr>
        <w:t>patient’s</w:t>
      </w:r>
      <w:r>
        <w:rPr>
          <w:color w:val="4D4D4F"/>
          <w:spacing w:val="-27"/>
          <w:w w:val="115"/>
        </w:rPr>
        <w:t> </w:t>
      </w:r>
      <w:r>
        <w:rPr>
          <w:color w:val="4D4D4F"/>
          <w:w w:val="115"/>
        </w:rPr>
        <w:t>methadone</w:t>
      </w:r>
      <w:r>
        <w:rPr>
          <w:color w:val="4D4D4F"/>
          <w:spacing w:val="-27"/>
          <w:w w:val="115"/>
        </w:rPr>
        <w:t> </w:t>
      </w:r>
      <w:r>
        <w:rPr>
          <w:color w:val="4D4D4F"/>
          <w:w w:val="115"/>
        </w:rPr>
        <w:t>dose</w:t>
      </w:r>
      <w:r>
        <w:rPr>
          <w:color w:val="4D4D4F"/>
          <w:spacing w:val="-27"/>
          <w:w w:val="115"/>
        </w:rPr>
        <w:t> </w:t>
      </w:r>
      <w:r>
        <w:rPr>
          <w:color w:val="4D4D4F"/>
          <w:w w:val="115"/>
        </w:rPr>
        <w:t>gradually and </w:t>
      </w:r>
      <w:r>
        <w:rPr>
          <w:color w:val="4D4D4F"/>
          <w:spacing w:val="-3"/>
          <w:w w:val="115"/>
        </w:rPr>
        <w:t>safely, </w:t>
      </w:r>
      <w:r>
        <w:rPr>
          <w:color w:val="4D4D4F"/>
          <w:w w:val="115"/>
        </w:rPr>
        <w:t>stabilizing the patient and reducing his</w:t>
      </w:r>
      <w:r>
        <w:rPr>
          <w:color w:val="4D4D4F"/>
          <w:spacing w:val="-23"/>
          <w:w w:val="115"/>
        </w:rPr>
        <w:t> </w:t>
      </w:r>
      <w:r>
        <w:rPr>
          <w:color w:val="4D4D4F"/>
          <w:w w:val="115"/>
        </w:rPr>
        <w:t>or</w:t>
      </w:r>
      <w:r>
        <w:rPr>
          <w:color w:val="4D4D4F"/>
          <w:spacing w:val="-22"/>
          <w:w w:val="115"/>
        </w:rPr>
        <w:t> </w:t>
      </w:r>
      <w:r>
        <w:rPr>
          <w:color w:val="4D4D4F"/>
          <w:w w:val="115"/>
        </w:rPr>
        <w:t>her</w:t>
      </w:r>
      <w:r>
        <w:rPr>
          <w:color w:val="4D4D4F"/>
          <w:spacing w:val="-23"/>
          <w:w w:val="115"/>
        </w:rPr>
        <w:t> </w:t>
      </w:r>
      <w:r>
        <w:rPr>
          <w:color w:val="4D4D4F"/>
          <w:w w:val="115"/>
        </w:rPr>
        <w:t>opioid</w:t>
      </w:r>
      <w:r>
        <w:rPr>
          <w:color w:val="4D4D4F"/>
          <w:spacing w:val="-22"/>
          <w:w w:val="115"/>
        </w:rPr>
        <w:t> </w:t>
      </w:r>
      <w:r>
        <w:rPr>
          <w:color w:val="4D4D4F"/>
          <w:w w:val="115"/>
        </w:rPr>
        <w:t>use</w:t>
      </w:r>
      <w:r>
        <w:rPr>
          <w:color w:val="4D4D4F"/>
          <w:spacing w:val="-22"/>
          <w:w w:val="115"/>
        </w:rPr>
        <w:t> </w:t>
      </w:r>
      <w:r>
        <w:rPr>
          <w:color w:val="4D4D4F"/>
          <w:w w:val="115"/>
        </w:rPr>
        <w:t>while</w:t>
      </w:r>
      <w:r>
        <w:rPr>
          <w:color w:val="4D4D4F"/>
          <w:spacing w:val="-23"/>
          <w:w w:val="115"/>
        </w:rPr>
        <w:t> </w:t>
      </w:r>
      <w:r>
        <w:rPr>
          <w:color w:val="4D4D4F"/>
          <w:w w:val="115"/>
        </w:rPr>
        <w:t>recognizing</w:t>
      </w:r>
      <w:r>
        <w:rPr>
          <w:color w:val="4D4D4F"/>
          <w:spacing w:val="-22"/>
          <w:w w:val="115"/>
        </w:rPr>
        <w:t> </w:t>
      </w:r>
      <w:r>
        <w:rPr>
          <w:color w:val="4D4D4F"/>
          <w:w w:val="115"/>
        </w:rPr>
        <w:t>that</w:t>
      </w:r>
      <w:r>
        <w:rPr>
          <w:color w:val="4D4D4F"/>
          <w:spacing w:val="-23"/>
          <w:w w:val="115"/>
        </w:rPr>
        <w:t> </w:t>
      </w:r>
      <w:r>
        <w:rPr>
          <w:color w:val="4D4D4F"/>
          <w:w w:val="115"/>
        </w:rPr>
        <w:t>the </w:t>
      </w:r>
      <w:r>
        <w:rPr>
          <w:color w:val="4D4D4F"/>
          <w:spacing w:val="-3"/>
          <w:w w:val="115"/>
        </w:rPr>
        <w:t>risk</w:t>
      </w:r>
      <w:r>
        <w:rPr>
          <w:color w:val="4D4D4F"/>
          <w:spacing w:val="-36"/>
          <w:w w:val="115"/>
        </w:rPr>
        <w:t> </w:t>
      </w:r>
      <w:r>
        <w:rPr>
          <w:color w:val="4D4D4F"/>
          <w:w w:val="115"/>
        </w:rPr>
        <w:t>of</w:t>
      </w:r>
      <w:r>
        <w:rPr>
          <w:color w:val="4D4D4F"/>
          <w:spacing w:val="-35"/>
          <w:w w:val="115"/>
        </w:rPr>
        <w:t> </w:t>
      </w:r>
      <w:r>
        <w:rPr>
          <w:color w:val="4D4D4F"/>
          <w:spacing w:val="-4"/>
          <w:w w:val="115"/>
        </w:rPr>
        <w:t>dropout</w:t>
      </w:r>
      <w:r>
        <w:rPr>
          <w:color w:val="4D4D4F"/>
          <w:spacing w:val="-35"/>
          <w:w w:val="115"/>
        </w:rPr>
        <w:t> </w:t>
      </w:r>
      <w:r>
        <w:rPr>
          <w:color w:val="4D4D4F"/>
          <w:w w:val="115"/>
        </w:rPr>
        <w:t>or</w:t>
      </w:r>
      <w:r>
        <w:rPr>
          <w:color w:val="4D4D4F"/>
          <w:spacing w:val="-35"/>
          <w:w w:val="115"/>
        </w:rPr>
        <w:t> </w:t>
      </w:r>
      <w:r>
        <w:rPr>
          <w:color w:val="4D4D4F"/>
          <w:spacing w:val="-4"/>
          <w:w w:val="115"/>
        </w:rPr>
        <w:t>overdose</w:t>
      </w:r>
      <w:r>
        <w:rPr>
          <w:color w:val="4D4D4F"/>
          <w:spacing w:val="-35"/>
          <w:w w:val="115"/>
        </w:rPr>
        <w:t> </w:t>
      </w:r>
      <w:r>
        <w:rPr>
          <w:color w:val="4D4D4F"/>
          <w:spacing w:val="-4"/>
          <w:w w:val="115"/>
        </w:rPr>
        <w:t>from</w:t>
      </w:r>
      <w:r>
        <w:rPr>
          <w:color w:val="4D4D4F"/>
          <w:spacing w:val="-35"/>
          <w:w w:val="115"/>
        </w:rPr>
        <w:t> </w:t>
      </w:r>
      <w:r>
        <w:rPr>
          <w:color w:val="4D4D4F"/>
          <w:spacing w:val="-3"/>
          <w:w w:val="115"/>
        </w:rPr>
        <w:t>illicit</w:t>
      </w:r>
      <w:r>
        <w:rPr>
          <w:color w:val="4D4D4F"/>
          <w:spacing w:val="-35"/>
          <w:w w:val="115"/>
        </w:rPr>
        <w:t> </w:t>
      </w:r>
      <w:r>
        <w:rPr>
          <w:color w:val="4D4D4F"/>
          <w:spacing w:val="-3"/>
          <w:w w:val="115"/>
        </w:rPr>
        <w:t>opioid</w:t>
      </w:r>
      <w:r>
        <w:rPr>
          <w:color w:val="4D4D4F"/>
          <w:spacing w:val="-35"/>
          <w:w w:val="115"/>
        </w:rPr>
        <w:t> </w:t>
      </w:r>
      <w:r>
        <w:rPr>
          <w:color w:val="4D4D4F"/>
          <w:spacing w:val="-3"/>
          <w:w w:val="115"/>
        </w:rPr>
        <w:t>use </w:t>
      </w:r>
      <w:r>
        <w:rPr>
          <w:color w:val="4D4D4F"/>
          <w:w w:val="115"/>
        </w:rPr>
        <w:t>may</w:t>
      </w:r>
      <w:r>
        <w:rPr>
          <w:color w:val="4D4D4F"/>
          <w:spacing w:val="-15"/>
          <w:w w:val="115"/>
        </w:rPr>
        <w:t> </w:t>
      </w:r>
      <w:r>
        <w:rPr>
          <w:color w:val="4D4D4F"/>
          <w:w w:val="115"/>
        </w:rPr>
        <w:t>increase</w:t>
      </w:r>
      <w:r>
        <w:rPr>
          <w:color w:val="4D4D4F"/>
          <w:spacing w:val="-14"/>
          <w:w w:val="115"/>
        </w:rPr>
        <w:t> </w:t>
      </w:r>
      <w:r>
        <w:rPr>
          <w:color w:val="4D4D4F"/>
          <w:w w:val="115"/>
        </w:rPr>
        <w:t>if</w:t>
      </w:r>
      <w:r>
        <w:rPr>
          <w:color w:val="4D4D4F"/>
          <w:spacing w:val="-14"/>
          <w:w w:val="115"/>
        </w:rPr>
        <w:t> </w:t>
      </w:r>
      <w:r>
        <w:rPr>
          <w:color w:val="4D4D4F"/>
          <w:w w:val="115"/>
        </w:rPr>
        <w:t>induction</w:t>
      </w:r>
      <w:r>
        <w:rPr>
          <w:color w:val="4D4D4F"/>
          <w:spacing w:val="-14"/>
          <w:w w:val="115"/>
        </w:rPr>
        <w:t> </w:t>
      </w:r>
      <w:r>
        <w:rPr>
          <w:color w:val="4D4D4F"/>
          <w:w w:val="115"/>
        </w:rPr>
        <w:t>is</w:t>
      </w:r>
      <w:r>
        <w:rPr>
          <w:color w:val="4D4D4F"/>
          <w:spacing w:val="-14"/>
          <w:w w:val="115"/>
        </w:rPr>
        <w:t> </w:t>
      </w:r>
      <w:r>
        <w:rPr>
          <w:color w:val="4D4D4F"/>
          <w:w w:val="115"/>
        </w:rPr>
        <w:t>too</w:t>
      </w:r>
      <w:r>
        <w:rPr>
          <w:color w:val="4D4D4F"/>
          <w:spacing w:val="-14"/>
          <w:w w:val="115"/>
        </w:rPr>
        <w:t> </w:t>
      </w:r>
      <w:r>
        <w:rPr>
          <w:color w:val="4D4D4F"/>
          <w:spacing w:val="-3"/>
          <w:w w:val="115"/>
        </w:rPr>
        <w:t>slow.</w:t>
      </w:r>
    </w:p>
    <w:p>
      <w:pPr>
        <w:pStyle w:val="BodyText"/>
        <w:spacing w:before="3"/>
        <w:rPr>
          <w:sz w:val="23"/>
        </w:rPr>
      </w:pPr>
    </w:p>
    <w:p>
      <w:pPr>
        <w:pStyle w:val="Heading3"/>
        <w:jc w:val="both"/>
      </w:pPr>
      <w:bookmarkStart w:name="_TOC_250086" w:id="29"/>
      <w:bookmarkEnd w:id="29"/>
      <w:r>
        <w:rPr>
          <w:color w:val="137692"/>
          <w:w w:val="110"/>
        </w:rPr>
        <w:t>Day 1</w:t>
      </w:r>
    </w:p>
    <w:p>
      <w:pPr>
        <w:pStyle w:val="BodyText"/>
        <w:spacing w:line="244" w:lineRule="auto" w:before="43"/>
        <w:ind w:left="140"/>
      </w:pPr>
      <w:r>
        <w:rPr>
          <w:rFonts w:ascii="Calibri" w:hAnsi="Calibri"/>
          <w:b/>
          <w:color w:val="4D4D4F"/>
          <w:w w:val="110"/>
        </w:rPr>
        <w:t>The ﬁrst dose should reduce opioid withdrawal symptoms. </w:t>
      </w:r>
      <w:r>
        <w:rPr>
          <w:color w:val="4D4D4F"/>
          <w:w w:val="110"/>
        </w:rPr>
        <w:t>Perform induction cautiously; it’s impossible to judge a patient’s level of tolerance with certainty. For patients addicted to prescrip- tion opioids, opioid conversion tables should not be relied on to determine methadone dosage.</w:t>
      </w:r>
    </w:p>
    <w:p>
      <w:pPr>
        <w:spacing w:line="256" w:lineRule="auto" w:before="214"/>
        <w:ind w:left="140" w:right="135" w:firstLine="0"/>
        <w:jc w:val="both"/>
        <w:rPr>
          <w:rFonts w:ascii="Calibri" w:hAnsi="Calibri"/>
          <w:b/>
          <w:sz w:val="22"/>
        </w:rPr>
      </w:pPr>
      <w:r>
        <w:rPr>
          <w:b/>
          <w:i/>
          <w:color w:val="137692"/>
          <w:w w:val="105"/>
          <w:sz w:val="24"/>
        </w:rPr>
        <w:t>First</w:t>
      </w:r>
      <w:r>
        <w:rPr>
          <w:b/>
          <w:i/>
          <w:color w:val="137692"/>
          <w:spacing w:val="-20"/>
          <w:w w:val="105"/>
          <w:sz w:val="24"/>
        </w:rPr>
        <w:t> </w:t>
      </w:r>
      <w:r>
        <w:rPr>
          <w:b/>
          <w:i/>
          <w:color w:val="137692"/>
          <w:w w:val="105"/>
          <w:sz w:val="24"/>
        </w:rPr>
        <w:t>dose</w:t>
      </w:r>
      <w:r>
        <w:rPr>
          <w:b/>
          <w:i/>
          <w:color w:val="137692"/>
          <w:spacing w:val="-20"/>
          <w:w w:val="105"/>
          <w:sz w:val="24"/>
        </w:rPr>
        <w:t> </w:t>
      </w:r>
      <w:r>
        <w:rPr>
          <w:b/>
          <w:i/>
          <w:color w:val="137692"/>
          <w:w w:val="105"/>
          <w:sz w:val="24"/>
        </w:rPr>
        <w:t>for</w:t>
      </w:r>
      <w:r>
        <w:rPr>
          <w:b/>
          <w:i/>
          <w:color w:val="137692"/>
          <w:spacing w:val="-20"/>
          <w:w w:val="105"/>
          <w:sz w:val="24"/>
        </w:rPr>
        <w:t> </w:t>
      </w:r>
      <w:r>
        <w:rPr>
          <w:b/>
          <w:i/>
          <w:color w:val="137692"/>
          <w:w w:val="105"/>
          <w:sz w:val="24"/>
        </w:rPr>
        <w:t>patients</w:t>
      </w:r>
      <w:r>
        <w:rPr>
          <w:b/>
          <w:i/>
          <w:color w:val="137692"/>
          <w:spacing w:val="-20"/>
          <w:w w:val="105"/>
          <w:sz w:val="24"/>
        </w:rPr>
        <w:t> </w:t>
      </w:r>
      <w:r>
        <w:rPr>
          <w:b/>
          <w:i/>
          <w:color w:val="137692"/>
          <w:w w:val="105"/>
          <w:sz w:val="24"/>
        </w:rPr>
        <w:t>with</w:t>
      </w:r>
      <w:r>
        <w:rPr>
          <w:b/>
          <w:i/>
          <w:color w:val="137692"/>
          <w:spacing w:val="-20"/>
          <w:w w:val="105"/>
          <w:sz w:val="24"/>
        </w:rPr>
        <w:t> </w:t>
      </w:r>
      <w:r>
        <w:rPr>
          <w:b/>
          <w:i/>
          <w:color w:val="137692"/>
          <w:w w:val="105"/>
          <w:sz w:val="24"/>
        </w:rPr>
        <w:t>opioid</w:t>
      </w:r>
      <w:r>
        <w:rPr>
          <w:b/>
          <w:i/>
          <w:color w:val="137692"/>
          <w:spacing w:val="-21"/>
          <w:w w:val="105"/>
          <w:sz w:val="24"/>
        </w:rPr>
        <w:t> </w:t>
      </w:r>
      <w:r>
        <w:rPr>
          <w:b/>
          <w:i/>
          <w:color w:val="137692"/>
          <w:w w:val="105"/>
          <w:sz w:val="24"/>
        </w:rPr>
        <w:t>tolerance </w:t>
      </w:r>
      <w:r>
        <w:rPr>
          <w:rFonts w:ascii="Calibri" w:hAnsi="Calibri"/>
          <w:b/>
          <w:color w:val="4D4D4F"/>
          <w:w w:val="110"/>
          <w:sz w:val="22"/>
        </w:rPr>
        <w:t>The ﬁrst dose for patients tolerant to opioids  is</w:t>
      </w:r>
      <w:r>
        <w:rPr>
          <w:rFonts w:ascii="Calibri" w:hAnsi="Calibri"/>
          <w:b/>
          <w:color w:val="4D4D4F"/>
          <w:spacing w:val="17"/>
          <w:w w:val="110"/>
          <w:sz w:val="22"/>
        </w:rPr>
        <w:t> </w:t>
      </w:r>
      <w:r>
        <w:rPr>
          <w:rFonts w:ascii="Calibri" w:hAnsi="Calibri"/>
          <w:b/>
          <w:color w:val="4D4D4F"/>
          <w:w w:val="110"/>
          <w:sz w:val="22"/>
        </w:rPr>
        <w:t>generally</w:t>
      </w:r>
      <w:r>
        <w:rPr>
          <w:rFonts w:ascii="Calibri" w:hAnsi="Calibri"/>
          <w:b/>
          <w:color w:val="4D4D4F"/>
          <w:spacing w:val="18"/>
          <w:w w:val="110"/>
          <w:sz w:val="22"/>
        </w:rPr>
        <w:t> </w:t>
      </w:r>
      <w:r>
        <w:rPr>
          <w:rFonts w:ascii="Calibri" w:hAnsi="Calibri"/>
          <w:b/>
          <w:color w:val="4D4D4F"/>
          <w:w w:val="110"/>
          <w:sz w:val="22"/>
        </w:rPr>
        <w:t>between</w:t>
      </w:r>
      <w:r>
        <w:rPr>
          <w:rFonts w:ascii="Calibri" w:hAnsi="Calibri"/>
          <w:b/>
          <w:color w:val="4D4D4F"/>
          <w:spacing w:val="18"/>
          <w:w w:val="110"/>
          <w:sz w:val="22"/>
        </w:rPr>
        <w:t> </w:t>
      </w:r>
      <w:r>
        <w:rPr>
          <w:rFonts w:ascii="Calibri" w:hAnsi="Calibri"/>
          <w:b/>
          <w:color w:val="4D4D4F"/>
          <w:w w:val="110"/>
          <w:sz w:val="22"/>
        </w:rPr>
        <w:t>10</w:t>
      </w:r>
      <w:r>
        <w:rPr>
          <w:rFonts w:ascii="Calibri" w:hAnsi="Calibri"/>
          <w:b/>
          <w:color w:val="4D4D4F"/>
          <w:spacing w:val="18"/>
          <w:w w:val="110"/>
          <w:sz w:val="22"/>
        </w:rPr>
        <w:t> </w:t>
      </w:r>
      <w:r>
        <w:rPr>
          <w:rFonts w:ascii="Calibri" w:hAnsi="Calibri"/>
          <w:b/>
          <w:color w:val="4D4D4F"/>
          <w:w w:val="110"/>
          <w:sz w:val="22"/>
        </w:rPr>
        <w:t>mg</w:t>
      </w:r>
      <w:r>
        <w:rPr>
          <w:rFonts w:ascii="Calibri" w:hAnsi="Calibri"/>
          <w:b/>
          <w:color w:val="4D4D4F"/>
          <w:spacing w:val="18"/>
          <w:w w:val="110"/>
          <w:sz w:val="22"/>
        </w:rPr>
        <w:t> </w:t>
      </w:r>
      <w:r>
        <w:rPr>
          <w:rFonts w:ascii="Calibri" w:hAnsi="Calibri"/>
          <w:b/>
          <w:color w:val="4D4D4F"/>
          <w:w w:val="110"/>
          <w:sz w:val="22"/>
        </w:rPr>
        <w:t>and</w:t>
      </w:r>
      <w:r>
        <w:rPr>
          <w:rFonts w:ascii="Calibri" w:hAnsi="Calibri"/>
          <w:b/>
          <w:color w:val="4D4D4F"/>
          <w:spacing w:val="17"/>
          <w:w w:val="110"/>
          <w:sz w:val="22"/>
        </w:rPr>
        <w:t> </w:t>
      </w:r>
      <w:r>
        <w:rPr>
          <w:rFonts w:ascii="Calibri" w:hAnsi="Calibri"/>
          <w:b/>
          <w:color w:val="4D4D4F"/>
          <w:w w:val="110"/>
          <w:sz w:val="22"/>
        </w:rPr>
        <w:t>30</w:t>
      </w:r>
      <w:r>
        <w:rPr>
          <w:rFonts w:ascii="Calibri" w:hAnsi="Calibri"/>
          <w:b/>
          <w:color w:val="4D4D4F"/>
          <w:spacing w:val="18"/>
          <w:w w:val="110"/>
          <w:sz w:val="22"/>
        </w:rPr>
        <w:t> </w:t>
      </w:r>
      <w:r>
        <w:rPr>
          <w:rFonts w:ascii="Calibri" w:hAnsi="Calibri"/>
          <w:b/>
          <w:color w:val="4D4D4F"/>
          <w:w w:val="110"/>
          <w:sz w:val="22"/>
        </w:rPr>
        <w:t>mg</w:t>
      </w:r>
    </w:p>
    <w:p>
      <w:pPr>
        <w:pStyle w:val="BodyText"/>
        <w:spacing w:line="236" w:lineRule="exact"/>
        <w:ind w:left="140"/>
      </w:pPr>
      <w:r>
        <w:rPr>
          <w:color w:val="4D4D4F"/>
          <w:w w:val="110"/>
        </w:rPr>
        <w:t>(30 mg is the maximum ﬁrst dose per federal</w:t>
      </w:r>
    </w:p>
    <w:p>
      <w:pPr>
        <w:pStyle w:val="BodyText"/>
        <w:spacing w:line="247" w:lineRule="auto" w:before="9"/>
        <w:ind w:left="140" w:right="46"/>
      </w:pPr>
      <w:r>
        <w:rPr>
          <w:color w:val="4D4D4F"/>
          <w:w w:val="110"/>
        </w:rPr>
        <w:t>OTP regulations). After the ﬁrst dose, patients should remain for observation for 2 to 4 hours if possible to see whether the dose is sedating or relieves withdrawal signs.</w:t>
      </w:r>
    </w:p>
    <w:p>
      <w:pPr>
        <w:pStyle w:val="ListParagraph"/>
        <w:numPr>
          <w:ilvl w:val="0"/>
          <w:numId w:val="4"/>
        </w:numPr>
        <w:tabs>
          <w:tab w:pos="410" w:val="left" w:leader="none"/>
        </w:tabs>
        <w:spacing w:line="225" w:lineRule="auto" w:before="105" w:after="0"/>
        <w:ind w:left="409" w:right="405" w:hanging="270"/>
        <w:jc w:val="left"/>
        <w:rPr>
          <w:rFonts w:ascii="Arial" w:hAnsi="Arial"/>
          <w:color w:val="137692"/>
          <w:sz w:val="28"/>
        </w:rPr>
      </w:pPr>
      <w:r>
        <w:rPr>
          <w:color w:val="4D4D4F"/>
          <w:w w:val="115"/>
          <w:sz w:val="22"/>
        </w:rPr>
        <w:br w:type="column"/>
      </w:r>
      <w:r>
        <w:rPr>
          <w:color w:val="4D4D4F"/>
          <w:w w:val="110"/>
          <w:sz w:val="22"/>
        </w:rPr>
        <w:t>If withdrawal symptoms lessen, the patient should return the next day to be reassessed and to continue the dose induction</w:t>
      </w:r>
      <w:r>
        <w:rPr>
          <w:color w:val="4D4D4F"/>
          <w:spacing w:val="22"/>
          <w:w w:val="110"/>
          <w:sz w:val="22"/>
        </w:rPr>
        <w:t> </w:t>
      </w:r>
      <w:r>
        <w:rPr>
          <w:color w:val="4D4D4F"/>
          <w:spacing w:val="-3"/>
          <w:w w:val="110"/>
          <w:sz w:val="22"/>
        </w:rPr>
        <w:t>process.</w:t>
      </w:r>
    </w:p>
    <w:p>
      <w:pPr>
        <w:pStyle w:val="ListParagraph"/>
        <w:numPr>
          <w:ilvl w:val="0"/>
          <w:numId w:val="4"/>
        </w:numPr>
        <w:tabs>
          <w:tab w:pos="410" w:val="left" w:leader="none"/>
        </w:tabs>
        <w:spacing w:line="264" w:lineRule="exact" w:before="51" w:after="0"/>
        <w:ind w:left="409" w:right="157" w:hanging="270"/>
        <w:jc w:val="left"/>
        <w:rPr>
          <w:rFonts w:ascii="Arial" w:hAnsi="Arial"/>
          <w:color w:val="137692"/>
          <w:sz w:val="28"/>
        </w:rPr>
      </w:pPr>
      <w:r>
        <w:rPr>
          <w:color w:val="4D4D4F"/>
          <w:w w:val="115"/>
          <w:sz w:val="22"/>
        </w:rPr>
        <w:t>If</w:t>
      </w:r>
      <w:r>
        <w:rPr>
          <w:color w:val="4D4D4F"/>
          <w:spacing w:val="-38"/>
          <w:w w:val="115"/>
          <w:sz w:val="22"/>
        </w:rPr>
        <w:t> </w:t>
      </w:r>
      <w:r>
        <w:rPr>
          <w:color w:val="4D4D4F"/>
          <w:w w:val="115"/>
          <w:sz w:val="22"/>
        </w:rPr>
        <w:t>sedation</w:t>
      </w:r>
      <w:r>
        <w:rPr>
          <w:color w:val="4D4D4F"/>
          <w:spacing w:val="-38"/>
          <w:w w:val="115"/>
          <w:sz w:val="22"/>
        </w:rPr>
        <w:t> </w:t>
      </w:r>
      <w:r>
        <w:rPr>
          <w:color w:val="4D4D4F"/>
          <w:w w:val="115"/>
          <w:sz w:val="22"/>
        </w:rPr>
        <w:t>or</w:t>
      </w:r>
      <w:r>
        <w:rPr>
          <w:color w:val="4D4D4F"/>
          <w:spacing w:val="-38"/>
          <w:w w:val="115"/>
          <w:sz w:val="22"/>
        </w:rPr>
        <w:t> </w:t>
      </w:r>
      <w:r>
        <w:rPr>
          <w:color w:val="4D4D4F"/>
          <w:w w:val="115"/>
          <w:sz w:val="22"/>
        </w:rPr>
        <w:t>intoxication</w:t>
      </w:r>
      <w:r>
        <w:rPr>
          <w:color w:val="4D4D4F"/>
          <w:spacing w:val="-38"/>
          <w:w w:val="115"/>
          <w:sz w:val="22"/>
        </w:rPr>
        <w:t> </w:t>
      </w:r>
      <w:r>
        <w:rPr>
          <w:color w:val="4D4D4F"/>
          <w:w w:val="115"/>
          <w:sz w:val="22"/>
        </w:rPr>
        <w:t>occurs</w:t>
      </w:r>
      <w:r>
        <w:rPr>
          <w:color w:val="4D4D4F"/>
          <w:spacing w:val="-38"/>
          <w:w w:val="115"/>
          <w:sz w:val="22"/>
        </w:rPr>
        <w:t> </w:t>
      </w:r>
      <w:r>
        <w:rPr>
          <w:color w:val="4D4D4F"/>
          <w:w w:val="115"/>
          <w:sz w:val="22"/>
        </w:rPr>
        <w:t>after</w:t>
      </w:r>
      <w:r>
        <w:rPr>
          <w:color w:val="4D4D4F"/>
          <w:spacing w:val="-38"/>
          <w:w w:val="115"/>
          <w:sz w:val="22"/>
        </w:rPr>
        <w:t> </w:t>
      </w:r>
      <w:r>
        <w:rPr>
          <w:color w:val="4D4D4F"/>
          <w:w w:val="115"/>
          <w:sz w:val="22"/>
        </w:rPr>
        <w:t>the</w:t>
      </w:r>
      <w:r>
        <w:rPr>
          <w:color w:val="4D4D4F"/>
          <w:spacing w:val="-38"/>
          <w:w w:val="115"/>
          <w:sz w:val="22"/>
        </w:rPr>
        <w:t> </w:t>
      </w:r>
      <w:r>
        <w:rPr>
          <w:color w:val="4D4D4F"/>
          <w:w w:val="115"/>
          <w:sz w:val="22"/>
        </w:rPr>
        <w:t>ﬁrst dose, the patient should stay under observa- tion at the clinic until symptoms resolve. In this</w:t>
      </w:r>
      <w:r>
        <w:rPr>
          <w:color w:val="4D4D4F"/>
          <w:spacing w:val="-20"/>
          <w:w w:val="115"/>
          <w:sz w:val="22"/>
        </w:rPr>
        <w:t> </w:t>
      </w:r>
      <w:r>
        <w:rPr>
          <w:color w:val="4D4D4F"/>
          <w:w w:val="115"/>
          <w:sz w:val="22"/>
        </w:rPr>
        <w:t>case,</w:t>
      </w:r>
      <w:r>
        <w:rPr>
          <w:color w:val="4D4D4F"/>
          <w:spacing w:val="-20"/>
          <w:w w:val="115"/>
          <w:sz w:val="22"/>
        </w:rPr>
        <w:t> </w:t>
      </w:r>
      <w:r>
        <w:rPr>
          <w:color w:val="4D4D4F"/>
          <w:w w:val="115"/>
          <w:sz w:val="22"/>
        </w:rPr>
        <w:t>the</w:t>
      </w:r>
      <w:r>
        <w:rPr>
          <w:color w:val="4D4D4F"/>
          <w:spacing w:val="-20"/>
          <w:w w:val="115"/>
          <w:sz w:val="22"/>
        </w:rPr>
        <w:t> </w:t>
      </w:r>
      <w:r>
        <w:rPr>
          <w:color w:val="4D4D4F"/>
          <w:w w:val="115"/>
          <w:sz w:val="22"/>
        </w:rPr>
        <w:t>patient</w:t>
      </w:r>
      <w:r>
        <w:rPr>
          <w:color w:val="4D4D4F"/>
          <w:spacing w:val="-20"/>
          <w:w w:val="115"/>
          <w:sz w:val="22"/>
        </w:rPr>
        <w:t> </w:t>
      </w:r>
      <w:r>
        <w:rPr>
          <w:color w:val="4D4D4F"/>
          <w:w w:val="115"/>
          <w:sz w:val="22"/>
        </w:rPr>
        <w:t>should</w:t>
      </w:r>
      <w:r>
        <w:rPr>
          <w:color w:val="4D4D4F"/>
          <w:spacing w:val="-19"/>
          <w:w w:val="115"/>
          <w:sz w:val="22"/>
        </w:rPr>
        <w:t> </w:t>
      </w:r>
      <w:r>
        <w:rPr>
          <w:color w:val="4D4D4F"/>
          <w:w w:val="115"/>
          <w:sz w:val="22"/>
        </w:rPr>
        <w:t>be</w:t>
      </w:r>
      <w:r>
        <w:rPr>
          <w:color w:val="4D4D4F"/>
          <w:spacing w:val="-20"/>
          <w:w w:val="115"/>
          <w:sz w:val="22"/>
        </w:rPr>
        <w:t> </w:t>
      </w:r>
      <w:r>
        <w:rPr>
          <w:color w:val="4D4D4F"/>
          <w:w w:val="115"/>
          <w:sz w:val="22"/>
        </w:rPr>
        <w:t>reassessed</w:t>
      </w:r>
      <w:r>
        <w:rPr>
          <w:color w:val="4D4D4F"/>
          <w:spacing w:val="-20"/>
          <w:w w:val="115"/>
          <w:sz w:val="22"/>
        </w:rPr>
        <w:t> </w:t>
      </w:r>
      <w:r>
        <w:rPr>
          <w:color w:val="4D4D4F"/>
          <w:spacing w:val="-5"/>
          <w:w w:val="115"/>
          <w:sz w:val="22"/>
        </w:rPr>
        <w:t>the </w:t>
      </w:r>
      <w:r>
        <w:rPr>
          <w:color w:val="4D4D4F"/>
          <w:w w:val="115"/>
          <w:sz w:val="22"/>
        </w:rPr>
        <w:t>following </w:t>
      </w:r>
      <w:r>
        <w:rPr>
          <w:color w:val="4D4D4F"/>
          <w:spacing w:val="-5"/>
          <w:w w:val="115"/>
          <w:sz w:val="22"/>
        </w:rPr>
        <w:t>day, </w:t>
      </w:r>
      <w:r>
        <w:rPr>
          <w:color w:val="4D4D4F"/>
          <w:w w:val="115"/>
          <w:sz w:val="22"/>
        </w:rPr>
        <w:t>and the subsequent </w:t>
      </w:r>
      <w:r>
        <w:rPr>
          <w:color w:val="4D4D4F"/>
          <w:spacing w:val="-4"/>
          <w:w w:val="115"/>
          <w:sz w:val="22"/>
        </w:rPr>
        <w:t>day’s </w:t>
      </w:r>
      <w:r>
        <w:rPr>
          <w:color w:val="4D4D4F"/>
          <w:w w:val="115"/>
          <w:sz w:val="22"/>
        </w:rPr>
        <w:t>dose should be substantially reduced. Extremely </w:t>
      </w:r>
      <w:r>
        <w:rPr>
          <w:color w:val="4D4D4F"/>
          <w:spacing w:val="-3"/>
          <w:w w:val="115"/>
          <w:sz w:val="22"/>
        </w:rPr>
        <w:t>rarely,</w:t>
      </w:r>
      <w:r>
        <w:rPr>
          <w:color w:val="4D4D4F"/>
          <w:spacing w:val="-22"/>
          <w:w w:val="115"/>
          <w:sz w:val="22"/>
        </w:rPr>
        <w:t> </w:t>
      </w:r>
      <w:r>
        <w:rPr>
          <w:color w:val="4D4D4F"/>
          <w:w w:val="115"/>
          <w:sz w:val="22"/>
        </w:rPr>
        <w:t>the</w:t>
      </w:r>
      <w:r>
        <w:rPr>
          <w:color w:val="4D4D4F"/>
          <w:spacing w:val="-21"/>
          <w:w w:val="115"/>
          <w:sz w:val="22"/>
        </w:rPr>
        <w:t> </w:t>
      </w:r>
      <w:r>
        <w:rPr>
          <w:color w:val="4D4D4F"/>
          <w:w w:val="115"/>
          <w:sz w:val="22"/>
        </w:rPr>
        <w:t>patient</w:t>
      </w:r>
      <w:r>
        <w:rPr>
          <w:color w:val="4D4D4F"/>
          <w:spacing w:val="-21"/>
          <w:w w:val="115"/>
          <w:sz w:val="22"/>
        </w:rPr>
        <w:t> </w:t>
      </w:r>
      <w:r>
        <w:rPr>
          <w:color w:val="4D4D4F"/>
          <w:w w:val="115"/>
          <w:sz w:val="22"/>
        </w:rPr>
        <w:t>will</w:t>
      </w:r>
      <w:r>
        <w:rPr>
          <w:color w:val="4D4D4F"/>
          <w:spacing w:val="-21"/>
          <w:w w:val="115"/>
          <w:sz w:val="22"/>
        </w:rPr>
        <w:t> </w:t>
      </w:r>
      <w:r>
        <w:rPr>
          <w:color w:val="4D4D4F"/>
          <w:w w:val="115"/>
          <w:sz w:val="22"/>
        </w:rPr>
        <w:t>need</w:t>
      </w:r>
      <w:r>
        <w:rPr>
          <w:color w:val="4D4D4F"/>
          <w:spacing w:val="-22"/>
          <w:w w:val="115"/>
          <w:sz w:val="22"/>
        </w:rPr>
        <w:t> </w:t>
      </w:r>
      <w:r>
        <w:rPr>
          <w:color w:val="4D4D4F"/>
          <w:w w:val="115"/>
          <w:sz w:val="22"/>
        </w:rPr>
        <w:t>to</w:t>
      </w:r>
      <w:r>
        <w:rPr>
          <w:color w:val="4D4D4F"/>
          <w:spacing w:val="-21"/>
          <w:w w:val="115"/>
          <w:sz w:val="22"/>
        </w:rPr>
        <w:t> </w:t>
      </w:r>
      <w:r>
        <w:rPr>
          <w:color w:val="4D4D4F"/>
          <w:w w:val="115"/>
          <w:sz w:val="22"/>
        </w:rPr>
        <w:t>be</w:t>
      </w:r>
      <w:r>
        <w:rPr>
          <w:color w:val="4D4D4F"/>
          <w:spacing w:val="-21"/>
          <w:w w:val="115"/>
          <w:sz w:val="22"/>
        </w:rPr>
        <w:t> </w:t>
      </w:r>
      <w:r>
        <w:rPr>
          <w:color w:val="4D4D4F"/>
          <w:w w:val="115"/>
          <w:sz w:val="22"/>
        </w:rPr>
        <w:t>treated</w:t>
      </w:r>
      <w:r>
        <w:rPr>
          <w:color w:val="4D4D4F"/>
          <w:spacing w:val="-21"/>
          <w:w w:val="115"/>
          <w:sz w:val="22"/>
        </w:rPr>
        <w:t> </w:t>
      </w:r>
      <w:r>
        <w:rPr>
          <w:color w:val="4D4D4F"/>
          <w:w w:val="115"/>
          <w:sz w:val="22"/>
        </w:rPr>
        <w:t>for overdose with naloxone. If necessary, begin rescue breathing and call</w:t>
      </w:r>
      <w:r>
        <w:rPr>
          <w:color w:val="4D4D4F"/>
          <w:spacing w:val="-46"/>
          <w:w w:val="115"/>
          <w:sz w:val="22"/>
        </w:rPr>
        <w:t> </w:t>
      </w:r>
      <w:r>
        <w:rPr>
          <w:color w:val="4D4D4F"/>
          <w:w w:val="115"/>
          <w:sz w:val="22"/>
        </w:rPr>
        <w:t>9-1-1.</w:t>
      </w:r>
    </w:p>
    <w:p>
      <w:pPr>
        <w:pStyle w:val="ListParagraph"/>
        <w:numPr>
          <w:ilvl w:val="0"/>
          <w:numId w:val="4"/>
        </w:numPr>
        <w:tabs>
          <w:tab w:pos="410" w:val="left" w:leader="none"/>
        </w:tabs>
        <w:spacing w:line="264" w:lineRule="exact" w:before="43" w:after="0"/>
        <w:ind w:left="409" w:right="215" w:hanging="270"/>
        <w:jc w:val="left"/>
        <w:rPr>
          <w:rFonts w:ascii="Arial" w:hAnsi="Arial"/>
          <w:color w:val="137692"/>
          <w:sz w:val="28"/>
        </w:rPr>
      </w:pPr>
      <w:r>
        <w:rPr>
          <w:color w:val="4D4D4F"/>
          <w:w w:val="110"/>
          <w:sz w:val="22"/>
        </w:rPr>
        <w:t>If the patient shows neither sedation nor reduction of objective signs of opioid with- drawal during the 2- to 4-hour waiting </w:t>
      </w:r>
      <w:r>
        <w:rPr>
          <w:color w:val="4D4D4F"/>
          <w:spacing w:val="-3"/>
          <w:w w:val="110"/>
          <w:sz w:val="22"/>
        </w:rPr>
        <w:t>period, </w:t>
      </w:r>
      <w:r>
        <w:rPr>
          <w:color w:val="4D4D4F"/>
          <w:w w:val="110"/>
          <w:sz w:val="22"/>
        </w:rPr>
        <w:t>administer another 5 mg dose. A ﬁnal 5 mg dose after another waiting period of 2 to 4 hours can be administered if necessary. The maximum total methadone dose on the ﬁrst day of treatment should not exceed 40 mg.</w:t>
      </w:r>
      <w:r>
        <w:rPr>
          <w:color w:val="4D4D4F"/>
          <w:w w:val="110"/>
          <w:position w:val="7"/>
          <w:sz w:val="13"/>
        </w:rPr>
        <w:t>127</w:t>
      </w:r>
      <w:r>
        <w:rPr>
          <w:color w:val="4D4D4F"/>
          <w:w w:val="110"/>
          <w:sz w:val="13"/>
        </w:rPr>
        <w:t> </w:t>
      </w:r>
      <w:r>
        <w:rPr>
          <w:color w:val="4D4D4F"/>
          <w:spacing w:val="-3"/>
          <w:w w:val="110"/>
          <w:sz w:val="22"/>
        </w:rPr>
        <w:t>However,  </w:t>
      </w:r>
      <w:r>
        <w:rPr>
          <w:color w:val="4D4D4F"/>
          <w:w w:val="110"/>
          <w:sz w:val="22"/>
        </w:rPr>
        <w:t>caution dictates against exceeding a total ﬁrst </w:t>
      </w:r>
      <w:r>
        <w:rPr>
          <w:color w:val="4D4D4F"/>
          <w:spacing w:val="-4"/>
          <w:w w:val="110"/>
          <w:sz w:val="22"/>
        </w:rPr>
        <w:t>day’s </w:t>
      </w:r>
      <w:r>
        <w:rPr>
          <w:color w:val="4D4D4F"/>
          <w:w w:val="110"/>
          <w:sz w:val="22"/>
        </w:rPr>
        <w:t>dose of 30 mg except in rare cases. In such cases, the patient should be carefully monitored on subsequent days to rule out</w:t>
      </w:r>
      <w:r>
        <w:rPr>
          <w:color w:val="4D4D4F"/>
          <w:spacing w:val="-13"/>
          <w:w w:val="110"/>
          <w:sz w:val="22"/>
        </w:rPr>
        <w:t> </w:t>
      </w:r>
      <w:r>
        <w:rPr>
          <w:color w:val="4D4D4F"/>
          <w:w w:val="110"/>
          <w:sz w:val="22"/>
        </w:rPr>
        <w:t>oversedation.</w:t>
      </w:r>
    </w:p>
    <w:p>
      <w:pPr>
        <w:pStyle w:val="ListParagraph"/>
        <w:numPr>
          <w:ilvl w:val="0"/>
          <w:numId w:val="4"/>
        </w:numPr>
        <w:tabs>
          <w:tab w:pos="410" w:val="left" w:leader="none"/>
        </w:tabs>
        <w:spacing w:line="264" w:lineRule="exact" w:before="43" w:after="0"/>
        <w:ind w:left="409" w:right="226" w:hanging="270"/>
        <w:jc w:val="left"/>
        <w:rPr>
          <w:rFonts w:ascii="Arial" w:hAnsi="Arial"/>
          <w:color w:val="137692"/>
          <w:sz w:val="28"/>
        </w:rPr>
      </w:pPr>
      <w:r>
        <w:rPr>
          <w:color w:val="4D4D4F"/>
          <w:w w:val="110"/>
          <w:sz w:val="22"/>
        </w:rPr>
        <w:t>Patients transferring from another OTP whose methadone dose and last date of medication administration can be conﬁrmed by the medical staff and documented in the medical record can be continued on the </w:t>
      </w:r>
      <w:r>
        <w:rPr>
          <w:color w:val="4D4D4F"/>
          <w:spacing w:val="-4"/>
          <w:w w:val="110"/>
          <w:sz w:val="22"/>
        </w:rPr>
        <w:t>same </w:t>
      </w:r>
      <w:r>
        <w:rPr>
          <w:color w:val="4D4D4F"/>
          <w:w w:val="110"/>
          <w:sz w:val="22"/>
        </w:rPr>
        <w:t>methadone dose administered in the original </w:t>
      </w:r>
      <w:r>
        <w:rPr>
          <w:color w:val="4D4D4F"/>
          <w:spacing w:val="-10"/>
          <w:w w:val="110"/>
          <w:sz w:val="22"/>
        </w:rPr>
        <w:t>OTP, </w:t>
      </w:r>
      <w:r>
        <w:rPr>
          <w:color w:val="4D4D4F"/>
          <w:w w:val="110"/>
          <w:sz w:val="22"/>
        </w:rPr>
        <w:t>even if the dose exceeds the maximum permitted 40</w:t>
      </w:r>
      <w:r>
        <w:rPr>
          <w:color w:val="4D4D4F"/>
          <w:spacing w:val="-10"/>
          <w:w w:val="110"/>
          <w:sz w:val="22"/>
        </w:rPr>
        <w:t> </w:t>
      </w:r>
      <w:r>
        <w:rPr>
          <w:color w:val="4D4D4F"/>
          <w:w w:val="110"/>
          <w:sz w:val="22"/>
        </w:rPr>
        <w:t>mg.</w:t>
      </w:r>
    </w:p>
    <w:p>
      <w:pPr>
        <w:spacing w:line="237" w:lineRule="auto" w:before="184"/>
        <w:ind w:left="140" w:right="0" w:firstLine="0"/>
        <w:jc w:val="left"/>
        <w:rPr>
          <w:sz w:val="22"/>
        </w:rPr>
      </w:pPr>
      <w:r>
        <w:rPr>
          <w:rFonts w:ascii="Calibri"/>
          <w:b/>
          <w:color w:val="4D4D4F"/>
          <w:w w:val="115"/>
          <w:sz w:val="22"/>
        </w:rPr>
        <w:t>For some patients, the lower range of initial doses is best. </w:t>
      </w:r>
      <w:r>
        <w:rPr>
          <w:color w:val="4D4D4F"/>
          <w:w w:val="115"/>
          <w:sz w:val="22"/>
        </w:rPr>
        <w:t>Dose with 10 mg to 20 mg in patients who:</w:t>
      </w:r>
    </w:p>
    <w:p>
      <w:pPr>
        <w:pStyle w:val="ListParagraph"/>
        <w:numPr>
          <w:ilvl w:val="0"/>
          <w:numId w:val="4"/>
        </w:numPr>
        <w:tabs>
          <w:tab w:pos="410" w:val="left" w:leader="none"/>
        </w:tabs>
        <w:spacing w:line="315" w:lineRule="exact" w:before="108" w:after="0"/>
        <w:ind w:left="409" w:right="0" w:hanging="270"/>
        <w:jc w:val="left"/>
        <w:rPr>
          <w:rFonts w:ascii="Arial" w:hAnsi="Arial"/>
          <w:color w:val="137692"/>
          <w:sz w:val="28"/>
        </w:rPr>
      </w:pPr>
      <w:r>
        <w:rPr>
          <w:color w:val="4D4D4F"/>
          <w:w w:val="115"/>
          <w:sz w:val="22"/>
        </w:rPr>
        <w:t>Are ages 60 and</w:t>
      </w:r>
      <w:r>
        <w:rPr>
          <w:color w:val="4D4D4F"/>
          <w:spacing w:val="-40"/>
          <w:w w:val="115"/>
          <w:sz w:val="22"/>
        </w:rPr>
        <w:t> </w:t>
      </w:r>
      <w:r>
        <w:rPr>
          <w:color w:val="4D4D4F"/>
          <w:spacing w:val="-4"/>
          <w:w w:val="115"/>
          <w:sz w:val="22"/>
        </w:rPr>
        <w:t>older.</w:t>
      </w:r>
    </w:p>
    <w:p>
      <w:pPr>
        <w:pStyle w:val="ListParagraph"/>
        <w:numPr>
          <w:ilvl w:val="0"/>
          <w:numId w:val="4"/>
        </w:numPr>
        <w:tabs>
          <w:tab w:pos="410" w:val="left" w:leader="none"/>
        </w:tabs>
        <w:spacing w:line="208" w:lineRule="auto" w:before="21" w:after="0"/>
        <w:ind w:left="409" w:right="638" w:hanging="270"/>
        <w:jc w:val="left"/>
        <w:rPr>
          <w:rFonts w:ascii="Arial" w:hAnsi="Arial"/>
          <w:color w:val="137692"/>
          <w:sz w:val="28"/>
        </w:rPr>
      </w:pPr>
      <w:r>
        <w:rPr>
          <w:color w:val="4D4D4F"/>
          <w:w w:val="110"/>
          <w:sz w:val="22"/>
        </w:rPr>
        <w:t>May have lower levels of opioid tolerance based on their recent</w:t>
      </w:r>
      <w:r>
        <w:rPr>
          <w:color w:val="4D4D4F"/>
          <w:spacing w:val="-24"/>
          <w:w w:val="110"/>
          <w:sz w:val="22"/>
        </w:rPr>
        <w:t> </w:t>
      </w:r>
      <w:r>
        <w:rPr>
          <w:color w:val="4D4D4F"/>
          <w:spacing w:val="-3"/>
          <w:w w:val="110"/>
          <w:sz w:val="22"/>
        </w:rPr>
        <w:t>history.</w:t>
      </w:r>
    </w:p>
    <w:p>
      <w:pPr>
        <w:pStyle w:val="ListParagraph"/>
        <w:numPr>
          <w:ilvl w:val="0"/>
          <w:numId w:val="4"/>
        </w:numPr>
        <w:tabs>
          <w:tab w:pos="410" w:val="left" w:leader="none"/>
        </w:tabs>
        <w:spacing w:line="208" w:lineRule="auto" w:before="69" w:after="0"/>
        <w:ind w:left="409" w:right="232" w:hanging="270"/>
        <w:jc w:val="left"/>
        <w:rPr>
          <w:rFonts w:ascii="Arial" w:hAnsi="Arial"/>
          <w:color w:val="137692"/>
          <w:sz w:val="28"/>
        </w:rPr>
      </w:pPr>
      <w:r>
        <w:rPr>
          <w:color w:val="4D4D4F"/>
          <w:w w:val="115"/>
          <w:sz w:val="22"/>
        </w:rPr>
        <w:t>Use</w:t>
      </w:r>
      <w:r>
        <w:rPr>
          <w:color w:val="4D4D4F"/>
          <w:spacing w:val="-24"/>
          <w:w w:val="115"/>
          <w:sz w:val="22"/>
        </w:rPr>
        <w:t> </w:t>
      </w:r>
      <w:r>
        <w:rPr>
          <w:color w:val="4D4D4F"/>
          <w:w w:val="115"/>
          <w:sz w:val="22"/>
        </w:rPr>
        <w:t>sedating</w:t>
      </w:r>
      <w:r>
        <w:rPr>
          <w:color w:val="4D4D4F"/>
          <w:spacing w:val="-24"/>
          <w:w w:val="115"/>
          <w:sz w:val="22"/>
        </w:rPr>
        <w:t> </w:t>
      </w:r>
      <w:r>
        <w:rPr>
          <w:color w:val="4D4D4F"/>
          <w:w w:val="115"/>
          <w:sz w:val="22"/>
        </w:rPr>
        <w:t>medications,</w:t>
      </w:r>
      <w:r>
        <w:rPr>
          <w:color w:val="4D4D4F"/>
          <w:spacing w:val="-23"/>
          <w:w w:val="115"/>
          <w:sz w:val="22"/>
        </w:rPr>
        <w:t> </w:t>
      </w:r>
      <w:r>
        <w:rPr>
          <w:color w:val="4D4D4F"/>
          <w:w w:val="115"/>
          <w:sz w:val="22"/>
        </w:rPr>
        <w:t>such</w:t>
      </w:r>
      <w:r>
        <w:rPr>
          <w:color w:val="4D4D4F"/>
          <w:spacing w:val="-24"/>
          <w:w w:val="115"/>
          <w:sz w:val="22"/>
        </w:rPr>
        <w:t> </w:t>
      </w:r>
      <w:r>
        <w:rPr>
          <w:color w:val="4D4D4F"/>
          <w:w w:val="115"/>
          <w:sz w:val="22"/>
        </w:rPr>
        <w:t>as</w:t>
      </w:r>
      <w:r>
        <w:rPr>
          <w:color w:val="4D4D4F"/>
          <w:spacing w:val="-24"/>
          <w:w w:val="115"/>
          <w:sz w:val="22"/>
        </w:rPr>
        <w:t> </w:t>
      </w:r>
      <w:r>
        <w:rPr>
          <w:color w:val="4D4D4F"/>
          <w:w w:val="115"/>
          <w:sz w:val="22"/>
        </w:rPr>
        <w:t>benzodiaz- epines,</w:t>
      </w:r>
      <w:r>
        <w:rPr>
          <w:color w:val="4D4D4F"/>
          <w:spacing w:val="-20"/>
          <w:w w:val="115"/>
          <w:sz w:val="22"/>
        </w:rPr>
        <w:t> </w:t>
      </w:r>
      <w:r>
        <w:rPr>
          <w:color w:val="4D4D4F"/>
          <w:w w:val="115"/>
          <w:sz w:val="22"/>
        </w:rPr>
        <w:t>antipsychotics,</w:t>
      </w:r>
      <w:r>
        <w:rPr>
          <w:color w:val="4D4D4F"/>
          <w:spacing w:val="-20"/>
          <w:w w:val="115"/>
          <w:sz w:val="22"/>
        </w:rPr>
        <w:t> </w:t>
      </w:r>
      <w:r>
        <w:rPr>
          <w:color w:val="4D4D4F"/>
          <w:w w:val="115"/>
          <w:sz w:val="22"/>
        </w:rPr>
        <w:t>or</w:t>
      </w:r>
      <w:r>
        <w:rPr>
          <w:color w:val="4D4D4F"/>
          <w:spacing w:val="-20"/>
          <w:w w:val="115"/>
          <w:sz w:val="22"/>
        </w:rPr>
        <w:t> </w:t>
      </w:r>
      <w:r>
        <w:rPr>
          <w:color w:val="4D4D4F"/>
          <w:w w:val="115"/>
          <w:sz w:val="22"/>
        </w:rPr>
        <w:t>antidepressants.</w:t>
      </w:r>
    </w:p>
    <w:p>
      <w:pPr>
        <w:pStyle w:val="ListParagraph"/>
        <w:numPr>
          <w:ilvl w:val="0"/>
          <w:numId w:val="4"/>
        </w:numPr>
        <w:tabs>
          <w:tab w:pos="410" w:val="left" w:leader="none"/>
        </w:tabs>
        <w:spacing w:line="208" w:lineRule="auto" w:before="69" w:after="0"/>
        <w:ind w:left="409" w:right="423" w:hanging="270"/>
        <w:jc w:val="left"/>
        <w:rPr>
          <w:rFonts w:ascii="Arial" w:hAnsi="Arial"/>
          <w:color w:val="137692"/>
          <w:sz w:val="28"/>
        </w:rPr>
      </w:pPr>
      <w:r>
        <w:rPr>
          <w:color w:val="4D4D4F"/>
          <w:w w:val="110"/>
          <w:sz w:val="22"/>
        </w:rPr>
        <w:t>Engage in problem drinking or have </w:t>
      </w:r>
      <w:r>
        <w:rPr>
          <w:color w:val="4D4D4F"/>
          <w:spacing w:val="-3"/>
          <w:w w:val="110"/>
          <w:sz w:val="22"/>
        </w:rPr>
        <w:t>alcohol </w:t>
      </w:r>
      <w:r>
        <w:rPr>
          <w:color w:val="4D4D4F"/>
          <w:w w:val="110"/>
          <w:sz w:val="22"/>
        </w:rPr>
        <w:t>use</w:t>
      </w:r>
      <w:r>
        <w:rPr>
          <w:color w:val="4D4D4F"/>
          <w:spacing w:val="-6"/>
          <w:w w:val="110"/>
          <w:sz w:val="22"/>
        </w:rPr>
        <w:t> </w:t>
      </w:r>
      <w:r>
        <w:rPr>
          <w:color w:val="4D4D4F"/>
          <w:spacing w:val="-3"/>
          <w:w w:val="110"/>
          <w:sz w:val="22"/>
        </w:rPr>
        <w:t>disorder.</w:t>
      </w:r>
    </w:p>
    <w:p>
      <w:pPr>
        <w:pStyle w:val="ListParagraph"/>
        <w:numPr>
          <w:ilvl w:val="0"/>
          <w:numId w:val="4"/>
        </w:numPr>
        <w:tabs>
          <w:tab w:pos="410" w:val="left" w:leader="none"/>
        </w:tabs>
        <w:spacing w:line="264" w:lineRule="exact" w:before="52" w:after="0"/>
        <w:ind w:left="409" w:right="292" w:hanging="270"/>
        <w:jc w:val="left"/>
        <w:rPr>
          <w:rFonts w:ascii="Arial" w:hAnsi="Arial"/>
          <w:color w:val="137692"/>
          <w:sz w:val="28"/>
        </w:rPr>
      </w:pPr>
      <w:r>
        <w:rPr>
          <w:color w:val="4D4D4F"/>
          <w:spacing w:val="-7"/>
          <w:w w:val="110"/>
          <w:sz w:val="22"/>
        </w:rPr>
        <w:t>Take </w:t>
      </w:r>
      <w:r>
        <w:rPr>
          <w:color w:val="4D4D4F"/>
          <w:w w:val="110"/>
          <w:sz w:val="22"/>
        </w:rPr>
        <w:t>medications that can increase methadone serum levels or are stopping medications that decrease methadone </w:t>
      </w:r>
      <w:r>
        <w:rPr>
          <w:color w:val="4D4D4F"/>
          <w:spacing w:val="-4"/>
          <w:w w:val="110"/>
          <w:sz w:val="22"/>
        </w:rPr>
        <w:t>serum </w:t>
      </w:r>
      <w:r>
        <w:rPr>
          <w:color w:val="4D4D4F"/>
          <w:w w:val="110"/>
          <w:sz w:val="22"/>
        </w:rPr>
        <w:t>levels.</w:t>
      </w:r>
      <w:r>
        <w:rPr>
          <w:color w:val="4D4D4F"/>
          <w:w w:val="110"/>
          <w:position w:val="7"/>
          <w:sz w:val="13"/>
        </w:rPr>
        <w:t>128</w:t>
      </w:r>
    </w:p>
    <w:p>
      <w:pPr>
        <w:spacing w:after="0" w:line="264" w:lineRule="exact"/>
        <w:jc w:val="left"/>
        <w:rPr>
          <w:rFonts w:ascii="Arial" w:hAnsi="Arial"/>
          <w:sz w:val="28"/>
        </w:rPr>
        <w:sectPr>
          <w:type w:val="continuous"/>
          <w:pgSz w:w="12240" w:h="15840"/>
          <w:pgMar w:top="540" w:bottom="280" w:left="940" w:right="920"/>
          <w:cols w:num="2" w:equalWidth="0">
            <w:col w:w="5003" w:space="217"/>
            <w:col w:w="516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ListParagraph"/>
        <w:numPr>
          <w:ilvl w:val="0"/>
          <w:numId w:val="4"/>
        </w:numPr>
        <w:tabs>
          <w:tab w:pos="405" w:val="left" w:leader="none"/>
        </w:tabs>
        <w:spacing w:line="225" w:lineRule="auto" w:before="105" w:after="0"/>
        <w:ind w:left="405" w:right="116" w:hanging="270"/>
        <w:jc w:val="left"/>
        <w:rPr>
          <w:rFonts w:ascii="Arial" w:hAnsi="Arial"/>
          <w:color w:val="137692"/>
          <w:sz w:val="28"/>
        </w:rPr>
      </w:pPr>
      <w:r>
        <w:rPr>
          <w:color w:val="4D4D4F"/>
          <w:w w:val="110"/>
          <w:sz w:val="22"/>
        </w:rPr>
        <w:t>Have medical disorders that may cause hypoxia, hypercapnia, or cardiac </w:t>
      </w:r>
      <w:r>
        <w:rPr>
          <w:color w:val="4D4D4F"/>
          <w:spacing w:val="-2"/>
          <w:w w:val="110"/>
          <w:sz w:val="22"/>
        </w:rPr>
        <w:t>arrhythmias. </w:t>
      </w:r>
      <w:r>
        <w:rPr>
          <w:color w:val="4D4D4F"/>
          <w:w w:val="110"/>
          <w:sz w:val="22"/>
        </w:rPr>
        <w:t>These</w:t>
      </w:r>
      <w:r>
        <w:rPr>
          <w:color w:val="4D4D4F"/>
          <w:spacing w:val="-6"/>
          <w:w w:val="110"/>
          <w:sz w:val="22"/>
        </w:rPr>
        <w:t> </w:t>
      </w:r>
      <w:r>
        <w:rPr>
          <w:color w:val="4D4D4F"/>
          <w:w w:val="110"/>
          <w:sz w:val="22"/>
        </w:rPr>
        <w:t>include:</w:t>
      </w:r>
    </w:p>
    <w:p>
      <w:pPr>
        <w:pStyle w:val="ListParagraph"/>
        <w:numPr>
          <w:ilvl w:val="0"/>
          <w:numId w:val="18"/>
        </w:numPr>
        <w:tabs>
          <w:tab w:pos="711" w:val="left" w:leader="none"/>
        </w:tabs>
        <w:spacing w:line="247" w:lineRule="auto" w:before="37" w:after="0"/>
        <w:ind w:left="711" w:right="409" w:hanging="270"/>
        <w:jc w:val="left"/>
        <w:rPr>
          <w:sz w:val="22"/>
        </w:rPr>
      </w:pPr>
      <w:r>
        <w:rPr>
          <w:color w:val="4D4D4F"/>
          <w:w w:val="110"/>
          <w:sz w:val="22"/>
        </w:rPr>
        <w:t>Asthma, chronic obstructive</w:t>
      </w:r>
      <w:r>
        <w:rPr>
          <w:color w:val="4D4D4F"/>
          <w:spacing w:val="-43"/>
          <w:w w:val="110"/>
          <w:sz w:val="22"/>
        </w:rPr>
        <w:t> </w:t>
      </w:r>
      <w:r>
        <w:rPr>
          <w:color w:val="4D4D4F"/>
          <w:w w:val="110"/>
          <w:sz w:val="22"/>
        </w:rPr>
        <w:t>pulmonary disease, and</w:t>
      </w:r>
      <w:r>
        <w:rPr>
          <w:color w:val="4D4D4F"/>
          <w:spacing w:val="-5"/>
          <w:w w:val="110"/>
          <w:sz w:val="22"/>
        </w:rPr>
        <w:t> </w:t>
      </w:r>
      <w:r>
        <w:rPr>
          <w:color w:val="4D4D4F"/>
          <w:w w:val="110"/>
          <w:sz w:val="22"/>
        </w:rPr>
        <w:t>kyphoscoliosis.</w:t>
      </w:r>
    </w:p>
    <w:p>
      <w:pPr>
        <w:pStyle w:val="ListParagraph"/>
        <w:numPr>
          <w:ilvl w:val="0"/>
          <w:numId w:val="18"/>
        </w:numPr>
        <w:tabs>
          <w:tab w:pos="711" w:val="left" w:leader="none"/>
        </w:tabs>
        <w:spacing w:line="240" w:lineRule="auto" w:before="24" w:after="0"/>
        <w:ind w:left="711" w:right="0" w:hanging="271"/>
        <w:jc w:val="left"/>
        <w:rPr>
          <w:sz w:val="22"/>
        </w:rPr>
      </w:pPr>
      <w:r>
        <w:rPr>
          <w:color w:val="4D4D4F"/>
          <w:spacing w:val="-3"/>
          <w:w w:val="110"/>
          <w:sz w:val="22"/>
        </w:rPr>
        <w:t>Obesity.</w:t>
      </w:r>
    </w:p>
    <w:p>
      <w:pPr>
        <w:pStyle w:val="ListParagraph"/>
        <w:numPr>
          <w:ilvl w:val="0"/>
          <w:numId w:val="18"/>
        </w:numPr>
        <w:tabs>
          <w:tab w:pos="711" w:val="left" w:leader="none"/>
        </w:tabs>
        <w:spacing w:line="240" w:lineRule="auto" w:before="31" w:after="0"/>
        <w:ind w:left="711" w:right="0" w:hanging="271"/>
        <w:jc w:val="left"/>
        <w:rPr>
          <w:sz w:val="22"/>
        </w:rPr>
      </w:pPr>
      <w:r>
        <w:rPr>
          <w:color w:val="4D4D4F"/>
          <w:w w:val="120"/>
          <w:sz w:val="22"/>
        </w:rPr>
        <w:t>Sleep</w:t>
      </w:r>
      <w:r>
        <w:rPr>
          <w:color w:val="4D4D4F"/>
          <w:spacing w:val="-13"/>
          <w:w w:val="120"/>
          <w:sz w:val="22"/>
        </w:rPr>
        <w:t> </w:t>
      </w:r>
      <w:r>
        <w:rPr>
          <w:color w:val="4D4D4F"/>
          <w:w w:val="120"/>
          <w:sz w:val="22"/>
        </w:rPr>
        <w:t>apnea.</w:t>
      </w:r>
    </w:p>
    <w:p>
      <w:pPr>
        <w:pStyle w:val="ListParagraph"/>
        <w:numPr>
          <w:ilvl w:val="0"/>
          <w:numId w:val="18"/>
        </w:numPr>
        <w:tabs>
          <w:tab w:pos="711" w:val="left" w:leader="none"/>
        </w:tabs>
        <w:spacing w:line="240" w:lineRule="auto" w:before="31" w:after="0"/>
        <w:ind w:left="711" w:right="0" w:hanging="271"/>
        <w:jc w:val="left"/>
        <w:rPr>
          <w:sz w:val="22"/>
        </w:rPr>
      </w:pPr>
      <w:r>
        <w:rPr>
          <w:color w:val="4D4D4F"/>
          <w:spacing w:val="-9"/>
          <w:w w:val="110"/>
          <w:sz w:val="22"/>
        </w:rPr>
        <w:t>QTc</w:t>
      </w:r>
      <w:r>
        <w:rPr>
          <w:color w:val="4D4D4F"/>
          <w:spacing w:val="-7"/>
          <w:w w:val="110"/>
          <w:sz w:val="22"/>
        </w:rPr>
        <w:t> </w:t>
      </w:r>
      <w:r>
        <w:rPr>
          <w:color w:val="4D4D4F"/>
          <w:w w:val="110"/>
          <w:sz w:val="22"/>
        </w:rPr>
        <w:t>prolongation.</w:t>
      </w:r>
    </w:p>
    <w:p>
      <w:pPr>
        <w:pStyle w:val="ListParagraph"/>
        <w:numPr>
          <w:ilvl w:val="0"/>
          <w:numId w:val="18"/>
        </w:numPr>
        <w:tabs>
          <w:tab w:pos="711" w:val="left" w:leader="none"/>
        </w:tabs>
        <w:spacing w:line="247" w:lineRule="auto" w:before="32" w:after="0"/>
        <w:ind w:left="711" w:right="454" w:hanging="270"/>
        <w:jc w:val="left"/>
        <w:rPr>
          <w:sz w:val="22"/>
        </w:rPr>
      </w:pPr>
      <w:r>
        <w:rPr>
          <w:color w:val="4D4D4F"/>
          <w:w w:val="110"/>
          <w:sz w:val="22"/>
        </w:rPr>
        <w:t>A family history of cardiac</w:t>
      </w:r>
      <w:r>
        <w:rPr>
          <w:color w:val="4D4D4F"/>
          <w:spacing w:val="-23"/>
          <w:w w:val="110"/>
          <w:sz w:val="22"/>
        </w:rPr>
        <w:t> </w:t>
      </w:r>
      <w:r>
        <w:rPr>
          <w:color w:val="4D4D4F"/>
          <w:spacing w:val="-2"/>
          <w:w w:val="110"/>
          <w:sz w:val="22"/>
        </w:rPr>
        <w:t>arrhythmias, </w:t>
      </w:r>
      <w:r>
        <w:rPr>
          <w:color w:val="4D4D4F"/>
          <w:w w:val="110"/>
          <w:sz w:val="22"/>
        </w:rPr>
        <w:t>fainting or dizziness, or sudden</w:t>
      </w:r>
      <w:r>
        <w:rPr>
          <w:color w:val="4D4D4F"/>
          <w:spacing w:val="49"/>
          <w:w w:val="110"/>
          <w:sz w:val="22"/>
        </w:rPr>
        <w:t> </w:t>
      </w:r>
      <w:r>
        <w:rPr>
          <w:color w:val="4D4D4F"/>
          <w:w w:val="110"/>
          <w:sz w:val="22"/>
        </w:rPr>
        <w:t>death.</w:t>
      </w:r>
    </w:p>
    <w:p>
      <w:pPr>
        <w:pStyle w:val="ListParagraph"/>
        <w:numPr>
          <w:ilvl w:val="0"/>
          <w:numId w:val="18"/>
        </w:numPr>
        <w:tabs>
          <w:tab w:pos="711" w:val="left" w:leader="none"/>
        </w:tabs>
        <w:spacing w:line="240" w:lineRule="auto" w:before="24" w:after="0"/>
        <w:ind w:left="711" w:right="0" w:hanging="271"/>
        <w:jc w:val="left"/>
        <w:rPr>
          <w:sz w:val="22"/>
        </w:rPr>
      </w:pPr>
      <w:r>
        <w:rPr>
          <w:color w:val="4D4D4F"/>
          <w:w w:val="110"/>
          <w:sz w:val="22"/>
        </w:rPr>
        <w:t>Cor</w:t>
      </w:r>
      <w:r>
        <w:rPr>
          <w:color w:val="4D4D4F"/>
          <w:spacing w:val="-7"/>
          <w:w w:val="110"/>
          <w:sz w:val="22"/>
        </w:rPr>
        <w:t> </w:t>
      </w:r>
      <w:r>
        <w:rPr>
          <w:color w:val="4D4D4F"/>
          <w:w w:val="110"/>
          <w:sz w:val="22"/>
        </w:rPr>
        <w:t>pulmonale.</w:t>
      </w:r>
    </w:p>
    <w:p>
      <w:pPr>
        <w:pStyle w:val="ListParagraph"/>
        <w:numPr>
          <w:ilvl w:val="0"/>
          <w:numId w:val="18"/>
        </w:numPr>
        <w:tabs>
          <w:tab w:pos="711" w:val="left" w:leader="none"/>
        </w:tabs>
        <w:spacing w:line="247" w:lineRule="auto" w:before="31" w:after="0"/>
        <w:ind w:left="711" w:right="132" w:hanging="270"/>
        <w:jc w:val="left"/>
        <w:rPr>
          <w:sz w:val="22"/>
        </w:rPr>
      </w:pPr>
      <w:r>
        <w:rPr>
          <w:color w:val="4D4D4F"/>
          <w:w w:val="110"/>
          <w:sz w:val="22"/>
        </w:rPr>
        <w:t>Electrolyte abnormalities, such as </w:t>
      </w:r>
      <w:r>
        <w:rPr>
          <w:color w:val="4D4D4F"/>
          <w:spacing w:val="-3"/>
          <w:w w:val="110"/>
          <w:sz w:val="22"/>
        </w:rPr>
        <w:t>hypoka- </w:t>
      </w:r>
      <w:r>
        <w:rPr>
          <w:color w:val="4D4D4F"/>
          <w:w w:val="110"/>
          <w:sz w:val="22"/>
        </w:rPr>
        <w:t>lemia or</w:t>
      </w:r>
      <w:r>
        <w:rPr>
          <w:color w:val="4D4D4F"/>
          <w:spacing w:val="-6"/>
          <w:w w:val="110"/>
          <w:sz w:val="22"/>
        </w:rPr>
        <w:t> </w:t>
      </w:r>
      <w:r>
        <w:rPr>
          <w:color w:val="4D4D4F"/>
          <w:w w:val="110"/>
          <w:sz w:val="22"/>
        </w:rPr>
        <w:t>hypomagnesemia.</w:t>
      </w:r>
    </w:p>
    <w:p>
      <w:pPr>
        <w:pStyle w:val="Heading5"/>
        <w:spacing w:line="247" w:lineRule="auto" w:before="216"/>
        <w:ind w:left="135" w:right="635"/>
      </w:pPr>
      <w:r>
        <w:rPr>
          <w:i/>
          <w:color w:val="137692"/>
          <w:w w:val="105"/>
        </w:rPr>
        <w:t>First dose for patients without current </w:t>
      </w:r>
      <w:r>
        <w:rPr>
          <w:color w:val="137692"/>
          <w:w w:val="105"/>
        </w:rPr>
        <w:t>opioid dependence</w:t>
      </w:r>
    </w:p>
    <w:p>
      <w:pPr>
        <w:spacing w:line="237" w:lineRule="auto" w:before="37"/>
        <w:ind w:left="135" w:right="369" w:firstLine="0"/>
        <w:jc w:val="left"/>
        <w:rPr>
          <w:sz w:val="22"/>
        </w:rPr>
      </w:pPr>
      <w:r>
        <w:rPr>
          <w:rFonts w:ascii="Calibri"/>
          <w:b/>
          <w:color w:val="4D4D4F"/>
          <w:w w:val="110"/>
          <w:sz w:val="22"/>
        </w:rPr>
        <w:t>In some circumstances, patients who are not currently dependent  on  opioids  may be admitted to  an  OTP  </w:t>
      </w:r>
      <w:r>
        <w:rPr>
          <w:color w:val="4D4D4F"/>
          <w:w w:val="110"/>
          <w:sz w:val="22"/>
        </w:rPr>
        <w:t>(e.g., individuals with</w:t>
      </w:r>
      <w:r>
        <w:rPr>
          <w:color w:val="4D4D4F"/>
          <w:spacing w:val="-19"/>
          <w:w w:val="110"/>
          <w:sz w:val="22"/>
        </w:rPr>
        <w:t> </w:t>
      </w:r>
      <w:r>
        <w:rPr>
          <w:color w:val="4D4D4F"/>
          <w:w w:val="110"/>
          <w:sz w:val="22"/>
        </w:rPr>
        <w:t>a</w:t>
      </w:r>
      <w:r>
        <w:rPr>
          <w:color w:val="4D4D4F"/>
          <w:spacing w:val="-18"/>
          <w:w w:val="110"/>
          <w:sz w:val="22"/>
        </w:rPr>
        <w:t> </w:t>
      </w:r>
      <w:r>
        <w:rPr>
          <w:color w:val="4D4D4F"/>
          <w:w w:val="110"/>
          <w:sz w:val="22"/>
        </w:rPr>
        <w:t>history</w:t>
      </w:r>
      <w:r>
        <w:rPr>
          <w:color w:val="4D4D4F"/>
          <w:spacing w:val="-19"/>
          <w:w w:val="110"/>
          <w:sz w:val="22"/>
        </w:rPr>
        <w:t> </w:t>
      </w:r>
      <w:r>
        <w:rPr>
          <w:color w:val="4D4D4F"/>
          <w:w w:val="110"/>
          <w:sz w:val="22"/>
        </w:rPr>
        <w:t>of</w:t>
      </w:r>
      <w:r>
        <w:rPr>
          <w:color w:val="4D4D4F"/>
          <w:spacing w:val="-18"/>
          <w:w w:val="110"/>
          <w:sz w:val="22"/>
        </w:rPr>
        <w:t> </w:t>
      </w:r>
      <w:r>
        <w:rPr>
          <w:color w:val="4D4D4F"/>
          <w:w w:val="110"/>
          <w:sz w:val="22"/>
        </w:rPr>
        <w:t>OUD</w:t>
      </w:r>
      <w:r>
        <w:rPr>
          <w:color w:val="4D4D4F"/>
          <w:spacing w:val="-19"/>
          <w:w w:val="110"/>
          <w:sz w:val="22"/>
        </w:rPr>
        <w:t> </w:t>
      </w:r>
      <w:r>
        <w:rPr>
          <w:color w:val="4D4D4F"/>
          <w:w w:val="110"/>
          <w:sz w:val="22"/>
        </w:rPr>
        <w:t>who</w:t>
      </w:r>
      <w:r>
        <w:rPr>
          <w:color w:val="4D4D4F"/>
          <w:spacing w:val="-18"/>
          <w:w w:val="110"/>
          <w:sz w:val="22"/>
        </w:rPr>
        <w:t> </w:t>
      </w:r>
      <w:r>
        <w:rPr>
          <w:color w:val="4D4D4F"/>
          <w:w w:val="110"/>
          <w:sz w:val="22"/>
        </w:rPr>
        <w:t>are</w:t>
      </w:r>
      <w:r>
        <w:rPr>
          <w:color w:val="4D4D4F"/>
          <w:spacing w:val="-19"/>
          <w:w w:val="110"/>
          <w:sz w:val="22"/>
        </w:rPr>
        <w:t> </w:t>
      </w:r>
      <w:r>
        <w:rPr>
          <w:color w:val="4D4D4F"/>
          <w:w w:val="110"/>
          <w:sz w:val="22"/>
        </w:rPr>
        <w:t>returning</w:t>
      </w:r>
      <w:r>
        <w:rPr>
          <w:color w:val="4D4D4F"/>
          <w:spacing w:val="-18"/>
          <w:w w:val="110"/>
          <w:sz w:val="22"/>
        </w:rPr>
        <w:t> </w:t>
      </w:r>
      <w:r>
        <w:rPr>
          <w:color w:val="4D4D4F"/>
          <w:spacing w:val="-6"/>
          <w:w w:val="110"/>
          <w:sz w:val="22"/>
        </w:rPr>
        <w:t>from</w:t>
      </w:r>
    </w:p>
    <w:p>
      <w:pPr>
        <w:pStyle w:val="BodyText"/>
        <w:spacing w:line="247" w:lineRule="auto" w:before="9"/>
        <w:ind w:left="135" w:right="37" w:hanging="1"/>
      </w:pPr>
      <w:r>
        <w:rPr>
          <w:color w:val="4D4D4F"/>
          <w:w w:val="110"/>
        </w:rPr>
        <w:t>controlled environments).</w:t>
      </w:r>
      <w:r>
        <w:rPr>
          <w:color w:val="4D4D4F"/>
          <w:w w:val="110"/>
          <w:position w:val="7"/>
          <w:sz w:val="13"/>
        </w:rPr>
        <w:t>129 </w:t>
      </w:r>
      <w:r>
        <w:rPr>
          <w:color w:val="4D4D4F"/>
          <w:w w:val="110"/>
        </w:rPr>
        <w:t>In these instances, consider treatment with extended-release naltrexone (XR-NTX) to avoid establishing new physiological opioid dependence. Instead of starting methadone, consider starting with a low dose of buprenorphine because of buprenor- </w:t>
      </w:r>
      <w:r>
        <w:rPr>
          <w:color w:val="4D4D4F"/>
          <w:spacing w:val="-3"/>
          <w:w w:val="110"/>
        </w:rPr>
        <w:t>phine’s </w:t>
      </w:r>
      <w:r>
        <w:rPr>
          <w:color w:val="4D4D4F"/>
          <w:w w:val="110"/>
        </w:rPr>
        <w:t>superior safety threshold.</w:t>
      </w:r>
      <w:r>
        <w:rPr>
          <w:color w:val="4D4D4F"/>
          <w:w w:val="110"/>
          <w:position w:val="7"/>
          <w:sz w:val="13"/>
        </w:rPr>
        <w:t>130 </w:t>
      </w:r>
      <w:r>
        <w:rPr>
          <w:color w:val="4D4D4F"/>
          <w:w w:val="110"/>
        </w:rPr>
        <w:t>In one such </w:t>
      </w:r>
      <w:r>
        <w:rPr>
          <w:color w:val="4D4D4F"/>
          <w:spacing w:val="-3"/>
          <w:w w:val="110"/>
        </w:rPr>
        <w:t>study, </w:t>
      </w:r>
      <w:r>
        <w:rPr>
          <w:color w:val="4D4D4F"/>
          <w:w w:val="110"/>
        </w:rPr>
        <w:t>1 mg of buprenorphine was the starting dose, which was increased slowly</w:t>
      </w:r>
      <w:r>
        <w:rPr>
          <w:color w:val="4D4D4F"/>
          <w:w w:val="110"/>
          <w:position w:val="7"/>
          <w:sz w:val="13"/>
        </w:rPr>
        <w:t>131 </w:t>
      </w:r>
      <w:r>
        <w:rPr>
          <w:color w:val="4D4D4F"/>
          <w:w w:val="110"/>
        </w:rPr>
        <w:t>(see </w:t>
      </w:r>
      <w:r>
        <w:rPr>
          <w:color w:val="4D4D4F"/>
          <w:spacing w:val="-3"/>
          <w:w w:val="110"/>
        </w:rPr>
        <w:t>Chapter </w:t>
      </w:r>
      <w:r>
        <w:rPr>
          <w:color w:val="4D4D4F"/>
          <w:w w:val="110"/>
        </w:rPr>
        <w:t>3D</w:t>
      </w:r>
      <w:r>
        <w:rPr>
          <w:color w:val="4D4D4F"/>
          <w:spacing w:val="-22"/>
          <w:w w:val="110"/>
        </w:rPr>
        <w:t> </w:t>
      </w:r>
      <w:r>
        <w:rPr>
          <w:color w:val="4D4D4F"/>
          <w:w w:val="110"/>
        </w:rPr>
        <w:t>of</w:t>
      </w:r>
      <w:r>
        <w:rPr>
          <w:color w:val="4D4D4F"/>
          <w:spacing w:val="-21"/>
          <w:w w:val="110"/>
        </w:rPr>
        <w:t> </w:t>
      </w:r>
      <w:r>
        <w:rPr>
          <w:color w:val="4D4D4F"/>
          <w:spacing w:val="-3"/>
          <w:w w:val="110"/>
        </w:rPr>
        <w:t>this</w:t>
      </w:r>
      <w:r>
        <w:rPr>
          <w:color w:val="4D4D4F"/>
          <w:spacing w:val="-21"/>
          <w:w w:val="110"/>
        </w:rPr>
        <w:t> </w:t>
      </w:r>
      <w:r>
        <w:rPr>
          <w:color w:val="4D4D4F"/>
          <w:spacing w:val="-3"/>
          <w:w w:val="110"/>
        </w:rPr>
        <w:t>TIP).</w:t>
      </w:r>
      <w:r>
        <w:rPr>
          <w:color w:val="4D4D4F"/>
          <w:spacing w:val="-22"/>
          <w:w w:val="110"/>
        </w:rPr>
        <w:t> </w:t>
      </w:r>
      <w:r>
        <w:rPr>
          <w:color w:val="4D4D4F"/>
          <w:w w:val="110"/>
        </w:rPr>
        <w:t>If</w:t>
      </w:r>
      <w:r>
        <w:rPr>
          <w:color w:val="4D4D4F"/>
          <w:spacing w:val="-21"/>
          <w:w w:val="110"/>
        </w:rPr>
        <w:t> </w:t>
      </w:r>
      <w:r>
        <w:rPr>
          <w:color w:val="4D4D4F"/>
          <w:spacing w:val="-3"/>
          <w:w w:val="110"/>
        </w:rPr>
        <w:t>XR-NTX</w:t>
      </w:r>
      <w:r>
        <w:rPr>
          <w:color w:val="4D4D4F"/>
          <w:spacing w:val="-21"/>
          <w:w w:val="110"/>
        </w:rPr>
        <w:t> </w:t>
      </w:r>
      <w:r>
        <w:rPr>
          <w:color w:val="4D4D4F"/>
          <w:w w:val="110"/>
        </w:rPr>
        <w:t>and</w:t>
      </w:r>
      <w:r>
        <w:rPr>
          <w:color w:val="4D4D4F"/>
          <w:spacing w:val="-22"/>
          <w:w w:val="110"/>
        </w:rPr>
        <w:t> </w:t>
      </w:r>
      <w:r>
        <w:rPr>
          <w:color w:val="4D4D4F"/>
          <w:spacing w:val="-4"/>
          <w:w w:val="110"/>
        </w:rPr>
        <w:t>buprenorphine</w:t>
      </w:r>
      <w:r>
        <w:rPr>
          <w:color w:val="4D4D4F"/>
          <w:spacing w:val="-21"/>
          <w:w w:val="110"/>
        </w:rPr>
        <w:t> </w:t>
      </w:r>
      <w:r>
        <w:rPr>
          <w:color w:val="4D4D4F"/>
          <w:spacing w:val="-4"/>
          <w:w w:val="110"/>
        </w:rPr>
        <w:t>are </w:t>
      </w:r>
      <w:r>
        <w:rPr>
          <w:color w:val="4D4D4F"/>
          <w:w w:val="110"/>
        </w:rPr>
        <w:t>not available, or the patient prefers methadone treatment, consider starting methadone at a 5 mg daily dose (as was done in one study</w:t>
      </w:r>
      <w:r>
        <w:rPr>
          <w:color w:val="4D4D4F"/>
          <w:w w:val="110"/>
          <w:position w:val="7"/>
          <w:sz w:val="13"/>
        </w:rPr>
        <w:t>132</w:t>
      </w:r>
      <w:r>
        <w:rPr>
          <w:color w:val="4D4D4F"/>
          <w:w w:val="110"/>
        </w:rPr>
        <w:t>) after discussing risks and beneﬁts with the</w:t>
      </w:r>
      <w:r>
        <w:rPr>
          <w:color w:val="4D4D4F"/>
          <w:spacing w:val="11"/>
          <w:w w:val="110"/>
        </w:rPr>
        <w:t> </w:t>
      </w:r>
      <w:r>
        <w:rPr>
          <w:color w:val="4D4D4F"/>
          <w:w w:val="110"/>
        </w:rPr>
        <w:t>patient.</w:t>
      </w:r>
    </w:p>
    <w:p>
      <w:pPr>
        <w:spacing w:line="244" w:lineRule="auto" w:before="192"/>
        <w:ind w:left="135" w:right="85" w:firstLine="0"/>
        <w:jc w:val="left"/>
        <w:rPr>
          <w:sz w:val="22"/>
        </w:rPr>
      </w:pPr>
      <w:r>
        <w:rPr>
          <w:rFonts w:ascii="Calibri"/>
          <w:b/>
          <w:color w:val="4D4D4F"/>
          <w:w w:val="115"/>
          <w:sz w:val="22"/>
        </w:rPr>
        <w:t>Titrate the dose much more slowly than for patients who are opioid tolerant. </w:t>
      </w:r>
      <w:r>
        <w:rPr>
          <w:color w:val="4D4D4F"/>
          <w:w w:val="115"/>
          <w:sz w:val="22"/>
        </w:rPr>
        <w:t>Increase initially by 5 mg about every week, based on patient response. Doses can be increased somewhat</w:t>
      </w:r>
      <w:r>
        <w:rPr>
          <w:color w:val="4D4D4F"/>
          <w:spacing w:val="-44"/>
          <w:w w:val="115"/>
          <w:sz w:val="22"/>
        </w:rPr>
        <w:t> </w:t>
      </w:r>
      <w:r>
        <w:rPr>
          <w:color w:val="4D4D4F"/>
          <w:w w:val="115"/>
          <w:sz w:val="22"/>
        </w:rPr>
        <w:t>more</w:t>
      </w:r>
      <w:r>
        <w:rPr>
          <w:color w:val="4D4D4F"/>
          <w:spacing w:val="-43"/>
          <w:w w:val="115"/>
          <w:sz w:val="22"/>
        </w:rPr>
        <w:t> </w:t>
      </w:r>
      <w:r>
        <w:rPr>
          <w:color w:val="4D4D4F"/>
          <w:w w:val="115"/>
          <w:sz w:val="22"/>
        </w:rPr>
        <w:t>rapidly</w:t>
      </w:r>
      <w:r>
        <w:rPr>
          <w:color w:val="4D4D4F"/>
          <w:spacing w:val="-43"/>
          <w:w w:val="115"/>
          <w:sz w:val="22"/>
        </w:rPr>
        <w:t> </w:t>
      </w:r>
      <w:r>
        <w:rPr>
          <w:color w:val="4D4D4F"/>
          <w:w w:val="115"/>
          <w:sz w:val="22"/>
        </w:rPr>
        <w:t>after</w:t>
      </w:r>
      <w:r>
        <w:rPr>
          <w:color w:val="4D4D4F"/>
          <w:spacing w:val="-43"/>
          <w:w w:val="115"/>
          <w:sz w:val="22"/>
        </w:rPr>
        <w:t> </w:t>
      </w:r>
      <w:r>
        <w:rPr>
          <w:color w:val="4D4D4F"/>
          <w:w w:val="115"/>
          <w:sz w:val="22"/>
        </w:rPr>
        <w:t>careful</w:t>
      </w:r>
      <w:r>
        <w:rPr>
          <w:color w:val="4D4D4F"/>
          <w:spacing w:val="-43"/>
          <w:w w:val="115"/>
          <w:sz w:val="22"/>
        </w:rPr>
        <w:t> </w:t>
      </w:r>
      <w:r>
        <w:rPr>
          <w:color w:val="4D4D4F"/>
          <w:w w:val="115"/>
          <w:sz w:val="22"/>
        </w:rPr>
        <w:t>assessment of response if the patient begins to use illicit opioids. As with other methadone dosing, induction in these cases should not be based on a standing</w:t>
      </w:r>
      <w:r>
        <w:rPr>
          <w:color w:val="4D4D4F"/>
          <w:spacing w:val="-30"/>
          <w:w w:val="115"/>
          <w:sz w:val="22"/>
        </w:rPr>
        <w:t> </w:t>
      </w:r>
      <w:r>
        <w:rPr>
          <w:color w:val="4D4D4F"/>
          <w:spacing w:val="-5"/>
          <w:w w:val="115"/>
          <w:sz w:val="22"/>
        </w:rPr>
        <w:t>order.</w:t>
      </w:r>
    </w:p>
    <w:p>
      <w:pPr>
        <w:pStyle w:val="Heading3"/>
        <w:spacing w:before="97"/>
        <w:ind w:left="135"/>
      </w:pPr>
      <w:bookmarkStart w:name="_TOC_250085" w:id="30"/>
      <w:r>
        <w:rPr>
          <w:b w:val="0"/>
        </w:rPr>
        <w:br w:type="column"/>
      </w:r>
      <w:bookmarkEnd w:id="30"/>
      <w:r>
        <w:rPr>
          <w:color w:val="137692"/>
          <w:w w:val="110"/>
        </w:rPr>
        <w:t>Dose Titration (Weeks 1 to 2)</w:t>
      </w:r>
    </w:p>
    <w:p>
      <w:pPr>
        <w:spacing w:line="240" w:lineRule="auto" w:before="43"/>
        <w:ind w:left="135" w:right="309" w:firstLine="0"/>
        <w:jc w:val="left"/>
        <w:rPr>
          <w:sz w:val="22"/>
        </w:rPr>
      </w:pPr>
      <w:r>
        <w:rPr>
          <w:rFonts w:ascii="Calibri" w:hAnsi="Calibri"/>
          <w:b/>
          <w:color w:val="4D4D4F"/>
          <w:w w:val="110"/>
          <w:sz w:val="22"/>
        </w:rPr>
        <w:t>The goals of early dose titration for patients with current opioid dependence starting on Day 2 of the ﬁrst week of treatment through stabilization are to avoid sedation at peak serum levels and to gradually extend time without opioid withdrawal symptoms and craving. </w:t>
      </w:r>
      <w:r>
        <w:rPr>
          <w:color w:val="4D4D4F"/>
          <w:w w:val="110"/>
          <w:sz w:val="22"/>
        </w:rPr>
        <w:t>When patients attend the program, before dose administration, nursing and/or medical staff members should ask patients whether they felt sedation, opioid intoxication effects, or opioid withdrawal symptoms 2 to</w:t>
      </w:r>
    </w:p>
    <w:p>
      <w:pPr>
        <w:spacing w:line="240" w:lineRule="auto" w:before="8"/>
        <w:ind w:left="135" w:right="309" w:firstLine="0"/>
        <w:jc w:val="left"/>
        <w:rPr>
          <w:rFonts w:ascii="Calibri" w:hAnsi="Calibri"/>
          <w:b/>
          <w:sz w:val="22"/>
        </w:rPr>
      </w:pPr>
      <w:r>
        <w:rPr>
          <w:color w:val="4D4D4F"/>
          <w:w w:val="110"/>
          <w:sz w:val="22"/>
        </w:rPr>
        <w:t>4 hours after their methadone administration the prior day (Exhibit 3B.4). Doses should be decreased for reports of symptoms of opioid intoxication or oversedation. </w:t>
      </w:r>
      <w:r>
        <w:rPr>
          <w:rFonts w:ascii="Calibri" w:hAnsi="Calibri"/>
          <w:b/>
          <w:color w:val="4D4D4F"/>
          <w:w w:val="110"/>
          <w:sz w:val="22"/>
        </w:rPr>
        <w:t>Dosing must be individualized based on careful patient </w:t>
      </w:r>
      <w:r>
        <w:rPr>
          <w:rFonts w:ascii="Calibri" w:hAnsi="Calibri"/>
          <w:b/>
          <w:color w:val="4D4D4F"/>
          <w:spacing w:val="-3"/>
          <w:w w:val="110"/>
          <w:sz w:val="22"/>
        </w:rPr>
        <w:t>assess- </w:t>
      </w:r>
      <w:r>
        <w:rPr>
          <w:rFonts w:ascii="Calibri" w:hAnsi="Calibri"/>
          <w:b/>
          <w:color w:val="4D4D4F"/>
          <w:w w:val="110"/>
          <w:sz w:val="22"/>
        </w:rPr>
        <w:t>ment and generally should not be increased every </w:t>
      </w:r>
      <w:r>
        <w:rPr>
          <w:rFonts w:ascii="Calibri" w:hAnsi="Calibri"/>
          <w:b/>
          <w:color w:val="4D4D4F"/>
          <w:spacing w:val="-6"/>
          <w:w w:val="110"/>
          <w:sz w:val="22"/>
        </w:rPr>
        <w:t>day, </w:t>
      </w:r>
      <w:r>
        <w:rPr>
          <w:rFonts w:ascii="Calibri" w:hAnsi="Calibri"/>
          <w:b/>
          <w:color w:val="4D4D4F"/>
          <w:w w:val="110"/>
          <w:sz w:val="22"/>
        </w:rPr>
        <w:t>because plasma methadone levels do not reach steady state until about ﬁve methadone half-lives (Exhibit</w:t>
      </w:r>
      <w:r>
        <w:rPr>
          <w:rFonts w:ascii="Calibri" w:hAnsi="Calibri"/>
          <w:b/>
          <w:color w:val="4D4D4F"/>
          <w:spacing w:val="39"/>
          <w:w w:val="110"/>
          <w:sz w:val="22"/>
        </w:rPr>
        <w:t> </w:t>
      </w:r>
      <w:r>
        <w:rPr>
          <w:rFonts w:ascii="Calibri" w:hAnsi="Calibri"/>
          <w:b/>
          <w:color w:val="4D4D4F"/>
          <w:w w:val="110"/>
          <w:sz w:val="22"/>
        </w:rPr>
        <w:t>3B.5).</w:t>
      </w:r>
    </w:p>
    <w:p>
      <w:pPr>
        <w:pStyle w:val="BodyText"/>
        <w:spacing w:line="247" w:lineRule="auto" w:before="179"/>
        <w:ind w:left="135" w:right="166"/>
      </w:pPr>
      <w:r>
        <w:rPr>
          <w:color w:val="4D4D4F"/>
          <w:w w:val="110"/>
        </w:rPr>
        <w:t>Even when holding the methadone dose  constant over several days, the patient’s methadone serum level will rise each day until it reaches steady state (Exhibit 3B.5). For example, if the patient remains on 20 mg per day for the ﬁrst few days of induction, the serum level on Day 2 would reﬂect the 20 mg second </w:t>
      </w:r>
      <w:r>
        <w:rPr>
          <w:color w:val="4D4D4F"/>
          <w:spacing w:val="-4"/>
          <w:w w:val="110"/>
        </w:rPr>
        <w:t>day’s </w:t>
      </w:r>
      <w:r>
        <w:rPr>
          <w:color w:val="4D4D4F"/>
          <w:spacing w:val="-5"/>
          <w:w w:val="110"/>
        </w:rPr>
        <w:t>dose </w:t>
      </w:r>
      <w:r>
        <w:rPr>
          <w:color w:val="4D4D4F"/>
          <w:w w:val="110"/>
        </w:rPr>
        <w:t>plus 10 mg that remained in the body from the ﬁrst </w:t>
      </w:r>
      <w:r>
        <w:rPr>
          <w:color w:val="4D4D4F"/>
          <w:spacing w:val="-4"/>
          <w:w w:val="110"/>
        </w:rPr>
        <w:t>day’s </w:t>
      </w:r>
      <w:r>
        <w:rPr>
          <w:color w:val="4D4D4F"/>
          <w:w w:val="110"/>
        </w:rPr>
        <w:t>dose (for the equivalent single dose total of 30 mg). The third day would reﬂect the 20 mg third </w:t>
      </w:r>
      <w:r>
        <w:rPr>
          <w:color w:val="4D4D4F"/>
          <w:spacing w:val="-4"/>
          <w:w w:val="110"/>
        </w:rPr>
        <w:t>day’s </w:t>
      </w:r>
      <w:r>
        <w:rPr>
          <w:color w:val="4D4D4F"/>
          <w:w w:val="110"/>
        </w:rPr>
        <w:t>dose, plus 10 mg</w:t>
      </w:r>
      <w:r>
        <w:rPr>
          <w:color w:val="4D4D4F"/>
          <w:spacing w:val="46"/>
          <w:w w:val="110"/>
        </w:rPr>
        <w:t> </w:t>
      </w:r>
      <w:r>
        <w:rPr>
          <w:color w:val="4D4D4F"/>
          <w:w w:val="110"/>
        </w:rPr>
        <w:t>remaining</w:t>
      </w:r>
    </w:p>
    <w:p>
      <w:pPr>
        <w:spacing w:line="242" w:lineRule="auto" w:before="14"/>
        <w:ind w:left="135" w:right="167" w:firstLine="0"/>
        <w:jc w:val="left"/>
        <w:rPr>
          <w:sz w:val="13"/>
        </w:rPr>
      </w:pPr>
      <w:r>
        <w:rPr>
          <w:color w:val="4D4D4F"/>
          <w:w w:val="115"/>
          <w:sz w:val="22"/>
        </w:rPr>
        <w:t>in the body from the second </w:t>
      </w:r>
      <w:r>
        <w:rPr>
          <w:color w:val="4D4D4F"/>
          <w:spacing w:val="-4"/>
          <w:w w:val="115"/>
          <w:sz w:val="22"/>
        </w:rPr>
        <w:t>day’s </w:t>
      </w:r>
      <w:r>
        <w:rPr>
          <w:color w:val="4D4D4F"/>
          <w:w w:val="115"/>
          <w:sz w:val="22"/>
        </w:rPr>
        <w:t>dose, and 5 mg remaining from the ﬁrst </w:t>
      </w:r>
      <w:r>
        <w:rPr>
          <w:color w:val="4D4D4F"/>
          <w:spacing w:val="-4"/>
          <w:w w:val="115"/>
          <w:sz w:val="22"/>
        </w:rPr>
        <w:t>day’s </w:t>
      </w:r>
      <w:r>
        <w:rPr>
          <w:color w:val="4D4D4F"/>
          <w:w w:val="115"/>
          <w:sz w:val="22"/>
        </w:rPr>
        <w:t>dose (for the equivalent single dose total of 35 mg), and so on.</w:t>
      </w:r>
      <w:r>
        <w:rPr>
          <w:color w:val="4D4D4F"/>
          <w:spacing w:val="-29"/>
          <w:w w:val="115"/>
          <w:sz w:val="22"/>
        </w:rPr>
        <w:t> </w:t>
      </w:r>
      <w:r>
        <w:rPr>
          <w:rFonts w:ascii="Calibri" w:hAnsi="Calibri"/>
          <w:b/>
          <w:color w:val="4D4D4F"/>
          <w:w w:val="115"/>
          <w:sz w:val="22"/>
        </w:rPr>
        <w:t>Patients</w:t>
      </w:r>
      <w:r>
        <w:rPr>
          <w:rFonts w:ascii="Calibri" w:hAnsi="Calibri"/>
          <w:b/>
          <w:color w:val="4D4D4F"/>
          <w:spacing w:val="-13"/>
          <w:w w:val="115"/>
          <w:sz w:val="22"/>
        </w:rPr>
        <w:t> </w:t>
      </w:r>
      <w:r>
        <w:rPr>
          <w:rFonts w:ascii="Calibri" w:hAnsi="Calibri"/>
          <w:b/>
          <w:color w:val="4D4D4F"/>
          <w:w w:val="115"/>
          <w:sz w:val="22"/>
        </w:rPr>
        <w:t>who</w:t>
      </w:r>
      <w:r>
        <w:rPr>
          <w:rFonts w:ascii="Calibri" w:hAnsi="Calibri"/>
          <w:b/>
          <w:color w:val="4D4D4F"/>
          <w:spacing w:val="-14"/>
          <w:w w:val="115"/>
          <w:sz w:val="22"/>
        </w:rPr>
        <w:t> </w:t>
      </w:r>
      <w:r>
        <w:rPr>
          <w:rFonts w:ascii="Calibri" w:hAnsi="Calibri"/>
          <w:b/>
          <w:color w:val="4D4D4F"/>
          <w:w w:val="115"/>
          <w:sz w:val="22"/>
        </w:rPr>
        <w:t>report</w:t>
      </w:r>
      <w:r>
        <w:rPr>
          <w:rFonts w:ascii="Calibri" w:hAnsi="Calibri"/>
          <w:b/>
          <w:color w:val="4D4D4F"/>
          <w:spacing w:val="-13"/>
          <w:w w:val="115"/>
          <w:sz w:val="22"/>
        </w:rPr>
        <w:t> </w:t>
      </w:r>
      <w:r>
        <w:rPr>
          <w:rFonts w:ascii="Calibri" w:hAnsi="Calibri"/>
          <w:b/>
          <w:color w:val="4D4D4F"/>
          <w:w w:val="115"/>
          <w:sz w:val="22"/>
        </w:rPr>
        <w:t>relief</w:t>
      </w:r>
      <w:r>
        <w:rPr>
          <w:rFonts w:ascii="Calibri" w:hAnsi="Calibri"/>
          <w:b/>
          <w:color w:val="4D4D4F"/>
          <w:spacing w:val="-13"/>
          <w:w w:val="115"/>
          <w:sz w:val="22"/>
        </w:rPr>
        <w:t> </w:t>
      </w:r>
      <w:r>
        <w:rPr>
          <w:rFonts w:ascii="Calibri" w:hAnsi="Calibri"/>
          <w:b/>
          <w:color w:val="4D4D4F"/>
          <w:w w:val="115"/>
          <w:sz w:val="22"/>
        </w:rPr>
        <w:t>from</w:t>
      </w:r>
      <w:r>
        <w:rPr>
          <w:rFonts w:ascii="Calibri" w:hAnsi="Calibri"/>
          <w:b/>
          <w:color w:val="4D4D4F"/>
          <w:spacing w:val="-13"/>
          <w:w w:val="115"/>
          <w:sz w:val="22"/>
        </w:rPr>
        <w:t> </w:t>
      </w:r>
      <w:r>
        <w:rPr>
          <w:rFonts w:ascii="Calibri" w:hAnsi="Calibri"/>
          <w:b/>
          <w:color w:val="4D4D4F"/>
          <w:w w:val="115"/>
          <w:sz w:val="22"/>
        </w:rPr>
        <w:t>withdrawal 4 to 12 hours after their last dose may beneﬁt from staying at that same dose for a few days </w:t>
      </w:r>
      <w:r>
        <w:rPr>
          <w:color w:val="4D4D4F"/>
          <w:w w:val="115"/>
          <w:sz w:val="22"/>
        </w:rPr>
        <w:t>so</w:t>
      </w:r>
      <w:r>
        <w:rPr>
          <w:color w:val="4D4D4F"/>
          <w:spacing w:val="-15"/>
          <w:w w:val="115"/>
          <w:sz w:val="22"/>
        </w:rPr>
        <w:t> </w:t>
      </w:r>
      <w:r>
        <w:rPr>
          <w:color w:val="4D4D4F"/>
          <w:w w:val="115"/>
          <w:sz w:val="22"/>
        </w:rPr>
        <w:t>that</w:t>
      </w:r>
      <w:r>
        <w:rPr>
          <w:color w:val="4D4D4F"/>
          <w:spacing w:val="-15"/>
          <w:w w:val="115"/>
          <w:sz w:val="22"/>
        </w:rPr>
        <w:t> </w:t>
      </w:r>
      <w:r>
        <w:rPr>
          <w:color w:val="4D4D4F"/>
          <w:w w:val="115"/>
          <w:sz w:val="22"/>
        </w:rPr>
        <w:t>their</w:t>
      </w:r>
      <w:r>
        <w:rPr>
          <w:color w:val="4D4D4F"/>
          <w:spacing w:val="-15"/>
          <w:w w:val="115"/>
          <w:sz w:val="22"/>
        </w:rPr>
        <w:t> </w:t>
      </w:r>
      <w:r>
        <w:rPr>
          <w:color w:val="4D4D4F"/>
          <w:w w:val="115"/>
          <w:sz w:val="22"/>
        </w:rPr>
        <w:t>serum</w:t>
      </w:r>
      <w:r>
        <w:rPr>
          <w:color w:val="4D4D4F"/>
          <w:spacing w:val="-15"/>
          <w:w w:val="115"/>
          <w:sz w:val="22"/>
        </w:rPr>
        <w:t> </w:t>
      </w:r>
      <w:r>
        <w:rPr>
          <w:color w:val="4D4D4F"/>
          <w:w w:val="115"/>
          <w:sz w:val="22"/>
        </w:rPr>
        <w:t>level</w:t>
      </w:r>
      <w:r>
        <w:rPr>
          <w:color w:val="4D4D4F"/>
          <w:spacing w:val="-15"/>
          <w:w w:val="115"/>
          <w:sz w:val="22"/>
        </w:rPr>
        <w:t> </w:t>
      </w:r>
      <w:r>
        <w:rPr>
          <w:color w:val="4D4D4F"/>
          <w:w w:val="115"/>
          <w:sz w:val="22"/>
        </w:rPr>
        <w:t>can</w:t>
      </w:r>
      <w:r>
        <w:rPr>
          <w:color w:val="4D4D4F"/>
          <w:spacing w:val="-15"/>
          <w:w w:val="115"/>
          <w:sz w:val="22"/>
        </w:rPr>
        <w:t> </w:t>
      </w:r>
      <w:r>
        <w:rPr>
          <w:color w:val="4D4D4F"/>
          <w:w w:val="115"/>
          <w:sz w:val="22"/>
        </w:rPr>
        <w:t>stabilize.</w:t>
      </w:r>
      <w:r>
        <w:rPr>
          <w:color w:val="4D4D4F"/>
          <w:w w:val="115"/>
          <w:position w:val="7"/>
          <w:sz w:val="13"/>
        </w:rPr>
        <w:t>133</w:t>
      </w:r>
    </w:p>
    <w:p>
      <w:pPr>
        <w:pStyle w:val="BodyText"/>
        <w:spacing w:line="247" w:lineRule="auto" w:before="183"/>
        <w:ind w:left="135" w:right="441"/>
      </w:pPr>
      <w:r>
        <w:rPr>
          <w:color w:val="4D4D4F"/>
          <w:w w:val="110"/>
        </w:rPr>
        <w:t>An American Society of Addiction Medicine expert panel recommended increasing the methadone dose in this phase by 5 mg or less every 5 or more days.</w:t>
      </w:r>
      <w:r>
        <w:rPr>
          <w:color w:val="4D4D4F"/>
          <w:w w:val="110"/>
          <w:position w:val="7"/>
          <w:sz w:val="13"/>
        </w:rPr>
        <w:t>134 </w:t>
      </w:r>
      <w:r>
        <w:rPr>
          <w:color w:val="4D4D4F"/>
          <w:w w:val="110"/>
        </w:rPr>
        <w:t>Other expert recom- mendations suggest somewhat faster dose increases,</w:t>
      </w:r>
      <w:r>
        <w:rPr>
          <w:color w:val="4D4D4F"/>
          <w:w w:val="110"/>
          <w:position w:val="7"/>
          <w:sz w:val="13"/>
        </w:rPr>
        <w:t>135 </w:t>
      </w:r>
      <w:r>
        <w:rPr>
          <w:color w:val="4D4D4F"/>
          <w:w w:val="110"/>
        </w:rPr>
        <w:t>including increases of 5 mg to 10 mg no sooner than every 3 to 4 days.</w:t>
      </w:r>
      <w:r>
        <w:rPr>
          <w:color w:val="4D4D4F"/>
          <w:w w:val="110"/>
          <w:position w:val="7"/>
          <w:sz w:val="13"/>
        </w:rPr>
        <w:t>136,137 </w:t>
      </w:r>
      <w:r>
        <w:rPr>
          <w:color w:val="4D4D4F"/>
          <w:w w:val="110"/>
        </w:rPr>
        <w:t>The</w:t>
      </w:r>
    </w:p>
    <w:p>
      <w:pPr>
        <w:spacing w:after="0" w:line="247" w:lineRule="auto"/>
        <w:sectPr>
          <w:type w:val="continuous"/>
          <w:pgSz w:w="12240" w:h="15840"/>
          <w:pgMar w:top="540" w:bottom="280" w:left="940" w:right="920"/>
          <w:cols w:num="2" w:equalWidth="0">
            <w:col w:w="4979" w:space="246"/>
            <w:col w:w="515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after="1"/>
        <w:rPr>
          <w:sz w:val="11"/>
        </w:rPr>
      </w:pPr>
    </w:p>
    <w:tbl>
      <w:tblPr>
        <w:tblW w:w="0" w:type="auto"/>
        <w:jc w:val="left"/>
        <w:tblInd w:w="1629" w:type="dxa"/>
        <w:tblBorders>
          <w:top w:val="single" w:sz="8" w:space="0" w:color="137692"/>
          <w:left w:val="single" w:sz="8" w:space="0" w:color="137692"/>
          <w:bottom w:val="single" w:sz="8" w:space="0" w:color="137692"/>
          <w:right w:val="single" w:sz="8" w:space="0" w:color="137692"/>
          <w:insideH w:val="single" w:sz="8" w:space="0" w:color="137692"/>
          <w:insideV w:val="single" w:sz="8" w:space="0" w:color="137692"/>
        </w:tblBorders>
        <w:tblLayout w:type="fixed"/>
        <w:tblCellMar>
          <w:top w:w="0" w:type="dxa"/>
          <w:left w:w="0" w:type="dxa"/>
          <w:bottom w:w="0" w:type="dxa"/>
          <w:right w:w="0" w:type="dxa"/>
        </w:tblCellMar>
        <w:tblLook w:val="01E0"/>
      </w:tblPr>
      <w:tblGrid>
        <w:gridCol w:w="537"/>
        <w:gridCol w:w="603"/>
        <w:gridCol w:w="559"/>
        <w:gridCol w:w="608"/>
        <w:gridCol w:w="609"/>
        <w:gridCol w:w="645"/>
        <w:gridCol w:w="604"/>
        <w:gridCol w:w="577"/>
        <w:gridCol w:w="609"/>
        <w:gridCol w:w="578"/>
        <w:gridCol w:w="604"/>
        <w:gridCol w:w="577"/>
        <w:gridCol w:w="609"/>
        <w:gridCol w:w="449"/>
      </w:tblGrid>
      <w:tr>
        <w:trPr>
          <w:trHeight w:val="885" w:hRule="atLeast"/>
        </w:trPr>
        <w:tc>
          <w:tcPr>
            <w:tcW w:w="8168" w:type="dxa"/>
            <w:gridSpan w:val="14"/>
            <w:shd w:val="clear" w:color="auto" w:fill="FFFFFF"/>
          </w:tcPr>
          <w:p>
            <w:pPr>
              <w:pStyle w:val="TableParagraph"/>
              <w:spacing w:line="237" w:lineRule="exact" w:before="84"/>
              <w:ind w:left="153"/>
              <w:rPr>
                <w:rFonts w:ascii="Arial"/>
                <w:sz w:val="17"/>
              </w:rPr>
            </w:pPr>
            <w:r>
              <w:rPr>
                <w:rFonts w:ascii="Arial"/>
                <w:color w:val="4D4D4F"/>
                <w:w w:val="115"/>
                <w:sz w:val="17"/>
              </w:rPr>
              <w:t>Opioid Overmedication </w:t>
            </w:r>
            <w:r>
              <w:rPr>
                <w:rFonts w:ascii="Lucida Sans Unicode"/>
                <w:color w:val="4D4D4F"/>
                <w:w w:val="115"/>
                <w:sz w:val="17"/>
              </w:rPr>
              <w:t>S</w:t>
            </w:r>
            <w:r>
              <w:rPr>
                <w:rFonts w:ascii="Arial"/>
                <w:color w:val="4D4D4F"/>
                <w:w w:val="115"/>
                <w:sz w:val="17"/>
              </w:rPr>
              <w:t>ign</w:t>
            </w:r>
            <w:r>
              <w:rPr>
                <w:rFonts w:ascii="Lucida Sans Unicode"/>
                <w:color w:val="4D4D4F"/>
                <w:w w:val="115"/>
                <w:sz w:val="17"/>
              </w:rPr>
              <w:t>s</w:t>
            </w:r>
            <w:r>
              <w:rPr>
                <w:rFonts w:ascii="Arial"/>
                <w:color w:val="4D4D4F"/>
                <w:w w:val="115"/>
                <w:sz w:val="17"/>
              </w:rPr>
              <w:t>:</w:t>
            </w:r>
          </w:p>
          <w:p>
            <w:pPr>
              <w:pStyle w:val="TableParagraph"/>
              <w:spacing w:line="196" w:lineRule="auto" w:before="9"/>
              <w:ind w:left="558" w:right="733" w:hanging="1"/>
              <w:rPr>
                <w:rFonts w:ascii="Lucida Sans Unicode" w:hAnsi="Lucida Sans Unicode"/>
                <w:sz w:val="17"/>
              </w:rPr>
            </w:pPr>
            <w:r>
              <w:rPr>
                <w:rFonts w:ascii="Arial" w:hAnsi="Arial"/>
                <w:color w:val="4D4D4F"/>
                <w:w w:val="120"/>
                <w:sz w:val="17"/>
              </w:rPr>
              <w:t>Pinpoint</w:t>
            </w:r>
            <w:r>
              <w:rPr>
                <w:rFonts w:ascii="Arial" w:hAnsi="Arial"/>
                <w:color w:val="4D4D4F"/>
                <w:spacing w:val="-27"/>
                <w:w w:val="120"/>
                <w:sz w:val="17"/>
              </w:rPr>
              <w:t> </w:t>
            </w:r>
            <w:r>
              <w:rPr>
                <w:rFonts w:ascii="Arial" w:hAnsi="Arial"/>
                <w:color w:val="4D4D4F"/>
                <w:w w:val="120"/>
                <w:sz w:val="17"/>
              </w:rPr>
              <w:t>pupil</w:t>
            </w:r>
            <w:r>
              <w:rPr>
                <w:rFonts w:ascii="Lucida Sans Unicode" w:hAnsi="Lucida Sans Unicode"/>
                <w:color w:val="4D4D4F"/>
                <w:w w:val="120"/>
                <w:sz w:val="17"/>
              </w:rPr>
              <w:t>s</w:t>
            </w:r>
            <w:r>
              <w:rPr>
                <w:rFonts w:ascii="Arial" w:hAnsi="Arial"/>
                <w:color w:val="4D4D4F"/>
                <w:w w:val="120"/>
                <w:sz w:val="17"/>
              </w:rPr>
              <w:t>,</w:t>
            </w:r>
            <w:r>
              <w:rPr>
                <w:rFonts w:ascii="Arial" w:hAnsi="Arial"/>
                <w:color w:val="4D4D4F"/>
                <w:spacing w:val="-26"/>
                <w:w w:val="120"/>
                <w:sz w:val="17"/>
              </w:rPr>
              <w:t> </w:t>
            </w:r>
            <w:r>
              <w:rPr>
                <w:rFonts w:ascii="Arial" w:hAnsi="Arial"/>
                <w:color w:val="4D4D4F"/>
                <w:spacing w:val="-3"/>
                <w:w w:val="120"/>
                <w:sz w:val="17"/>
              </w:rPr>
              <w:t>drow</w:t>
            </w:r>
            <w:r>
              <w:rPr>
                <w:rFonts w:ascii="Lucida Sans Unicode" w:hAnsi="Lucida Sans Unicode"/>
                <w:color w:val="4D4D4F"/>
                <w:spacing w:val="-3"/>
                <w:w w:val="120"/>
                <w:sz w:val="17"/>
              </w:rPr>
              <w:t>s</w:t>
            </w:r>
            <w:r>
              <w:rPr>
                <w:rFonts w:ascii="Arial" w:hAnsi="Arial"/>
                <w:color w:val="4D4D4F"/>
                <w:spacing w:val="-3"/>
                <w:w w:val="120"/>
                <w:sz w:val="17"/>
              </w:rPr>
              <w:t>y</w:t>
            </w:r>
            <w:r>
              <w:rPr>
                <w:rFonts w:ascii="Arial" w:hAnsi="Arial"/>
                <w:color w:val="4D4D4F"/>
                <w:spacing w:val="-26"/>
                <w:w w:val="120"/>
                <w:sz w:val="17"/>
              </w:rPr>
              <w:t> </w:t>
            </w:r>
            <w:r>
              <w:rPr>
                <w:rFonts w:ascii="Arial" w:hAnsi="Arial"/>
                <w:color w:val="4D4D4F"/>
                <w:w w:val="120"/>
                <w:sz w:val="17"/>
              </w:rPr>
              <w:t>or</w:t>
            </w:r>
            <w:r>
              <w:rPr>
                <w:rFonts w:ascii="Arial" w:hAnsi="Arial"/>
                <w:color w:val="4D4D4F"/>
                <w:spacing w:val="-26"/>
                <w:w w:val="120"/>
                <w:sz w:val="17"/>
              </w:rPr>
              <w:t> </w:t>
            </w:r>
            <w:r>
              <w:rPr>
                <w:rFonts w:ascii="Arial" w:hAnsi="Arial"/>
                <w:color w:val="4D4D4F"/>
                <w:w w:val="120"/>
                <w:sz w:val="17"/>
              </w:rPr>
              <w:t>nodding</w:t>
            </w:r>
            <w:r>
              <w:rPr>
                <w:rFonts w:ascii="Arial" w:hAnsi="Arial"/>
                <w:color w:val="4D4D4F"/>
                <w:spacing w:val="-26"/>
                <w:w w:val="120"/>
                <w:sz w:val="17"/>
              </w:rPr>
              <w:t> </w:t>
            </w:r>
            <w:r>
              <w:rPr>
                <w:rFonts w:ascii="Arial" w:hAnsi="Arial"/>
                <w:color w:val="4D4D4F"/>
                <w:w w:val="120"/>
                <w:sz w:val="17"/>
              </w:rPr>
              <w:t>off,</w:t>
            </w:r>
            <w:r>
              <w:rPr>
                <w:rFonts w:ascii="Arial" w:hAnsi="Arial"/>
                <w:color w:val="4D4D4F"/>
                <w:spacing w:val="-26"/>
                <w:w w:val="120"/>
                <w:sz w:val="17"/>
              </w:rPr>
              <w:t> </w:t>
            </w:r>
            <w:r>
              <w:rPr>
                <w:rFonts w:ascii="Arial" w:hAnsi="Arial"/>
                <w:color w:val="4D4D4F"/>
                <w:w w:val="120"/>
                <w:sz w:val="17"/>
              </w:rPr>
              <w:t>li</w:t>
            </w:r>
            <w:r>
              <w:rPr>
                <w:rFonts w:ascii="Lucida Sans Unicode" w:hAnsi="Lucida Sans Unicode"/>
                <w:color w:val="4D4D4F"/>
                <w:w w:val="120"/>
                <w:sz w:val="17"/>
              </w:rPr>
              <w:t>s</w:t>
            </w:r>
            <w:r>
              <w:rPr>
                <w:rFonts w:ascii="Arial" w:hAnsi="Arial"/>
                <w:color w:val="4D4D4F"/>
                <w:w w:val="120"/>
                <w:sz w:val="17"/>
              </w:rPr>
              <w:t>tle</w:t>
            </w:r>
            <w:r>
              <w:rPr>
                <w:rFonts w:ascii="Lucida Sans Unicode" w:hAnsi="Lucida Sans Unicode"/>
                <w:color w:val="4D4D4F"/>
                <w:w w:val="120"/>
                <w:sz w:val="17"/>
              </w:rPr>
              <w:t>ss</w:t>
            </w:r>
            <w:r>
              <w:rPr>
                <w:rFonts w:ascii="Lucida Sans Unicode" w:hAnsi="Lucida Sans Unicode"/>
                <w:color w:val="4D4D4F"/>
                <w:spacing w:val="-35"/>
                <w:w w:val="120"/>
                <w:sz w:val="17"/>
              </w:rPr>
              <w:t> </w:t>
            </w:r>
            <w:r>
              <w:rPr>
                <w:rFonts w:ascii="Arial" w:hAnsi="Arial"/>
                <w:color w:val="4D4D4F"/>
                <w:w w:val="120"/>
                <w:sz w:val="17"/>
              </w:rPr>
              <w:t>mental</w:t>
            </w:r>
            <w:r>
              <w:rPr>
                <w:rFonts w:ascii="Arial" w:hAnsi="Arial"/>
                <w:color w:val="4D4D4F"/>
                <w:spacing w:val="-26"/>
                <w:w w:val="120"/>
                <w:sz w:val="17"/>
              </w:rPr>
              <w:t> </w:t>
            </w:r>
            <w:r>
              <w:rPr>
                <w:rFonts w:ascii="Lucida Sans Unicode" w:hAnsi="Lucida Sans Unicode"/>
                <w:color w:val="4D4D4F"/>
                <w:w w:val="120"/>
                <w:sz w:val="17"/>
              </w:rPr>
              <w:t>s</w:t>
            </w:r>
            <w:r>
              <w:rPr>
                <w:rFonts w:ascii="Arial" w:hAnsi="Arial"/>
                <w:color w:val="4D4D4F"/>
                <w:w w:val="120"/>
                <w:sz w:val="17"/>
              </w:rPr>
              <w:t>tatu</w:t>
            </w:r>
            <w:r>
              <w:rPr>
                <w:rFonts w:ascii="Lucida Sans Unicode" w:hAnsi="Lucida Sans Unicode"/>
                <w:color w:val="4D4D4F"/>
                <w:w w:val="120"/>
                <w:sz w:val="17"/>
              </w:rPr>
              <w:t>s</w:t>
            </w:r>
            <w:r>
              <w:rPr>
                <w:rFonts w:ascii="Arial" w:hAnsi="Arial"/>
                <w:color w:val="4D4D4F"/>
                <w:w w:val="120"/>
                <w:sz w:val="17"/>
              </w:rPr>
              <w:t>,</w:t>
            </w:r>
            <w:r>
              <w:rPr>
                <w:rFonts w:ascii="Arial" w:hAnsi="Arial"/>
                <w:color w:val="4D4D4F"/>
                <w:spacing w:val="-26"/>
                <w:w w:val="120"/>
                <w:sz w:val="17"/>
              </w:rPr>
              <w:t> </w:t>
            </w:r>
            <w:r>
              <w:rPr>
                <w:rFonts w:ascii="Arial" w:hAnsi="Arial"/>
                <w:color w:val="4D4D4F"/>
                <w:spacing w:val="-3"/>
                <w:w w:val="120"/>
                <w:sz w:val="17"/>
              </w:rPr>
              <w:t>itching/</w:t>
            </w:r>
            <w:r>
              <w:rPr>
                <w:rFonts w:ascii="Lucida Sans Unicode" w:hAnsi="Lucida Sans Unicode"/>
                <w:color w:val="4D4D4F"/>
                <w:spacing w:val="-3"/>
                <w:w w:val="120"/>
                <w:sz w:val="17"/>
              </w:rPr>
              <w:t>s</w:t>
            </w:r>
            <w:r>
              <w:rPr>
                <w:rFonts w:ascii="Arial" w:hAnsi="Arial"/>
                <w:color w:val="4D4D4F"/>
                <w:spacing w:val="-3"/>
                <w:w w:val="120"/>
                <w:sz w:val="17"/>
              </w:rPr>
              <w:t>cratching, </w:t>
            </w:r>
            <w:r>
              <w:rPr>
                <w:rFonts w:ascii="Arial" w:hAnsi="Arial"/>
                <w:color w:val="4D4D4F"/>
                <w:w w:val="120"/>
                <w:sz w:val="17"/>
              </w:rPr>
              <w:t>ﬂu</w:t>
            </w:r>
            <w:r>
              <w:rPr>
                <w:rFonts w:ascii="Lucida Sans Unicode" w:hAnsi="Lucida Sans Unicode"/>
                <w:color w:val="4D4D4F"/>
                <w:w w:val="120"/>
                <w:sz w:val="17"/>
              </w:rPr>
              <w:t>s</w:t>
            </w:r>
            <w:r>
              <w:rPr>
                <w:rFonts w:ascii="Arial" w:hAnsi="Arial"/>
                <w:color w:val="4D4D4F"/>
                <w:w w:val="120"/>
                <w:sz w:val="17"/>
              </w:rPr>
              <w:t>hing,</w:t>
            </w:r>
            <w:r>
              <w:rPr>
                <w:rFonts w:ascii="Arial" w:hAnsi="Arial"/>
                <w:color w:val="4D4D4F"/>
                <w:spacing w:val="-28"/>
                <w:w w:val="120"/>
                <w:sz w:val="17"/>
              </w:rPr>
              <w:t> </w:t>
            </w:r>
            <w:r>
              <w:rPr>
                <w:rFonts w:ascii="Arial" w:hAnsi="Arial"/>
                <w:color w:val="4D4D4F"/>
                <w:w w:val="120"/>
                <w:sz w:val="17"/>
              </w:rPr>
              <w:t>decrea</w:t>
            </w:r>
            <w:r>
              <w:rPr>
                <w:rFonts w:ascii="Lucida Sans Unicode" w:hAnsi="Lucida Sans Unicode"/>
                <w:color w:val="4D4D4F"/>
                <w:w w:val="120"/>
                <w:sz w:val="17"/>
              </w:rPr>
              <w:t>s</w:t>
            </w:r>
            <w:r>
              <w:rPr>
                <w:rFonts w:ascii="Arial" w:hAnsi="Arial"/>
                <w:color w:val="4D4D4F"/>
                <w:w w:val="120"/>
                <w:sz w:val="17"/>
              </w:rPr>
              <w:t>ed</w:t>
            </w:r>
            <w:r>
              <w:rPr>
                <w:rFonts w:ascii="Arial" w:hAnsi="Arial"/>
                <w:color w:val="4D4D4F"/>
                <w:spacing w:val="-28"/>
                <w:w w:val="120"/>
                <w:sz w:val="17"/>
              </w:rPr>
              <w:t> </w:t>
            </w:r>
            <w:r>
              <w:rPr>
                <w:rFonts w:ascii="Arial" w:hAnsi="Arial"/>
                <w:color w:val="4D4D4F"/>
                <w:w w:val="120"/>
                <w:sz w:val="17"/>
              </w:rPr>
              <w:t>body</w:t>
            </w:r>
            <w:r>
              <w:rPr>
                <w:rFonts w:ascii="Arial" w:hAnsi="Arial"/>
                <w:color w:val="4D4D4F"/>
                <w:spacing w:val="-27"/>
                <w:w w:val="120"/>
                <w:sz w:val="17"/>
              </w:rPr>
              <w:t> </w:t>
            </w:r>
            <w:r>
              <w:rPr>
                <w:rFonts w:ascii="Arial" w:hAnsi="Arial"/>
                <w:color w:val="4D4D4F"/>
                <w:w w:val="120"/>
                <w:sz w:val="17"/>
              </w:rPr>
              <w:t>temperature,</w:t>
            </w:r>
            <w:r>
              <w:rPr>
                <w:rFonts w:ascii="Arial" w:hAnsi="Arial"/>
                <w:color w:val="4D4D4F"/>
                <w:spacing w:val="-28"/>
                <w:w w:val="120"/>
                <w:sz w:val="17"/>
              </w:rPr>
              <w:t> </w:t>
            </w:r>
            <w:r>
              <w:rPr>
                <w:rFonts w:ascii="Lucida Sans Unicode" w:hAnsi="Lucida Sans Unicode"/>
                <w:color w:val="4D4D4F"/>
                <w:w w:val="120"/>
                <w:sz w:val="17"/>
              </w:rPr>
              <w:t>s</w:t>
            </w:r>
            <w:r>
              <w:rPr>
                <w:rFonts w:ascii="Arial" w:hAnsi="Arial"/>
                <w:color w:val="4D4D4F"/>
                <w:w w:val="120"/>
                <w:sz w:val="17"/>
              </w:rPr>
              <w:t>lowed</w:t>
            </w:r>
            <w:r>
              <w:rPr>
                <w:rFonts w:ascii="Arial" w:hAnsi="Arial"/>
                <w:color w:val="4D4D4F"/>
                <w:spacing w:val="-27"/>
                <w:w w:val="120"/>
                <w:sz w:val="17"/>
              </w:rPr>
              <w:t> </w:t>
            </w:r>
            <w:r>
              <w:rPr>
                <w:rFonts w:ascii="Arial" w:hAnsi="Arial"/>
                <w:color w:val="4D4D4F"/>
                <w:w w:val="120"/>
                <w:sz w:val="17"/>
              </w:rPr>
              <w:t>heartbeat</w:t>
            </w:r>
            <w:r>
              <w:rPr>
                <w:rFonts w:ascii="Arial" w:hAnsi="Arial"/>
                <w:color w:val="4D4D4F"/>
                <w:spacing w:val="-28"/>
                <w:w w:val="120"/>
                <w:sz w:val="17"/>
              </w:rPr>
              <w:t> </w:t>
            </w:r>
            <w:r>
              <w:rPr>
                <w:rFonts w:ascii="Arial" w:hAnsi="Arial"/>
                <w:color w:val="4D4D4F"/>
                <w:spacing w:val="-3"/>
                <w:w w:val="120"/>
                <w:sz w:val="17"/>
              </w:rPr>
              <w:t>and/or</w:t>
            </w:r>
            <w:r>
              <w:rPr>
                <w:rFonts w:ascii="Arial" w:hAnsi="Arial"/>
                <w:color w:val="4D4D4F"/>
                <w:spacing w:val="-27"/>
                <w:w w:val="120"/>
                <w:sz w:val="17"/>
              </w:rPr>
              <w:t> </w:t>
            </w:r>
            <w:r>
              <w:rPr>
                <w:rFonts w:ascii="Arial" w:hAnsi="Arial"/>
                <w:color w:val="4D4D4F"/>
                <w:w w:val="120"/>
                <w:sz w:val="17"/>
              </w:rPr>
              <w:t>re</w:t>
            </w:r>
            <w:r>
              <w:rPr>
                <w:rFonts w:ascii="Lucida Sans Unicode" w:hAnsi="Lucida Sans Unicode"/>
                <w:color w:val="4D4D4F"/>
                <w:w w:val="120"/>
                <w:sz w:val="17"/>
              </w:rPr>
              <w:t>s</w:t>
            </w:r>
            <w:r>
              <w:rPr>
                <w:rFonts w:ascii="Arial" w:hAnsi="Arial"/>
                <w:color w:val="4D4D4F"/>
                <w:w w:val="120"/>
                <w:sz w:val="17"/>
              </w:rPr>
              <w:t>piration</w:t>
            </w:r>
            <w:r>
              <w:rPr>
                <w:rFonts w:ascii="Lucida Sans Unicode" w:hAnsi="Lucida Sans Unicode"/>
                <w:color w:val="4D4D4F"/>
                <w:w w:val="120"/>
                <w:sz w:val="17"/>
              </w:rPr>
              <w:t>s</w:t>
            </w:r>
          </w:p>
        </w:tc>
      </w:tr>
      <w:tr>
        <w:trPr>
          <w:trHeight w:val="1226" w:hRule="atLeast"/>
        </w:trPr>
        <w:tc>
          <w:tcPr>
            <w:tcW w:w="8168" w:type="dxa"/>
            <w:gridSpan w:val="14"/>
          </w:tcPr>
          <w:p>
            <w:pPr>
              <w:pStyle w:val="TableParagraph"/>
              <w:spacing w:before="42"/>
              <w:ind w:left="770"/>
              <w:rPr>
                <w:rFonts w:ascii="Arial"/>
                <w:sz w:val="17"/>
              </w:rPr>
            </w:pPr>
            <w:r>
              <w:rPr>
                <w:rFonts w:ascii="Arial"/>
                <w:color w:val="4E4E4F"/>
                <w:w w:val="115"/>
                <w:sz w:val="17"/>
              </w:rPr>
              <w:t>Peak</w:t>
            </w:r>
          </w:p>
          <w:p>
            <w:pPr>
              <w:pStyle w:val="TableParagraph"/>
              <w:spacing w:before="4"/>
              <w:rPr>
                <w:rFonts w:ascii="Gill Sans MT"/>
                <w:sz w:val="19"/>
              </w:rPr>
            </w:pPr>
          </w:p>
          <w:p>
            <w:pPr>
              <w:pStyle w:val="TableParagraph"/>
              <w:spacing w:before="1"/>
              <w:ind w:left="1171"/>
              <w:rPr>
                <w:rFonts w:ascii="Arial"/>
                <w:b/>
                <w:sz w:val="17"/>
              </w:rPr>
            </w:pPr>
            <w:r>
              <w:rPr>
                <w:rFonts w:ascii="Arial"/>
                <w:b/>
                <w:color w:val="4E4E4F"/>
                <w:w w:val="110"/>
                <w:sz w:val="17"/>
              </w:rPr>
              <w:t>No Illicit Opioid U</w:t>
            </w:r>
            <w:r>
              <w:rPr>
                <w:rFonts w:ascii="Tahoma"/>
                <w:b/>
                <w:color w:val="4E4E4F"/>
                <w:w w:val="110"/>
                <w:sz w:val="17"/>
              </w:rPr>
              <w:t>s</w:t>
            </w:r>
            <w:r>
              <w:rPr>
                <w:rFonts w:ascii="Arial"/>
                <w:b/>
                <w:color w:val="4E4E4F"/>
                <w:w w:val="110"/>
                <w:sz w:val="17"/>
              </w:rPr>
              <w:t>e</w:t>
            </w:r>
          </w:p>
          <w:p>
            <w:pPr>
              <w:pStyle w:val="TableParagraph"/>
              <w:tabs>
                <w:tab w:pos="7462" w:val="left" w:leader="none"/>
              </w:tabs>
              <w:spacing w:before="17"/>
              <w:ind w:left="838"/>
              <w:rPr>
                <w:rFonts w:ascii="Arial"/>
                <w:sz w:val="17"/>
              </w:rPr>
            </w:pPr>
            <w:r>
              <w:rPr>
                <w:rFonts w:ascii="Arial"/>
                <w:b/>
                <w:color w:val="4E4E4F"/>
                <w:w w:val="115"/>
                <w:sz w:val="17"/>
              </w:rPr>
              <w:t>No Withdrawal</w:t>
            </w:r>
            <w:r>
              <w:rPr>
                <w:rFonts w:ascii="Arial"/>
                <w:b/>
                <w:color w:val="4E4E4F"/>
                <w:spacing w:val="-34"/>
                <w:w w:val="115"/>
                <w:sz w:val="17"/>
              </w:rPr>
              <w:t> </w:t>
            </w:r>
            <w:r>
              <w:rPr>
                <w:rFonts w:ascii="Arial"/>
                <w:b/>
                <w:color w:val="4E4E4F"/>
                <w:w w:val="115"/>
                <w:sz w:val="17"/>
              </w:rPr>
              <w:t>or</w:t>
            </w:r>
            <w:r>
              <w:rPr>
                <w:rFonts w:ascii="Arial"/>
                <w:b/>
                <w:color w:val="4E4E4F"/>
                <w:spacing w:val="-17"/>
                <w:w w:val="115"/>
                <w:sz w:val="17"/>
              </w:rPr>
              <w:t> </w:t>
            </w:r>
            <w:r>
              <w:rPr>
                <w:rFonts w:ascii="Arial"/>
                <w:b/>
                <w:color w:val="4E4E4F"/>
                <w:w w:val="115"/>
                <w:sz w:val="17"/>
              </w:rPr>
              <w:t>Overmedication</w:t>
              <w:tab/>
            </w:r>
            <w:r>
              <w:rPr>
                <w:rFonts w:ascii="Arial"/>
                <w:color w:val="4E4E4F"/>
                <w:w w:val="115"/>
                <w:position w:val="-13"/>
                <w:sz w:val="17"/>
              </w:rPr>
              <w:t>Trough</w:t>
            </w:r>
          </w:p>
        </w:tc>
      </w:tr>
      <w:tr>
        <w:trPr>
          <w:trHeight w:val="907" w:hRule="atLeast"/>
        </w:trPr>
        <w:tc>
          <w:tcPr>
            <w:tcW w:w="8168" w:type="dxa"/>
            <w:gridSpan w:val="14"/>
            <w:shd w:val="clear" w:color="auto" w:fill="FFFFFF"/>
          </w:tcPr>
          <w:p>
            <w:pPr>
              <w:pStyle w:val="TableParagraph"/>
              <w:spacing w:line="237" w:lineRule="exact" w:before="116"/>
              <w:ind w:left="153"/>
              <w:rPr>
                <w:rFonts w:ascii="Arial" w:hAnsi="Arial"/>
                <w:sz w:val="17"/>
              </w:rPr>
            </w:pPr>
            <w:r>
              <w:rPr>
                <w:rFonts w:ascii="Arial" w:hAnsi="Arial"/>
                <w:color w:val="4D4D4F"/>
                <w:w w:val="120"/>
                <w:sz w:val="17"/>
              </w:rPr>
              <w:t>Opioid Withdrawal—</w:t>
            </w:r>
            <w:r>
              <w:rPr>
                <w:rFonts w:ascii="Lucida Sans Unicode" w:hAnsi="Lucida Sans Unicode"/>
                <w:color w:val="4D4D4F"/>
                <w:w w:val="120"/>
                <w:sz w:val="17"/>
              </w:rPr>
              <w:t>S</w:t>
            </w:r>
            <w:r>
              <w:rPr>
                <w:rFonts w:ascii="Arial" w:hAnsi="Arial"/>
                <w:color w:val="4D4D4F"/>
                <w:w w:val="120"/>
                <w:sz w:val="17"/>
              </w:rPr>
              <w:t>ubjective </w:t>
            </w:r>
            <w:r>
              <w:rPr>
                <w:rFonts w:ascii="Lucida Sans Unicode" w:hAnsi="Lucida Sans Unicode"/>
                <w:color w:val="4D4D4F"/>
                <w:w w:val="120"/>
                <w:sz w:val="17"/>
              </w:rPr>
              <w:t>S</w:t>
            </w:r>
            <w:r>
              <w:rPr>
                <w:rFonts w:ascii="Arial" w:hAnsi="Arial"/>
                <w:color w:val="4D4D4F"/>
                <w:w w:val="120"/>
                <w:sz w:val="17"/>
              </w:rPr>
              <w:t>ymptom</w:t>
            </w:r>
            <w:r>
              <w:rPr>
                <w:rFonts w:ascii="Lucida Sans Unicode" w:hAnsi="Lucida Sans Unicode"/>
                <w:color w:val="4D4D4F"/>
                <w:w w:val="120"/>
                <w:sz w:val="17"/>
              </w:rPr>
              <w:t>s</w:t>
            </w:r>
            <w:r>
              <w:rPr>
                <w:rFonts w:ascii="Arial" w:hAnsi="Arial"/>
                <w:color w:val="4D4D4F"/>
                <w:w w:val="120"/>
                <w:sz w:val="17"/>
              </w:rPr>
              <w:t>:</w:t>
            </w:r>
          </w:p>
          <w:p>
            <w:pPr>
              <w:pStyle w:val="TableParagraph"/>
              <w:spacing w:line="196" w:lineRule="auto" w:before="9"/>
              <w:ind w:left="537" w:right="448"/>
              <w:rPr>
                <w:rFonts w:ascii="Lucida Sans Unicode" w:hAnsi="Lucida Sans Unicode"/>
                <w:sz w:val="17"/>
              </w:rPr>
            </w:pPr>
            <w:r>
              <w:rPr>
                <w:rFonts w:ascii="Arial" w:hAnsi="Arial"/>
                <w:color w:val="4D4D4F"/>
                <w:w w:val="115"/>
                <w:sz w:val="17"/>
              </w:rPr>
              <w:t>Drug craving, anxiou</w:t>
            </w:r>
            <w:r>
              <w:rPr>
                <w:rFonts w:ascii="Lucida Sans Unicode" w:hAnsi="Lucida Sans Unicode"/>
                <w:color w:val="4D4D4F"/>
                <w:w w:val="115"/>
                <w:sz w:val="17"/>
              </w:rPr>
              <w:t>s </w:t>
            </w:r>
            <w:r>
              <w:rPr>
                <w:rFonts w:ascii="Arial" w:hAnsi="Arial"/>
                <w:color w:val="4D4D4F"/>
                <w:w w:val="115"/>
                <w:sz w:val="17"/>
              </w:rPr>
              <w:t>feeling</w:t>
            </w:r>
            <w:r>
              <w:rPr>
                <w:rFonts w:ascii="Lucida Sans Unicode" w:hAnsi="Lucida Sans Unicode"/>
                <w:color w:val="4D4D4F"/>
                <w:w w:val="115"/>
                <w:sz w:val="17"/>
              </w:rPr>
              <w:t>s </w:t>
            </w:r>
            <w:r>
              <w:rPr>
                <w:rFonts w:ascii="Arial" w:hAnsi="Arial"/>
                <w:color w:val="4D4D4F"/>
                <w:w w:val="115"/>
                <w:sz w:val="17"/>
              </w:rPr>
              <w:t>or depre</w:t>
            </w:r>
            <w:r>
              <w:rPr>
                <w:rFonts w:ascii="Lucida Sans Unicode" w:hAnsi="Lucida Sans Unicode"/>
                <w:color w:val="4D4D4F"/>
                <w:w w:val="115"/>
                <w:sz w:val="17"/>
              </w:rPr>
              <w:t>ss</w:t>
            </w:r>
            <w:r>
              <w:rPr>
                <w:rFonts w:ascii="Arial" w:hAnsi="Arial"/>
                <w:color w:val="4D4D4F"/>
                <w:w w:val="115"/>
                <w:sz w:val="17"/>
              </w:rPr>
              <w:t>ion, irritability, fatigue, in</w:t>
            </w:r>
            <w:r>
              <w:rPr>
                <w:rFonts w:ascii="Lucida Sans Unicode" w:hAnsi="Lucida Sans Unicode"/>
                <w:color w:val="4D4D4F"/>
                <w:w w:val="115"/>
                <w:sz w:val="17"/>
              </w:rPr>
              <w:t>s</w:t>
            </w:r>
            <w:r>
              <w:rPr>
                <w:rFonts w:ascii="Arial" w:hAnsi="Arial"/>
                <w:color w:val="4D4D4F"/>
                <w:w w:val="115"/>
                <w:sz w:val="17"/>
              </w:rPr>
              <w:t>omnia, hot/cold ﬂa</w:t>
            </w:r>
            <w:r>
              <w:rPr>
                <w:rFonts w:ascii="Lucida Sans Unicode" w:hAnsi="Lucida Sans Unicode"/>
                <w:color w:val="4D4D4F"/>
                <w:w w:val="115"/>
                <w:sz w:val="17"/>
              </w:rPr>
              <w:t>s</w:t>
            </w:r>
            <w:r>
              <w:rPr>
                <w:rFonts w:ascii="Arial" w:hAnsi="Arial"/>
                <w:color w:val="4D4D4F"/>
                <w:w w:val="115"/>
                <w:sz w:val="17"/>
              </w:rPr>
              <w:t>he</w:t>
            </w:r>
            <w:r>
              <w:rPr>
                <w:rFonts w:ascii="Lucida Sans Unicode" w:hAnsi="Lucida Sans Unicode"/>
                <w:color w:val="4D4D4F"/>
                <w:w w:val="115"/>
                <w:sz w:val="17"/>
              </w:rPr>
              <w:t>s</w:t>
            </w:r>
            <w:r>
              <w:rPr>
                <w:rFonts w:ascii="Arial" w:hAnsi="Arial"/>
                <w:color w:val="4D4D4F"/>
                <w:w w:val="115"/>
                <w:sz w:val="17"/>
              </w:rPr>
              <w:t>, aching mu</w:t>
            </w:r>
            <w:r>
              <w:rPr>
                <w:rFonts w:ascii="Lucida Sans Unicode" w:hAnsi="Lucida Sans Unicode"/>
                <w:color w:val="4D4D4F"/>
                <w:w w:val="115"/>
                <w:sz w:val="17"/>
              </w:rPr>
              <w:t>s</w:t>
            </w:r>
            <w:r>
              <w:rPr>
                <w:rFonts w:ascii="Arial" w:hAnsi="Arial"/>
                <w:color w:val="4D4D4F"/>
                <w:w w:val="115"/>
                <w:sz w:val="17"/>
              </w:rPr>
              <w:t>cle</w:t>
            </w:r>
            <w:r>
              <w:rPr>
                <w:rFonts w:ascii="Lucida Sans Unicode" w:hAnsi="Lucida Sans Unicode"/>
                <w:color w:val="4D4D4F"/>
                <w:w w:val="115"/>
                <w:sz w:val="17"/>
              </w:rPr>
              <w:t>s</w:t>
            </w:r>
            <w:r>
              <w:rPr>
                <w:rFonts w:ascii="Arial" w:hAnsi="Arial"/>
                <w:color w:val="4D4D4F"/>
                <w:w w:val="115"/>
                <w:sz w:val="17"/>
              </w:rPr>
              <w:t>/joint</w:t>
            </w:r>
            <w:r>
              <w:rPr>
                <w:rFonts w:ascii="Lucida Sans Unicode" w:hAnsi="Lucida Sans Unicode"/>
                <w:color w:val="4D4D4F"/>
                <w:w w:val="115"/>
                <w:sz w:val="17"/>
              </w:rPr>
              <w:t>s</w:t>
            </w:r>
            <w:r>
              <w:rPr>
                <w:rFonts w:ascii="Arial" w:hAnsi="Arial"/>
                <w:color w:val="4D4D4F"/>
                <w:w w:val="115"/>
                <w:sz w:val="17"/>
              </w:rPr>
              <w:t>, nau</w:t>
            </w:r>
            <w:r>
              <w:rPr>
                <w:rFonts w:ascii="Lucida Sans Unicode" w:hAnsi="Lucida Sans Unicode"/>
                <w:color w:val="4D4D4F"/>
                <w:w w:val="115"/>
                <w:sz w:val="17"/>
              </w:rPr>
              <w:t>s</w:t>
            </w:r>
            <w:r>
              <w:rPr>
                <w:rFonts w:ascii="Arial" w:hAnsi="Arial"/>
                <w:color w:val="4D4D4F"/>
                <w:w w:val="115"/>
                <w:sz w:val="17"/>
              </w:rPr>
              <w:t>ea, di</w:t>
            </w:r>
            <w:r>
              <w:rPr>
                <w:rFonts w:ascii="Lucida Sans Unicode" w:hAnsi="Lucida Sans Unicode"/>
                <w:color w:val="4D4D4F"/>
                <w:w w:val="115"/>
                <w:sz w:val="17"/>
              </w:rPr>
              <w:t>s</w:t>
            </w:r>
            <w:r>
              <w:rPr>
                <w:rFonts w:ascii="Arial" w:hAnsi="Arial"/>
                <w:color w:val="4D4D4F"/>
                <w:w w:val="115"/>
                <w:sz w:val="17"/>
              </w:rPr>
              <w:t>orientation, re</w:t>
            </w:r>
            <w:r>
              <w:rPr>
                <w:rFonts w:ascii="Lucida Sans Unicode" w:hAnsi="Lucida Sans Unicode"/>
                <w:color w:val="4D4D4F"/>
                <w:w w:val="115"/>
                <w:sz w:val="17"/>
              </w:rPr>
              <w:t>s</w:t>
            </w:r>
            <w:r>
              <w:rPr>
                <w:rFonts w:ascii="Arial" w:hAnsi="Arial"/>
                <w:color w:val="4D4D4F"/>
                <w:w w:val="115"/>
                <w:sz w:val="17"/>
              </w:rPr>
              <w:t>tle</w:t>
            </w:r>
            <w:r>
              <w:rPr>
                <w:rFonts w:ascii="Lucida Sans Unicode" w:hAnsi="Lucida Sans Unicode"/>
                <w:color w:val="4D4D4F"/>
                <w:w w:val="115"/>
                <w:sz w:val="17"/>
              </w:rPr>
              <w:t>ss</w:t>
            </w:r>
            <w:r>
              <w:rPr>
                <w:rFonts w:ascii="Arial" w:hAnsi="Arial"/>
                <w:color w:val="4D4D4F"/>
                <w:w w:val="115"/>
                <w:sz w:val="17"/>
              </w:rPr>
              <w:t>ne</w:t>
            </w:r>
            <w:r>
              <w:rPr>
                <w:rFonts w:ascii="Lucida Sans Unicode" w:hAnsi="Lucida Sans Unicode"/>
                <w:color w:val="4D4D4F"/>
                <w:w w:val="115"/>
                <w:sz w:val="17"/>
              </w:rPr>
              <w:t>ss</w:t>
            </w:r>
          </w:p>
        </w:tc>
      </w:tr>
      <w:tr>
        <w:trPr>
          <w:trHeight w:val="859" w:hRule="atLeast"/>
        </w:trPr>
        <w:tc>
          <w:tcPr>
            <w:tcW w:w="8168" w:type="dxa"/>
            <w:gridSpan w:val="14"/>
            <w:tcBorders>
              <w:bottom w:val="nil"/>
            </w:tcBorders>
            <w:shd w:val="clear" w:color="auto" w:fill="FFFFFF"/>
          </w:tcPr>
          <w:p>
            <w:pPr>
              <w:pStyle w:val="TableParagraph"/>
              <w:spacing w:line="237" w:lineRule="exact" w:before="69"/>
              <w:ind w:left="164"/>
              <w:rPr>
                <w:rFonts w:ascii="Arial" w:hAnsi="Arial"/>
                <w:sz w:val="17"/>
              </w:rPr>
            </w:pPr>
            <w:r>
              <w:rPr>
                <w:rFonts w:ascii="Lucida Sans Unicode" w:hAnsi="Lucida Sans Unicode"/>
                <w:color w:val="4D4D4F"/>
                <w:w w:val="110"/>
                <w:sz w:val="17"/>
              </w:rPr>
              <w:t>S</w:t>
            </w:r>
            <w:r>
              <w:rPr>
                <w:rFonts w:ascii="Arial" w:hAnsi="Arial"/>
                <w:color w:val="4D4D4F"/>
                <w:w w:val="110"/>
                <w:sz w:val="17"/>
              </w:rPr>
              <w:t>evere Opioid Withdrawal—Objective </w:t>
            </w:r>
            <w:r>
              <w:rPr>
                <w:rFonts w:ascii="Lucida Sans Unicode" w:hAnsi="Lucida Sans Unicode"/>
                <w:color w:val="4D4D4F"/>
                <w:w w:val="110"/>
                <w:sz w:val="17"/>
              </w:rPr>
              <w:t>S</w:t>
            </w:r>
            <w:r>
              <w:rPr>
                <w:rFonts w:ascii="Arial" w:hAnsi="Arial"/>
                <w:color w:val="4D4D4F"/>
                <w:w w:val="110"/>
                <w:sz w:val="17"/>
              </w:rPr>
              <w:t>ign</w:t>
            </w:r>
            <w:r>
              <w:rPr>
                <w:rFonts w:ascii="Lucida Sans Unicode" w:hAnsi="Lucida Sans Unicode"/>
                <w:color w:val="4D4D4F"/>
                <w:w w:val="110"/>
                <w:sz w:val="17"/>
              </w:rPr>
              <w:t>s</w:t>
            </w:r>
            <w:r>
              <w:rPr>
                <w:rFonts w:ascii="Arial" w:hAnsi="Arial"/>
                <w:color w:val="4D4D4F"/>
                <w:w w:val="110"/>
                <w:sz w:val="17"/>
              </w:rPr>
              <w:t>:</w:t>
            </w:r>
          </w:p>
          <w:p>
            <w:pPr>
              <w:pStyle w:val="TableParagraph"/>
              <w:spacing w:line="196" w:lineRule="auto" w:before="9"/>
              <w:ind w:left="547"/>
              <w:rPr>
                <w:rFonts w:ascii="Lucida Sans Unicode" w:hAnsi="Lucida Sans Unicode"/>
                <w:sz w:val="17"/>
              </w:rPr>
            </w:pPr>
            <w:r>
              <w:rPr>
                <w:rFonts w:ascii="Arial" w:hAnsi="Arial"/>
                <w:color w:val="4D4D4F"/>
                <w:w w:val="110"/>
                <w:sz w:val="17"/>
              </w:rPr>
              <w:t>Dilated</w:t>
            </w:r>
            <w:r>
              <w:rPr>
                <w:rFonts w:ascii="Arial" w:hAnsi="Arial"/>
                <w:color w:val="4D4D4F"/>
                <w:spacing w:val="-13"/>
                <w:w w:val="110"/>
                <w:sz w:val="17"/>
              </w:rPr>
              <w:t> </w:t>
            </w:r>
            <w:r>
              <w:rPr>
                <w:rFonts w:ascii="Arial" w:hAnsi="Arial"/>
                <w:color w:val="4D4D4F"/>
                <w:w w:val="110"/>
                <w:sz w:val="17"/>
              </w:rPr>
              <w:t>pupil</w:t>
            </w:r>
            <w:r>
              <w:rPr>
                <w:rFonts w:ascii="Lucida Sans Unicode" w:hAnsi="Lucida Sans Unicode"/>
                <w:color w:val="4D4D4F"/>
                <w:w w:val="110"/>
                <w:sz w:val="17"/>
              </w:rPr>
              <w:t>s</w:t>
            </w:r>
            <w:r>
              <w:rPr>
                <w:rFonts w:ascii="Arial" w:hAnsi="Arial"/>
                <w:color w:val="4D4D4F"/>
                <w:w w:val="110"/>
                <w:sz w:val="17"/>
              </w:rPr>
              <w:t>,</w:t>
            </w:r>
            <w:r>
              <w:rPr>
                <w:rFonts w:ascii="Arial" w:hAnsi="Arial"/>
                <w:color w:val="4D4D4F"/>
                <w:spacing w:val="-12"/>
                <w:w w:val="110"/>
                <w:sz w:val="17"/>
              </w:rPr>
              <w:t> </w:t>
            </w:r>
            <w:r>
              <w:rPr>
                <w:rFonts w:ascii="Arial" w:hAnsi="Arial"/>
                <w:color w:val="4D4D4F"/>
                <w:w w:val="110"/>
                <w:sz w:val="17"/>
              </w:rPr>
              <w:t>illicit</w:t>
            </w:r>
            <w:r>
              <w:rPr>
                <w:rFonts w:ascii="Arial" w:hAnsi="Arial"/>
                <w:color w:val="4D4D4F"/>
                <w:spacing w:val="-12"/>
                <w:w w:val="110"/>
                <w:sz w:val="17"/>
              </w:rPr>
              <w:t> </w:t>
            </w:r>
            <w:r>
              <w:rPr>
                <w:rFonts w:ascii="Arial" w:hAnsi="Arial"/>
                <w:color w:val="4D4D4F"/>
                <w:w w:val="110"/>
                <w:sz w:val="17"/>
              </w:rPr>
              <w:t>opioid</w:t>
            </w:r>
            <w:r>
              <w:rPr>
                <w:rFonts w:ascii="Arial" w:hAnsi="Arial"/>
                <w:color w:val="4D4D4F"/>
                <w:spacing w:val="-12"/>
                <w:w w:val="110"/>
                <w:sz w:val="17"/>
              </w:rPr>
              <w:t> </w:t>
            </w:r>
            <w:r>
              <w:rPr>
                <w:rFonts w:ascii="Arial" w:hAnsi="Arial"/>
                <w:color w:val="4D4D4F"/>
                <w:w w:val="110"/>
                <w:sz w:val="17"/>
              </w:rPr>
              <w:t>u</w:t>
            </w:r>
            <w:r>
              <w:rPr>
                <w:rFonts w:ascii="Lucida Sans Unicode" w:hAnsi="Lucida Sans Unicode"/>
                <w:color w:val="4D4D4F"/>
                <w:w w:val="110"/>
                <w:sz w:val="17"/>
              </w:rPr>
              <w:t>s</w:t>
            </w:r>
            <w:r>
              <w:rPr>
                <w:rFonts w:ascii="Arial" w:hAnsi="Arial"/>
                <w:color w:val="4D4D4F"/>
                <w:w w:val="110"/>
                <w:sz w:val="17"/>
              </w:rPr>
              <w:t>e,</w:t>
            </w:r>
            <w:r>
              <w:rPr>
                <w:rFonts w:ascii="Arial" w:hAnsi="Arial"/>
                <w:color w:val="4D4D4F"/>
                <w:spacing w:val="-12"/>
                <w:w w:val="110"/>
                <w:sz w:val="17"/>
              </w:rPr>
              <w:t> </w:t>
            </w:r>
            <w:r>
              <w:rPr>
                <w:rFonts w:ascii="Arial" w:hAnsi="Arial"/>
                <w:color w:val="4D4D4F"/>
                <w:w w:val="110"/>
                <w:sz w:val="17"/>
              </w:rPr>
              <w:t>“goo</w:t>
            </w:r>
            <w:r>
              <w:rPr>
                <w:rFonts w:ascii="Lucida Sans Unicode" w:hAnsi="Lucida Sans Unicode"/>
                <w:color w:val="4D4D4F"/>
                <w:w w:val="110"/>
                <w:sz w:val="17"/>
              </w:rPr>
              <w:t>s</w:t>
            </w:r>
            <w:r>
              <w:rPr>
                <w:rFonts w:ascii="Arial" w:hAnsi="Arial"/>
                <w:color w:val="4D4D4F"/>
                <w:w w:val="110"/>
                <w:sz w:val="17"/>
              </w:rPr>
              <w:t>e</w:t>
            </w:r>
            <w:r>
              <w:rPr>
                <w:rFonts w:ascii="Arial" w:hAnsi="Arial"/>
                <w:color w:val="4D4D4F"/>
                <w:spacing w:val="-12"/>
                <w:w w:val="110"/>
                <w:sz w:val="17"/>
              </w:rPr>
              <w:t> </w:t>
            </w:r>
            <w:r>
              <w:rPr>
                <w:rFonts w:ascii="Arial" w:hAnsi="Arial"/>
                <w:color w:val="4D4D4F"/>
                <w:w w:val="110"/>
                <w:sz w:val="17"/>
              </w:rPr>
              <w:t>ﬂe</w:t>
            </w:r>
            <w:r>
              <w:rPr>
                <w:rFonts w:ascii="Lucida Sans Unicode" w:hAnsi="Lucida Sans Unicode"/>
                <w:color w:val="4D4D4F"/>
                <w:w w:val="110"/>
                <w:sz w:val="17"/>
              </w:rPr>
              <w:t>s</w:t>
            </w:r>
            <w:r>
              <w:rPr>
                <w:rFonts w:ascii="Arial" w:hAnsi="Arial"/>
                <w:color w:val="4D4D4F"/>
                <w:w w:val="110"/>
                <w:sz w:val="17"/>
              </w:rPr>
              <w:t>h,”</w:t>
            </w:r>
            <w:r>
              <w:rPr>
                <w:rFonts w:ascii="Arial" w:hAnsi="Arial"/>
                <w:color w:val="4D4D4F"/>
                <w:spacing w:val="-12"/>
                <w:w w:val="110"/>
                <w:sz w:val="17"/>
              </w:rPr>
              <w:t> </w:t>
            </w:r>
            <w:r>
              <w:rPr>
                <w:rFonts w:ascii="Arial" w:hAnsi="Arial"/>
                <w:color w:val="4D4D4F"/>
                <w:w w:val="110"/>
                <w:sz w:val="17"/>
              </w:rPr>
              <w:t>per</w:t>
            </w:r>
            <w:r>
              <w:rPr>
                <w:rFonts w:ascii="Lucida Sans Unicode" w:hAnsi="Lucida Sans Unicode"/>
                <w:color w:val="4D4D4F"/>
                <w:w w:val="110"/>
                <w:sz w:val="17"/>
              </w:rPr>
              <w:t>s</w:t>
            </w:r>
            <w:r>
              <w:rPr>
                <w:rFonts w:ascii="Arial" w:hAnsi="Arial"/>
                <w:color w:val="4D4D4F"/>
                <w:w w:val="110"/>
                <w:sz w:val="17"/>
              </w:rPr>
              <w:t>piring,</w:t>
            </w:r>
            <w:r>
              <w:rPr>
                <w:rFonts w:ascii="Arial" w:hAnsi="Arial"/>
                <w:color w:val="4D4D4F"/>
                <w:spacing w:val="-12"/>
                <w:w w:val="110"/>
                <w:sz w:val="17"/>
              </w:rPr>
              <w:t> </w:t>
            </w:r>
            <w:r>
              <w:rPr>
                <w:rFonts w:ascii="Lucida Sans Unicode" w:hAnsi="Lucida Sans Unicode"/>
                <w:color w:val="4D4D4F"/>
                <w:w w:val="110"/>
                <w:sz w:val="17"/>
              </w:rPr>
              <w:t>s</w:t>
            </w:r>
            <w:r>
              <w:rPr>
                <w:rFonts w:ascii="Arial" w:hAnsi="Arial"/>
                <w:color w:val="4D4D4F"/>
                <w:w w:val="110"/>
                <w:sz w:val="17"/>
              </w:rPr>
              <w:t>haking,</w:t>
            </w:r>
            <w:r>
              <w:rPr>
                <w:rFonts w:ascii="Arial" w:hAnsi="Arial"/>
                <w:color w:val="4D4D4F"/>
                <w:spacing w:val="-12"/>
                <w:w w:val="110"/>
                <w:sz w:val="17"/>
              </w:rPr>
              <w:t> </w:t>
            </w:r>
            <w:r>
              <w:rPr>
                <w:rFonts w:ascii="Arial" w:hAnsi="Arial"/>
                <w:color w:val="4D4D4F"/>
                <w:w w:val="110"/>
                <w:sz w:val="17"/>
              </w:rPr>
              <w:t>diarrhea,</w:t>
            </w:r>
            <w:r>
              <w:rPr>
                <w:rFonts w:ascii="Arial" w:hAnsi="Arial"/>
                <w:color w:val="4D4D4F"/>
                <w:spacing w:val="-12"/>
                <w:w w:val="110"/>
                <w:sz w:val="17"/>
              </w:rPr>
              <w:t> </w:t>
            </w:r>
            <w:r>
              <w:rPr>
                <w:rFonts w:ascii="Arial" w:hAnsi="Arial"/>
                <w:color w:val="4D4D4F"/>
                <w:w w:val="110"/>
                <w:sz w:val="17"/>
              </w:rPr>
              <w:t>vomiting,</w:t>
            </w:r>
            <w:r>
              <w:rPr>
                <w:rFonts w:ascii="Arial" w:hAnsi="Arial"/>
                <w:color w:val="4D4D4F"/>
                <w:spacing w:val="-13"/>
                <w:w w:val="110"/>
                <w:sz w:val="17"/>
              </w:rPr>
              <w:t> </w:t>
            </w:r>
            <w:r>
              <w:rPr>
                <w:rFonts w:ascii="Arial" w:hAnsi="Arial"/>
                <w:color w:val="4D4D4F"/>
                <w:w w:val="110"/>
                <w:sz w:val="17"/>
              </w:rPr>
              <w:t>runny no</w:t>
            </w:r>
            <w:r>
              <w:rPr>
                <w:rFonts w:ascii="Lucida Sans Unicode" w:hAnsi="Lucida Sans Unicode"/>
                <w:color w:val="4D4D4F"/>
                <w:w w:val="110"/>
                <w:sz w:val="17"/>
              </w:rPr>
              <w:t>s</w:t>
            </w:r>
            <w:r>
              <w:rPr>
                <w:rFonts w:ascii="Arial" w:hAnsi="Arial"/>
                <w:color w:val="4D4D4F"/>
                <w:w w:val="110"/>
                <w:sz w:val="17"/>
              </w:rPr>
              <w:t>e,</w:t>
            </w:r>
            <w:r>
              <w:rPr>
                <w:rFonts w:ascii="Arial" w:hAnsi="Arial"/>
                <w:color w:val="4D4D4F"/>
                <w:spacing w:val="-16"/>
                <w:w w:val="110"/>
                <w:sz w:val="17"/>
              </w:rPr>
              <w:t> </w:t>
            </w:r>
            <w:r>
              <w:rPr>
                <w:rFonts w:ascii="Lucida Sans Unicode" w:hAnsi="Lucida Sans Unicode"/>
                <w:color w:val="4D4D4F"/>
                <w:w w:val="110"/>
                <w:sz w:val="17"/>
              </w:rPr>
              <w:t>s</w:t>
            </w:r>
            <w:r>
              <w:rPr>
                <w:rFonts w:ascii="Arial" w:hAnsi="Arial"/>
                <w:color w:val="4D4D4F"/>
                <w:w w:val="110"/>
                <w:sz w:val="17"/>
              </w:rPr>
              <w:t>neezing,</w:t>
            </w:r>
            <w:r>
              <w:rPr>
                <w:rFonts w:ascii="Arial" w:hAnsi="Arial"/>
                <w:color w:val="4D4D4F"/>
                <w:spacing w:val="-16"/>
                <w:w w:val="110"/>
                <w:sz w:val="17"/>
              </w:rPr>
              <w:t> </w:t>
            </w:r>
            <w:r>
              <w:rPr>
                <w:rFonts w:ascii="Arial" w:hAnsi="Arial"/>
                <w:color w:val="4D4D4F"/>
                <w:w w:val="110"/>
                <w:sz w:val="17"/>
              </w:rPr>
              <w:t>yawning,</w:t>
            </w:r>
            <w:r>
              <w:rPr>
                <w:rFonts w:ascii="Arial" w:hAnsi="Arial"/>
                <w:color w:val="4D4D4F"/>
                <w:spacing w:val="-15"/>
                <w:w w:val="110"/>
                <w:sz w:val="17"/>
              </w:rPr>
              <w:t> </w:t>
            </w:r>
            <w:r>
              <w:rPr>
                <w:rFonts w:ascii="Arial" w:hAnsi="Arial"/>
                <w:color w:val="4D4D4F"/>
                <w:w w:val="110"/>
                <w:sz w:val="17"/>
              </w:rPr>
              <w:t>fever,</w:t>
            </w:r>
            <w:r>
              <w:rPr>
                <w:rFonts w:ascii="Arial" w:hAnsi="Arial"/>
                <w:color w:val="4D4D4F"/>
                <w:spacing w:val="-18"/>
                <w:w w:val="110"/>
                <w:sz w:val="17"/>
              </w:rPr>
              <w:t> </w:t>
            </w:r>
            <w:r>
              <w:rPr>
                <w:rFonts w:ascii="Arial" w:hAnsi="Arial"/>
                <w:color w:val="4D4D4F"/>
                <w:w w:val="110"/>
                <w:sz w:val="17"/>
              </w:rPr>
              <w:t>hyperten</w:t>
            </w:r>
            <w:r>
              <w:rPr>
                <w:rFonts w:ascii="Lucida Sans Unicode" w:hAnsi="Lucida Sans Unicode"/>
                <w:color w:val="4D4D4F"/>
                <w:w w:val="110"/>
                <w:sz w:val="17"/>
              </w:rPr>
              <w:t>s</w:t>
            </w:r>
            <w:r>
              <w:rPr>
                <w:rFonts w:ascii="Arial" w:hAnsi="Arial"/>
                <w:color w:val="4D4D4F"/>
                <w:w w:val="110"/>
                <w:sz w:val="17"/>
              </w:rPr>
              <w:t>ion,</w:t>
            </w:r>
            <w:r>
              <w:rPr>
                <w:rFonts w:ascii="Arial" w:hAnsi="Arial"/>
                <w:color w:val="4D4D4F"/>
                <w:spacing w:val="-15"/>
                <w:w w:val="110"/>
                <w:sz w:val="17"/>
              </w:rPr>
              <w:t> </w:t>
            </w:r>
            <w:r>
              <w:rPr>
                <w:rFonts w:ascii="Arial" w:hAnsi="Arial"/>
                <w:color w:val="4D4D4F"/>
                <w:w w:val="110"/>
                <w:sz w:val="17"/>
              </w:rPr>
              <w:t>increa</w:t>
            </w:r>
            <w:r>
              <w:rPr>
                <w:rFonts w:ascii="Lucida Sans Unicode" w:hAnsi="Lucida Sans Unicode"/>
                <w:color w:val="4D4D4F"/>
                <w:w w:val="110"/>
                <w:sz w:val="17"/>
              </w:rPr>
              <w:t>s</w:t>
            </w:r>
            <w:r>
              <w:rPr>
                <w:rFonts w:ascii="Arial" w:hAnsi="Arial"/>
                <w:color w:val="4D4D4F"/>
                <w:w w:val="110"/>
                <w:sz w:val="17"/>
              </w:rPr>
              <w:t>ed</w:t>
            </w:r>
            <w:r>
              <w:rPr>
                <w:rFonts w:ascii="Arial" w:hAnsi="Arial"/>
                <w:color w:val="4D4D4F"/>
                <w:spacing w:val="-16"/>
                <w:w w:val="110"/>
                <w:sz w:val="17"/>
              </w:rPr>
              <w:t> </w:t>
            </w:r>
            <w:r>
              <w:rPr>
                <w:rFonts w:ascii="Arial" w:hAnsi="Arial"/>
                <w:color w:val="4D4D4F"/>
                <w:w w:val="110"/>
                <w:sz w:val="17"/>
              </w:rPr>
              <w:t>heartbeat</w:t>
            </w:r>
            <w:r>
              <w:rPr>
                <w:rFonts w:ascii="Arial" w:hAnsi="Arial"/>
                <w:color w:val="4D4D4F"/>
                <w:spacing w:val="-16"/>
                <w:w w:val="110"/>
                <w:sz w:val="17"/>
              </w:rPr>
              <w:t> </w:t>
            </w:r>
            <w:r>
              <w:rPr>
                <w:rFonts w:ascii="Arial" w:hAnsi="Arial"/>
                <w:color w:val="4D4D4F"/>
                <w:spacing w:val="-3"/>
                <w:w w:val="110"/>
                <w:sz w:val="17"/>
              </w:rPr>
              <w:t>and/or</w:t>
            </w:r>
            <w:r>
              <w:rPr>
                <w:rFonts w:ascii="Arial" w:hAnsi="Arial"/>
                <w:color w:val="4D4D4F"/>
                <w:spacing w:val="-15"/>
                <w:w w:val="110"/>
                <w:sz w:val="17"/>
              </w:rPr>
              <w:t> </w:t>
            </w:r>
            <w:r>
              <w:rPr>
                <w:rFonts w:ascii="Arial" w:hAnsi="Arial"/>
                <w:color w:val="4D4D4F"/>
                <w:w w:val="110"/>
                <w:sz w:val="17"/>
              </w:rPr>
              <w:t>re</w:t>
            </w:r>
            <w:r>
              <w:rPr>
                <w:rFonts w:ascii="Lucida Sans Unicode" w:hAnsi="Lucida Sans Unicode"/>
                <w:color w:val="4D4D4F"/>
                <w:w w:val="110"/>
                <w:sz w:val="17"/>
              </w:rPr>
              <w:t>s</w:t>
            </w:r>
            <w:r>
              <w:rPr>
                <w:rFonts w:ascii="Arial" w:hAnsi="Arial"/>
                <w:color w:val="4D4D4F"/>
                <w:w w:val="110"/>
                <w:sz w:val="17"/>
              </w:rPr>
              <w:t>piration</w:t>
            </w:r>
            <w:r>
              <w:rPr>
                <w:rFonts w:ascii="Lucida Sans Unicode" w:hAnsi="Lucida Sans Unicode"/>
                <w:color w:val="4D4D4F"/>
                <w:w w:val="110"/>
                <w:sz w:val="17"/>
              </w:rPr>
              <w:t>s</w:t>
            </w:r>
          </w:p>
        </w:tc>
      </w:tr>
      <w:tr>
        <w:trPr>
          <w:trHeight w:val="141" w:hRule="atLeast"/>
        </w:trPr>
        <w:tc>
          <w:tcPr>
            <w:tcW w:w="537" w:type="dxa"/>
            <w:tcBorders>
              <w:top w:val="nil"/>
            </w:tcBorders>
            <w:shd w:val="clear" w:color="auto" w:fill="FFFFFF"/>
          </w:tcPr>
          <w:p>
            <w:pPr>
              <w:pStyle w:val="TableParagraph"/>
              <w:rPr>
                <w:rFonts w:ascii="Times New Roman"/>
                <w:sz w:val="8"/>
              </w:rPr>
            </w:pPr>
          </w:p>
        </w:tc>
        <w:tc>
          <w:tcPr>
            <w:tcW w:w="603" w:type="dxa"/>
            <w:tcBorders>
              <w:top w:val="nil"/>
            </w:tcBorders>
            <w:shd w:val="clear" w:color="auto" w:fill="FFFFFF"/>
          </w:tcPr>
          <w:p>
            <w:pPr>
              <w:pStyle w:val="TableParagraph"/>
              <w:rPr>
                <w:rFonts w:ascii="Times New Roman"/>
                <w:sz w:val="8"/>
              </w:rPr>
            </w:pPr>
          </w:p>
        </w:tc>
        <w:tc>
          <w:tcPr>
            <w:tcW w:w="559" w:type="dxa"/>
            <w:tcBorders>
              <w:top w:val="nil"/>
            </w:tcBorders>
            <w:shd w:val="clear" w:color="auto" w:fill="FFFFFF"/>
          </w:tcPr>
          <w:p>
            <w:pPr>
              <w:pStyle w:val="TableParagraph"/>
              <w:rPr>
                <w:rFonts w:ascii="Times New Roman"/>
                <w:sz w:val="8"/>
              </w:rPr>
            </w:pPr>
          </w:p>
        </w:tc>
        <w:tc>
          <w:tcPr>
            <w:tcW w:w="608" w:type="dxa"/>
            <w:tcBorders>
              <w:top w:val="nil"/>
            </w:tcBorders>
            <w:shd w:val="clear" w:color="auto" w:fill="FFFFFF"/>
          </w:tcPr>
          <w:p>
            <w:pPr>
              <w:pStyle w:val="TableParagraph"/>
              <w:rPr>
                <w:rFonts w:ascii="Times New Roman"/>
                <w:sz w:val="8"/>
              </w:rPr>
            </w:pPr>
          </w:p>
        </w:tc>
        <w:tc>
          <w:tcPr>
            <w:tcW w:w="609" w:type="dxa"/>
            <w:tcBorders>
              <w:top w:val="nil"/>
            </w:tcBorders>
            <w:shd w:val="clear" w:color="auto" w:fill="FFFFFF"/>
          </w:tcPr>
          <w:p>
            <w:pPr>
              <w:pStyle w:val="TableParagraph"/>
              <w:rPr>
                <w:rFonts w:ascii="Times New Roman"/>
                <w:sz w:val="8"/>
              </w:rPr>
            </w:pPr>
          </w:p>
        </w:tc>
        <w:tc>
          <w:tcPr>
            <w:tcW w:w="645" w:type="dxa"/>
            <w:tcBorders>
              <w:top w:val="nil"/>
            </w:tcBorders>
            <w:shd w:val="clear" w:color="auto" w:fill="FFFFFF"/>
          </w:tcPr>
          <w:p>
            <w:pPr>
              <w:pStyle w:val="TableParagraph"/>
              <w:rPr>
                <w:rFonts w:ascii="Times New Roman"/>
                <w:sz w:val="8"/>
              </w:rPr>
            </w:pPr>
          </w:p>
        </w:tc>
        <w:tc>
          <w:tcPr>
            <w:tcW w:w="604" w:type="dxa"/>
            <w:tcBorders>
              <w:top w:val="nil"/>
            </w:tcBorders>
            <w:shd w:val="clear" w:color="auto" w:fill="FFFFFF"/>
          </w:tcPr>
          <w:p>
            <w:pPr>
              <w:pStyle w:val="TableParagraph"/>
              <w:rPr>
                <w:rFonts w:ascii="Times New Roman"/>
                <w:sz w:val="8"/>
              </w:rPr>
            </w:pPr>
          </w:p>
        </w:tc>
        <w:tc>
          <w:tcPr>
            <w:tcW w:w="577" w:type="dxa"/>
            <w:tcBorders>
              <w:top w:val="nil"/>
            </w:tcBorders>
            <w:shd w:val="clear" w:color="auto" w:fill="FFFFFF"/>
          </w:tcPr>
          <w:p>
            <w:pPr>
              <w:pStyle w:val="TableParagraph"/>
              <w:rPr>
                <w:rFonts w:ascii="Times New Roman"/>
                <w:sz w:val="8"/>
              </w:rPr>
            </w:pPr>
          </w:p>
        </w:tc>
        <w:tc>
          <w:tcPr>
            <w:tcW w:w="609" w:type="dxa"/>
            <w:tcBorders>
              <w:top w:val="nil"/>
            </w:tcBorders>
            <w:shd w:val="clear" w:color="auto" w:fill="FFFFFF"/>
          </w:tcPr>
          <w:p>
            <w:pPr>
              <w:pStyle w:val="TableParagraph"/>
              <w:rPr>
                <w:rFonts w:ascii="Times New Roman"/>
                <w:sz w:val="8"/>
              </w:rPr>
            </w:pPr>
          </w:p>
        </w:tc>
        <w:tc>
          <w:tcPr>
            <w:tcW w:w="578" w:type="dxa"/>
            <w:tcBorders>
              <w:top w:val="nil"/>
            </w:tcBorders>
            <w:shd w:val="clear" w:color="auto" w:fill="FFFFFF"/>
          </w:tcPr>
          <w:p>
            <w:pPr>
              <w:pStyle w:val="TableParagraph"/>
              <w:rPr>
                <w:rFonts w:ascii="Times New Roman"/>
                <w:sz w:val="8"/>
              </w:rPr>
            </w:pPr>
          </w:p>
        </w:tc>
        <w:tc>
          <w:tcPr>
            <w:tcW w:w="604" w:type="dxa"/>
            <w:tcBorders>
              <w:top w:val="nil"/>
            </w:tcBorders>
            <w:shd w:val="clear" w:color="auto" w:fill="FFFFFF"/>
          </w:tcPr>
          <w:p>
            <w:pPr>
              <w:pStyle w:val="TableParagraph"/>
              <w:rPr>
                <w:rFonts w:ascii="Times New Roman"/>
                <w:sz w:val="8"/>
              </w:rPr>
            </w:pPr>
          </w:p>
        </w:tc>
        <w:tc>
          <w:tcPr>
            <w:tcW w:w="577" w:type="dxa"/>
            <w:tcBorders>
              <w:top w:val="nil"/>
            </w:tcBorders>
            <w:shd w:val="clear" w:color="auto" w:fill="FFFFFF"/>
          </w:tcPr>
          <w:p>
            <w:pPr>
              <w:pStyle w:val="TableParagraph"/>
              <w:rPr>
                <w:rFonts w:ascii="Times New Roman"/>
                <w:sz w:val="8"/>
              </w:rPr>
            </w:pPr>
          </w:p>
        </w:tc>
        <w:tc>
          <w:tcPr>
            <w:tcW w:w="609" w:type="dxa"/>
            <w:tcBorders>
              <w:top w:val="nil"/>
            </w:tcBorders>
            <w:shd w:val="clear" w:color="auto" w:fill="FFFFFF"/>
          </w:tcPr>
          <w:p>
            <w:pPr>
              <w:pStyle w:val="TableParagraph"/>
              <w:rPr>
                <w:rFonts w:ascii="Times New Roman"/>
                <w:sz w:val="8"/>
              </w:rPr>
            </w:pPr>
          </w:p>
        </w:tc>
        <w:tc>
          <w:tcPr>
            <w:tcW w:w="449" w:type="dxa"/>
            <w:tcBorders>
              <w:top w:val="nil"/>
            </w:tcBorders>
            <w:shd w:val="clear" w:color="auto" w:fill="FFFFFF"/>
          </w:tcPr>
          <w:p>
            <w:pPr>
              <w:pStyle w:val="TableParagraph"/>
              <w:rPr>
                <w:rFonts w:ascii="Times New Roman"/>
                <w:sz w:val="8"/>
              </w:rPr>
            </w:pPr>
          </w:p>
        </w:tc>
      </w:tr>
      <w:tr>
        <w:trPr>
          <w:trHeight w:val="201" w:hRule="atLeast"/>
        </w:trPr>
        <w:tc>
          <w:tcPr>
            <w:tcW w:w="537" w:type="dxa"/>
            <w:tcBorders>
              <w:left w:val="nil"/>
              <w:bottom w:val="nil"/>
            </w:tcBorders>
            <w:shd w:val="clear" w:color="auto" w:fill="FFF7F2"/>
          </w:tcPr>
          <w:p>
            <w:pPr>
              <w:pStyle w:val="TableParagraph"/>
              <w:spacing w:line="147" w:lineRule="exact" w:before="34"/>
              <w:ind w:right="30"/>
              <w:jc w:val="center"/>
              <w:rPr>
                <w:rFonts w:ascii="Verdana"/>
                <w:sz w:val="19"/>
              </w:rPr>
            </w:pPr>
            <w:r>
              <w:rPr>
                <w:rFonts w:ascii="Verdana"/>
                <w:color w:val="4E4E4F"/>
                <w:w w:val="103"/>
                <w:sz w:val="19"/>
              </w:rPr>
              <w:t>0</w:t>
            </w:r>
          </w:p>
        </w:tc>
        <w:tc>
          <w:tcPr>
            <w:tcW w:w="603" w:type="dxa"/>
            <w:tcBorders>
              <w:bottom w:val="nil"/>
            </w:tcBorders>
            <w:shd w:val="clear" w:color="auto" w:fill="FFF7F2"/>
          </w:tcPr>
          <w:p>
            <w:pPr>
              <w:pStyle w:val="TableParagraph"/>
              <w:spacing w:line="147" w:lineRule="exact" w:before="34"/>
              <w:ind w:left="35"/>
              <w:jc w:val="center"/>
              <w:rPr>
                <w:rFonts w:ascii="Verdana"/>
                <w:sz w:val="19"/>
              </w:rPr>
            </w:pPr>
            <w:r>
              <w:rPr>
                <w:rFonts w:ascii="Verdana"/>
                <w:color w:val="4E4E4F"/>
                <w:w w:val="88"/>
                <w:sz w:val="19"/>
              </w:rPr>
              <w:t>2</w:t>
            </w:r>
          </w:p>
        </w:tc>
        <w:tc>
          <w:tcPr>
            <w:tcW w:w="559" w:type="dxa"/>
            <w:tcBorders>
              <w:bottom w:val="nil"/>
            </w:tcBorders>
            <w:shd w:val="clear" w:color="auto" w:fill="FFF7F2"/>
          </w:tcPr>
          <w:p>
            <w:pPr>
              <w:pStyle w:val="TableParagraph"/>
              <w:spacing w:line="147" w:lineRule="exact" w:before="34"/>
              <w:ind w:left="238"/>
              <w:rPr>
                <w:rFonts w:ascii="Verdana"/>
                <w:sz w:val="19"/>
              </w:rPr>
            </w:pPr>
            <w:r>
              <w:rPr>
                <w:rFonts w:ascii="Verdana"/>
                <w:color w:val="4E4E4F"/>
                <w:w w:val="102"/>
                <w:sz w:val="19"/>
              </w:rPr>
              <w:t>4</w:t>
            </w:r>
          </w:p>
        </w:tc>
        <w:tc>
          <w:tcPr>
            <w:tcW w:w="608" w:type="dxa"/>
            <w:tcBorders>
              <w:bottom w:val="nil"/>
            </w:tcBorders>
            <w:shd w:val="clear" w:color="auto" w:fill="FFF7F2"/>
          </w:tcPr>
          <w:p>
            <w:pPr>
              <w:pStyle w:val="TableParagraph"/>
              <w:spacing w:line="147" w:lineRule="exact" w:before="34"/>
              <w:ind w:left="36"/>
              <w:jc w:val="center"/>
              <w:rPr>
                <w:rFonts w:ascii="Verdana"/>
                <w:sz w:val="19"/>
              </w:rPr>
            </w:pPr>
            <w:r>
              <w:rPr>
                <w:rFonts w:ascii="Verdana"/>
                <w:color w:val="4E4E4F"/>
                <w:w w:val="94"/>
                <w:sz w:val="19"/>
              </w:rPr>
              <w:t>6</w:t>
            </w:r>
          </w:p>
        </w:tc>
        <w:tc>
          <w:tcPr>
            <w:tcW w:w="609" w:type="dxa"/>
            <w:tcBorders>
              <w:bottom w:val="nil"/>
            </w:tcBorders>
            <w:shd w:val="clear" w:color="auto" w:fill="FFF7F2"/>
          </w:tcPr>
          <w:p>
            <w:pPr>
              <w:pStyle w:val="TableParagraph"/>
              <w:spacing w:line="147" w:lineRule="exact" w:before="34"/>
              <w:ind w:right="22"/>
              <w:jc w:val="center"/>
              <w:rPr>
                <w:rFonts w:ascii="Verdana"/>
                <w:sz w:val="19"/>
              </w:rPr>
            </w:pPr>
            <w:r>
              <w:rPr>
                <w:rFonts w:ascii="Verdana"/>
                <w:color w:val="4E4E4F"/>
                <w:w w:val="99"/>
                <w:sz w:val="19"/>
              </w:rPr>
              <w:t>8</w:t>
            </w:r>
          </w:p>
        </w:tc>
        <w:tc>
          <w:tcPr>
            <w:tcW w:w="645" w:type="dxa"/>
            <w:tcBorders>
              <w:bottom w:val="nil"/>
            </w:tcBorders>
            <w:shd w:val="clear" w:color="auto" w:fill="FFF7F2"/>
          </w:tcPr>
          <w:p>
            <w:pPr>
              <w:pStyle w:val="TableParagraph"/>
              <w:spacing w:line="147" w:lineRule="exact" w:before="34"/>
              <w:ind w:left="241"/>
              <w:rPr>
                <w:rFonts w:ascii="Verdana"/>
                <w:sz w:val="19"/>
              </w:rPr>
            </w:pPr>
            <w:r>
              <w:rPr>
                <w:rFonts w:ascii="Verdana"/>
                <w:color w:val="4E4E4F"/>
                <w:w w:val="90"/>
                <w:sz w:val="19"/>
              </w:rPr>
              <w:t>10</w:t>
            </w:r>
          </w:p>
        </w:tc>
        <w:tc>
          <w:tcPr>
            <w:tcW w:w="604" w:type="dxa"/>
            <w:tcBorders>
              <w:bottom w:val="nil"/>
            </w:tcBorders>
            <w:shd w:val="clear" w:color="auto" w:fill="FFF7F2"/>
          </w:tcPr>
          <w:p>
            <w:pPr>
              <w:pStyle w:val="TableParagraph"/>
              <w:spacing w:line="147" w:lineRule="exact" w:before="34"/>
              <w:ind w:left="175" w:right="175"/>
              <w:jc w:val="center"/>
              <w:rPr>
                <w:rFonts w:ascii="Verdana"/>
                <w:sz w:val="19"/>
              </w:rPr>
            </w:pPr>
            <w:r>
              <w:rPr>
                <w:rFonts w:ascii="Verdana"/>
                <w:color w:val="4E4E4F"/>
                <w:w w:val="80"/>
                <w:sz w:val="19"/>
              </w:rPr>
              <w:t>12</w:t>
            </w:r>
          </w:p>
        </w:tc>
        <w:tc>
          <w:tcPr>
            <w:tcW w:w="577" w:type="dxa"/>
            <w:tcBorders>
              <w:bottom w:val="nil"/>
            </w:tcBorders>
            <w:shd w:val="clear" w:color="auto" w:fill="FFF7F2"/>
          </w:tcPr>
          <w:p>
            <w:pPr>
              <w:pStyle w:val="TableParagraph"/>
              <w:spacing w:line="147" w:lineRule="exact" w:before="34"/>
              <w:ind w:left="185"/>
              <w:rPr>
                <w:rFonts w:ascii="Verdana"/>
                <w:sz w:val="19"/>
              </w:rPr>
            </w:pPr>
            <w:r>
              <w:rPr>
                <w:rFonts w:ascii="Verdana"/>
                <w:color w:val="4E4E4F"/>
                <w:w w:val="90"/>
                <w:sz w:val="19"/>
              </w:rPr>
              <w:t>14</w:t>
            </w:r>
          </w:p>
        </w:tc>
        <w:tc>
          <w:tcPr>
            <w:tcW w:w="609" w:type="dxa"/>
            <w:tcBorders>
              <w:bottom w:val="nil"/>
            </w:tcBorders>
            <w:shd w:val="clear" w:color="auto" w:fill="FFF7F2"/>
          </w:tcPr>
          <w:p>
            <w:pPr>
              <w:pStyle w:val="TableParagraph"/>
              <w:spacing w:line="147" w:lineRule="exact" w:before="34"/>
              <w:ind w:left="173" w:right="170"/>
              <w:jc w:val="center"/>
              <w:rPr>
                <w:rFonts w:ascii="Verdana"/>
                <w:sz w:val="19"/>
              </w:rPr>
            </w:pPr>
            <w:r>
              <w:rPr>
                <w:rFonts w:ascii="Verdana"/>
                <w:color w:val="4E4E4F"/>
                <w:w w:val="85"/>
                <w:sz w:val="19"/>
              </w:rPr>
              <w:t>16</w:t>
            </w:r>
          </w:p>
        </w:tc>
        <w:tc>
          <w:tcPr>
            <w:tcW w:w="578" w:type="dxa"/>
            <w:tcBorders>
              <w:bottom w:val="nil"/>
            </w:tcBorders>
            <w:shd w:val="clear" w:color="auto" w:fill="FFF7F2"/>
          </w:tcPr>
          <w:p>
            <w:pPr>
              <w:pStyle w:val="TableParagraph"/>
              <w:spacing w:line="147" w:lineRule="exact" w:before="34"/>
              <w:ind w:left="171"/>
              <w:rPr>
                <w:rFonts w:ascii="Verdana"/>
                <w:sz w:val="19"/>
              </w:rPr>
            </w:pPr>
            <w:r>
              <w:rPr>
                <w:rFonts w:ascii="Verdana"/>
                <w:color w:val="4E4E4F"/>
                <w:w w:val="85"/>
                <w:sz w:val="19"/>
              </w:rPr>
              <w:t>18</w:t>
            </w:r>
          </w:p>
        </w:tc>
        <w:tc>
          <w:tcPr>
            <w:tcW w:w="604" w:type="dxa"/>
            <w:tcBorders>
              <w:bottom w:val="nil"/>
            </w:tcBorders>
            <w:shd w:val="clear" w:color="auto" w:fill="FFF7F2"/>
          </w:tcPr>
          <w:p>
            <w:pPr>
              <w:pStyle w:val="TableParagraph"/>
              <w:spacing w:line="147" w:lineRule="exact" w:before="34"/>
              <w:ind w:left="190"/>
              <w:rPr>
                <w:rFonts w:ascii="Verdana"/>
                <w:sz w:val="19"/>
              </w:rPr>
            </w:pPr>
            <w:r>
              <w:rPr>
                <w:rFonts w:ascii="Verdana"/>
                <w:color w:val="4E4E4F"/>
                <w:sz w:val="19"/>
              </w:rPr>
              <w:t>20</w:t>
            </w:r>
          </w:p>
        </w:tc>
        <w:tc>
          <w:tcPr>
            <w:tcW w:w="577" w:type="dxa"/>
            <w:tcBorders>
              <w:bottom w:val="nil"/>
            </w:tcBorders>
            <w:shd w:val="clear" w:color="auto" w:fill="FFF7F2"/>
          </w:tcPr>
          <w:p>
            <w:pPr>
              <w:pStyle w:val="TableParagraph"/>
              <w:spacing w:line="147" w:lineRule="exact" w:before="34"/>
              <w:ind w:left="195"/>
              <w:rPr>
                <w:rFonts w:ascii="Verdana"/>
                <w:sz w:val="19"/>
              </w:rPr>
            </w:pPr>
            <w:r>
              <w:rPr>
                <w:rFonts w:ascii="Verdana"/>
                <w:color w:val="4E4E4F"/>
                <w:sz w:val="19"/>
              </w:rPr>
              <w:t>22</w:t>
            </w:r>
          </w:p>
        </w:tc>
        <w:tc>
          <w:tcPr>
            <w:tcW w:w="609" w:type="dxa"/>
            <w:tcBorders>
              <w:bottom w:val="nil"/>
            </w:tcBorders>
            <w:shd w:val="clear" w:color="auto" w:fill="FFF7F2"/>
          </w:tcPr>
          <w:p>
            <w:pPr>
              <w:pStyle w:val="TableParagraph"/>
              <w:spacing w:line="147" w:lineRule="exact" w:before="34"/>
              <w:ind w:left="172"/>
              <w:rPr>
                <w:rFonts w:ascii="Verdana"/>
                <w:sz w:val="19"/>
              </w:rPr>
            </w:pPr>
            <w:r>
              <w:rPr>
                <w:rFonts w:ascii="Verdana"/>
                <w:color w:val="4E4E4F"/>
                <w:sz w:val="19"/>
              </w:rPr>
              <w:t>24</w:t>
            </w:r>
          </w:p>
        </w:tc>
        <w:tc>
          <w:tcPr>
            <w:tcW w:w="449" w:type="dxa"/>
            <w:tcBorders>
              <w:bottom w:val="nil"/>
              <w:right w:val="nil"/>
            </w:tcBorders>
            <w:shd w:val="clear" w:color="auto" w:fill="FFF7F2"/>
          </w:tcPr>
          <w:p>
            <w:pPr>
              <w:pStyle w:val="TableParagraph"/>
              <w:rPr>
                <w:rFonts w:ascii="Times New Roman"/>
                <w:sz w:val="1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pPr>
    </w:p>
    <w:p>
      <w:pPr>
        <w:pStyle w:val="BodyText"/>
        <w:spacing w:line="247" w:lineRule="auto" w:before="100"/>
        <w:ind w:left="5482" w:right="150"/>
      </w:pPr>
      <w:r>
        <w:rPr/>
        <w:pict>
          <v:group style="position:absolute;margin-left:54.095001pt;margin-top:-340.911713pt;width:503.95pt;height:324.2pt;mso-position-horizontal-relative:page;mso-position-vertical-relative:paragraph;z-index:-19567616" coordorigin="1082,-6818" coordsize="10079,6484">
            <v:rect style="position:absolute;left:1086;top:-6814;width:10069;height:6474" filled="true" fillcolor="#fff7f2" stroked="false">
              <v:fill type="solid"/>
            </v:rect>
            <v:line style="position:absolute" from="1524,-3356" to="2441,-3356" stroked="true" strokeweight=".95pt" strokecolor="#137692">
              <v:stroke dashstyle="solid"/>
            </v:line>
            <v:line style="position:absolute" from="1503,-4606" to="2430,-4606" stroked="true" strokeweight=".95pt" strokecolor="#137692">
              <v:stroke dashstyle="solid"/>
            </v:line>
            <v:line style="position:absolute" from="1972,-4723" to="1972,-5331" stroked="true" strokeweight="1.899pt" strokecolor="#b15651">
              <v:stroke dashstyle="solid"/>
            </v:line>
            <v:shape style="position:absolute;left:1873;top:-5490;width:197;height:234" coordorigin="1873,-5490" coordsize="197,234" path="m1972,-5490l1873,-5257,1972,-5298,2070,-5257,1972,-5490xe" filled="true" fillcolor="#b15651" stroked="false">
              <v:path arrowok="t"/>
              <v:fill type="solid"/>
            </v:shape>
            <v:line style="position:absolute" from="1972,-2144" to="1972,-3126" stroked="true" strokeweight="1.899pt" strokecolor="#b15651">
              <v:stroke dashstyle="solid"/>
            </v:line>
            <v:shape style="position:absolute;left:1873;top:-3285;width:197;height:234" coordorigin="1873,-3284" coordsize="197,234" path="m1972,-3284l1873,-3051,1972,-3093,2070,-3051,1972,-3284xe" filled="true" fillcolor="#b15651" stroked="false">
              <v:path arrowok="t"/>
              <v:fill type="solid"/>
            </v:shape>
            <v:rect style="position:absolute;left:2573;top:-4608;width:8123;height:1254" filled="true" fillcolor="#e2eaeb" stroked="false">
              <v:fill type="solid"/>
            </v:rect>
            <v:line style="position:absolute" from="2664,-3444" to="3936,-4453" stroked="true" strokeweight=".95pt" strokecolor="#b15651">
              <v:stroke dashstyle="solid"/>
            </v:line>
            <v:shape style="position:absolute;left:3867;top:-4510;width:140;height:127" coordorigin="3868,-4510" coordsize="140,127" path="m4007,-4510l3868,-4471,3921,-4442,3938,-4383,4007,-4510xe" filled="true" fillcolor="#b15651" stroked="false">
              <v:path arrowok="t"/>
              <v:fill type="solid"/>
            </v:shape>
            <v:line style="position:absolute" from="4016,-4499" to="10233,-3506" stroked="true" strokeweight=".95pt" strokecolor="#b15651">
              <v:stroke dashstyle="solid"/>
            </v:line>
            <v:shape style="position:absolute;left:10182;top:-3568;width:141;height:112" coordorigin="10182,-3568" coordsize="141,112" path="m10200,-3568l10215,-3509,10182,-3457,10323,-3491,10200,-3568xe" filled="true" fillcolor="#b15651" stroked="false">
              <v:path arrowok="t"/>
              <v:fill type="solid"/>
            </v:shape>
            <v:rect style="position:absolute;left:1086;top:-6814;width:10069;height:6474" filled="false" stroked="true" strokeweight=".5pt" strokecolor="#88aabd">
              <v:stroke dashstyle="solid"/>
            </v:rect>
            <v:line style="position:absolute" from="1362,-5857" to="10880,-5857" stroked="true" strokeweight="2pt" strokecolor="#598ea7">
              <v:stroke dashstyle="solid"/>
            </v:line>
            <v:shape style="position:absolute;left:1361;top:-6627;width:8764;height:669" type="#_x0000_t202" filled="false" stroked="false">
              <v:textbox inset="0,0,0,0">
                <w:txbxContent>
                  <w:p>
                    <w:pPr>
                      <w:spacing w:line="256" w:lineRule="auto" w:before="36"/>
                      <w:ind w:left="0" w:right="0" w:firstLine="0"/>
                      <w:jc w:val="left"/>
                      <w:rPr>
                        <w:rFonts w:ascii="Arial"/>
                        <w:b/>
                        <w:sz w:val="26"/>
                      </w:rPr>
                    </w:pPr>
                    <w:r>
                      <w:rPr>
                        <w:rFonts w:ascii="Arial"/>
                        <w:b/>
                        <w:color w:val="137692"/>
                        <w:w w:val="110"/>
                        <w:sz w:val="26"/>
                      </w:rPr>
                      <w:t>EXHIBIT</w:t>
                    </w:r>
                    <w:r>
                      <w:rPr>
                        <w:rFonts w:ascii="Arial"/>
                        <w:b/>
                        <w:color w:val="137692"/>
                        <w:spacing w:val="-11"/>
                        <w:w w:val="110"/>
                        <w:sz w:val="26"/>
                      </w:rPr>
                      <w:t> </w:t>
                    </w:r>
                    <w:r>
                      <w:rPr>
                        <w:rFonts w:ascii="Arial"/>
                        <w:b/>
                        <w:color w:val="137692"/>
                        <w:w w:val="110"/>
                        <w:sz w:val="26"/>
                      </w:rPr>
                      <w:t>3B.4.</w:t>
                    </w:r>
                    <w:r>
                      <w:rPr>
                        <w:rFonts w:ascii="Arial"/>
                        <w:b/>
                        <w:color w:val="137692"/>
                        <w:spacing w:val="-10"/>
                        <w:w w:val="110"/>
                        <w:sz w:val="26"/>
                      </w:rPr>
                      <w:t> </w:t>
                    </w:r>
                    <w:r>
                      <w:rPr>
                        <w:rFonts w:ascii="Arial"/>
                        <w:b/>
                        <w:color w:val="137692"/>
                        <w:w w:val="110"/>
                        <w:sz w:val="26"/>
                      </w:rPr>
                      <w:t>Using</w:t>
                    </w:r>
                    <w:r>
                      <w:rPr>
                        <w:rFonts w:ascii="Arial"/>
                        <w:b/>
                        <w:color w:val="137692"/>
                        <w:spacing w:val="-10"/>
                        <w:w w:val="110"/>
                        <w:sz w:val="26"/>
                      </w:rPr>
                      <w:t> </w:t>
                    </w:r>
                    <w:r>
                      <w:rPr>
                        <w:rFonts w:ascii="Arial"/>
                        <w:b/>
                        <w:color w:val="137692"/>
                        <w:w w:val="110"/>
                        <w:sz w:val="26"/>
                      </w:rPr>
                      <w:t>Signs</w:t>
                    </w:r>
                    <w:r>
                      <w:rPr>
                        <w:rFonts w:ascii="Arial"/>
                        <w:b/>
                        <w:color w:val="137692"/>
                        <w:spacing w:val="-10"/>
                        <w:w w:val="110"/>
                        <w:sz w:val="26"/>
                      </w:rPr>
                      <w:t> </w:t>
                    </w:r>
                    <w:r>
                      <w:rPr>
                        <w:rFonts w:ascii="Arial"/>
                        <w:b/>
                        <w:color w:val="137692"/>
                        <w:w w:val="110"/>
                        <w:sz w:val="26"/>
                      </w:rPr>
                      <w:t>and</w:t>
                    </w:r>
                    <w:r>
                      <w:rPr>
                        <w:rFonts w:ascii="Arial"/>
                        <w:b/>
                        <w:color w:val="137692"/>
                        <w:spacing w:val="-10"/>
                        <w:w w:val="110"/>
                        <w:sz w:val="26"/>
                      </w:rPr>
                      <w:t> </w:t>
                    </w:r>
                    <w:r>
                      <w:rPr>
                        <w:rFonts w:ascii="Arial"/>
                        <w:b/>
                        <w:color w:val="137692"/>
                        <w:w w:val="110"/>
                        <w:sz w:val="26"/>
                      </w:rPr>
                      <w:t>Symptoms</w:t>
                    </w:r>
                    <w:r>
                      <w:rPr>
                        <w:rFonts w:ascii="Arial"/>
                        <w:b/>
                        <w:color w:val="137692"/>
                        <w:spacing w:val="-10"/>
                        <w:w w:val="110"/>
                        <w:sz w:val="26"/>
                      </w:rPr>
                      <w:t> </w:t>
                    </w:r>
                    <w:r>
                      <w:rPr>
                        <w:rFonts w:ascii="Arial"/>
                        <w:b/>
                        <w:color w:val="137692"/>
                        <w:spacing w:val="-8"/>
                        <w:w w:val="110"/>
                        <w:sz w:val="26"/>
                      </w:rPr>
                      <w:t>To</w:t>
                    </w:r>
                    <w:r>
                      <w:rPr>
                        <w:rFonts w:ascii="Arial"/>
                        <w:b/>
                        <w:color w:val="137692"/>
                        <w:spacing w:val="-10"/>
                        <w:w w:val="110"/>
                        <w:sz w:val="26"/>
                      </w:rPr>
                      <w:t> </w:t>
                    </w:r>
                    <w:r>
                      <w:rPr>
                        <w:rFonts w:ascii="Arial"/>
                        <w:b/>
                        <w:color w:val="137692"/>
                        <w:w w:val="110"/>
                        <w:sz w:val="26"/>
                      </w:rPr>
                      <w:t>Determine</w:t>
                    </w:r>
                    <w:r>
                      <w:rPr>
                        <w:rFonts w:ascii="Arial"/>
                        <w:b/>
                        <w:color w:val="137692"/>
                        <w:spacing w:val="-10"/>
                        <w:w w:val="110"/>
                        <w:sz w:val="26"/>
                      </w:rPr>
                      <w:t> </w:t>
                    </w:r>
                    <w:r>
                      <w:rPr>
                        <w:rFonts w:ascii="Arial"/>
                        <w:b/>
                        <w:color w:val="137692"/>
                        <w:w w:val="110"/>
                        <w:sz w:val="26"/>
                      </w:rPr>
                      <w:t>Optimal Methadone</w:t>
                    </w:r>
                    <w:r>
                      <w:rPr>
                        <w:rFonts w:ascii="Arial"/>
                        <w:b/>
                        <w:color w:val="137692"/>
                        <w:spacing w:val="-6"/>
                        <w:w w:val="110"/>
                        <w:sz w:val="26"/>
                      </w:rPr>
                      <w:t> </w:t>
                    </w:r>
                    <w:r>
                      <w:rPr>
                        <w:rFonts w:ascii="Arial"/>
                        <w:b/>
                        <w:color w:val="137692"/>
                        <w:w w:val="110"/>
                        <w:sz w:val="26"/>
                      </w:rPr>
                      <w:t>Level</w:t>
                    </w:r>
                  </w:p>
                </w:txbxContent>
              </v:textbox>
              <w10:wrap type="none"/>
            </v:shape>
            <v:shape style="position:absolute;left:1485;top:-4303;width:1025;height:652" type="#_x0000_t202" filled="false" stroked="false">
              <v:textbox inset="0,0,0,0">
                <w:txbxContent>
                  <w:p>
                    <w:pPr>
                      <w:spacing w:line="237" w:lineRule="auto" w:before="0"/>
                      <w:ind w:left="-1" w:right="18" w:firstLine="0"/>
                      <w:jc w:val="center"/>
                      <w:rPr>
                        <w:rFonts w:ascii="Arial"/>
                        <w:sz w:val="17"/>
                      </w:rPr>
                    </w:pPr>
                    <w:r>
                      <w:rPr>
                        <w:rFonts w:ascii="Lucida Sans Unicode"/>
                        <w:color w:val="4D4D4F"/>
                        <w:spacing w:val="-1"/>
                        <w:w w:val="115"/>
                        <w:sz w:val="17"/>
                      </w:rPr>
                      <w:t>M</w:t>
                    </w:r>
                    <w:r>
                      <w:rPr>
                        <w:rFonts w:ascii="Arial"/>
                        <w:color w:val="4D4D4F"/>
                        <w:spacing w:val="-1"/>
                        <w:w w:val="115"/>
                        <w:sz w:val="17"/>
                      </w:rPr>
                      <w:t>ethadone </w:t>
                    </w:r>
                    <w:r>
                      <w:rPr>
                        <w:rFonts w:ascii="Arial"/>
                        <w:color w:val="4D4D4F"/>
                        <w:w w:val="120"/>
                        <w:sz w:val="17"/>
                      </w:rPr>
                      <w:t>Comfort Zone</w:t>
                    </w:r>
                  </w:p>
                </w:txbxContent>
              </v:textbox>
              <w10:wrap type="none"/>
            </v:shape>
            <v:shape style="position:absolute;left:1704;top:-2114;width:608;height:443" type="#_x0000_t202" filled="false" stroked="false">
              <v:textbox inset="0,0,0,0">
                <w:txbxContent>
                  <w:p>
                    <w:pPr>
                      <w:spacing w:line="261" w:lineRule="auto" w:before="14"/>
                      <w:ind w:left="59" w:right="13" w:hanging="60"/>
                      <w:jc w:val="left"/>
                      <w:rPr>
                        <w:rFonts w:ascii="Arial"/>
                        <w:b/>
                        <w:sz w:val="17"/>
                      </w:rPr>
                    </w:pPr>
                    <w:r>
                      <w:rPr>
                        <w:rFonts w:ascii="Tahoma"/>
                        <w:b/>
                        <w:color w:val="4D4D4F"/>
                        <w:w w:val="110"/>
                        <w:sz w:val="17"/>
                      </w:rPr>
                      <w:t>S</w:t>
                    </w:r>
                    <w:r>
                      <w:rPr>
                        <w:rFonts w:ascii="Arial"/>
                        <w:b/>
                        <w:color w:val="4D4D4F"/>
                        <w:w w:val="110"/>
                        <w:sz w:val="17"/>
                      </w:rPr>
                      <w:t>erum Level</w:t>
                    </w:r>
                  </w:p>
                </w:txbxContent>
              </v:textbox>
              <w10:wrap type="none"/>
            </v:shape>
            <v:shape style="position:absolute;left:6156;top:-1115;width:596;height:250" type="#_x0000_t202" filled="false" stroked="false">
              <v:textbox inset="0,0,0,0">
                <w:txbxContent>
                  <w:p>
                    <w:pPr>
                      <w:spacing w:line="250" w:lineRule="exact" w:before="0"/>
                      <w:ind w:left="0" w:right="0" w:firstLine="0"/>
                      <w:jc w:val="left"/>
                      <w:rPr>
                        <w:rFonts w:ascii="Lucida Sans Unicode"/>
                        <w:sz w:val="19"/>
                      </w:rPr>
                    </w:pPr>
                    <w:r>
                      <w:rPr>
                        <w:rFonts w:ascii="Arial"/>
                        <w:color w:val="4E4E4F"/>
                        <w:w w:val="115"/>
                        <w:sz w:val="19"/>
                      </w:rPr>
                      <w:t>Hour</w:t>
                    </w:r>
                    <w:r>
                      <w:rPr>
                        <w:rFonts w:ascii="Lucida Sans Unicode"/>
                        <w:color w:val="4E4E4F"/>
                        <w:w w:val="115"/>
                        <w:sz w:val="19"/>
                      </w:rPr>
                      <w:t>s</w:t>
                    </w:r>
                  </w:p>
                </w:txbxContent>
              </v:textbox>
              <w10:wrap type="none"/>
            </v:shape>
            <v:shape style="position:absolute;left:1361;top:-782;width:2234;height:209" type="#_x0000_t202" filled="false" stroked="false">
              <v:textbox inset="0,0,0,0">
                <w:txbxContent>
                  <w:p>
                    <w:pPr>
                      <w:spacing w:line="194" w:lineRule="exact" w:before="14"/>
                      <w:ind w:left="0" w:right="0" w:firstLine="0"/>
                      <w:jc w:val="left"/>
                      <w:rPr>
                        <w:rFonts w:ascii="Calibri"/>
                        <w:i/>
                        <w:sz w:val="9"/>
                      </w:rPr>
                    </w:pPr>
                    <w:r>
                      <w:rPr>
                        <w:rFonts w:ascii="Calibri"/>
                        <w:i/>
                        <w:color w:val="4D4D4F"/>
                        <w:w w:val="125"/>
                        <w:sz w:val="16"/>
                      </w:rPr>
                      <w:t>Adapted with</w:t>
                    </w:r>
                    <w:r>
                      <w:rPr>
                        <w:rFonts w:ascii="Calibri"/>
                        <w:i/>
                        <w:color w:val="4D4D4F"/>
                        <w:spacing w:val="-33"/>
                        <w:w w:val="125"/>
                        <w:sz w:val="16"/>
                      </w:rPr>
                      <w:t> </w:t>
                    </w:r>
                    <w:r>
                      <w:rPr>
                        <w:rFonts w:ascii="Calibri"/>
                        <w:i/>
                        <w:color w:val="4D4D4F"/>
                        <w:w w:val="125"/>
                        <w:sz w:val="16"/>
                      </w:rPr>
                      <w:t>permission.</w:t>
                    </w:r>
                    <w:r>
                      <w:rPr>
                        <w:rFonts w:ascii="Calibri"/>
                        <w:i/>
                        <w:color w:val="4D4D4F"/>
                        <w:w w:val="125"/>
                        <w:position w:val="5"/>
                        <w:sz w:val="9"/>
                      </w:rPr>
                      <w:t>138</w:t>
                    </w:r>
                  </w:p>
                </w:txbxContent>
              </v:textbox>
              <w10:wrap type="none"/>
            </v:shape>
            <w10:wrap type="none"/>
          </v:group>
        </w:pict>
      </w:r>
      <w:r>
        <w:rPr/>
        <w:pict>
          <v:group style="position:absolute;margin-left:54.095001pt;margin-top:6.904287pt;width:242.95pt;height:282.6pt;mso-position-horizontal-relative:page;mso-position-vertical-relative:paragraph;z-index:15749120" coordorigin="1082,138" coordsize="4859,5652">
            <v:rect style="position:absolute;left:1086;top:143;width:4849;height:5642" filled="true" fillcolor="#fff7f2" stroked="false">
              <v:fill type="solid"/>
            </v:rect>
            <v:rect style="position:absolute;left:1661;top:1717;width:3872;height:2807" filled="true" fillcolor="#e2eaeb" stroked="false">
              <v:fill type="solid"/>
            </v:rect>
            <v:shape style="position:absolute;left:1657;top:1925;width:3898;height:2608" type="#_x0000_t75" stroked="false">
              <v:imagedata r:id="rId50" o:title=""/>
            </v:shape>
            <v:line style="position:absolute" from="5535,4540" to="5535,4594" stroked="true" strokeweight=".913pt" strokecolor="#137794">
              <v:stroke dashstyle="solid"/>
            </v:line>
            <v:line style="position:absolute" from="5323,4542" to="5323,4596" stroked="true" strokeweight=".913pt" strokecolor="#137794">
              <v:stroke dashstyle="solid"/>
            </v:line>
            <v:line style="position:absolute" from="5108,4542" to="5108,4596" stroked="true" strokeweight=".913pt" strokecolor="#137794">
              <v:stroke dashstyle="solid"/>
            </v:line>
            <v:line style="position:absolute" from="4892,4542" to="4892,4596" stroked="true" strokeweight=".913pt" strokecolor="#137794">
              <v:stroke dashstyle="solid"/>
            </v:line>
            <v:line style="position:absolute" from="4677,4542" to="4677,4596" stroked="true" strokeweight=".913pt" strokecolor="#137794">
              <v:stroke dashstyle="solid"/>
            </v:line>
            <v:line style="position:absolute" from="4462,4542" to="4462,4596" stroked="true" strokeweight=".913pt" strokecolor="#137794">
              <v:stroke dashstyle="solid"/>
            </v:line>
            <v:line style="position:absolute" from="4246,4542" to="4246,4596" stroked="true" strokeweight=".913pt" strokecolor="#137794">
              <v:stroke dashstyle="solid"/>
            </v:line>
            <v:line style="position:absolute" from="4031,4542" to="4031,4596" stroked="true" strokeweight=".913pt" strokecolor="#137794">
              <v:stroke dashstyle="solid"/>
            </v:line>
            <v:line style="position:absolute" from="3816,4542" to="3816,4596" stroked="true" strokeweight=".913pt" strokecolor="#137794">
              <v:stroke dashstyle="solid"/>
            </v:line>
            <v:line style="position:absolute" from="3601,4542" to="3601,4596" stroked="true" strokeweight=".913pt" strokecolor="#137794">
              <v:stroke dashstyle="solid"/>
            </v:line>
            <v:line style="position:absolute" from="3385,4542" to="3385,4596" stroked="true" strokeweight=".913pt" strokecolor="#137794">
              <v:stroke dashstyle="solid"/>
            </v:line>
            <v:line style="position:absolute" from="3170,4542" to="3170,4596" stroked="true" strokeweight=".913pt" strokecolor="#137794">
              <v:stroke dashstyle="solid"/>
            </v:line>
            <v:line style="position:absolute" from="2955,4542" to="2955,4596" stroked="true" strokeweight=".913pt" strokecolor="#137794">
              <v:stroke dashstyle="solid"/>
            </v:line>
            <v:line style="position:absolute" from="2740,4542" to="2740,4596" stroked="true" strokeweight=".913pt" strokecolor="#137794">
              <v:stroke dashstyle="solid"/>
            </v:line>
            <v:line style="position:absolute" from="2524,4542" to="2524,4596" stroked="true" strokeweight=".913pt" strokecolor="#137794">
              <v:stroke dashstyle="solid"/>
            </v:line>
            <v:line style="position:absolute" from="2309,4542" to="2309,4596" stroked="true" strokeweight=".913pt" strokecolor="#137794">
              <v:stroke dashstyle="solid"/>
            </v:line>
            <v:line style="position:absolute" from="2094,4542" to="2094,4596" stroked="true" strokeweight=".913pt" strokecolor="#137794">
              <v:stroke dashstyle="solid"/>
            </v:line>
            <v:line style="position:absolute" from="1879,4542" to="1879,4596" stroked="true" strokeweight=".913pt" strokecolor="#137794">
              <v:stroke dashstyle="solid"/>
            </v:line>
            <v:line style="position:absolute" from="1663,4542" to="1663,4596" stroked="true" strokeweight=".913pt" strokecolor="#137794">
              <v:stroke dashstyle="solid"/>
            </v:line>
            <v:shape style="position:absolute;left:1663;top:1714;width:3875;height:2820" coordorigin="1663,1714" coordsize="3875,2820" path="m1663,1714l1663,4533,5538,4533e" filled="false" stroked="true" strokeweight=".913pt" strokecolor="#137794">
              <v:path arrowok="t"/>
              <v:stroke dashstyle="solid"/>
            </v:shape>
            <v:line style="position:absolute" from="1444,2278" to="1444,1860" stroked="true" strokeweight="1.495pt" strokecolor="#b15651">
              <v:stroke dashstyle="solid"/>
            </v:line>
            <v:shape style="position:absolute;left:1366;top:1735;width:155;height:184" coordorigin="1366,1735" coordsize="155,184" path="m1444,1735l1366,1919,1444,1886,1521,1919,1444,1735xe" filled="true" fillcolor="#b15651" stroked="false">
              <v:path arrowok="t"/>
              <v:fill type="solid"/>
            </v:shape>
            <v:line style="position:absolute" from="1450,4779" to="1450,4372" stroked="true" strokeweight="1.442pt" strokecolor="#b15651">
              <v:stroke dashstyle="solid"/>
            </v:line>
            <v:shape style="position:absolute;left:1375;top:4251;width:150;height:178" coordorigin="1375,4251" coordsize="150,178" path="m1450,4251l1375,4428,1450,4397,1525,4428,1450,4251xe" filled="true" fillcolor="#b15651" stroked="false">
              <v:path arrowok="t"/>
              <v:fill type="solid"/>
            </v:shape>
            <v:shape style="position:absolute;left:1086;top:143;width:4849;height:5642" type="#_x0000_t202" filled="false" stroked="true" strokeweight=".5pt" strokecolor="#88aabd">
              <v:textbox inset="0,0,0,0">
                <w:txbxContent>
                  <w:p>
                    <w:pPr>
                      <w:spacing w:line="256" w:lineRule="auto" w:before="218"/>
                      <w:ind w:left="270" w:right="944" w:firstLine="0"/>
                      <w:jc w:val="both"/>
                      <w:rPr>
                        <w:rFonts w:ascii="Arial"/>
                        <w:b/>
                        <w:sz w:val="26"/>
                      </w:rPr>
                    </w:pPr>
                    <w:r>
                      <w:rPr>
                        <w:rFonts w:ascii="Arial"/>
                        <w:b/>
                        <w:color w:val="137692"/>
                        <w:w w:val="110"/>
                        <w:sz w:val="26"/>
                      </w:rPr>
                      <w:t>EXHIBIT 3B.5.</w:t>
                    </w:r>
                    <w:r>
                      <w:rPr>
                        <w:rFonts w:ascii="Arial"/>
                        <w:b/>
                        <w:color w:val="137692"/>
                        <w:spacing w:val="-47"/>
                        <w:w w:val="110"/>
                        <w:sz w:val="26"/>
                      </w:rPr>
                      <w:t> </w:t>
                    </w:r>
                    <w:r>
                      <w:rPr>
                        <w:rFonts w:ascii="Arial"/>
                        <w:b/>
                        <w:color w:val="137692"/>
                        <w:spacing w:val="-4"/>
                        <w:w w:val="110"/>
                        <w:sz w:val="26"/>
                      </w:rPr>
                      <w:t>Steady-State </w:t>
                    </w:r>
                    <w:r>
                      <w:rPr>
                        <w:rFonts w:ascii="Arial"/>
                        <w:b/>
                        <w:color w:val="137692"/>
                        <w:w w:val="110"/>
                        <w:sz w:val="26"/>
                      </w:rPr>
                      <w:t>Methadone Concentration Reached in About 5</w:t>
                    </w:r>
                    <w:r>
                      <w:rPr>
                        <w:rFonts w:ascii="Arial"/>
                        <w:b/>
                        <w:color w:val="137692"/>
                        <w:spacing w:val="-31"/>
                        <w:w w:val="110"/>
                        <w:sz w:val="26"/>
                      </w:rPr>
                      <w:t> </w:t>
                    </w:r>
                    <w:r>
                      <w:rPr>
                        <w:rFonts w:ascii="Arial"/>
                        <w:b/>
                        <w:color w:val="137692"/>
                        <w:w w:val="110"/>
                        <w:sz w:val="26"/>
                      </w:rPr>
                      <w:t>Days</w:t>
                    </w:r>
                  </w:p>
                  <w:p>
                    <w:pPr>
                      <w:spacing w:line="240" w:lineRule="auto" w:before="0"/>
                      <w:rPr>
                        <w:rFonts w:ascii="Arial"/>
                        <w:b/>
                        <w:sz w:val="34"/>
                      </w:rPr>
                    </w:pPr>
                  </w:p>
                  <w:p>
                    <w:pPr>
                      <w:spacing w:line="240" w:lineRule="auto" w:before="0"/>
                      <w:rPr>
                        <w:rFonts w:ascii="Arial"/>
                        <w:b/>
                        <w:sz w:val="34"/>
                      </w:rPr>
                    </w:pPr>
                  </w:p>
                  <w:p>
                    <w:pPr>
                      <w:spacing w:line="240" w:lineRule="auto" w:before="0"/>
                      <w:rPr>
                        <w:rFonts w:ascii="Arial"/>
                        <w:b/>
                        <w:sz w:val="34"/>
                      </w:rPr>
                    </w:pPr>
                  </w:p>
                  <w:p>
                    <w:pPr>
                      <w:spacing w:line="240" w:lineRule="auto" w:before="0"/>
                      <w:rPr>
                        <w:rFonts w:ascii="Arial"/>
                        <w:b/>
                        <w:sz w:val="34"/>
                      </w:rPr>
                    </w:pPr>
                  </w:p>
                  <w:p>
                    <w:pPr>
                      <w:spacing w:line="240" w:lineRule="auto" w:before="0"/>
                      <w:rPr>
                        <w:rFonts w:ascii="Arial"/>
                        <w:b/>
                        <w:sz w:val="34"/>
                      </w:rPr>
                    </w:pPr>
                  </w:p>
                  <w:p>
                    <w:pPr>
                      <w:spacing w:line="240" w:lineRule="auto" w:before="0"/>
                      <w:rPr>
                        <w:rFonts w:ascii="Arial"/>
                        <w:b/>
                        <w:sz w:val="34"/>
                      </w:rPr>
                    </w:pPr>
                  </w:p>
                  <w:p>
                    <w:pPr>
                      <w:spacing w:line="240" w:lineRule="auto" w:before="0"/>
                      <w:rPr>
                        <w:rFonts w:ascii="Arial"/>
                        <w:b/>
                        <w:sz w:val="34"/>
                      </w:rPr>
                    </w:pPr>
                  </w:p>
                  <w:p>
                    <w:pPr>
                      <w:spacing w:line="240" w:lineRule="auto" w:before="0"/>
                      <w:rPr>
                        <w:rFonts w:ascii="Arial"/>
                        <w:b/>
                        <w:sz w:val="34"/>
                      </w:rPr>
                    </w:pPr>
                  </w:p>
                  <w:p>
                    <w:pPr>
                      <w:tabs>
                        <w:tab w:pos="619" w:val="left" w:leader="none"/>
                        <w:tab w:pos="1046" w:val="left" w:leader="none"/>
                        <w:tab w:pos="1472" w:val="left" w:leader="none"/>
                        <w:tab w:pos="1914" w:val="left" w:leader="none"/>
                        <w:tab w:pos="2341" w:val="left" w:leader="none"/>
                        <w:tab w:pos="2775" w:val="left" w:leader="none"/>
                        <w:tab w:pos="3206" w:val="left" w:leader="none"/>
                        <w:tab w:pos="3644" w:val="left" w:leader="none"/>
                        <w:tab w:pos="4038" w:val="left" w:leader="none"/>
                      </w:tabs>
                      <w:spacing w:before="214"/>
                      <w:ind w:left="225" w:right="0" w:firstLine="0"/>
                      <w:jc w:val="center"/>
                      <w:rPr>
                        <w:rFonts w:ascii="Arial"/>
                        <w:sz w:val="16"/>
                      </w:rPr>
                    </w:pPr>
                    <w:r>
                      <w:rPr>
                        <w:rFonts w:ascii="Arial"/>
                        <w:color w:val="404042"/>
                        <w:sz w:val="16"/>
                      </w:rPr>
                      <w:t>1</w:t>
                      <w:tab/>
                    </w:r>
                    <w:r>
                      <w:rPr>
                        <w:rFonts w:ascii="Arial"/>
                        <w:color w:val="404042"/>
                        <w:w w:val="105"/>
                        <w:sz w:val="16"/>
                      </w:rPr>
                      <w:t>2</w:t>
                      <w:tab/>
                      <w:t>3</w:t>
                      <w:tab/>
                      <w:t>4</w:t>
                      <w:tab/>
                      <w:t>5</w:t>
                      <w:tab/>
                      <w:t>6</w:t>
                      <w:tab/>
                      <w:t>7</w:t>
                      <w:tab/>
                      <w:t>8</w:t>
                      <w:tab/>
                      <w:t>9</w:t>
                      <w:tab/>
                    </w:r>
                    <w:r>
                      <w:rPr>
                        <w:rFonts w:ascii="Arial"/>
                        <w:color w:val="404042"/>
                        <w:spacing w:val="-5"/>
                        <w:w w:val="105"/>
                        <w:sz w:val="16"/>
                      </w:rPr>
                      <w:t>10</w:t>
                    </w:r>
                  </w:p>
                  <w:p>
                    <w:pPr>
                      <w:spacing w:before="42"/>
                      <w:ind w:left="163" w:right="0" w:firstLine="0"/>
                      <w:jc w:val="center"/>
                      <w:rPr>
                        <w:rFonts w:ascii="Arial"/>
                        <w:sz w:val="14"/>
                      </w:rPr>
                    </w:pPr>
                    <w:r>
                      <w:rPr>
                        <w:rFonts w:ascii="Arial"/>
                        <w:color w:val="404042"/>
                        <w:w w:val="115"/>
                        <w:sz w:val="14"/>
                      </w:rPr>
                      <w:t>Time (Day</w:t>
                    </w:r>
                    <w:r>
                      <w:rPr>
                        <w:rFonts w:ascii="Lucida Sans Unicode"/>
                        <w:color w:val="404042"/>
                        <w:w w:val="115"/>
                        <w:sz w:val="14"/>
                      </w:rPr>
                      <w:t>s</w:t>
                    </w:r>
                    <w:r>
                      <w:rPr>
                        <w:rFonts w:ascii="Arial"/>
                        <w:color w:val="404042"/>
                        <w:w w:val="115"/>
                        <w:sz w:val="14"/>
                      </w:rPr>
                      <w:t>)</w:t>
                    </w:r>
                  </w:p>
                  <w:p>
                    <w:pPr>
                      <w:spacing w:line="240" w:lineRule="auto" w:before="7"/>
                      <w:rPr>
                        <w:rFonts w:ascii="Arial"/>
                        <w:sz w:val="21"/>
                      </w:rPr>
                    </w:pPr>
                  </w:p>
                  <w:p>
                    <w:pPr>
                      <w:spacing w:before="0"/>
                      <w:ind w:left="270" w:right="0" w:firstLine="0"/>
                      <w:jc w:val="both"/>
                      <w:rPr>
                        <w:rFonts w:ascii="Calibri"/>
                        <w:i/>
                        <w:sz w:val="9"/>
                      </w:rPr>
                    </w:pPr>
                    <w:r>
                      <w:rPr>
                        <w:rFonts w:ascii="Calibri"/>
                        <w:i/>
                        <w:color w:val="4D4D4F"/>
                        <w:w w:val="120"/>
                        <w:sz w:val="16"/>
                      </w:rPr>
                      <w:t>Adapted with permission.</w:t>
                    </w:r>
                    <w:r>
                      <w:rPr>
                        <w:rFonts w:ascii="Calibri"/>
                        <w:i/>
                        <w:color w:val="4D4D4F"/>
                        <w:w w:val="120"/>
                        <w:position w:val="5"/>
                        <w:sz w:val="9"/>
                      </w:rPr>
                      <w:t>139,140</w:t>
                    </w:r>
                  </w:p>
                </w:txbxContent>
              </v:textbox>
              <v:stroke dashstyle="solid"/>
              <w10:wrap type="none"/>
            </v:shape>
            <w10:wrap type="none"/>
          </v:group>
        </w:pict>
      </w:r>
      <w:r>
        <w:rPr>
          <w:color w:val="4D4D4F"/>
          <w:w w:val="115"/>
        </w:rPr>
        <w:t>most</w:t>
      </w:r>
      <w:r>
        <w:rPr>
          <w:color w:val="4D4D4F"/>
          <w:spacing w:val="-33"/>
          <w:w w:val="115"/>
        </w:rPr>
        <w:t> </w:t>
      </w:r>
      <w:r>
        <w:rPr>
          <w:color w:val="4D4D4F"/>
          <w:w w:val="115"/>
        </w:rPr>
        <w:t>important</w:t>
      </w:r>
      <w:r>
        <w:rPr>
          <w:color w:val="4D4D4F"/>
          <w:spacing w:val="-32"/>
          <w:w w:val="115"/>
        </w:rPr>
        <w:t> </w:t>
      </w:r>
      <w:r>
        <w:rPr>
          <w:color w:val="4D4D4F"/>
          <w:w w:val="115"/>
        </w:rPr>
        <w:t>principle</w:t>
      </w:r>
      <w:r>
        <w:rPr>
          <w:color w:val="4D4D4F"/>
          <w:spacing w:val="-32"/>
          <w:w w:val="115"/>
        </w:rPr>
        <w:t> </w:t>
      </w:r>
      <w:r>
        <w:rPr>
          <w:color w:val="4D4D4F"/>
          <w:w w:val="115"/>
        </w:rPr>
        <w:t>is</w:t>
      </w:r>
      <w:r>
        <w:rPr>
          <w:color w:val="4D4D4F"/>
          <w:spacing w:val="-32"/>
          <w:w w:val="115"/>
        </w:rPr>
        <w:t> </w:t>
      </w:r>
      <w:r>
        <w:rPr>
          <w:color w:val="4D4D4F"/>
          <w:w w:val="115"/>
        </w:rPr>
        <w:t>to</w:t>
      </w:r>
      <w:r>
        <w:rPr>
          <w:color w:val="4D4D4F"/>
          <w:spacing w:val="-32"/>
          <w:w w:val="115"/>
        </w:rPr>
        <w:t> </w:t>
      </w:r>
      <w:r>
        <w:rPr>
          <w:color w:val="4D4D4F"/>
          <w:w w:val="115"/>
        </w:rPr>
        <w:t>individualize</w:t>
      </w:r>
      <w:r>
        <w:rPr>
          <w:color w:val="4D4D4F"/>
          <w:spacing w:val="-33"/>
          <w:w w:val="115"/>
        </w:rPr>
        <w:t> </w:t>
      </w:r>
      <w:r>
        <w:rPr>
          <w:color w:val="4D4D4F"/>
          <w:spacing w:val="-3"/>
          <w:w w:val="115"/>
        </w:rPr>
        <w:t>dose </w:t>
      </w:r>
      <w:r>
        <w:rPr>
          <w:color w:val="4D4D4F"/>
          <w:w w:val="115"/>
        </w:rPr>
        <w:t>induction based on careful assessment of the patient’s</w:t>
      </w:r>
      <w:r>
        <w:rPr>
          <w:color w:val="4D4D4F"/>
          <w:spacing w:val="-14"/>
          <w:w w:val="115"/>
        </w:rPr>
        <w:t> </w:t>
      </w:r>
      <w:r>
        <w:rPr>
          <w:color w:val="4D4D4F"/>
          <w:w w:val="115"/>
        </w:rPr>
        <w:t>response</w:t>
      </w:r>
      <w:r>
        <w:rPr>
          <w:color w:val="4D4D4F"/>
          <w:spacing w:val="-14"/>
          <w:w w:val="115"/>
        </w:rPr>
        <w:t> </w:t>
      </w:r>
      <w:r>
        <w:rPr>
          <w:color w:val="4D4D4F"/>
          <w:w w:val="115"/>
        </w:rPr>
        <w:t>to</w:t>
      </w:r>
      <w:r>
        <w:rPr>
          <w:color w:val="4D4D4F"/>
          <w:spacing w:val="-14"/>
          <w:w w:val="115"/>
        </w:rPr>
        <w:t> </w:t>
      </w:r>
      <w:r>
        <w:rPr>
          <w:color w:val="4D4D4F"/>
          <w:w w:val="115"/>
        </w:rPr>
        <w:t>the</w:t>
      </w:r>
      <w:r>
        <w:rPr>
          <w:color w:val="4D4D4F"/>
          <w:spacing w:val="-14"/>
          <w:w w:val="115"/>
        </w:rPr>
        <w:t> </w:t>
      </w:r>
      <w:r>
        <w:rPr>
          <w:color w:val="4D4D4F"/>
          <w:w w:val="115"/>
        </w:rPr>
        <w:t>medication.</w:t>
      </w:r>
    </w:p>
    <w:p>
      <w:pPr>
        <w:pStyle w:val="BodyText"/>
        <w:rPr>
          <w:sz w:val="23"/>
        </w:rPr>
      </w:pPr>
    </w:p>
    <w:p>
      <w:pPr>
        <w:spacing w:line="254" w:lineRule="auto" w:before="0"/>
        <w:ind w:left="5482" w:right="370" w:firstLine="0"/>
        <w:jc w:val="left"/>
        <w:rPr>
          <w:rFonts w:ascii="Calibri"/>
          <w:b/>
          <w:sz w:val="22"/>
        </w:rPr>
      </w:pPr>
      <w:r>
        <w:rPr>
          <w:rFonts w:ascii="Calibri"/>
          <w:b/>
          <w:color w:val="137692"/>
          <w:w w:val="110"/>
          <w:sz w:val="26"/>
        </w:rPr>
        <w:t>Dose Titration (Weeks 3 to 4) </w:t>
      </w:r>
      <w:r>
        <w:rPr>
          <w:rFonts w:ascii="Calibri"/>
          <w:b/>
          <w:color w:val="4D4D4F"/>
          <w:w w:val="110"/>
          <w:sz w:val="22"/>
        </w:rPr>
        <w:t>Methadone doses can be increased further in</w:t>
      </w:r>
      <w:r>
        <w:rPr>
          <w:rFonts w:ascii="Calibri"/>
          <w:b/>
          <w:color w:val="4D4D4F"/>
          <w:spacing w:val="23"/>
          <w:w w:val="110"/>
          <w:sz w:val="22"/>
        </w:rPr>
        <w:t> </w:t>
      </w:r>
      <w:r>
        <w:rPr>
          <w:rFonts w:ascii="Calibri"/>
          <w:b/>
          <w:color w:val="4D4D4F"/>
          <w:w w:val="110"/>
          <w:sz w:val="22"/>
        </w:rPr>
        <w:t>5</w:t>
      </w:r>
      <w:r>
        <w:rPr>
          <w:rFonts w:ascii="Calibri"/>
          <w:b/>
          <w:color w:val="4D4D4F"/>
          <w:spacing w:val="23"/>
          <w:w w:val="110"/>
          <w:sz w:val="22"/>
        </w:rPr>
        <w:t> </w:t>
      </w:r>
      <w:r>
        <w:rPr>
          <w:rFonts w:ascii="Calibri"/>
          <w:b/>
          <w:color w:val="4D4D4F"/>
          <w:w w:val="110"/>
          <w:sz w:val="22"/>
        </w:rPr>
        <w:t>mg</w:t>
      </w:r>
      <w:r>
        <w:rPr>
          <w:rFonts w:ascii="Calibri"/>
          <w:b/>
          <w:color w:val="4D4D4F"/>
          <w:spacing w:val="23"/>
          <w:w w:val="110"/>
          <w:sz w:val="22"/>
        </w:rPr>
        <w:t> </w:t>
      </w:r>
      <w:r>
        <w:rPr>
          <w:rFonts w:ascii="Calibri"/>
          <w:b/>
          <w:color w:val="4D4D4F"/>
          <w:w w:val="110"/>
          <w:sz w:val="22"/>
        </w:rPr>
        <w:t>increments</w:t>
      </w:r>
      <w:r>
        <w:rPr>
          <w:rFonts w:ascii="Calibri"/>
          <w:b/>
          <w:color w:val="4D4D4F"/>
          <w:spacing w:val="23"/>
          <w:w w:val="110"/>
          <w:sz w:val="22"/>
        </w:rPr>
        <w:t> </w:t>
      </w:r>
      <w:r>
        <w:rPr>
          <w:rFonts w:ascii="Calibri"/>
          <w:b/>
          <w:color w:val="4D4D4F"/>
          <w:w w:val="110"/>
          <w:sz w:val="22"/>
        </w:rPr>
        <w:t>about</w:t>
      </w:r>
      <w:r>
        <w:rPr>
          <w:rFonts w:ascii="Calibri"/>
          <w:b/>
          <w:color w:val="4D4D4F"/>
          <w:spacing w:val="24"/>
          <w:w w:val="110"/>
          <w:sz w:val="22"/>
        </w:rPr>
        <w:t> </w:t>
      </w:r>
      <w:r>
        <w:rPr>
          <w:rFonts w:ascii="Calibri"/>
          <w:b/>
          <w:color w:val="4D4D4F"/>
          <w:w w:val="110"/>
          <w:sz w:val="22"/>
        </w:rPr>
        <w:t>every</w:t>
      </w:r>
      <w:r>
        <w:rPr>
          <w:rFonts w:ascii="Calibri"/>
          <w:b/>
          <w:color w:val="4D4D4F"/>
          <w:spacing w:val="23"/>
          <w:w w:val="110"/>
          <w:sz w:val="22"/>
        </w:rPr>
        <w:t> </w:t>
      </w:r>
      <w:r>
        <w:rPr>
          <w:rFonts w:ascii="Calibri"/>
          <w:b/>
          <w:color w:val="4D4D4F"/>
          <w:w w:val="110"/>
          <w:sz w:val="22"/>
        </w:rPr>
        <w:t>3</w:t>
      </w:r>
      <w:r>
        <w:rPr>
          <w:rFonts w:ascii="Calibri"/>
          <w:b/>
          <w:color w:val="4D4D4F"/>
          <w:spacing w:val="23"/>
          <w:w w:val="110"/>
          <w:sz w:val="22"/>
        </w:rPr>
        <w:t> </w:t>
      </w:r>
      <w:r>
        <w:rPr>
          <w:rFonts w:ascii="Calibri"/>
          <w:b/>
          <w:color w:val="4D4D4F"/>
          <w:w w:val="110"/>
          <w:sz w:val="22"/>
        </w:rPr>
        <w:t>to</w:t>
      </w:r>
      <w:r>
        <w:rPr>
          <w:rFonts w:ascii="Calibri"/>
          <w:b/>
          <w:color w:val="4D4D4F"/>
          <w:spacing w:val="23"/>
          <w:w w:val="110"/>
          <w:sz w:val="22"/>
        </w:rPr>
        <w:t> </w:t>
      </w:r>
      <w:r>
        <w:rPr>
          <w:rFonts w:ascii="Calibri"/>
          <w:b/>
          <w:color w:val="4D4D4F"/>
          <w:w w:val="110"/>
          <w:sz w:val="22"/>
        </w:rPr>
        <w:t>5</w:t>
      </w:r>
      <w:r>
        <w:rPr>
          <w:rFonts w:ascii="Calibri"/>
          <w:b/>
          <w:color w:val="4D4D4F"/>
          <w:spacing w:val="23"/>
          <w:w w:val="110"/>
          <w:sz w:val="22"/>
        </w:rPr>
        <w:t> </w:t>
      </w:r>
      <w:r>
        <w:rPr>
          <w:rFonts w:ascii="Calibri"/>
          <w:b/>
          <w:color w:val="4D4D4F"/>
          <w:spacing w:val="-4"/>
          <w:w w:val="110"/>
          <w:sz w:val="22"/>
        </w:rPr>
        <w:t>days</w:t>
      </w:r>
    </w:p>
    <w:p>
      <w:pPr>
        <w:pStyle w:val="Heading7"/>
        <w:spacing w:line="248" w:lineRule="exact"/>
        <w:ind w:left="5482"/>
      </w:pPr>
      <w:r>
        <w:rPr>
          <w:color w:val="4D4D4F"/>
          <w:w w:val="115"/>
        </w:rPr>
        <w:t>based on the patient’s symptoms of</w:t>
      </w:r>
      <w:r>
        <w:rPr>
          <w:color w:val="4D4D4F"/>
          <w:spacing w:val="-38"/>
          <w:w w:val="115"/>
        </w:rPr>
        <w:t> </w:t>
      </w:r>
      <w:r>
        <w:rPr>
          <w:color w:val="4D4D4F"/>
          <w:w w:val="115"/>
        </w:rPr>
        <w:t>opioid</w:t>
      </w:r>
    </w:p>
    <w:p>
      <w:pPr>
        <w:pStyle w:val="BodyText"/>
        <w:spacing w:line="244" w:lineRule="auto"/>
        <w:ind w:left="5482" w:right="170" w:hanging="1"/>
      </w:pPr>
      <w:r>
        <w:rPr/>
        <w:pict>
          <v:shape style="position:absolute;margin-left:66.106728pt;margin-top:2.147084pt;width:11.65pt;height:92.9pt;mso-position-horizontal-relative:page;mso-position-vertical-relative:paragraph;z-index:15749632" type="#_x0000_t202" filled="false" stroked="false">
            <v:textbox inset="0,0,0,0" style="layout-flow:vertical;mso-layout-flow-alt:bottom-to-top">
              <w:txbxContent>
                <w:p>
                  <w:pPr>
                    <w:spacing w:line="212" w:lineRule="exact" w:before="20"/>
                    <w:ind w:left="20" w:right="0" w:firstLine="0"/>
                    <w:jc w:val="left"/>
                    <w:rPr>
                      <w:rFonts w:ascii="Arial"/>
                      <w:sz w:val="14"/>
                    </w:rPr>
                  </w:pPr>
                  <w:r>
                    <w:rPr>
                      <w:rFonts w:ascii="Lucida Sans Unicode"/>
                      <w:color w:val="404042"/>
                      <w:w w:val="120"/>
                      <w:sz w:val="14"/>
                    </w:rPr>
                    <w:t>S</w:t>
                  </w:r>
                  <w:r>
                    <w:rPr>
                      <w:rFonts w:ascii="Arial"/>
                      <w:color w:val="404042"/>
                      <w:w w:val="120"/>
                      <w:sz w:val="14"/>
                    </w:rPr>
                    <w:t>erum </w:t>
                  </w:r>
                  <w:r>
                    <w:rPr>
                      <w:rFonts w:ascii="Lucida Sans Unicode"/>
                      <w:color w:val="404042"/>
                      <w:w w:val="120"/>
                      <w:sz w:val="14"/>
                    </w:rPr>
                    <w:t>M</w:t>
                  </w:r>
                  <w:r>
                    <w:rPr>
                      <w:rFonts w:ascii="Arial"/>
                      <w:color w:val="404042"/>
                      <w:w w:val="120"/>
                      <w:sz w:val="14"/>
                    </w:rPr>
                    <w:t>ethadone Level</w:t>
                  </w:r>
                </w:p>
              </w:txbxContent>
            </v:textbox>
            <w10:wrap type="none"/>
          </v:shape>
        </w:pict>
      </w:r>
      <w:r>
        <w:rPr>
          <w:rFonts w:ascii="Calibri"/>
          <w:b/>
          <w:color w:val="4D4D4F"/>
          <w:w w:val="115"/>
        </w:rPr>
        <w:t>withdrawal or sedation.</w:t>
      </w:r>
      <w:r>
        <w:rPr>
          <w:rFonts w:ascii="Calibri"/>
          <w:b/>
          <w:color w:val="4D4D4F"/>
          <w:w w:val="115"/>
          <w:position w:val="7"/>
          <w:sz w:val="13"/>
        </w:rPr>
        <w:t>141 </w:t>
      </w:r>
      <w:r>
        <w:rPr>
          <w:color w:val="4D4D4F"/>
          <w:w w:val="115"/>
        </w:rPr>
        <w:t>Patients who miss more</w:t>
      </w:r>
      <w:r>
        <w:rPr>
          <w:color w:val="4D4D4F"/>
          <w:spacing w:val="-34"/>
          <w:w w:val="115"/>
        </w:rPr>
        <w:t> </w:t>
      </w:r>
      <w:r>
        <w:rPr>
          <w:color w:val="4D4D4F"/>
          <w:w w:val="115"/>
        </w:rPr>
        <w:t>than</w:t>
      </w:r>
      <w:r>
        <w:rPr>
          <w:color w:val="4D4D4F"/>
          <w:spacing w:val="-33"/>
          <w:w w:val="115"/>
        </w:rPr>
        <w:t> </w:t>
      </w:r>
      <w:r>
        <w:rPr>
          <w:color w:val="4D4D4F"/>
          <w:w w:val="115"/>
        </w:rPr>
        <w:t>four</w:t>
      </w:r>
      <w:r>
        <w:rPr>
          <w:color w:val="4D4D4F"/>
          <w:spacing w:val="-33"/>
          <w:w w:val="115"/>
        </w:rPr>
        <w:t> </w:t>
      </w:r>
      <w:r>
        <w:rPr>
          <w:color w:val="4D4D4F"/>
          <w:w w:val="115"/>
        </w:rPr>
        <w:t>doses</w:t>
      </w:r>
      <w:r>
        <w:rPr>
          <w:color w:val="4D4D4F"/>
          <w:spacing w:val="-33"/>
          <w:w w:val="115"/>
        </w:rPr>
        <w:t> </w:t>
      </w:r>
      <w:r>
        <w:rPr>
          <w:color w:val="4D4D4F"/>
          <w:w w:val="115"/>
        </w:rPr>
        <w:t>must</w:t>
      </w:r>
      <w:r>
        <w:rPr>
          <w:color w:val="4D4D4F"/>
          <w:spacing w:val="-33"/>
          <w:w w:val="115"/>
        </w:rPr>
        <w:t> </w:t>
      </w:r>
      <w:r>
        <w:rPr>
          <w:color w:val="4D4D4F"/>
          <w:w w:val="115"/>
        </w:rPr>
        <w:t>be</w:t>
      </w:r>
      <w:r>
        <w:rPr>
          <w:color w:val="4D4D4F"/>
          <w:spacing w:val="-33"/>
          <w:w w:val="115"/>
        </w:rPr>
        <w:t> </w:t>
      </w:r>
      <w:r>
        <w:rPr>
          <w:color w:val="4D4D4F"/>
          <w:w w:val="115"/>
        </w:rPr>
        <w:t>reassessed.</w:t>
      </w:r>
      <w:r>
        <w:rPr>
          <w:color w:val="4D4D4F"/>
          <w:spacing w:val="-33"/>
          <w:w w:val="115"/>
        </w:rPr>
        <w:t> </w:t>
      </w:r>
      <w:r>
        <w:rPr>
          <w:color w:val="4D4D4F"/>
          <w:spacing w:val="-4"/>
          <w:w w:val="115"/>
        </w:rPr>
        <w:t>Their </w:t>
      </w:r>
      <w:r>
        <w:rPr>
          <w:color w:val="4D4D4F"/>
          <w:w w:val="115"/>
        </w:rPr>
        <w:t>next methadone dose should be decreased substantially</w:t>
      </w:r>
      <w:r>
        <w:rPr>
          <w:color w:val="4D4D4F"/>
          <w:spacing w:val="-12"/>
          <w:w w:val="115"/>
        </w:rPr>
        <w:t> </w:t>
      </w:r>
      <w:r>
        <w:rPr>
          <w:color w:val="4D4D4F"/>
          <w:w w:val="115"/>
        </w:rPr>
        <w:t>and</w:t>
      </w:r>
      <w:r>
        <w:rPr>
          <w:color w:val="4D4D4F"/>
          <w:spacing w:val="-12"/>
          <w:w w:val="115"/>
        </w:rPr>
        <w:t> </w:t>
      </w:r>
      <w:r>
        <w:rPr>
          <w:color w:val="4D4D4F"/>
          <w:w w:val="115"/>
        </w:rPr>
        <w:t>built</w:t>
      </w:r>
      <w:r>
        <w:rPr>
          <w:color w:val="4D4D4F"/>
          <w:spacing w:val="-12"/>
          <w:w w:val="115"/>
        </w:rPr>
        <w:t> </w:t>
      </w:r>
      <w:r>
        <w:rPr>
          <w:color w:val="4D4D4F"/>
          <w:w w:val="115"/>
        </w:rPr>
        <w:t>back</w:t>
      </w:r>
      <w:r>
        <w:rPr>
          <w:color w:val="4D4D4F"/>
          <w:spacing w:val="-12"/>
          <w:w w:val="115"/>
        </w:rPr>
        <w:t> </w:t>
      </w:r>
      <w:r>
        <w:rPr>
          <w:color w:val="4D4D4F"/>
          <w:w w:val="115"/>
        </w:rPr>
        <w:t>up</w:t>
      </w:r>
      <w:r>
        <w:rPr>
          <w:color w:val="4D4D4F"/>
          <w:spacing w:val="-11"/>
          <w:w w:val="115"/>
        </w:rPr>
        <w:t> </w:t>
      </w:r>
      <w:r>
        <w:rPr>
          <w:color w:val="4D4D4F"/>
          <w:w w:val="115"/>
        </w:rPr>
        <w:t>gradually.</w:t>
      </w:r>
      <w:r>
        <w:rPr>
          <w:color w:val="4D4D4F"/>
          <w:spacing w:val="-12"/>
          <w:w w:val="115"/>
        </w:rPr>
        <w:t> </w:t>
      </w:r>
      <w:r>
        <w:rPr>
          <w:color w:val="4D4D4F"/>
          <w:w w:val="115"/>
        </w:rPr>
        <w:t>It</w:t>
      </w:r>
    </w:p>
    <w:p>
      <w:pPr>
        <w:pStyle w:val="BodyText"/>
        <w:spacing w:line="247" w:lineRule="auto" w:before="4"/>
        <w:ind w:left="5482" w:right="157"/>
      </w:pPr>
      <w:r>
        <w:rPr>
          <w:color w:val="4D4D4F"/>
          <w:w w:val="110"/>
        </w:rPr>
        <w:t>may be necessary to restart the dose induction process from Day 1. Be aware of any speciﬁc state requirements regarding missed doses.</w:t>
      </w:r>
    </w:p>
    <w:p>
      <w:pPr>
        <w:pStyle w:val="BodyText"/>
        <w:rPr>
          <w:sz w:val="23"/>
        </w:rPr>
      </w:pPr>
    </w:p>
    <w:p>
      <w:pPr>
        <w:pStyle w:val="Heading3"/>
        <w:ind w:left="5482"/>
      </w:pPr>
      <w:bookmarkStart w:name="_TOC_250084" w:id="31"/>
      <w:bookmarkEnd w:id="31"/>
      <w:r>
        <w:rPr>
          <w:color w:val="137692"/>
          <w:w w:val="110"/>
        </w:rPr>
        <w:t>Serum Levels</w:t>
      </w:r>
    </w:p>
    <w:p>
      <w:pPr>
        <w:spacing w:line="244" w:lineRule="auto" w:before="42"/>
        <w:ind w:left="5482" w:right="0" w:firstLine="0"/>
        <w:jc w:val="left"/>
        <w:rPr>
          <w:sz w:val="22"/>
        </w:rPr>
      </w:pPr>
      <w:r>
        <w:rPr>
          <w:rFonts w:ascii="Calibri" w:hAnsi="Calibri"/>
          <w:b/>
          <w:color w:val="4D4D4F"/>
          <w:w w:val="115"/>
          <w:sz w:val="22"/>
        </w:rPr>
        <w:t>Dosing must be individualized </w:t>
      </w:r>
      <w:r>
        <w:rPr>
          <w:color w:val="4D4D4F"/>
          <w:w w:val="115"/>
          <w:sz w:val="22"/>
        </w:rPr>
        <w:t>because meth- adone’s bioavailability, clearance, and half-life vary among patients, affecting their clinical</w:t>
      </w:r>
    </w:p>
    <w:p>
      <w:pPr>
        <w:spacing w:after="0" w:line="244" w:lineRule="auto"/>
        <w:jc w:val="left"/>
        <w:rPr>
          <w:sz w:val="22"/>
        </w:rPr>
        <w:sectPr>
          <w:pgSz w:w="12240" w:h="15840"/>
          <w:pgMar w:header="576" w:footer="677" w:top="1340" w:bottom="860" w:left="940" w:right="920"/>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139"/>
      </w:pPr>
      <w:r>
        <w:rPr>
          <w:color w:val="4D4D4F"/>
          <w:w w:val="110"/>
        </w:rPr>
        <w:t>responses and requiring doses to be changed. Many factors can affect serum levels and clinical responses to treatment. Along with age and diet, these factors include:</w:t>
      </w:r>
    </w:p>
    <w:p>
      <w:pPr>
        <w:pStyle w:val="ListParagraph"/>
        <w:numPr>
          <w:ilvl w:val="0"/>
          <w:numId w:val="4"/>
        </w:numPr>
        <w:tabs>
          <w:tab w:pos="410" w:val="left" w:leader="none"/>
        </w:tabs>
        <w:spacing w:line="208" w:lineRule="auto" w:before="131" w:after="0"/>
        <w:ind w:left="410" w:right="324" w:hanging="270"/>
        <w:jc w:val="left"/>
        <w:rPr>
          <w:rFonts w:ascii="Arial" w:hAnsi="Arial"/>
          <w:color w:val="137692"/>
          <w:sz w:val="28"/>
        </w:rPr>
      </w:pPr>
      <w:r>
        <w:rPr>
          <w:color w:val="4D4D4F"/>
          <w:spacing w:val="-4"/>
          <w:w w:val="115"/>
          <w:sz w:val="22"/>
        </w:rPr>
        <w:t>Other</w:t>
      </w:r>
      <w:r>
        <w:rPr>
          <w:color w:val="4D4D4F"/>
          <w:spacing w:val="-20"/>
          <w:w w:val="115"/>
          <w:sz w:val="22"/>
        </w:rPr>
        <w:t> </w:t>
      </w:r>
      <w:r>
        <w:rPr>
          <w:color w:val="4D4D4F"/>
          <w:spacing w:val="-4"/>
          <w:w w:val="115"/>
          <w:sz w:val="22"/>
        </w:rPr>
        <w:t>medications</w:t>
      </w:r>
      <w:r>
        <w:rPr>
          <w:color w:val="4D4D4F"/>
          <w:spacing w:val="-20"/>
          <w:w w:val="115"/>
          <w:sz w:val="22"/>
        </w:rPr>
        <w:t> </w:t>
      </w:r>
      <w:r>
        <w:rPr>
          <w:color w:val="4D4D4F"/>
          <w:spacing w:val="-3"/>
          <w:w w:val="115"/>
          <w:sz w:val="22"/>
        </w:rPr>
        <w:t>and</w:t>
      </w:r>
      <w:r>
        <w:rPr>
          <w:color w:val="4D4D4F"/>
          <w:spacing w:val="-20"/>
          <w:w w:val="115"/>
          <w:sz w:val="22"/>
        </w:rPr>
        <w:t> </w:t>
      </w:r>
      <w:r>
        <w:rPr>
          <w:color w:val="4D4D4F"/>
          <w:spacing w:val="-4"/>
          <w:w w:val="115"/>
          <w:sz w:val="22"/>
        </w:rPr>
        <w:t>herbs</w:t>
      </w:r>
      <w:r>
        <w:rPr>
          <w:color w:val="4D4D4F"/>
          <w:spacing w:val="-20"/>
          <w:w w:val="115"/>
          <w:sz w:val="22"/>
        </w:rPr>
        <w:t> </w:t>
      </w:r>
      <w:r>
        <w:rPr>
          <w:color w:val="4D4D4F"/>
          <w:spacing w:val="-4"/>
          <w:w w:val="115"/>
          <w:sz w:val="22"/>
        </w:rPr>
        <w:t>(e.g.,</w:t>
      </w:r>
      <w:r>
        <w:rPr>
          <w:color w:val="4D4D4F"/>
          <w:spacing w:val="-20"/>
          <w:w w:val="115"/>
          <w:sz w:val="22"/>
        </w:rPr>
        <w:t> </w:t>
      </w:r>
      <w:r>
        <w:rPr>
          <w:color w:val="4D4D4F"/>
          <w:spacing w:val="-3"/>
          <w:w w:val="115"/>
          <w:sz w:val="22"/>
        </w:rPr>
        <w:t>St.</w:t>
      </w:r>
      <w:r>
        <w:rPr>
          <w:color w:val="4D4D4F"/>
          <w:spacing w:val="-20"/>
          <w:w w:val="115"/>
          <w:sz w:val="22"/>
        </w:rPr>
        <w:t> </w:t>
      </w:r>
      <w:r>
        <w:rPr>
          <w:color w:val="4D4D4F"/>
          <w:spacing w:val="-6"/>
          <w:w w:val="115"/>
          <w:sz w:val="22"/>
        </w:rPr>
        <w:t>John’s </w:t>
      </w:r>
      <w:r>
        <w:rPr>
          <w:color w:val="4D4D4F"/>
          <w:spacing w:val="-4"/>
          <w:w w:val="115"/>
          <w:sz w:val="22"/>
        </w:rPr>
        <w:t>wort).</w:t>
      </w:r>
    </w:p>
    <w:p>
      <w:pPr>
        <w:pStyle w:val="ListParagraph"/>
        <w:numPr>
          <w:ilvl w:val="0"/>
          <w:numId w:val="4"/>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Genetic differences in metabolizing</w:t>
      </w:r>
      <w:r>
        <w:rPr>
          <w:color w:val="4D4D4F"/>
          <w:spacing w:val="37"/>
          <w:w w:val="110"/>
          <w:sz w:val="22"/>
        </w:rPr>
        <w:t> </w:t>
      </w:r>
      <w:r>
        <w:rPr>
          <w:color w:val="4D4D4F"/>
          <w:w w:val="110"/>
          <w:sz w:val="22"/>
        </w:rPr>
        <w:t>enzymes.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spacing w:val="-3"/>
          <w:w w:val="115"/>
          <w:sz w:val="22"/>
        </w:rPr>
        <w:t>Pregnancy.</w:t>
      </w:r>
    </w:p>
    <w:p>
      <w:pPr>
        <w:pStyle w:val="ListParagraph"/>
        <w:numPr>
          <w:ilvl w:val="0"/>
          <w:numId w:val="4"/>
        </w:numPr>
        <w:tabs>
          <w:tab w:pos="410" w:val="left" w:leader="none"/>
        </w:tabs>
        <w:spacing w:line="315" w:lineRule="exact" w:before="0" w:after="0"/>
        <w:ind w:left="410" w:right="0" w:hanging="270"/>
        <w:jc w:val="left"/>
        <w:rPr>
          <w:rFonts w:ascii="Arial" w:hAnsi="Arial"/>
          <w:color w:val="137692"/>
          <w:sz w:val="28"/>
        </w:rPr>
      </w:pPr>
      <w:r>
        <w:rPr>
          <w:color w:val="4D4D4F"/>
          <w:w w:val="110"/>
          <w:sz w:val="22"/>
        </w:rPr>
        <w:t>Changes in urinary</w:t>
      </w:r>
      <w:r>
        <w:rPr>
          <w:color w:val="4D4D4F"/>
          <w:spacing w:val="-18"/>
          <w:w w:val="110"/>
          <w:sz w:val="22"/>
        </w:rPr>
        <w:t> </w:t>
      </w:r>
      <w:r>
        <w:rPr>
          <w:color w:val="4D4D4F"/>
          <w:w w:val="110"/>
          <w:sz w:val="22"/>
        </w:rPr>
        <w:t>pH.</w:t>
      </w:r>
      <w:r>
        <w:rPr>
          <w:color w:val="4D4D4F"/>
          <w:w w:val="110"/>
          <w:position w:val="7"/>
          <w:sz w:val="13"/>
        </w:rPr>
        <w:t>142</w:t>
      </w:r>
    </w:p>
    <w:p>
      <w:pPr>
        <w:pStyle w:val="Heading7"/>
        <w:spacing w:line="235" w:lineRule="auto" w:before="139"/>
        <w:ind w:right="165"/>
        <w:rPr>
          <w:rFonts w:ascii="Gill Sans MT"/>
          <w:b w:val="0"/>
        </w:rPr>
      </w:pPr>
      <w:r>
        <w:rPr>
          <w:color w:val="4D4D4F"/>
          <w:w w:val="110"/>
        </w:rPr>
        <w:t>Consider measuring serum methadone  levels in patients who, after being on a stable methadone dose, report  feeling  drowsy  2  to 4 hours after dose administration but </w:t>
      </w:r>
      <w:r>
        <w:rPr>
          <w:color w:val="4D4D4F"/>
          <w:spacing w:val="-3"/>
          <w:w w:val="110"/>
        </w:rPr>
        <w:t>develop </w:t>
      </w:r>
      <w:r>
        <w:rPr>
          <w:color w:val="4D4D4F"/>
          <w:w w:val="110"/>
        </w:rPr>
        <w:t>craving or withdrawal symptoms before the next</w:t>
      </w:r>
      <w:r>
        <w:rPr>
          <w:color w:val="4D4D4F"/>
          <w:spacing w:val="15"/>
          <w:w w:val="110"/>
        </w:rPr>
        <w:t> </w:t>
      </w:r>
      <w:r>
        <w:rPr>
          <w:color w:val="4D4D4F"/>
          <w:w w:val="110"/>
        </w:rPr>
        <w:t>dose</w:t>
      </w:r>
      <w:r>
        <w:rPr>
          <w:color w:val="4D4D4F"/>
          <w:spacing w:val="15"/>
          <w:w w:val="110"/>
        </w:rPr>
        <w:t> </w:t>
      </w:r>
      <w:r>
        <w:rPr>
          <w:color w:val="4D4D4F"/>
          <w:w w:val="110"/>
        </w:rPr>
        <w:t>is</w:t>
      </w:r>
      <w:r>
        <w:rPr>
          <w:color w:val="4D4D4F"/>
          <w:spacing w:val="15"/>
          <w:w w:val="110"/>
        </w:rPr>
        <w:t> </w:t>
      </w:r>
      <w:r>
        <w:rPr>
          <w:color w:val="4D4D4F"/>
          <w:w w:val="110"/>
        </w:rPr>
        <w:t>due</w:t>
      </w:r>
      <w:r>
        <w:rPr>
          <w:color w:val="4D4D4F"/>
          <w:spacing w:val="16"/>
          <w:w w:val="110"/>
        </w:rPr>
        <w:t> </w:t>
      </w:r>
      <w:r>
        <w:rPr>
          <w:color w:val="4D4D4F"/>
          <w:w w:val="110"/>
        </w:rPr>
        <w:t>to</w:t>
      </w:r>
      <w:r>
        <w:rPr>
          <w:color w:val="4D4D4F"/>
          <w:spacing w:val="15"/>
          <w:w w:val="110"/>
        </w:rPr>
        <w:t> </w:t>
      </w:r>
      <w:r>
        <w:rPr>
          <w:color w:val="4D4D4F"/>
          <w:w w:val="110"/>
        </w:rPr>
        <w:t>be</w:t>
      </w:r>
      <w:r>
        <w:rPr>
          <w:color w:val="4D4D4F"/>
          <w:spacing w:val="15"/>
          <w:w w:val="110"/>
        </w:rPr>
        <w:t> </w:t>
      </w:r>
      <w:r>
        <w:rPr>
          <w:color w:val="4D4D4F"/>
          <w:w w:val="110"/>
        </w:rPr>
        <w:t>administered.</w:t>
      </w:r>
      <w:r>
        <w:rPr>
          <w:color w:val="4D4D4F"/>
          <w:spacing w:val="15"/>
          <w:w w:val="110"/>
        </w:rPr>
        <w:t> </w:t>
      </w:r>
      <w:r>
        <w:rPr>
          <w:rFonts w:ascii="Gill Sans MT"/>
          <w:b w:val="0"/>
          <w:color w:val="4D4D4F"/>
          <w:w w:val="110"/>
        </w:rPr>
        <w:t>This</w:t>
      </w:r>
    </w:p>
    <w:p>
      <w:pPr>
        <w:pStyle w:val="BodyText"/>
        <w:spacing w:line="247" w:lineRule="auto" w:before="6"/>
        <w:ind w:left="140"/>
        <w:rPr>
          <w:sz w:val="13"/>
        </w:rPr>
      </w:pPr>
      <w:r>
        <w:rPr>
          <w:color w:val="4D4D4F"/>
          <w:w w:val="110"/>
        </w:rPr>
        <w:t>may occur in the third trimester of </w:t>
      </w:r>
      <w:r>
        <w:rPr>
          <w:color w:val="4D4D4F"/>
          <w:spacing w:val="-3"/>
          <w:w w:val="110"/>
        </w:rPr>
        <w:t>pregnancy, </w:t>
      </w:r>
      <w:r>
        <w:rPr>
          <w:color w:val="4D4D4F"/>
          <w:w w:val="110"/>
        </w:rPr>
        <w:t>when concomitant medications interact with methadone, or when patients rapidly metabolize opioids. In such cases, consider dividing the </w:t>
      </w:r>
      <w:r>
        <w:rPr>
          <w:color w:val="4D4D4F"/>
          <w:spacing w:val="-4"/>
          <w:w w:val="110"/>
        </w:rPr>
        <w:t>daily </w:t>
      </w:r>
      <w:r>
        <w:rPr>
          <w:color w:val="4D4D4F"/>
          <w:w w:val="110"/>
        </w:rPr>
        <w:t>methadone dose into twice-daily</w:t>
      </w:r>
      <w:r>
        <w:rPr>
          <w:color w:val="4D4D4F"/>
          <w:spacing w:val="3"/>
          <w:w w:val="110"/>
        </w:rPr>
        <w:t> </w:t>
      </w:r>
      <w:r>
        <w:rPr>
          <w:color w:val="4D4D4F"/>
          <w:w w:val="110"/>
        </w:rPr>
        <w:t>dosing.</w:t>
      </w:r>
      <w:r>
        <w:rPr>
          <w:color w:val="4D4D4F"/>
          <w:w w:val="110"/>
          <w:position w:val="7"/>
          <w:sz w:val="13"/>
        </w:rPr>
        <w:t>143</w:t>
      </w:r>
    </w:p>
    <w:p>
      <w:pPr>
        <w:pStyle w:val="BodyText"/>
        <w:spacing w:line="247" w:lineRule="auto" w:before="186"/>
        <w:ind w:left="140" w:right="50"/>
      </w:pPr>
      <w:r>
        <w:rPr>
          <w:color w:val="4D4D4F"/>
          <w:spacing w:val="-13"/>
          <w:w w:val="110"/>
        </w:rPr>
        <w:t>To </w:t>
      </w:r>
      <w:r>
        <w:rPr>
          <w:color w:val="4D4D4F"/>
          <w:w w:val="110"/>
        </w:rPr>
        <w:t>assess serum methadone levels, draw peak and trough blood specimens at about 3 hours and 24 hours, respectively, after dose administra- tion. Serum methadone levels generally </w:t>
      </w:r>
      <w:r>
        <w:rPr>
          <w:color w:val="4D4D4F"/>
          <w:spacing w:val="-3"/>
          <w:w w:val="110"/>
        </w:rPr>
        <w:t>correlate </w:t>
      </w:r>
      <w:r>
        <w:rPr>
          <w:color w:val="4D4D4F"/>
          <w:w w:val="110"/>
        </w:rPr>
        <w:t>with methadone dose,</w:t>
      </w:r>
      <w:r>
        <w:rPr>
          <w:color w:val="4D4D4F"/>
          <w:w w:val="110"/>
          <w:position w:val="7"/>
          <w:sz w:val="13"/>
        </w:rPr>
        <w:t>144 </w:t>
      </w:r>
      <w:r>
        <w:rPr>
          <w:color w:val="4D4D4F"/>
          <w:w w:val="110"/>
        </w:rPr>
        <w:t>but there is no deﬁned therapeutic window based on serum methadone level because response varies widely among patients. Minimum trough methadone levels of 300 ng/mL to 400 ng/mL may be associated with reduced likelihood of heroin use,</w:t>
      </w:r>
      <w:r>
        <w:rPr>
          <w:color w:val="4D4D4F"/>
          <w:w w:val="110"/>
          <w:position w:val="7"/>
          <w:sz w:val="13"/>
        </w:rPr>
        <w:t>145 </w:t>
      </w:r>
      <w:r>
        <w:rPr>
          <w:color w:val="4D4D4F"/>
          <w:w w:val="110"/>
        </w:rPr>
        <w:t>but </w:t>
      </w:r>
      <w:r>
        <w:rPr>
          <w:color w:val="4D4D4F"/>
          <w:spacing w:val="-3"/>
          <w:w w:val="110"/>
        </w:rPr>
        <w:t>deter- </w:t>
      </w:r>
      <w:r>
        <w:rPr>
          <w:color w:val="4D4D4F"/>
          <w:w w:val="110"/>
        </w:rPr>
        <w:t>mining the therapeutic dose should</w:t>
      </w:r>
      <w:r>
        <w:rPr>
          <w:color w:val="4D4D4F"/>
          <w:spacing w:val="17"/>
          <w:w w:val="110"/>
        </w:rPr>
        <w:t> </w:t>
      </w:r>
      <w:r>
        <w:rPr>
          <w:color w:val="4D4D4F"/>
          <w:w w:val="110"/>
        </w:rPr>
        <w:t>depend</w:t>
      </w:r>
    </w:p>
    <w:p>
      <w:pPr>
        <w:pStyle w:val="BodyText"/>
        <w:spacing w:line="247" w:lineRule="auto" w:before="14"/>
        <w:ind w:left="140"/>
        <w:rPr>
          <w:sz w:val="13"/>
        </w:rPr>
      </w:pPr>
      <w:r>
        <w:rPr>
          <w:color w:val="4D4D4F"/>
          <w:w w:val="110"/>
        </w:rPr>
        <w:t>on the overall patient response, not the serum plasma levels. Peak:trough ratios above 2:1 may indicate rapid metabolism.</w:t>
      </w:r>
      <w:r>
        <w:rPr>
          <w:color w:val="4D4D4F"/>
          <w:w w:val="110"/>
          <w:position w:val="7"/>
          <w:sz w:val="13"/>
        </w:rPr>
        <w:t>146</w:t>
      </w:r>
    </w:p>
    <w:p>
      <w:pPr>
        <w:pStyle w:val="BodyText"/>
        <w:spacing w:before="11"/>
      </w:pPr>
    </w:p>
    <w:p>
      <w:pPr>
        <w:spacing w:line="254" w:lineRule="auto" w:before="0"/>
        <w:ind w:left="140" w:right="200" w:firstLine="0"/>
        <w:jc w:val="both"/>
        <w:rPr>
          <w:rFonts w:ascii="Calibri"/>
          <w:b/>
          <w:sz w:val="22"/>
        </w:rPr>
      </w:pPr>
      <w:r>
        <w:rPr>
          <w:rFonts w:ascii="Calibri"/>
          <w:b/>
          <w:color w:val="137692"/>
          <w:w w:val="110"/>
          <w:sz w:val="26"/>
        </w:rPr>
        <w:t>Dose</w:t>
      </w:r>
      <w:r>
        <w:rPr>
          <w:rFonts w:ascii="Calibri"/>
          <w:b/>
          <w:color w:val="137692"/>
          <w:spacing w:val="-12"/>
          <w:w w:val="110"/>
          <w:sz w:val="26"/>
        </w:rPr>
        <w:t> </w:t>
      </w:r>
      <w:r>
        <w:rPr>
          <w:rFonts w:ascii="Calibri"/>
          <w:b/>
          <w:color w:val="137692"/>
          <w:w w:val="110"/>
          <w:sz w:val="26"/>
        </w:rPr>
        <w:t>Stabilization</w:t>
      </w:r>
      <w:r>
        <w:rPr>
          <w:rFonts w:ascii="Calibri"/>
          <w:b/>
          <w:color w:val="137692"/>
          <w:spacing w:val="-12"/>
          <w:w w:val="110"/>
          <w:sz w:val="26"/>
        </w:rPr>
        <w:t> </w:t>
      </w:r>
      <w:r>
        <w:rPr>
          <w:rFonts w:ascii="Calibri"/>
          <w:b/>
          <w:color w:val="137692"/>
          <w:w w:val="110"/>
          <w:sz w:val="26"/>
        </w:rPr>
        <w:t>(Week</w:t>
      </w:r>
      <w:r>
        <w:rPr>
          <w:rFonts w:ascii="Calibri"/>
          <w:b/>
          <w:color w:val="137692"/>
          <w:spacing w:val="-11"/>
          <w:w w:val="110"/>
          <w:sz w:val="26"/>
        </w:rPr>
        <w:t> </w:t>
      </w:r>
      <w:r>
        <w:rPr>
          <w:rFonts w:ascii="Calibri"/>
          <w:b/>
          <w:color w:val="137692"/>
          <w:w w:val="110"/>
          <w:sz w:val="26"/>
        </w:rPr>
        <w:t>5</w:t>
      </w:r>
      <w:r>
        <w:rPr>
          <w:rFonts w:ascii="Calibri"/>
          <w:b/>
          <w:color w:val="137692"/>
          <w:spacing w:val="-12"/>
          <w:w w:val="110"/>
          <w:sz w:val="26"/>
        </w:rPr>
        <w:t> </w:t>
      </w:r>
      <w:r>
        <w:rPr>
          <w:rFonts w:ascii="Calibri"/>
          <w:b/>
          <w:color w:val="137692"/>
          <w:w w:val="110"/>
          <w:sz w:val="26"/>
        </w:rPr>
        <w:t>and</w:t>
      </w:r>
      <w:r>
        <w:rPr>
          <w:rFonts w:ascii="Calibri"/>
          <w:b/>
          <w:color w:val="137692"/>
          <w:spacing w:val="-11"/>
          <w:w w:val="110"/>
          <w:sz w:val="26"/>
        </w:rPr>
        <w:t> </w:t>
      </w:r>
      <w:r>
        <w:rPr>
          <w:rFonts w:ascii="Calibri"/>
          <w:b/>
          <w:color w:val="137692"/>
          <w:w w:val="110"/>
          <w:sz w:val="26"/>
        </w:rPr>
        <w:t>Beyond) </w:t>
      </w:r>
      <w:r>
        <w:rPr>
          <w:rFonts w:ascii="Calibri"/>
          <w:b/>
          <w:color w:val="4D4D4F"/>
          <w:w w:val="110"/>
          <w:sz w:val="22"/>
        </w:rPr>
        <w:t>Once the patient achieves an adequate </w:t>
      </w:r>
      <w:r>
        <w:rPr>
          <w:rFonts w:ascii="Calibri"/>
          <w:b/>
          <w:color w:val="4D4D4F"/>
          <w:spacing w:val="-4"/>
          <w:w w:val="110"/>
          <w:sz w:val="22"/>
        </w:rPr>
        <w:t>dose, </w:t>
      </w:r>
      <w:r>
        <w:rPr>
          <w:rFonts w:ascii="Calibri"/>
          <w:b/>
          <w:color w:val="4D4D4F"/>
          <w:w w:val="110"/>
          <w:sz w:val="22"/>
        </w:rPr>
        <w:t>extended continuation is possible</w:t>
      </w:r>
      <w:r>
        <w:rPr>
          <w:rFonts w:ascii="Calibri"/>
          <w:b/>
          <w:color w:val="4D4D4F"/>
          <w:spacing w:val="25"/>
          <w:w w:val="110"/>
          <w:sz w:val="22"/>
        </w:rPr>
        <w:t> </w:t>
      </w:r>
      <w:r>
        <w:rPr>
          <w:rFonts w:ascii="Calibri"/>
          <w:b/>
          <w:color w:val="4D4D4F"/>
          <w:w w:val="110"/>
          <w:sz w:val="22"/>
        </w:rPr>
        <w:t>without</w:t>
      </w:r>
    </w:p>
    <w:p>
      <w:pPr>
        <w:spacing w:line="250" w:lineRule="exact" w:before="0"/>
        <w:ind w:left="140" w:right="0" w:firstLine="0"/>
        <w:jc w:val="left"/>
        <w:rPr>
          <w:sz w:val="22"/>
        </w:rPr>
      </w:pPr>
      <w:r>
        <w:rPr>
          <w:rFonts w:ascii="Calibri"/>
          <w:b/>
          <w:color w:val="4D4D4F"/>
          <w:w w:val="110"/>
          <w:sz w:val="22"/>
        </w:rPr>
        <w:t>dose adjustment. </w:t>
      </w:r>
      <w:r>
        <w:rPr>
          <w:color w:val="4D4D4F"/>
          <w:w w:val="110"/>
          <w:sz w:val="22"/>
        </w:rPr>
        <w:t>Continuing treatment goals</w:t>
      </w:r>
    </w:p>
    <w:p>
      <w:pPr>
        <w:pStyle w:val="BodyText"/>
        <w:spacing w:line="247" w:lineRule="auto" w:before="1"/>
        <w:ind w:left="140"/>
      </w:pPr>
      <w:r>
        <w:rPr>
          <w:color w:val="4D4D4F"/>
          <w:w w:val="110"/>
        </w:rPr>
        <w:t>are to avoid sedation, eliminate withdrawal and craving, and blunt or block euphoric effects of illicit opioids.</w:t>
      </w:r>
    </w:p>
    <w:p>
      <w:pPr>
        <w:pStyle w:val="Heading7"/>
        <w:spacing w:line="304" w:lineRule="auto" w:before="145"/>
        <w:ind w:left="438" w:right="568"/>
        <w:rPr>
          <w:rFonts w:ascii="Arial"/>
        </w:rPr>
      </w:pPr>
      <w:r>
        <w:rPr>
          <w:b w:val="0"/>
        </w:rPr>
        <w:br w:type="column"/>
      </w:r>
      <w:r>
        <w:rPr>
          <w:rFonts w:ascii="Arial"/>
          <w:color w:val="B15651"/>
          <w:w w:val="110"/>
        </w:rPr>
        <w:t>The</w:t>
      </w:r>
      <w:r>
        <w:rPr>
          <w:rFonts w:ascii="Arial"/>
          <w:color w:val="B15651"/>
          <w:spacing w:val="-21"/>
          <w:w w:val="110"/>
        </w:rPr>
        <w:t> </w:t>
      </w:r>
      <w:r>
        <w:rPr>
          <w:rFonts w:ascii="Arial"/>
          <w:color w:val="B15651"/>
          <w:w w:val="110"/>
        </w:rPr>
        <w:t>TIP</w:t>
      </w:r>
      <w:r>
        <w:rPr>
          <w:rFonts w:ascii="Arial"/>
          <w:color w:val="B15651"/>
          <w:spacing w:val="-21"/>
          <w:w w:val="110"/>
        </w:rPr>
        <w:t> </w:t>
      </w:r>
      <w:r>
        <w:rPr>
          <w:rFonts w:ascii="Arial"/>
          <w:color w:val="B15651"/>
          <w:w w:val="110"/>
        </w:rPr>
        <w:t>expert</w:t>
      </w:r>
      <w:r>
        <w:rPr>
          <w:rFonts w:ascii="Arial"/>
          <w:color w:val="B15651"/>
          <w:spacing w:val="-20"/>
          <w:w w:val="110"/>
        </w:rPr>
        <w:t> </w:t>
      </w:r>
      <w:r>
        <w:rPr>
          <w:rFonts w:ascii="Arial"/>
          <w:color w:val="B15651"/>
          <w:w w:val="110"/>
        </w:rPr>
        <w:t>panel</w:t>
      </w:r>
      <w:r>
        <w:rPr>
          <w:rFonts w:ascii="Arial"/>
          <w:color w:val="B15651"/>
          <w:spacing w:val="-21"/>
          <w:w w:val="110"/>
        </w:rPr>
        <w:t> </w:t>
      </w:r>
      <w:r>
        <w:rPr>
          <w:rFonts w:ascii="Arial"/>
          <w:color w:val="B15651"/>
          <w:w w:val="110"/>
        </w:rPr>
        <w:t>advises</w:t>
      </w:r>
      <w:r>
        <w:rPr>
          <w:rFonts w:ascii="Arial"/>
          <w:color w:val="B15651"/>
          <w:spacing w:val="-20"/>
          <w:w w:val="110"/>
        </w:rPr>
        <w:t> </w:t>
      </w:r>
      <w:r>
        <w:rPr>
          <w:rFonts w:ascii="Arial"/>
          <w:color w:val="B15651"/>
          <w:w w:val="110"/>
        </w:rPr>
        <w:t>against arbitrary methadone dosage</w:t>
      </w:r>
      <w:r>
        <w:rPr>
          <w:rFonts w:ascii="Arial"/>
          <w:color w:val="B15651"/>
          <w:spacing w:val="-32"/>
          <w:w w:val="110"/>
        </w:rPr>
        <w:t> </w:t>
      </w:r>
      <w:r>
        <w:rPr>
          <w:rFonts w:ascii="Arial"/>
          <w:color w:val="B15651"/>
          <w:w w:val="110"/>
        </w:rPr>
        <w:t>caps.</w:t>
      </w:r>
    </w:p>
    <w:p>
      <w:pPr>
        <w:pStyle w:val="BodyText"/>
        <w:spacing w:before="7"/>
        <w:rPr>
          <w:rFonts w:ascii="Arial"/>
          <w:b/>
          <w:sz w:val="25"/>
        </w:rPr>
      </w:pPr>
    </w:p>
    <w:p>
      <w:pPr>
        <w:spacing w:line="235" w:lineRule="auto" w:before="0"/>
        <w:ind w:left="139" w:right="0" w:firstLine="0"/>
        <w:jc w:val="left"/>
        <w:rPr>
          <w:sz w:val="22"/>
        </w:rPr>
      </w:pPr>
      <w:r>
        <w:rPr/>
        <w:pict>
          <v:line style="position:absolute;mso-position-horizontal-relative:page;mso-position-vertical-relative:paragraph;z-index:15750144" from="315.501007pt,-20.551036pt" to="315.501007pt,-47.199036pt" stroked="true" strokeweight="1pt" strokecolor="#759eb4">
            <v:stroke dashstyle="solid"/>
            <w10:wrap type="none"/>
          </v:line>
        </w:pict>
      </w:r>
      <w:r>
        <w:rPr>
          <w:rFonts w:ascii="Calibri"/>
          <w:b/>
          <w:color w:val="4D4D4F"/>
          <w:w w:val="115"/>
          <w:sz w:val="22"/>
        </w:rPr>
        <w:t>There may be reasons to further adjust the dose, </w:t>
      </w:r>
      <w:r>
        <w:rPr>
          <w:color w:val="4D4D4F"/>
          <w:w w:val="115"/>
          <w:sz w:val="22"/>
        </w:rPr>
        <w:t>including:</w:t>
      </w:r>
    </w:p>
    <w:p>
      <w:pPr>
        <w:pStyle w:val="ListParagraph"/>
        <w:numPr>
          <w:ilvl w:val="0"/>
          <w:numId w:val="4"/>
        </w:numPr>
        <w:tabs>
          <w:tab w:pos="411" w:val="left" w:leader="none"/>
        </w:tabs>
        <w:spacing w:line="225" w:lineRule="auto" w:before="113" w:after="0"/>
        <w:ind w:left="410" w:right="528" w:hanging="270"/>
        <w:jc w:val="left"/>
        <w:rPr>
          <w:rFonts w:ascii="Arial" w:hAnsi="Arial"/>
          <w:color w:val="137692"/>
          <w:sz w:val="28"/>
        </w:rPr>
      </w:pPr>
      <w:r>
        <w:rPr>
          <w:color w:val="4D4D4F"/>
          <w:w w:val="110"/>
          <w:sz w:val="22"/>
        </w:rPr>
        <w:t>Changes in health that can affect medica- tions (e.g., acute hepatitis, exacerbation </w:t>
      </w:r>
      <w:r>
        <w:rPr>
          <w:color w:val="4D4D4F"/>
          <w:spacing w:val="-9"/>
          <w:w w:val="110"/>
          <w:sz w:val="22"/>
        </w:rPr>
        <w:t>of </w:t>
      </w:r>
      <w:r>
        <w:rPr>
          <w:color w:val="4D4D4F"/>
          <w:w w:val="110"/>
          <w:sz w:val="22"/>
        </w:rPr>
        <w:t>pulmonary disease, sleep</w:t>
      </w:r>
      <w:r>
        <w:rPr>
          <w:color w:val="4D4D4F"/>
          <w:spacing w:val="-1"/>
          <w:w w:val="110"/>
          <w:sz w:val="22"/>
        </w:rPr>
        <w:t> </w:t>
      </w:r>
      <w:r>
        <w:rPr>
          <w:color w:val="4D4D4F"/>
          <w:w w:val="110"/>
          <w:sz w:val="22"/>
        </w:rPr>
        <w:t>apnea).</w:t>
      </w:r>
    </w:p>
    <w:p>
      <w:pPr>
        <w:pStyle w:val="ListParagraph"/>
        <w:numPr>
          <w:ilvl w:val="0"/>
          <w:numId w:val="4"/>
        </w:numPr>
        <w:tabs>
          <w:tab w:pos="411" w:val="left" w:leader="none"/>
        </w:tabs>
        <w:spacing w:line="315" w:lineRule="exact" w:before="39" w:after="0"/>
        <w:ind w:left="410" w:right="0" w:hanging="271"/>
        <w:jc w:val="left"/>
        <w:rPr>
          <w:rFonts w:ascii="Arial" w:hAnsi="Arial"/>
          <w:color w:val="137692"/>
          <w:sz w:val="28"/>
        </w:rPr>
      </w:pPr>
      <w:r>
        <w:rPr>
          <w:color w:val="4D4D4F"/>
          <w:w w:val="115"/>
          <w:sz w:val="22"/>
        </w:rPr>
        <w:t>Changes in patient</w:t>
      </w:r>
      <w:r>
        <w:rPr>
          <w:color w:val="4D4D4F"/>
          <w:spacing w:val="-32"/>
          <w:w w:val="115"/>
          <w:sz w:val="22"/>
        </w:rPr>
        <w:t> </w:t>
      </w:r>
      <w:r>
        <w:rPr>
          <w:color w:val="4D4D4F"/>
          <w:w w:val="115"/>
          <w:sz w:val="22"/>
        </w:rPr>
        <w:t>medications.</w:t>
      </w:r>
    </w:p>
    <w:p>
      <w:pPr>
        <w:pStyle w:val="ListParagraph"/>
        <w:numPr>
          <w:ilvl w:val="0"/>
          <w:numId w:val="4"/>
        </w:numPr>
        <w:tabs>
          <w:tab w:pos="411" w:val="left" w:leader="none"/>
        </w:tabs>
        <w:spacing w:line="264" w:lineRule="exact" w:before="5" w:after="0"/>
        <w:ind w:left="410" w:right="504" w:hanging="270"/>
        <w:jc w:val="left"/>
        <w:rPr>
          <w:rFonts w:ascii="Arial" w:hAnsi="Arial"/>
          <w:color w:val="137692"/>
          <w:sz w:val="28"/>
        </w:rPr>
      </w:pPr>
      <w:r>
        <w:rPr>
          <w:color w:val="4D4D4F"/>
          <w:spacing w:val="-3"/>
          <w:w w:val="115"/>
          <w:sz w:val="22"/>
        </w:rPr>
        <w:t>Pregnancy. </w:t>
      </w:r>
      <w:r>
        <w:rPr>
          <w:color w:val="4D4D4F"/>
          <w:w w:val="115"/>
          <w:sz w:val="22"/>
        </w:rPr>
        <w:t>Increased metabolism in the last</w:t>
      </w:r>
      <w:r>
        <w:rPr>
          <w:color w:val="4D4D4F"/>
          <w:spacing w:val="-44"/>
          <w:w w:val="115"/>
          <w:sz w:val="22"/>
        </w:rPr>
        <w:t> </w:t>
      </w:r>
      <w:r>
        <w:rPr>
          <w:color w:val="4D4D4F"/>
          <w:w w:val="115"/>
          <w:sz w:val="22"/>
        </w:rPr>
        <w:t>trimester</w:t>
      </w:r>
      <w:r>
        <w:rPr>
          <w:color w:val="4D4D4F"/>
          <w:spacing w:val="-44"/>
          <w:w w:val="115"/>
          <w:sz w:val="22"/>
        </w:rPr>
        <w:t> </w:t>
      </w:r>
      <w:r>
        <w:rPr>
          <w:color w:val="4D4D4F"/>
          <w:w w:val="115"/>
          <w:sz w:val="22"/>
        </w:rPr>
        <w:t>may</w:t>
      </w:r>
      <w:r>
        <w:rPr>
          <w:color w:val="4D4D4F"/>
          <w:spacing w:val="-43"/>
          <w:w w:val="115"/>
          <w:sz w:val="22"/>
        </w:rPr>
        <w:t> </w:t>
      </w:r>
      <w:r>
        <w:rPr>
          <w:color w:val="4D4D4F"/>
          <w:w w:val="115"/>
          <w:sz w:val="22"/>
        </w:rPr>
        <w:t>warrant</w:t>
      </w:r>
      <w:r>
        <w:rPr>
          <w:color w:val="4D4D4F"/>
          <w:spacing w:val="-44"/>
          <w:w w:val="115"/>
          <w:sz w:val="22"/>
        </w:rPr>
        <w:t> </w:t>
      </w:r>
      <w:r>
        <w:rPr>
          <w:color w:val="4D4D4F"/>
          <w:w w:val="115"/>
          <w:sz w:val="22"/>
        </w:rPr>
        <w:t>dose</w:t>
      </w:r>
      <w:r>
        <w:rPr>
          <w:color w:val="4D4D4F"/>
          <w:spacing w:val="-43"/>
          <w:w w:val="115"/>
          <w:sz w:val="22"/>
        </w:rPr>
        <w:t> </w:t>
      </w:r>
      <w:r>
        <w:rPr>
          <w:color w:val="4D4D4F"/>
          <w:w w:val="115"/>
          <w:sz w:val="22"/>
        </w:rPr>
        <w:t>increase</w:t>
      </w:r>
      <w:r>
        <w:rPr>
          <w:color w:val="4D4D4F"/>
          <w:spacing w:val="-44"/>
          <w:w w:val="115"/>
          <w:sz w:val="22"/>
        </w:rPr>
        <w:t> </w:t>
      </w:r>
      <w:r>
        <w:rPr>
          <w:color w:val="4D4D4F"/>
          <w:spacing w:val="-9"/>
          <w:w w:val="115"/>
          <w:sz w:val="22"/>
        </w:rPr>
        <w:t>or </w:t>
      </w:r>
      <w:r>
        <w:rPr>
          <w:color w:val="4D4D4F"/>
          <w:w w:val="115"/>
          <w:sz w:val="22"/>
        </w:rPr>
        <w:t>split dosing.</w:t>
      </w:r>
      <w:r>
        <w:rPr>
          <w:color w:val="4D4D4F"/>
          <w:w w:val="115"/>
          <w:position w:val="7"/>
          <w:sz w:val="13"/>
        </w:rPr>
        <w:t>147,148 </w:t>
      </w:r>
      <w:r>
        <w:rPr>
          <w:color w:val="4D4D4F"/>
          <w:w w:val="115"/>
          <w:sz w:val="22"/>
        </w:rPr>
        <w:t>This may require a SAMHSA</w:t>
      </w:r>
      <w:r>
        <w:rPr>
          <w:color w:val="4D4D4F"/>
          <w:spacing w:val="-24"/>
          <w:w w:val="115"/>
          <w:sz w:val="22"/>
        </w:rPr>
        <w:t> </w:t>
      </w:r>
      <w:r>
        <w:rPr>
          <w:color w:val="4D4D4F"/>
          <w:w w:val="115"/>
          <w:sz w:val="22"/>
        </w:rPr>
        <w:t>exception</w:t>
      </w:r>
      <w:r>
        <w:rPr>
          <w:color w:val="4D4D4F"/>
          <w:spacing w:val="-24"/>
          <w:w w:val="115"/>
          <w:sz w:val="22"/>
        </w:rPr>
        <w:t> </w:t>
      </w:r>
      <w:r>
        <w:rPr>
          <w:color w:val="4D4D4F"/>
          <w:w w:val="115"/>
          <w:sz w:val="22"/>
        </w:rPr>
        <w:t>for</w:t>
      </w:r>
      <w:r>
        <w:rPr>
          <w:color w:val="4D4D4F"/>
          <w:spacing w:val="-24"/>
          <w:w w:val="115"/>
          <w:sz w:val="22"/>
        </w:rPr>
        <w:t> </w:t>
      </w:r>
      <w:r>
        <w:rPr>
          <w:color w:val="4D4D4F"/>
          <w:w w:val="115"/>
          <w:sz w:val="22"/>
        </w:rPr>
        <w:t>daily</w:t>
      </w:r>
      <w:r>
        <w:rPr>
          <w:color w:val="4D4D4F"/>
          <w:spacing w:val="-24"/>
          <w:w w:val="115"/>
          <w:sz w:val="22"/>
        </w:rPr>
        <w:t> </w:t>
      </w:r>
      <w:r>
        <w:rPr>
          <w:color w:val="4D4D4F"/>
          <w:w w:val="115"/>
          <w:sz w:val="22"/>
        </w:rPr>
        <w:t>take-home</w:t>
      </w:r>
    </w:p>
    <w:p>
      <w:pPr>
        <w:pStyle w:val="BodyText"/>
        <w:spacing w:line="247" w:lineRule="auto" w:before="6"/>
        <w:ind w:left="410" w:right="215"/>
      </w:pPr>
      <w:r>
        <w:rPr>
          <w:color w:val="4D4D4F"/>
          <w:w w:val="115"/>
        </w:rPr>
        <w:t>half-doses</w:t>
      </w:r>
      <w:r>
        <w:rPr>
          <w:color w:val="4D4D4F"/>
          <w:spacing w:val="-26"/>
          <w:w w:val="115"/>
        </w:rPr>
        <w:t> </w:t>
      </w:r>
      <w:r>
        <w:rPr>
          <w:color w:val="4D4D4F"/>
          <w:w w:val="115"/>
        </w:rPr>
        <w:t>via</w:t>
      </w:r>
      <w:r>
        <w:rPr>
          <w:color w:val="4D4D4F"/>
          <w:spacing w:val="-26"/>
          <w:w w:val="115"/>
        </w:rPr>
        <w:t> </w:t>
      </w:r>
      <w:r>
        <w:rPr>
          <w:color w:val="4D4D4F"/>
          <w:w w:val="115"/>
        </w:rPr>
        <w:t>an</w:t>
      </w:r>
      <w:r>
        <w:rPr>
          <w:color w:val="4D4D4F"/>
          <w:spacing w:val="-26"/>
          <w:w w:val="115"/>
        </w:rPr>
        <w:t> </w:t>
      </w:r>
      <w:r>
        <w:rPr>
          <w:color w:val="4D4D4F"/>
          <w:w w:val="115"/>
        </w:rPr>
        <w:t>SMA-168</w:t>
      </w:r>
      <w:r>
        <w:rPr>
          <w:color w:val="4D4D4F"/>
          <w:spacing w:val="-25"/>
          <w:w w:val="115"/>
        </w:rPr>
        <w:t> </w:t>
      </w:r>
      <w:r>
        <w:rPr>
          <w:color w:val="4D4D4F"/>
          <w:w w:val="115"/>
        </w:rPr>
        <w:t>Exception</w:t>
      </w:r>
      <w:r>
        <w:rPr>
          <w:color w:val="4D4D4F"/>
          <w:spacing w:val="-26"/>
          <w:w w:val="115"/>
        </w:rPr>
        <w:t> </w:t>
      </w:r>
      <w:r>
        <w:rPr>
          <w:color w:val="4D4D4F"/>
          <w:spacing w:val="-3"/>
          <w:w w:val="115"/>
        </w:rPr>
        <w:t>Request </w:t>
      </w:r>
      <w:r>
        <w:rPr>
          <w:color w:val="4D4D4F"/>
          <w:w w:val="115"/>
        </w:rPr>
        <w:t>(</w:t>
      </w:r>
      <w:hyperlink r:id="rId51">
        <w:r>
          <w:rPr>
            <w:color w:val="205E9F"/>
            <w:w w:val="115"/>
            <w:u w:val="single" w:color="205E9F"/>
          </w:rPr>
          <w:t>www.samhsa.gov/medication-assisted</w:t>
        </w:r>
      </w:hyperlink>
    </w:p>
    <w:p>
      <w:pPr>
        <w:pStyle w:val="BodyText"/>
        <w:spacing w:before="3"/>
        <w:ind w:left="410"/>
      </w:pPr>
      <w:r>
        <w:rPr>
          <w:color w:val="205E9F"/>
          <w:w w:val="110"/>
          <w:u w:val="single" w:color="205E9F"/>
        </w:rPr>
        <w:t>-treatment/opioid-treatment-programs</w:t>
      </w:r>
    </w:p>
    <w:p>
      <w:pPr>
        <w:pStyle w:val="BodyText"/>
        <w:spacing w:before="9"/>
        <w:ind w:left="410"/>
      </w:pPr>
      <w:r>
        <w:rPr>
          <w:color w:val="205E9F"/>
          <w:w w:val="110"/>
          <w:u w:val="single" w:color="205E9F"/>
        </w:rPr>
        <w:t>/submit-exception-request</w:t>
      </w:r>
      <w:r>
        <w:rPr>
          <w:color w:val="4D4D4F"/>
          <w:w w:val="110"/>
        </w:rPr>
        <w:t>).</w:t>
      </w:r>
    </w:p>
    <w:p>
      <w:pPr>
        <w:pStyle w:val="ListParagraph"/>
        <w:numPr>
          <w:ilvl w:val="0"/>
          <w:numId w:val="4"/>
        </w:numPr>
        <w:tabs>
          <w:tab w:pos="411" w:val="left" w:leader="none"/>
        </w:tabs>
        <w:spacing w:line="208" w:lineRule="auto" w:before="62" w:after="0"/>
        <w:ind w:left="410" w:right="773" w:hanging="270"/>
        <w:jc w:val="left"/>
        <w:rPr>
          <w:rFonts w:ascii="Arial" w:hAnsi="Arial"/>
          <w:color w:val="137692"/>
          <w:sz w:val="28"/>
        </w:rPr>
      </w:pPr>
      <w:r>
        <w:rPr>
          <w:color w:val="4D4D4F"/>
          <w:w w:val="105"/>
          <w:sz w:val="22"/>
        </w:rPr>
        <w:t>Concurrent illicit opioid or other drug </w:t>
      </w:r>
      <w:r>
        <w:rPr>
          <w:color w:val="4D4D4F"/>
          <w:spacing w:val="-9"/>
          <w:w w:val="105"/>
          <w:sz w:val="22"/>
        </w:rPr>
        <w:t>or </w:t>
      </w:r>
      <w:r>
        <w:rPr>
          <w:color w:val="4D4D4F"/>
          <w:w w:val="105"/>
          <w:sz w:val="22"/>
        </w:rPr>
        <w:t>alcohol</w:t>
      </w:r>
      <w:r>
        <w:rPr>
          <w:color w:val="4D4D4F"/>
          <w:spacing w:val="-2"/>
          <w:w w:val="105"/>
          <w:sz w:val="22"/>
        </w:rPr>
        <w:t> </w:t>
      </w:r>
      <w:r>
        <w:rPr>
          <w:color w:val="4D4D4F"/>
          <w:w w:val="105"/>
          <w:sz w:val="22"/>
        </w:rPr>
        <w:t>use.</w:t>
      </w:r>
    </w:p>
    <w:p>
      <w:pPr>
        <w:spacing w:line="244" w:lineRule="auto" w:before="191"/>
        <w:ind w:left="139" w:right="365" w:firstLine="0"/>
        <w:jc w:val="left"/>
        <w:rPr>
          <w:sz w:val="22"/>
        </w:rPr>
      </w:pPr>
      <w:r>
        <w:rPr>
          <w:rFonts w:ascii="Calibri" w:hAnsi="Calibri"/>
          <w:b/>
          <w:color w:val="4D4D4F"/>
          <w:w w:val="115"/>
          <w:sz w:val="22"/>
        </w:rPr>
        <w:t>As illicit opioid use stops and stabilization is achieved, the patient may wish to lower the dose to reduce any unpleasant side effects. </w:t>
      </w:r>
      <w:r>
        <w:rPr>
          <w:color w:val="4D4D4F"/>
          <w:spacing w:val="-4"/>
          <w:w w:val="115"/>
          <w:sz w:val="22"/>
        </w:rPr>
        <w:t>Typical</w:t>
      </w:r>
      <w:r>
        <w:rPr>
          <w:color w:val="4D4D4F"/>
          <w:spacing w:val="-19"/>
          <w:w w:val="115"/>
          <w:sz w:val="22"/>
        </w:rPr>
        <w:t> </w:t>
      </w:r>
      <w:r>
        <w:rPr>
          <w:color w:val="4D4D4F"/>
          <w:w w:val="115"/>
          <w:sz w:val="22"/>
        </w:rPr>
        <w:t>stabilization</w:t>
      </w:r>
      <w:r>
        <w:rPr>
          <w:color w:val="4D4D4F"/>
          <w:spacing w:val="-19"/>
          <w:w w:val="115"/>
          <w:sz w:val="22"/>
        </w:rPr>
        <w:t> </w:t>
      </w:r>
      <w:r>
        <w:rPr>
          <w:color w:val="4D4D4F"/>
          <w:w w:val="115"/>
          <w:sz w:val="22"/>
        </w:rPr>
        <w:t>doses</w:t>
      </w:r>
      <w:r>
        <w:rPr>
          <w:color w:val="4D4D4F"/>
          <w:spacing w:val="-19"/>
          <w:w w:val="115"/>
          <w:sz w:val="22"/>
        </w:rPr>
        <w:t> </w:t>
      </w:r>
      <w:r>
        <w:rPr>
          <w:color w:val="4D4D4F"/>
          <w:w w:val="115"/>
          <w:sz w:val="22"/>
        </w:rPr>
        <w:t>of</w:t>
      </w:r>
      <w:r>
        <w:rPr>
          <w:color w:val="4D4D4F"/>
          <w:spacing w:val="-19"/>
          <w:w w:val="115"/>
          <w:sz w:val="22"/>
        </w:rPr>
        <w:t> </w:t>
      </w:r>
      <w:r>
        <w:rPr>
          <w:color w:val="4D4D4F"/>
          <w:w w:val="115"/>
          <w:sz w:val="22"/>
        </w:rPr>
        <w:t>at</w:t>
      </w:r>
      <w:r>
        <w:rPr>
          <w:color w:val="4D4D4F"/>
          <w:spacing w:val="-19"/>
          <w:w w:val="115"/>
          <w:sz w:val="22"/>
        </w:rPr>
        <w:t> </w:t>
      </w:r>
      <w:r>
        <w:rPr>
          <w:color w:val="4D4D4F"/>
          <w:w w:val="115"/>
          <w:sz w:val="22"/>
        </w:rPr>
        <w:t>least</w:t>
      </w:r>
      <w:r>
        <w:rPr>
          <w:color w:val="4D4D4F"/>
          <w:spacing w:val="-19"/>
          <w:w w:val="115"/>
          <w:sz w:val="22"/>
        </w:rPr>
        <w:t> </w:t>
      </w:r>
      <w:r>
        <w:rPr>
          <w:color w:val="4D4D4F"/>
          <w:w w:val="115"/>
          <w:sz w:val="22"/>
        </w:rPr>
        <w:t>60</w:t>
      </w:r>
      <w:r>
        <w:rPr>
          <w:color w:val="4D4D4F"/>
          <w:spacing w:val="-19"/>
          <w:w w:val="115"/>
          <w:sz w:val="22"/>
        </w:rPr>
        <w:t> </w:t>
      </w:r>
      <w:r>
        <w:rPr>
          <w:color w:val="4D4D4F"/>
          <w:w w:val="115"/>
          <w:sz w:val="22"/>
        </w:rPr>
        <w:t>mg</w:t>
      </w:r>
      <w:r>
        <w:rPr>
          <w:color w:val="4D4D4F"/>
          <w:spacing w:val="-19"/>
          <w:w w:val="115"/>
          <w:sz w:val="22"/>
        </w:rPr>
        <w:t> </w:t>
      </w:r>
      <w:r>
        <w:rPr>
          <w:color w:val="4D4D4F"/>
          <w:w w:val="115"/>
          <w:sz w:val="22"/>
        </w:rPr>
        <w:t>are associated with greater treatment retention; 80</w:t>
      </w:r>
      <w:r>
        <w:rPr>
          <w:color w:val="4D4D4F"/>
          <w:spacing w:val="-11"/>
          <w:w w:val="115"/>
          <w:sz w:val="22"/>
        </w:rPr>
        <w:t> </w:t>
      </w:r>
      <w:r>
        <w:rPr>
          <w:color w:val="4D4D4F"/>
          <w:w w:val="115"/>
          <w:sz w:val="22"/>
        </w:rPr>
        <w:t>mg</w:t>
      </w:r>
      <w:r>
        <w:rPr>
          <w:color w:val="4D4D4F"/>
          <w:spacing w:val="-12"/>
          <w:w w:val="115"/>
          <w:sz w:val="22"/>
        </w:rPr>
        <w:t> </w:t>
      </w:r>
      <w:r>
        <w:rPr>
          <w:color w:val="4D4D4F"/>
          <w:w w:val="115"/>
          <w:sz w:val="22"/>
        </w:rPr>
        <w:t>to</w:t>
      </w:r>
      <w:r>
        <w:rPr>
          <w:color w:val="4D4D4F"/>
          <w:spacing w:val="-11"/>
          <w:w w:val="115"/>
          <w:sz w:val="22"/>
        </w:rPr>
        <w:t> </w:t>
      </w:r>
      <w:r>
        <w:rPr>
          <w:color w:val="4D4D4F"/>
          <w:w w:val="115"/>
          <w:sz w:val="22"/>
        </w:rPr>
        <w:t>120</w:t>
      </w:r>
      <w:r>
        <w:rPr>
          <w:color w:val="4D4D4F"/>
          <w:spacing w:val="-11"/>
          <w:w w:val="115"/>
          <w:sz w:val="22"/>
        </w:rPr>
        <w:t> </w:t>
      </w:r>
      <w:r>
        <w:rPr>
          <w:color w:val="4D4D4F"/>
          <w:w w:val="115"/>
          <w:sz w:val="22"/>
        </w:rPr>
        <w:t>mg</w:t>
      </w:r>
      <w:r>
        <w:rPr>
          <w:color w:val="4D4D4F"/>
          <w:w w:val="115"/>
          <w:position w:val="7"/>
          <w:sz w:val="13"/>
        </w:rPr>
        <w:t>149</w:t>
      </w:r>
      <w:r>
        <w:rPr>
          <w:color w:val="4D4D4F"/>
          <w:spacing w:val="17"/>
          <w:w w:val="115"/>
          <w:position w:val="7"/>
          <w:sz w:val="13"/>
        </w:rPr>
        <w:t> </w:t>
      </w:r>
      <w:r>
        <w:rPr>
          <w:color w:val="4D4D4F"/>
          <w:w w:val="115"/>
          <w:sz w:val="22"/>
        </w:rPr>
        <w:t>is</w:t>
      </w:r>
      <w:r>
        <w:rPr>
          <w:color w:val="4D4D4F"/>
          <w:spacing w:val="-11"/>
          <w:w w:val="115"/>
          <w:sz w:val="22"/>
        </w:rPr>
        <w:t> </w:t>
      </w:r>
      <w:r>
        <w:rPr>
          <w:color w:val="4D4D4F"/>
          <w:w w:val="115"/>
          <w:sz w:val="22"/>
        </w:rPr>
        <w:t>the</w:t>
      </w:r>
      <w:r>
        <w:rPr>
          <w:color w:val="4D4D4F"/>
          <w:spacing w:val="-11"/>
          <w:w w:val="115"/>
          <w:sz w:val="22"/>
        </w:rPr>
        <w:t> </w:t>
      </w:r>
      <w:r>
        <w:rPr>
          <w:color w:val="4D4D4F"/>
          <w:w w:val="115"/>
          <w:sz w:val="22"/>
        </w:rPr>
        <w:t>typical</w:t>
      </w:r>
      <w:r>
        <w:rPr>
          <w:color w:val="4D4D4F"/>
          <w:spacing w:val="-11"/>
          <w:w w:val="115"/>
          <w:sz w:val="22"/>
        </w:rPr>
        <w:t> </w:t>
      </w:r>
      <w:r>
        <w:rPr>
          <w:color w:val="4D4D4F"/>
          <w:w w:val="115"/>
          <w:sz w:val="22"/>
        </w:rPr>
        <w:t>daily</w:t>
      </w:r>
      <w:r>
        <w:rPr>
          <w:color w:val="4D4D4F"/>
          <w:spacing w:val="-11"/>
          <w:w w:val="115"/>
          <w:sz w:val="22"/>
        </w:rPr>
        <w:t> </w:t>
      </w:r>
      <w:r>
        <w:rPr>
          <w:color w:val="4D4D4F"/>
          <w:spacing w:val="-3"/>
          <w:w w:val="115"/>
          <w:sz w:val="22"/>
        </w:rPr>
        <w:t>range.</w:t>
      </w:r>
      <w:r>
        <w:rPr>
          <w:color w:val="4D4D4F"/>
          <w:spacing w:val="-3"/>
          <w:w w:val="115"/>
          <w:position w:val="7"/>
          <w:sz w:val="13"/>
        </w:rPr>
        <w:t>150 </w:t>
      </w:r>
      <w:r>
        <w:rPr>
          <w:color w:val="4D4D4F"/>
          <w:spacing w:val="-3"/>
          <w:w w:val="115"/>
          <w:sz w:val="22"/>
        </w:rPr>
        <w:t>However, </w:t>
      </w:r>
      <w:r>
        <w:rPr>
          <w:color w:val="4D4D4F"/>
          <w:w w:val="115"/>
          <w:sz w:val="22"/>
        </w:rPr>
        <w:t>there is wide variation, and some patients</w:t>
      </w:r>
      <w:r>
        <w:rPr>
          <w:color w:val="4D4D4F"/>
          <w:spacing w:val="-14"/>
          <w:w w:val="115"/>
          <w:sz w:val="22"/>
        </w:rPr>
        <w:t> </w:t>
      </w:r>
      <w:r>
        <w:rPr>
          <w:color w:val="4D4D4F"/>
          <w:w w:val="115"/>
          <w:sz w:val="22"/>
        </w:rPr>
        <w:t>beneﬁt</w:t>
      </w:r>
      <w:r>
        <w:rPr>
          <w:color w:val="4D4D4F"/>
          <w:spacing w:val="-13"/>
          <w:w w:val="115"/>
          <w:sz w:val="22"/>
        </w:rPr>
        <w:t> </w:t>
      </w:r>
      <w:r>
        <w:rPr>
          <w:color w:val="4D4D4F"/>
          <w:w w:val="115"/>
          <w:sz w:val="22"/>
        </w:rPr>
        <w:t>from</w:t>
      </w:r>
      <w:r>
        <w:rPr>
          <w:color w:val="4D4D4F"/>
          <w:spacing w:val="-13"/>
          <w:w w:val="115"/>
          <w:sz w:val="22"/>
        </w:rPr>
        <w:t> </w:t>
      </w:r>
      <w:r>
        <w:rPr>
          <w:color w:val="4D4D4F"/>
          <w:w w:val="115"/>
          <w:sz w:val="22"/>
        </w:rPr>
        <w:t>higher</w:t>
      </w:r>
      <w:r>
        <w:rPr>
          <w:color w:val="4D4D4F"/>
          <w:spacing w:val="-13"/>
          <w:w w:val="115"/>
          <w:sz w:val="22"/>
        </w:rPr>
        <w:t> </w:t>
      </w:r>
      <w:r>
        <w:rPr>
          <w:color w:val="4D4D4F"/>
          <w:w w:val="115"/>
          <w:sz w:val="22"/>
        </w:rPr>
        <w:t>daily</w:t>
      </w:r>
      <w:r>
        <w:rPr>
          <w:color w:val="4D4D4F"/>
          <w:spacing w:val="-13"/>
          <w:w w:val="115"/>
          <w:sz w:val="22"/>
        </w:rPr>
        <w:t> </w:t>
      </w:r>
      <w:r>
        <w:rPr>
          <w:color w:val="4D4D4F"/>
          <w:w w:val="115"/>
          <w:sz w:val="22"/>
        </w:rPr>
        <w:t>doses.</w:t>
      </w:r>
    </w:p>
    <w:p>
      <w:pPr>
        <w:pStyle w:val="BodyText"/>
        <w:spacing w:before="4"/>
        <w:rPr>
          <w:sz w:val="20"/>
        </w:rPr>
      </w:pPr>
    </w:p>
    <w:p>
      <w:pPr>
        <w:pStyle w:val="Heading3"/>
        <w:spacing w:before="1"/>
      </w:pPr>
      <w:bookmarkStart w:name="_TOC_250083" w:id="32"/>
      <w:bookmarkEnd w:id="32"/>
      <w:r>
        <w:rPr>
          <w:color w:val="137692"/>
          <w:w w:val="105"/>
        </w:rPr>
        <w:t>Take-Home Medication</w:t>
      </w:r>
    </w:p>
    <w:p>
      <w:pPr>
        <w:spacing w:line="244" w:lineRule="auto" w:before="42"/>
        <w:ind w:left="140" w:right="309" w:firstLine="0"/>
        <w:jc w:val="left"/>
        <w:rPr>
          <w:sz w:val="22"/>
        </w:rPr>
      </w:pPr>
      <w:r>
        <w:rPr>
          <w:rFonts w:ascii="Calibri" w:hAnsi="Calibri"/>
          <w:b/>
          <w:color w:val="4D4D4F"/>
          <w:w w:val="110"/>
          <w:sz w:val="22"/>
        </w:rPr>
        <w:t>OTPs can provide gradually increasing numbers of take-home doses to patients </w:t>
      </w:r>
      <w:r>
        <w:rPr>
          <w:color w:val="4D4D4F"/>
          <w:w w:val="110"/>
          <w:sz w:val="22"/>
        </w:rPr>
        <w:t>who discontinue illicit drug use and begin achieving treatment goals, commensurate with their tenure in the program. This provides a</w:t>
      </w:r>
      <w:r>
        <w:rPr>
          <w:color w:val="4D4D4F"/>
          <w:spacing w:val="-24"/>
          <w:w w:val="110"/>
          <w:sz w:val="22"/>
        </w:rPr>
        <w:t> </w:t>
      </w:r>
      <w:r>
        <w:rPr>
          <w:color w:val="4D4D4F"/>
          <w:spacing w:val="-3"/>
          <w:w w:val="110"/>
          <w:sz w:val="22"/>
        </w:rPr>
        <w:t>powerful </w:t>
      </w:r>
      <w:r>
        <w:rPr>
          <w:color w:val="4D4D4F"/>
          <w:w w:val="110"/>
          <w:sz w:val="22"/>
        </w:rPr>
        <w:t>incentive for patients to achieve treatment goals.</w:t>
      </w:r>
      <w:r>
        <w:rPr>
          <w:color w:val="4D4D4F"/>
          <w:w w:val="110"/>
          <w:position w:val="7"/>
          <w:sz w:val="13"/>
        </w:rPr>
        <w:t>151 </w:t>
      </w:r>
      <w:r>
        <w:rPr>
          <w:color w:val="4D4D4F"/>
          <w:w w:val="110"/>
          <w:sz w:val="22"/>
        </w:rPr>
        <w:t>It also furthers patients’ recovery goals by allowing them to attend work, school, or other activities without daily OTP</w:t>
      </w:r>
      <w:r>
        <w:rPr>
          <w:color w:val="4D4D4F"/>
          <w:spacing w:val="-38"/>
          <w:w w:val="110"/>
          <w:sz w:val="22"/>
        </w:rPr>
        <w:t> </w:t>
      </w:r>
      <w:r>
        <w:rPr>
          <w:color w:val="4D4D4F"/>
          <w:w w:val="110"/>
          <w:sz w:val="22"/>
        </w:rPr>
        <w:t>visits.</w:t>
      </w:r>
    </w:p>
    <w:p>
      <w:pPr>
        <w:pStyle w:val="Heading7"/>
        <w:spacing w:line="235" w:lineRule="auto" w:before="191"/>
        <w:ind w:right="451"/>
      </w:pPr>
      <w:r>
        <w:rPr>
          <w:color w:val="4D4D4F"/>
          <w:w w:val="115"/>
        </w:rPr>
        <w:t>Federal OTP regulations describe the conditions under which take-home doses are permitted. Some states have additional</w:t>
      </w:r>
    </w:p>
    <w:p>
      <w:pPr>
        <w:pStyle w:val="BodyText"/>
        <w:spacing w:line="244" w:lineRule="auto"/>
        <w:ind w:left="140" w:right="292"/>
      </w:pPr>
      <w:r>
        <w:rPr>
          <w:rFonts w:ascii="Calibri"/>
          <w:b/>
          <w:color w:val="4D4D4F"/>
          <w:w w:val="115"/>
        </w:rPr>
        <w:t>regulations.</w:t>
      </w:r>
      <w:r>
        <w:rPr>
          <w:rFonts w:ascii="Calibri"/>
          <w:b/>
          <w:color w:val="4D4D4F"/>
          <w:spacing w:val="-18"/>
          <w:w w:val="115"/>
        </w:rPr>
        <w:t> </w:t>
      </w:r>
      <w:r>
        <w:rPr>
          <w:color w:val="4D4D4F"/>
          <w:w w:val="115"/>
        </w:rPr>
        <w:t>OTPs</w:t>
      </w:r>
      <w:r>
        <w:rPr>
          <w:color w:val="4D4D4F"/>
          <w:spacing w:val="-32"/>
          <w:w w:val="115"/>
        </w:rPr>
        <w:t> </w:t>
      </w:r>
      <w:r>
        <w:rPr>
          <w:color w:val="4D4D4F"/>
          <w:w w:val="115"/>
        </w:rPr>
        <w:t>should</w:t>
      </w:r>
      <w:r>
        <w:rPr>
          <w:color w:val="4D4D4F"/>
          <w:spacing w:val="-32"/>
          <w:w w:val="115"/>
        </w:rPr>
        <w:t> </w:t>
      </w:r>
      <w:r>
        <w:rPr>
          <w:color w:val="4D4D4F"/>
          <w:w w:val="115"/>
        </w:rPr>
        <w:t>be</w:t>
      </w:r>
      <w:r>
        <w:rPr>
          <w:color w:val="4D4D4F"/>
          <w:spacing w:val="-33"/>
          <w:w w:val="115"/>
        </w:rPr>
        <w:t> </w:t>
      </w:r>
      <w:r>
        <w:rPr>
          <w:color w:val="4D4D4F"/>
          <w:w w:val="115"/>
        </w:rPr>
        <w:t>familiar</w:t>
      </w:r>
      <w:r>
        <w:rPr>
          <w:color w:val="4D4D4F"/>
          <w:spacing w:val="-32"/>
          <w:w w:val="115"/>
        </w:rPr>
        <w:t> </w:t>
      </w:r>
      <w:r>
        <w:rPr>
          <w:color w:val="4D4D4F"/>
          <w:w w:val="115"/>
        </w:rPr>
        <w:t>with</w:t>
      </w:r>
      <w:r>
        <w:rPr>
          <w:color w:val="4D4D4F"/>
          <w:spacing w:val="-33"/>
          <w:w w:val="115"/>
        </w:rPr>
        <w:t> </w:t>
      </w:r>
      <w:r>
        <w:rPr>
          <w:color w:val="4D4D4F"/>
          <w:spacing w:val="-4"/>
          <w:w w:val="115"/>
        </w:rPr>
        <w:t>these </w:t>
      </w:r>
      <w:r>
        <w:rPr>
          <w:color w:val="4D4D4F"/>
          <w:w w:val="115"/>
        </w:rPr>
        <w:t>regulations and have written procedures to address take-home</w:t>
      </w:r>
      <w:r>
        <w:rPr>
          <w:color w:val="4D4D4F"/>
          <w:spacing w:val="-21"/>
          <w:w w:val="115"/>
        </w:rPr>
        <w:t> </w:t>
      </w:r>
      <w:r>
        <w:rPr>
          <w:color w:val="4D4D4F"/>
          <w:w w:val="115"/>
        </w:rPr>
        <w:t>dosing.</w:t>
      </w:r>
    </w:p>
    <w:p>
      <w:pPr>
        <w:spacing w:after="0" w:line="244" w:lineRule="auto"/>
        <w:sectPr>
          <w:type w:val="continuous"/>
          <w:pgSz w:w="12240" w:h="15840"/>
          <w:pgMar w:top="540" w:bottom="280" w:left="940" w:right="920"/>
          <w:cols w:num="2" w:equalWidth="0">
            <w:col w:w="5040" w:space="180"/>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spacing w:line="237" w:lineRule="auto" w:before="103"/>
        <w:ind w:left="140" w:right="153" w:firstLine="0"/>
        <w:jc w:val="left"/>
        <w:rPr>
          <w:sz w:val="22"/>
        </w:rPr>
      </w:pPr>
      <w:r>
        <w:rPr>
          <w:rFonts w:ascii="Calibri" w:hAnsi="Calibri"/>
          <w:b/>
          <w:color w:val="4D4D4F"/>
          <w:w w:val="110"/>
          <w:sz w:val="22"/>
        </w:rPr>
        <w:t>The beneﬁts of take-home doses must outweigh the risks and further patients’ rehabilitation goals. </w:t>
      </w:r>
      <w:r>
        <w:rPr>
          <w:color w:val="4D4D4F"/>
          <w:w w:val="110"/>
          <w:sz w:val="22"/>
        </w:rPr>
        <w:t>When deciding whether patients can handle the responsibility of</w:t>
      </w:r>
    </w:p>
    <w:p>
      <w:pPr>
        <w:pStyle w:val="BodyText"/>
        <w:spacing w:line="247" w:lineRule="auto" w:before="8"/>
        <w:ind w:left="140" w:right="380"/>
        <w:jc w:val="both"/>
      </w:pPr>
      <w:r>
        <w:rPr>
          <w:color w:val="4D4D4F"/>
          <w:w w:val="110"/>
        </w:rPr>
        <w:t>take-home doses of methadone or buprenor- phine, OTP medical directors should </w:t>
      </w:r>
      <w:r>
        <w:rPr>
          <w:color w:val="4D4D4F"/>
          <w:spacing w:val="-3"/>
          <w:w w:val="110"/>
        </w:rPr>
        <w:t>consider </w:t>
      </w:r>
      <w:r>
        <w:rPr>
          <w:color w:val="4D4D4F"/>
          <w:w w:val="110"/>
        </w:rPr>
        <w:t>whether patients demonstrate:</w:t>
      </w:r>
    </w:p>
    <w:p>
      <w:pPr>
        <w:pStyle w:val="ListParagraph"/>
        <w:numPr>
          <w:ilvl w:val="0"/>
          <w:numId w:val="4"/>
        </w:numPr>
        <w:tabs>
          <w:tab w:pos="410" w:val="left" w:leader="none"/>
        </w:tabs>
        <w:spacing w:line="315" w:lineRule="exact" w:before="101" w:after="0"/>
        <w:ind w:left="410" w:right="0" w:hanging="270"/>
        <w:jc w:val="left"/>
        <w:rPr>
          <w:rFonts w:ascii="Arial" w:hAnsi="Arial"/>
          <w:color w:val="137692"/>
          <w:sz w:val="28"/>
        </w:rPr>
      </w:pPr>
      <w:r>
        <w:rPr>
          <w:color w:val="4D4D4F"/>
          <w:w w:val="110"/>
          <w:sz w:val="22"/>
        </w:rPr>
        <w:t>No recent misuse of</w:t>
      </w:r>
      <w:r>
        <w:rPr>
          <w:color w:val="4D4D4F"/>
          <w:spacing w:val="-21"/>
          <w:w w:val="110"/>
          <w:sz w:val="22"/>
        </w:rPr>
        <w:t> </w:t>
      </w:r>
      <w:r>
        <w:rPr>
          <w:color w:val="4D4D4F"/>
          <w:w w:val="110"/>
          <w:sz w:val="22"/>
        </w:rPr>
        <w:t>substances.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Regular clinic</w:t>
      </w:r>
      <w:r>
        <w:rPr>
          <w:color w:val="4D4D4F"/>
          <w:spacing w:val="-21"/>
          <w:w w:val="115"/>
          <w:sz w:val="22"/>
        </w:rPr>
        <w:t> </w:t>
      </w:r>
      <w:r>
        <w:rPr>
          <w:color w:val="4D4D4F"/>
          <w:w w:val="115"/>
          <w:sz w:val="22"/>
        </w:rPr>
        <w:t>attendance.</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No serious behavioral problems at the</w:t>
      </w:r>
      <w:r>
        <w:rPr>
          <w:color w:val="4D4D4F"/>
          <w:spacing w:val="-26"/>
          <w:w w:val="110"/>
          <w:sz w:val="22"/>
        </w:rPr>
        <w:t> </w:t>
      </w:r>
      <w:r>
        <w:rPr>
          <w:color w:val="4D4D4F"/>
          <w:w w:val="110"/>
          <w:sz w:val="22"/>
        </w:rPr>
        <w:t>clinic.</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No recent criminal activity (e.g., selling</w:t>
      </w:r>
      <w:r>
        <w:rPr>
          <w:color w:val="4D4D4F"/>
          <w:spacing w:val="23"/>
          <w:w w:val="110"/>
          <w:sz w:val="22"/>
        </w:rPr>
        <w:t> </w:t>
      </w:r>
      <w:r>
        <w:rPr>
          <w:color w:val="4D4D4F"/>
          <w:w w:val="110"/>
          <w:sz w:val="22"/>
        </w:rPr>
        <w:t>drugs).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Stability</w:t>
      </w:r>
      <w:r>
        <w:rPr>
          <w:color w:val="4D4D4F"/>
          <w:spacing w:val="-18"/>
          <w:w w:val="115"/>
          <w:sz w:val="22"/>
        </w:rPr>
        <w:t> </w:t>
      </w:r>
      <w:r>
        <w:rPr>
          <w:color w:val="4D4D4F"/>
          <w:w w:val="115"/>
          <w:sz w:val="22"/>
        </w:rPr>
        <w:t>at</w:t>
      </w:r>
      <w:r>
        <w:rPr>
          <w:color w:val="4D4D4F"/>
          <w:spacing w:val="-17"/>
          <w:w w:val="115"/>
          <w:sz w:val="22"/>
        </w:rPr>
        <w:t> </w:t>
      </w:r>
      <w:r>
        <w:rPr>
          <w:color w:val="4D4D4F"/>
          <w:w w:val="115"/>
          <w:sz w:val="22"/>
        </w:rPr>
        <w:t>home</w:t>
      </w:r>
      <w:r>
        <w:rPr>
          <w:color w:val="4D4D4F"/>
          <w:spacing w:val="-17"/>
          <w:w w:val="115"/>
          <w:sz w:val="22"/>
        </w:rPr>
        <w:t> </w:t>
      </w:r>
      <w:r>
        <w:rPr>
          <w:color w:val="4D4D4F"/>
          <w:w w:val="115"/>
          <w:sz w:val="22"/>
        </w:rPr>
        <w:t>and</w:t>
      </w:r>
      <w:r>
        <w:rPr>
          <w:color w:val="4D4D4F"/>
          <w:spacing w:val="-17"/>
          <w:w w:val="115"/>
          <w:sz w:val="22"/>
        </w:rPr>
        <w:t> </w:t>
      </w:r>
      <w:r>
        <w:rPr>
          <w:color w:val="4D4D4F"/>
          <w:w w:val="115"/>
          <w:sz w:val="22"/>
        </w:rPr>
        <w:t>in</w:t>
      </w:r>
      <w:r>
        <w:rPr>
          <w:color w:val="4D4D4F"/>
          <w:spacing w:val="-17"/>
          <w:w w:val="115"/>
          <w:sz w:val="22"/>
        </w:rPr>
        <w:t> </w:t>
      </w:r>
      <w:r>
        <w:rPr>
          <w:color w:val="4D4D4F"/>
          <w:w w:val="115"/>
          <w:sz w:val="22"/>
        </w:rPr>
        <w:t>social</w:t>
      </w:r>
      <w:r>
        <w:rPr>
          <w:color w:val="4D4D4F"/>
          <w:spacing w:val="-18"/>
          <w:w w:val="115"/>
          <w:sz w:val="22"/>
        </w:rPr>
        <w:t> </w:t>
      </w:r>
      <w:r>
        <w:rPr>
          <w:color w:val="4D4D4F"/>
          <w:w w:val="115"/>
          <w:sz w:val="22"/>
        </w:rPr>
        <w:t>relationships.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Sufﬁcient time in</w:t>
      </w:r>
      <w:r>
        <w:rPr>
          <w:color w:val="4D4D4F"/>
          <w:spacing w:val="-16"/>
          <w:w w:val="110"/>
          <w:sz w:val="22"/>
        </w:rPr>
        <w:t> </w:t>
      </w:r>
      <w:r>
        <w:rPr>
          <w:color w:val="4D4D4F"/>
          <w:w w:val="110"/>
          <w:sz w:val="22"/>
        </w:rPr>
        <w:t>treatment.</w:t>
      </w:r>
    </w:p>
    <w:p>
      <w:pPr>
        <w:pStyle w:val="ListParagraph"/>
        <w:numPr>
          <w:ilvl w:val="0"/>
          <w:numId w:val="4"/>
        </w:numPr>
        <w:tabs>
          <w:tab w:pos="410" w:val="left" w:leader="none"/>
        </w:tabs>
        <w:spacing w:line="208" w:lineRule="auto" w:before="22" w:after="0"/>
        <w:ind w:left="410" w:right="958" w:hanging="270"/>
        <w:jc w:val="left"/>
        <w:rPr>
          <w:rFonts w:ascii="Arial" w:hAnsi="Arial"/>
          <w:color w:val="137692"/>
          <w:sz w:val="28"/>
        </w:rPr>
      </w:pPr>
      <w:r>
        <w:rPr>
          <w:color w:val="4D4D4F"/>
          <w:w w:val="110"/>
          <w:sz w:val="22"/>
        </w:rPr>
        <w:t>Ability and intent to store</w:t>
      </w:r>
      <w:r>
        <w:rPr>
          <w:color w:val="4D4D4F"/>
          <w:spacing w:val="-37"/>
          <w:w w:val="110"/>
          <w:sz w:val="22"/>
        </w:rPr>
        <w:t> </w:t>
      </w:r>
      <w:r>
        <w:rPr>
          <w:color w:val="4D4D4F"/>
          <w:w w:val="110"/>
          <w:sz w:val="22"/>
        </w:rPr>
        <w:t>take-home medication</w:t>
      </w:r>
      <w:r>
        <w:rPr>
          <w:color w:val="4D4D4F"/>
          <w:spacing w:val="-5"/>
          <w:w w:val="110"/>
          <w:sz w:val="22"/>
        </w:rPr>
        <w:t> </w:t>
      </w:r>
      <w:r>
        <w:rPr>
          <w:color w:val="4D4D4F"/>
          <w:spacing w:val="-3"/>
          <w:w w:val="110"/>
          <w:sz w:val="22"/>
        </w:rPr>
        <w:t>safely.</w:t>
      </w:r>
    </w:p>
    <w:p>
      <w:pPr>
        <w:pStyle w:val="ListParagraph"/>
        <w:numPr>
          <w:ilvl w:val="0"/>
          <w:numId w:val="4"/>
        </w:numPr>
        <w:tabs>
          <w:tab w:pos="410" w:val="left" w:leader="none"/>
        </w:tabs>
        <w:spacing w:line="225" w:lineRule="auto" w:before="53" w:after="0"/>
        <w:ind w:left="410" w:right="199" w:hanging="270"/>
        <w:jc w:val="left"/>
        <w:rPr>
          <w:rFonts w:ascii="Arial" w:hAnsi="Arial"/>
          <w:color w:val="137692"/>
          <w:sz w:val="28"/>
        </w:rPr>
      </w:pPr>
      <w:r>
        <w:rPr>
          <w:color w:val="4D4D4F"/>
          <w:w w:val="110"/>
          <w:sz w:val="22"/>
        </w:rPr>
        <w:t>Rehabilitative beneﬁts from decreasing the frequency of clinic attendance that </w:t>
      </w:r>
      <w:r>
        <w:rPr>
          <w:color w:val="4D4D4F"/>
          <w:spacing w:val="-3"/>
          <w:w w:val="110"/>
          <w:sz w:val="22"/>
        </w:rPr>
        <w:t>outweigh </w:t>
      </w:r>
      <w:r>
        <w:rPr>
          <w:color w:val="4D4D4F"/>
          <w:w w:val="110"/>
          <w:sz w:val="22"/>
        </w:rPr>
        <w:t>the potential risks of</w:t>
      </w:r>
      <w:r>
        <w:rPr>
          <w:color w:val="4D4D4F"/>
          <w:spacing w:val="-23"/>
          <w:w w:val="110"/>
          <w:sz w:val="22"/>
        </w:rPr>
        <w:t> </w:t>
      </w:r>
      <w:r>
        <w:rPr>
          <w:color w:val="4D4D4F"/>
          <w:w w:val="110"/>
          <w:sz w:val="22"/>
        </w:rPr>
        <w:t>diversion.</w:t>
      </w:r>
    </w:p>
    <w:p>
      <w:pPr>
        <w:pStyle w:val="Heading7"/>
        <w:spacing w:line="235" w:lineRule="auto" w:before="194"/>
        <w:ind w:right="153"/>
      </w:pPr>
      <w:r>
        <w:rPr>
          <w:color w:val="4D4D4F"/>
          <w:w w:val="115"/>
        </w:rPr>
        <w:t>Federal regulations based on patients’ time in treatment determine eligibility to be considered for receiving take-home doses </w:t>
      </w:r>
      <w:r>
        <w:rPr>
          <w:color w:val="4D4D4F"/>
          <w:spacing w:val="-6"/>
          <w:w w:val="115"/>
        </w:rPr>
        <w:t>of </w:t>
      </w:r>
      <w:r>
        <w:rPr>
          <w:color w:val="4D4D4F"/>
          <w:w w:val="115"/>
        </w:rPr>
        <w:t>methadone (but buprenorphine is not </w:t>
      </w:r>
      <w:r>
        <w:rPr>
          <w:color w:val="4D4D4F"/>
          <w:spacing w:val="-4"/>
          <w:w w:val="115"/>
        </w:rPr>
        <w:t>bound </w:t>
      </w:r>
      <w:r>
        <w:rPr>
          <w:color w:val="4D4D4F"/>
          <w:w w:val="115"/>
        </w:rPr>
        <w:t>by these limits):</w:t>
      </w:r>
    </w:p>
    <w:p>
      <w:pPr>
        <w:pStyle w:val="ListParagraph"/>
        <w:numPr>
          <w:ilvl w:val="0"/>
          <w:numId w:val="4"/>
        </w:numPr>
        <w:tabs>
          <w:tab w:pos="410" w:val="left" w:leader="none"/>
        </w:tabs>
        <w:spacing w:line="264" w:lineRule="exact" w:before="113" w:after="0"/>
        <w:ind w:left="410" w:right="404" w:hanging="270"/>
        <w:jc w:val="left"/>
        <w:rPr>
          <w:rFonts w:ascii="Arial" w:hAnsi="Arial"/>
          <w:color w:val="137692"/>
          <w:sz w:val="28"/>
        </w:rPr>
      </w:pPr>
      <w:r>
        <w:rPr>
          <w:color w:val="4D4D4F"/>
          <w:w w:val="115"/>
          <w:sz w:val="22"/>
        </w:rPr>
        <w:t>One</w:t>
      </w:r>
      <w:r>
        <w:rPr>
          <w:color w:val="4D4D4F"/>
          <w:spacing w:val="-28"/>
          <w:w w:val="115"/>
          <w:sz w:val="22"/>
        </w:rPr>
        <w:t> </w:t>
      </w:r>
      <w:r>
        <w:rPr>
          <w:color w:val="4D4D4F"/>
          <w:w w:val="115"/>
          <w:sz w:val="22"/>
        </w:rPr>
        <w:t>earned</w:t>
      </w:r>
      <w:r>
        <w:rPr>
          <w:color w:val="4D4D4F"/>
          <w:spacing w:val="-27"/>
          <w:w w:val="115"/>
          <w:sz w:val="22"/>
        </w:rPr>
        <w:t> </w:t>
      </w:r>
      <w:r>
        <w:rPr>
          <w:color w:val="4D4D4F"/>
          <w:w w:val="115"/>
          <w:sz w:val="22"/>
        </w:rPr>
        <w:t>dose/week</w:t>
      </w:r>
      <w:r>
        <w:rPr>
          <w:color w:val="4D4D4F"/>
          <w:spacing w:val="-27"/>
          <w:w w:val="115"/>
          <w:sz w:val="22"/>
        </w:rPr>
        <w:t> </w:t>
      </w:r>
      <w:r>
        <w:rPr>
          <w:color w:val="4D4D4F"/>
          <w:w w:val="115"/>
          <w:sz w:val="22"/>
        </w:rPr>
        <w:t>(beyond</w:t>
      </w:r>
      <w:r>
        <w:rPr>
          <w:color w:val="4D4D4F"/>
          <w:spacing w:val="-27"/>
          <w:w w:val="115"/>
          <w:sz w:val="22"/>
        </w:rPr>
        <w:t> </w:t>
      </w:r>
      <w:r>
        <w:rPr>
          <w:color w:val="4D4D4F"/>
          <w:w w:val="115"/>
          <w:sz w:val="22"/>
        </w:rPr>
        <w:t>a</w:t>
      </w:r>
      <w:r>
        <w:rPr>
          <w:color w:val="4D4D4F"/>
          <w:spacing w:val="-27"/>
          <w:w w:val="115"/>
          <w:sz w:val="22"/>
        </w:rPr>
        <w:t> </w:t>
      </w:r>
      <w:r>
        <w:rPr>
          <w:color w:val="4D4D4F"/>
          <w:w w:val="115"/>
          <w:sz w:val="22"/>
        </w:rPr>
        <w:t>weekly clinic</w:t>
      </w:r>
      <w:r>
        <w:rPr>
          <w:color w:val="4D4D4F"/>
          <w:spacing w:val="-26"/>
          <w:w w:val="115"/>
          <w:sz w:val="22"/>
        </w:rPr>
        <w:t> </w:t>
      </w:r>
      <w:r>
        <w:rPr>
          <w:color w:val="4D4D4F"/>
          <w:w w:val="115"/>
          <w:sz w:val="22"/>
        </w:rPr>
        <w:t>closure</w:t>
      </w:r>
      <w:r>
        <w:rPr>
          <w:color w:val="4D4D4F"/>
          <w:spacing w:val="-26"/>
          <w:w w:val="115"/>
          <w:sz w:val="22"/>
        </w:rPr>
        <w:t> </w:t>
      </w:r>
      <w:r>
        <w:rPr>
          <w:color w:val="4D4D4F"/>
          <w:w w:val="115"/>
          <w:sz w:val="22"/>
        </w:rPr>
        <w:t>day</w:t>
      </w:r>
      <w:r>
        <w:rPr>
          <w:color w:val="4D4D4F"/>
          <w:spacing w:val="-26"/>
          <w:w w:val="115"/>
          <w:sz w:val="22"/>
        </w:rPr>
        <w:t> </w:t>
      </w:r>
      <w:r>
        <w:rPr>
          <w:color w:val="4D4D4F"/>
          <w:w w:val="115"/>
          <w:sz w:val="22"/>
        </w:rPr>
        <w:t>or</w:t>
      </w:r>
      <w:r>
        <w:rPr>
          <w:color w:val="4D4D4F"/>
          <w:spacing w:val="-25"/>
          <w:w w:val="115"/>
          <w:sz w:val="22"/>
        </w:rPr>
        <w:t> </w:t>
      </w:r>
      <w:r>
        <w:rPr>
          <w:color w:val="4D4D4F"/>
          <w:w w:val="115"/>
          <w:sz w:val="22"/>
        </w:rPr>
        <w:t>federal</w:t>
      </w:r>
      <w:r>
        <w:rPr>
          <w:color w:val="4D4D4F"/>
          <w:spacing w:val="-26"/>
          <w:w w:val="115"/>
          <w:sz w:val="22"/>
        </w:rPr>
        <w:t> </w:t>
      </w:r>
      <w:r>
        <w:rPr>
          <w:color w:val="4D4D4F"/>
          <w:spacing w:val="-3"/>
          <w:w w:val="115"/>
          <w:sz w:val="22"/>
        </w:rPr>
        <w:t>holiday,</w:t>
      </w:r>
      <w:r>
        <w:rPr>
          <w:color w:val="4D4D4F"/>
          <w:spacing w:val="-26"/>
          <w:w w:val="115"/>
          <w:sz w:val="22"/>
        </w:rPr>
        <w:t> </w:t>
      </w:r>
      <w:r>
        <w:rPr>
          <w:color w:val="4D4D4F"/>
          <w:w w:val="115"/>
          <w:sz w:val="22"/>
        </w:rPr>
        <w:t>when clinics</w:t>
      </w:r>
      <w:r>
        <w:rPr>
          <w:color w:val="4D4D4F"/>
          <w:spacing w:val="-27"/>
          <w:w w:val="115"/>
          <w:sz w:val="22"/>
        </w:rPr>
        <w:t> </w:t>
      </w:r>
      <w:r>
        <w:rPr>
          <w:color w:val="4D4D4F"/>
          <w:w w:val="115"/>
          <w:sz w:val="22"/>
        </w:rPr>
        <w:t>typically</w:t>
      </w:r>
      <w:r>
        <w:rPr>
          <w:color w:val="4D4D4F"/>
          <w:spacing w:val="-27"/>
          <w:w w:val="115"/>
          <w:sz w:val="22"/>
        </w:rPr>
        <w:t> </w:t>
      </w:r>
      <w:r>
        <w:rPr>
          <w:color w:val="4D4D4F"/>
          <w:w w:val="115"/>
          <w:sz w:val="22"/>
        </w:rPr>
        <w:t>close)</w:t>
      </w:r>
      <w:r>
        <w:rPr>
          <w:color w:val="4D4D4F"/>
          <w:spacing w:val="-26"/>
          <w:w w:val="115"/>
          <w:sz w:val="22"/>
        </w:rPr>
        <w:t> </w:t>
      </w:r>
      <w:r>
        <w:rPr>
          <w:color w:val="4D4D4F"/>
          <w:w w:val="115"/>
          <w:sz w:val="22"/>
        </w:rPr>
        <w:t>in</w:t>
      </w:r>
      <w:r>
        <w:rPr>
          <w:color w:val="4D4D4F"/>
          <w:spacing w:val="-27"/>
          <w:w w:val="115"/>
          <w:sz w:val="22"/>
        </w:rPr>
        <w:t> </w:t>
      </w:r>
      <w:r>
        <w:rPr>
          <w:color w:val="4D4D4F"/>
          <w:w w:val="115"/>
          <w:sz w:val="22"/>
        </w:rPr>
        <w:t>the</w:t>
      </w:r>
      <w:r>
        <w:rPr>
          <w:color w:val="4D4D4F"/>
          <w:spacing w:val="-26"/>
          <w:w w:val="115"/>
          <w:sz w:val="22"/>
        </w:rPr>
        <w:t> </w:t>
      </w:r>
      <w:r>
        <w:rPr>
          <w:color w:val="4D4D4F"/>
          <w:w w:val="115"/>
          <w:sz w:val="22"/>
        </w:rPr>
        <w:t>ﬁrst</w:t>
      </w:r>
      <w:r>
        <w:rPr>
          <w:color w:val="4D4D4F"/>
          <w:spacing w:val="-27"/>
          <w:w w:val="115"/>
          <w:sz w:val="22"/>
        </w:rPr>
        <w:t> </w:t>
      </w:r>
      <w:r>
        <w:rPr>
          <w:color w:val="4D4D4F"/>
          <w:w w:val="115"/>
          <w:sz w:val="22"/>
        </w:rPr>
        <w:t>90</w:t>
      </w:r>
      <w:r>
        <w:rPr>
          <w:color w:val="4D4D4F"/>
          <w:spacing w:val="-27"/>
          <w:w w:val="115"/>
          <w:sz w:val="22"/>
        </w:rPr>
        <w:t> </w:t>
      </w:r>
      <w:r>
        <w:rPr>
          <w:color w:val="4D4D4F"/>
          <w:w w:val="115"/>
          <w:sz w:val="22"/>
        </w:rPr>
        <w:t>days</w:t>
      </w:r>
      <w:r>
        <w:rPr>
          <w:color w:val="4D4D4F"/>
          <w:spacing w:val="-26"/>
          <w:w w:val="115"/>
          <w:sz w:val="22"/>
        </w:rPr>
        <w:t> </w:t>
      </w:r>
      <w:r>
        <w:rPr>
          <w:color w:val="4D4D4F"/>
          <w:spacing w:val="-9"/>
          <w:w w:val="115"/>
          <w:sz w:val="22"/>
        </w:rPr>
        <w:t>of </w:t>
      </w:r>
      <w:r>
        <w:rPr>
          <w:color w:val="4D4D4F"/>
          <w:w w:val="115"/>
          <w:sz w:val="22"/>
        </w:rPr>
        <w:t>treatment</w:t>
      </w:r>
    </w:p>
    <w:p>
      <w:pPr>
        <w:pStyle w:val="ListParagraph"/>
        <w:numPr>
          <w:ilvl w:val="0"/>
          <w:numId w:val="4"/>
        </w:numPr>
        <w:tabs>
          <w:tab w:pos="410" w:val="left" w:leader="none"/>
        </w:tabs>
        <w:spacing w:line="315" w:lineRule="exact" w:before="32" w:after="0"/>
        <w:ind w:left="410" w:right="0" w:hanging="270"/>
        <w:jc w:val="left"/>
        <w:rPr>
          <w:rFonts w:ascii="Arial" w:hAnsi="Arial"/>
          <w:color w:val="137692"/>
          <w:sz w:val="28"/>
        </w:rPr>
      </w:pPr>
      <w:r>
        <w:rPr>
          <w:color w:val="4D4D4F"/>
          <w:spacing w:val="-9"/>
          <w:w w:val="110"/>
          <w:sz w:val="22"/>
        </w:rPr>
        <w:t>Two </w:t>
      </w:r>
      <w:r>
        <w:rPr>
          <w:color w:val="4D4D4F"/>
          <w:w w:val="110"/>
          <w:sz w:val="22"/>
        </w:rPr>
        <w:t>doses during the second 90</w:t>
      </w:r>
      <w:r>
        <w:rPr>
          <w:color w:val="4D4D4F"/>
          <w:spacing w:val="-12"/>
          <w:w w:val="110"/>
          <w:sz w:val="22"/>
        </w:rPr>
        <w:t> </w:t>
      </w:r>
      <w:r>
        <w:rPr>
          <w:color w:val="4D4D4F"/>
          <w:w w:val="110"/>
          <w:sz w:val="22"/>
        </w:rPr>
        <w:t>days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Three</w:t>
      </w:r>
      <w:r>
        <w:rPr>
          <w:color w:val="4D4D4F"/>
          <w:spacing w:val="-15"/>
          <w:w w:val="115"/>
          <w:sz w:val="22"/>
        </w:rPr>
        <w:t> </w:t>
      </w:r>
      <w:r>
        <w:rPr>
          <w:color w:val="4D4D4F"/>
          <w:w w:val="115"/>
          <w:sz w:val="22"/>
        </w:rPr>
        <w:t>doses</w:t>
      </w:r>
      <w:r>
        <w:rPr>
          <w:color w:val="4D4D4F"/>
          <w:spacing w:val="-14"/>
          <w:w w:val="115"/>
          <w:sz w:val="22"/>
        </w:rPr>
        <w:t> </w:t>
      </w:r>
      <w:r>
        <w:rPr>
          <w:color w:val="4D4D4F"/>
          <w:w w:val="115"/>
          <w:sz w:val="22"/>
        </w:rPr>
        <w:t>during</w:t>
      </w:r>
      <w:r>
        <w:rPr>
          <w:color w:val="4D4D4F"/>
          <w:spacing w:val="-15"/>
          <w:w w:val="115"/>
          <w:sz w:val="22"/>
        </w:rPr>
        <w:t> </w:t>
      </w:r>
      <w:r>
        <w:rPr>
          <w:color w:val="4D4D4F"/>
          <w:w w:val="115"/>
          <w:sz w:val="22"/>
        </w:rPr>
        <w:t>the</w:t>
      </w:r>
      <w:r>
        <w:rPr>
          <w:color w:val="4D4D4F"/>
          <w:spacing w:val="-14"/>
          <w:w w:val="115"/>
          <w:sz w:val="22"/>
        </w:rPr>
        <w:t> </w:t>
      </w:r>
      <w:r>
        <w:rPr>
          <w:color w:val="4D4D4F"/>
          <w:w w:val="115"/>
          <w:sz w:val="22"/>
        </w:rPr>
        <w:t>third</w:t>
      </w:r>
      <w:r>
        <w:rPr>
          <w:color w:val="4D4D4F"/>
          <w:spacing w:val="-15"/>
          <w:w w:val="115"/>
          <w:sz w:val="22"/>
        </w:rPr>
        <w:t> </w:t>
      </w:r>
      <w:r>
        <w:rPr>
          <w:color w:val="4D4D4F"/>
          <w:w w:val="115"/>
          <w:sz w:val="22"/>
        </w:rPr>
        <w:t>90</w:t>
      </w:r>
      <w:r>
        <w:rPr>
          <w:color w:val="4D4D4F"/>
          <w:spacing w:val="-14"/>
          <w:w w:val="115"/>
          <w:sz w:val="22"/>
        </w:rPr>
        <w:t> </w:t>
      </w:r>
      <w:r>
        <w:rPr>
          <w:color w:val="4D4D4F"/>
          <w:w w:val="115"/>
          <w:sz w:val="22"/>
        </w:rPr>
        <w:t>days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Up</w:t>
      </w:r>
      <w:r>
        <w:rPr>
          <w:color w:val="4D4D4F"/>
          <w:spacing w:val="-13"/>
          <w:w w:val="115"/>
          <w:sz w:val="22"/>
        </w:rPr>
        <w:t> </w:t>
      </w:r>
      <w:r>
        <w:rPr>
          <w:color w:val="4D4D4F"/>
          <w:w w:val="115"/>
          <w:sz w:val="22"/>
        </w:rPr>
        <w:t>to</w:t>
      </w:r>
      <w:r>
        <w:rPr>
          <w:color w:val="4D4D4F"/>
          <w:spacing w:val="-12"/>
          <w:w w:val="115"/>
          <w:sz w:val="22"/>
        </w:rPr>
        <w:t> </w:t>
      </w:r>
      <w:r>
        <w:rPr>
          <w:color w:val="4D4D4F"/>
          <w:w w:val="115"/>
          <w:sz w:val="22"/>
        </w:rPr>
        <w:t>6</w:t>
      </w:r>
      <w:r>
        <w:rPr>
          <w:color w:val="4D4D4F"/>
          <w:spacing w:val="-12"/>
          <w:w w:val="115"/>
          <w:sz w:val="22"/>
        </w:rPr>
        <w:t> </w:t>
      </w:r>
      <w:r>
        <w:rPr>
          <w:color w:val="4D4D4F"/>
          <w:w w:val="115"/>
          <w:sz w:val="22"/>
        </w:rPr>
        <w:t>doses</w:t>
      </w:r>
      <w:r>
        <w:rPr>
          <w:color w:val="4D4D4F"/>
          <w:spacing w:val="-12"/>
          <w:w w:val="115"/>
          <w:sz w:val="22"/>
        </w:rPr>
        <w:t> </w:t>
      </w:r>
      <w:r>
        <w:rPr>
          <w:color w:val="4D4D4F"/>
          <w:w w:val="115"/>
          <w:sz w:val="22"/>
        </w:rPr>
        <w:t>during</w:t>
      </w:r>
      <w:r>
        <w:rPr>
          <w:color w:val="4D4D4F"/>
          <w:spacing w:val="-12"/>
          <w:w w:val="115"/>
          <w:sz w:val="22"/>
        </w:rPr>
        <w:t> </w:t>
      </w:r>
      <w:r>
        <w:rPr>
          <w:color w:val="4D4D4F"/>
          <w:w w:val="115"/>
          <w:sz w:val="22"/>
        </w:rPr>
        <w:t>the</w:t>
      </w:r>
      <w:r>
        <w:rPr>
          <w:color w:val="4D4D4F"/>
          <w:spacing w:val="-12"/>
          <w:w w:val="115"/>
          <w:sz w:val="22"/>
        </w:rPr>
        <w:t> </w:t>
      </w:r>
      <w:r>
        <w:rPr>
          <w:color w:val="4D4D4F"/>
          <w:w w:val="115"/>
          <w:sz w:val="22"/>
        </w:rPr>
        <w:t>last</w:t>
      </w:r>
      <w:r>
        <w:rPr>
          <w:color w:val="4D4D4F"/>
          <w:spacing w:val="-13"/>
          <w:w w:val="115"/>
          <w:sz w:val="22"/>
        </w:rPr>
        <w:t> </w:t>
      </w:r>
      <w:r>
        <w:rPr>
          <w:color w:val="4D4D4F"/>
          <w:w w:val="115"/>
          <w:sz w:val="22"/>
        </w:rPr>
        <w:t>90</w:t>
      </w:r>
      <w:r>
        <w:rPr>
          <w:color w:val="4D4D4F"/>
          <w:spacing w:val="-12"/>
          <w:w w:val="115"/>
          <w:sz w:val="22"/>
        </w:rPr>
        <w:t> </w:t>
      </w:r>
      <w:r>
        <w:rPr>
          <w:color w:val="4D4D4F"/>
          <w:w w:val="115"/>
          <w:sz w:val="22"/>
        </w:rPr>
        <w:t>days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Up to 2 weeks of doses after 1</w:t>
      </w:r>
      <w:r>
        <w:rPr>
          <w:color w:val="4D4D4F"/>
          <w:spacing w:val="-45"/>
          <w:w w:val="110"/>
          <w:sz w:val="22"/>
        </w:rPr>
        <w:t> </w:t>
      </w:r>
      <w:r>
        <w:rPr>
          <w:color w:val="4D4D4F"/>
          <w:w w:val="110"/>
          <w:sz w:val="22"/>
        </w:rPr>
        <w:t>year</w:t>
      </w:r>
    </w:p>
    <w:p>
      <w:pPr>
        <w:pStyle w:val="ListParagraph"/>
        <w:numPr>
          <w:ilvl w:val="0"/>
          <w:numId w:val="4"/>
        </w:numPr>
        <w:tabs>
          <w:tab w:pos="410" w:val="left" w:leader="none"/>
        </w:tabs>
        <w:spacing w:line="315" w:lineRule="exact" w:before="0" w:after="0"/>
        <w:ind w:left="410" w:right="0" w:hanging="270"/>
        <w:jc w:val="left"/>
        <w:rPr>
          <w:rFonts w:ascii="Arial" w:hAnsi="Arial"/>
          <w:color w:val="137692"/>
          <w:sz w:val="28"/>
        </w:rPr>
      </w:pPr>
      <w:r>
        <w:rPr>
          <w:color w:val="4D4D4F"/>
          <w:w w:val="110"/>
          <w:sz w:val="22"/>
        </w:rPr>
        <w:t>Up to 1 month of doses after 2</w:t>
      </w:r>
      <w:r>
        <w:rPr>
          <w:color w:val="4D4D4F"/>
          <w:spacing w:val="-44"/>
          <w:w w:val="110"/>
          <w:sz w:val="22"/>
        </w:rPr>
        <w:t> </w:t>
      </w:r>
      <w:r>
        <w:rPr>
          <w:color w:val="4D4D4F"/>
          <w:w w:val="110"/>
          <w:sz w:val="22"/>
        </w:rPr>
        <w:t>years</w:t>
      </w:r>
    </w:p>
    <w:p>
      <w:pPr>
        <w:spacing w:line="247" w:lineRule="auto" w:before="174"/>
        <w:ind w:left="140" w:right="1223" w:firstLine="0"/>
        <w:jc w:val="left"/>
        <w:rPr>
          <w:b/>
          <w:i/>
          <w:sz w:val="24"/>
        </w:rPr>
      </w:pPr>
      <w:r>
        <w:rPr>
          <w:b/>
          <w:i/>
          <w:color w:val="137692"/>
          <w:w w:val="105"/>
          <w:sz w:val="24"/>
        </w:rPr>
        <w:t>Assessing responsible handling of </w:t>
      </w:r>
      <w:r>
        <w:rPr>
          <w:b/>
          <w:i/>
          <w:color w:val="137692"/>
          <w:w w:val="105"/>
          <w:sz w:val="24"/>
        </w:rPr>
        <w:t>take-home doses</w:t>
      </w:r>
    </w:p>
    <w:p>
      <w:pPr>
        <w:pStyle w:val="BodyText"/>
        <w:spacing w:line="247" w:lineRule="auto" w:before="36"/>
        <w:ind w:left="139" w:right="43"/>
      </w:pPr>
      <w:r>
        <w:rPr>
          <w:rFonts w:ascii="Calibri"/>
          <w:b/>
          <w:color w:val="4D4D4F"/>
          <w:w w:val="110"/>
        </w:rPr>
        <w:t>Methadone diversion is a risk.  </w:t>
      </w:r>
      <w:r>
        <w:rPr>
          <w:color w:val="4D4D4F"/>
          <w:w w:val="110"/>
        </w:rPr>
        <w:t>People with OUD who are not in treatment more frequently use illicit methadone to self-medicate withdrawal symptoms than to achieve euphoria.</w:t>
      </w:r>
      <w:r>
        <w:rPr>
          <w:color w:val="4D4D4F"/>
          <w:w w:val="110"/>
          <w:position w:val="7"/>
          <w:sz w:val="13"/>
        </w:rPr>
        <w:t>152,153 </w:t>
      </w:r>
      <w:r>
        <w:rPr>
          <w:color w:val="4D4D4F"/>
          <w:w w:val="110"/>
        </w:rPr>
        <w:t>Still, diversion is a public health risk; people who</w:t>
      </w:r>
    </w:p>
    <w:p>
      <w:pPr>
        <w:pStyle w:val="BodyText"/>
        <w:spacing w:line="247" w:lineRule="auto"/>
        <w:ind w:left="139" w:right="65"/>
      </w:pPr>
      <w:r>
        <w:rPr>
          <w:color w:val="4D4D4F"/>
          <w:w w:val="115"/>
        </w:rPr>
        <w:t>self-medicate</w:t>
      </w:r>
      <w:r>
        <w:rPr>
          <w:color w:val="4D4D4F"/>
          <w:spacing w:val="-27"/>
          <w:w w:val="115"/>
        </w:rPr>
        <w:t> </w:t>
      </w:r>
      <w:r>
        <w:rPr>
          <w:color w:val="4D4D4F"/>
          <w:w w:val="115"/>
        </w:rPr>
        <w:t>may</w:t>
      </w:r>
      <w:r>
        <w:rPr>
          <w:color w:val="4D4D4F"/>
          <w:spacing w:val="-27"/>
          <w:w w:val="115"/>
        </w:rPr>
        <w:t> </w:t>
      </w:r>
      <w:r>
        <w:rPr>
          <w:color w:val="4D4D4F"/>
          <w:w w:val="115"/>
        </w:rPr>
        <w:t>not</w:t>
      </w:r>
      <w:r>
        <w:rPr>
          <w:color w:val="4D4D4F"/>
          <w:spacing w:val="-27"/>
          <w:w w:val="115"/>
        </w:rPr>
        <w:t> </w:t>
      </w:r>
      <w:r>
        <w:rPr>
          <w:color w:val="4D4D4F"/>
          <w:w w:val="115"/>
        </w:rPr>
        <w:t>know</w:t>
      </w:r>
      <w:r>
        <w:rPr>
          <w:color w:val="4D4D4F"/>
          <w:spacing w:val="-26"/>
          <w:w w:val="115"/>
        </w:rPr>
        <w:t> </w:t>
      </w:r>
      <w:r>
        <w:rPr>
          <w:color w:val="4D4D4F"/>
          <w:w w:val="115"/>
        </w:rPr>
        <w:t>what</w:t>
      </w:r>
      <w:r>
        <w:rPr>
          <w:color w:val="4D4D4F"/>
          <w:spacing w:val="-27"/>
          <w:w w:val="115"/>
        </w:rPr>
        <w:t> </w:t>
      </w:r>
      <w:r>
        <w:rPr>
          <w:color w:val="4D4D4F"/>
          <w:w w:val="115"/>
        </w:rPr>
        <w:t>dose</w:t>
      </w:r>
      <w:r>
        <w:rPr>
          <w:color w:val="4D4D4F"/>
          <w:spacing w:val="-27"/>
          <w:w w:val="115"/>
        </w:rPr>
        <w:t> </w:t>
      </w:r>
      <w:r>
        <w:rPr>
          <w:color w:val="4D4D4F"/>
          <w:w w:val="115"/>
        </w:rPr>
        <w:t>they</w:t>
      </w:r>
      <w:r>
        <w:rPr>
          <w:color w:val="4D4D4F"/>
          <w:spacing w:val="-26"/>
          <w:w w:val="115"/>
        </w:rPr>
        <w:t> </w:t>
      </w:r>
      <w:r>
        <w:rPr>
          <w:color w:val="4D4D4F"/>
          <w:w w:val="115"/>
        </w:rPr>
        <w:t>are taking.</w:t>
      </w:r>
      <w:r>
        <w:rPr>
          <w:color w:val="4D4D4F"/>
          <w:spacing w:val="-30"/>
          <w:w w:val="115"/>
        </w:rPr>
        <w:t> </w:t>
      </w:r>
      <w:r>
        <w:rPr>
          <w:color w:val="4D4D4F"/>
          <w:spacing w:val="-3"/>
          <w:w w:val="115"/>
        </w:rPr>
        <w:t>Moreover,</w:t>
      </w:r>
      <w:r>
        <w:rPr>
          <w:color w:val="4D4D4F"/>
          <w:spacing w:val="-30"/>
          <w:w w:val="115"/>
        </w:rPr>
        <w:t> </w:t>
      </w:r>
      <w:r>
        <w:rPr>
          <w:color w:val="4D4D4F"/>
          <w:w w:val="115"/>
        </w:rPr>
        <w:t>opioid-naïve</w:t>
      </w:r>
      <w:r>
        <w:rPr>
          <w:color w:val="4D4D4F"/>
          <w:spacing w:val="-29"/>
          <w:w w:val="115"/>
        </w:rPr>
        <w:t> </w:t>
      </w:r>
      <w:r>
        <w:rPr>
          <w:color w:val="4D4D4F"/>
          <w:w w:val="115"/>
        </w:rPr>
        <w:t>people</w:t>
      </w:r>
      <w:r>
        <w:rPr>
          <w:color w:val="4D4D4F"/>
          <w:spacing w:val="-30"/>
          <w:w w:val="115"/>
        </w:rPr>
        <w:t> </w:t>
      </w:r>
      <w:r>
        <w:rPr>
          <w:color w:val="4D4D4F"/>
          <w:w w:val="115"/>
        </w:rPr>
        <w:t>(including children) who ingest methadone can die of methadone</w:t>
      </w:r>
      <w:r>
        <w:rPr>
          <w:color w:val="4D4D4F"/>
          <w:spacing w:val="-12"/>
          <w:w w:val="115"/>
        </w:rPr>
        <w:t> </w:t>
      </w:r>
      <w:r>
        <w:rPr>
          <w:color w:val="4D4D4F"/>
          <w:w w:val="115"/>
        </w:rPr>
        <w:t>intoxication.</w:t>
      </w:r>
    </w:p>
    <w:p>
      <w:pPr>
        <w:spacing w:line="237" w:lineRule="auto" w:before="103"/>
        <w:ind w:left="139" w:right="594" w:firstLine="0"/>
        <w:jc w:val="left"/>
        <w:rPr>
          <w:sz w:val="22"/>
        </w:rPr>
      </w:pPr>
      <w:r>
        <w:rPr/>
        <w:br w:type="column"/>
      </w:r>
      <w:r>
        <w:rPr>
          <w:rFonts w:ascii="Calibri" w:hAnsi="Calibri"/>
          <w:b/>
          <w:color w:val="4D4D4F"/>
          <w:w w:val="110"/>
          <w:sz w:val="22"/>
        </w:rPr>
        <w:t>OTPs must assess patients’ adherence to responsible take-home-dose handling and have a diversion control plan. </w:t>
      </w:r>
      <w:r>
        <w:rPr>
          <w:color w:val="4D4D4F"/>
          <w:w w:val="110"/>
          <w:sz w:val="22"/>
        </w:rPr>
        <w:t>The plan may require that the OTP:</w:t>
      </w:r>
    </w:p>
    <w:p>
      <w:pPr>
        <w:pStyle w:val="ListParagraph"/>
        <w:numPr>
          <w:ilvl w:val="0"/>
          <w:numId w:val="4"/>
        </w:numPr>
        <w:tabs>
          <w:tab w:pos="411" w:val="left" w:leader="none"/>
        </w:tabs>
        <w:spacing w:line="225" w:lineRule="auto" w:before="184" w:after="0"/>
        <w:ind w:left="410" w:right="226" w:hanging="270"/>
        <w:jc w:val="left"/>
        <w:rPr>
          <w:rFonts w:ascii="Arial" w:hAnsi="Arial"/>
          <w:color w:val="137692"/>
          <w:sz w:val="28"/>
        </w:rPr>
      </w:pPr>
      <w:r>
        <w:rPr>
          <w:rFonts w:ascii="Calibri" w:hAnsi="Calibri"/>
          <w:b/>
          <w:color w:val="4D4D4F"/>
          <w:w w:val="110"/>
          <w:sz w:val="22"/>
        </w:rPr>
        <w:t>Remain open 7 days per week or arrange dosing at another clinic on days the clinic is closed </w:t>
      </w:r>
      <w:r>
        <w:rPr>
          <w:color w:val="4D4D4F"/>
          <w:w w:val="110"/>
          <w:sz w:val="22"/>
        </w:rPr>
        <w:t>for certain patients to avoid providing take-home doses to new or unstable</w:t>
      </w:r>
      <w:r>
        <w:rPr>
          <w:color w:val="4D4D4F"/>
          <w:spacing w:val="3"/>
          <w:w w:val="110"/>
          <w:sz w:val="22"/>
        </w:rPr>
        <w:t> </w:t>
      </w:r>
      <w:r>
        <w:rPr>
          <w:color w:val="4D4D4F"/>
          <w:w w:val="110"/>
          <w:sz w:val="22"/>
        </w:rPr>
        <w:t>patients.</w:t>
      </w:r>
    </w:p>
    <w:p>
      <w:pPr>
        <w:pStyle w:val="ListParagraph"/>
        <w:numPr>
          <w:ilvl w:val="0"/>
          <w:numId w:val="4"/>
        </w:numPr>
        <w:tabs>
          <w:tab w:pos="411" w:val="left" w:leader="none"/>
        </w:tabs>
        <w:spacing w:line="264" w:lineRule="exact" w:before="49" w:after="0"/>
        <w:ind w:left="410" w:right="223" w:hanging="270"/>
        <w:jc w:val="left"/>
        <w:rPr>
          <w:rFonts w:ascii="Arial" w:hAnsi="Arial"/>
          <w:color w:val="137692"/>
          <w:sz w:val="28"/>
        </w:rPr>
      </w:pPr>
      <w:r>
        <w:rPr>
          <w:rFonts w:ascii="Calibri" w:hAnsi="Calibri"/>
          <w:b/>
          <w:color w:val="4D4D4F"/>
          <w:w w:val="110"/>
          <w:sz w:val="22"/>
        </w:rPr>
        <w:t>Contact patients  randomly  and  request that they return their take-home containers </w:t>
      </w:r>
      <w:r>
        <w:rPr>
          <w:color w:val="4D4D4F"/>
          <w:w w:val="110"/>
          <w:sz w:val="22"/>
        </w:rPr>
        <w:t>within a day or two to see whether they still have the medication in their possession or have altered the medication in any</w:t>
      </w:r>
      <w:r>
        <w:rPr>
          <w:color w:val="4D4D4F"/>
          <w:spacing w:val="-8"/>
          <w:w w:val="110"/>
          <w:sz w:val="22"/>
        </w:rPr>
        <w:t> </w:t>
      </w:r>
      <w:r>
        <w:rPr>
          <w:color w:val="4D4D4F"/>
          <w:spacing w:val="-5"/>
          <w:w w:val="110"/>
          <w:sz w:val="22"/>
        </w:rPr>
        <w:t>way.</w:t>
      </w:r>
    </w:p>
    <w:p>
      <w:pPr>
        <w:pStyle w:val="ListParagraph"/>
        <w:numPr>
          <w:ilvl w:val="0"/>
          <w:numId w:val="4"/>
        </w:numPr>
        <w:tabs>
          <w:tab w:pos="411" w:val="left" w:leader="none"/>
        </w:tabs>
        <w:spacing w:line="264" w:lineRule="exact" w:before="44" w:after="0"/>
        <w:ind w:left="410" w:right="259" w:hanging="270"/>
        <w:jc w:val="left"/>
        <w:rPr>
          <w:rFonts w:ascii="Arial" w:hAnsi="Arial"/>
          <w:color w:val="137692"/>
          <w:sz w:val="28"/>
        </w:rPr>
      </w:pPr>
      <w:r>
        <w:rPr>
          <w:rFonts w:ascii="Calibri" w:hAnsi="Calibri"/>
          <w:b/>
          <w:color w:val="4D4D4F"/>
          <w:w w:val="115"/>
          <w:sz w:val="22"/>
        </w:rPr>
        <w:t>Establish an appropriate drug testing program</w:t>
      </w:r>
      <w:r>
        <w:rPr>
          <w:rFonts w:ascii="Calibri" w:hAnsi="Calibri"/>
          <w:b/>
          <w:color w:val="4D4D4F"/>
          <w:spacing w:val="-16"/>
          <w:w w:val="115"/>
          <w:sz w:val="22"/>
        </w:rPr>
        <w:t> </w:t>
      </w:r>
      <w:r>
        <w:rPr>
          <w:color w:val="4D4D4F"/>
          <w:w w:val="115"/>
          <w:sz w:val="22"/>
        </w:rPr>
        <w:t>with</w:t>
      </w:r>
      <w:r>
        <w:rPr>
          <w:color w:val="4D4D4F"/>
          <w:spacing w:val="-31"/>
          <w:w w:val="115"/>
          <w:sz w:val="22"/>
        </w:rPr>
        <w:t> </w:t>
      </w:r>
      <w:r>
        <w:rPr>
          <w:color w:val="4D4D4F"/>
          <w:w w:val="115"/>
          <w:sz w:val="22"/>
        </w:rPr>
        <w:t>policies</w:t>
      </w:r>
      <w:r>
        <w:rPr>
          <w:color w:val="4D4D4F"/>
          <w:spacing w:val="-31"/>
          <w:w w:val="115"/>
          <w:sz w:val="22"/>
        </w:rPr>
        <w:t> </w:t>
      </w:r>
      <w:r>
        <w:rPr>
          <w:color w:val="4D4D4F"/>
          <w:w w:val="115"/>
          <w:sz w:val="22"/>
        </w:rPr>
        <w:t>to</w:t>
      </w:r>
      <w:r>
        <w:rPr>
          <w:color w:val="4D4D4F"/>
          <w:spacing w:val="-31"/>
          <w:w w:val="115"/>
          <w:sz w:val="22"/>
        </w:rPr>
        <w:t> </w:t>
      </w:r>
      <w:r>
        <w:rPr>
          <w:color w:val="4D4D4F"/>
          <w:w w:val="115"/>
          <w:sz w:val="22"/>
        </w:rPr>
        <w:t>prevent</w:t>
      </w:r>
      <w:r>
        <w:rPr>
          <w:color w:val="4D4D4F"/>
          <w:spacing w:val="-31"/>
          <w:w w:val="115"/>
          <w:sz w:val="22"/>
        </w:rPr>
        <w:t> </w:t>
      </w:r>
      <w:r>
        <w:rPr>
          <w:color w:val="4D4D4F"/>
          <w:w w:val="115"/>
          <w:sz w:val="22"/>
        </w:rPr>
        <w:t>falsiﬁcation of</w:t>
      </w:r>
      <w:r>
        <w:rPr>
          <w:color w:val="4D4D4F"/>
          <w:spacing w:val="-24"/>
          <w:w w:val="115"/>
          <w:sz w:val="22"/>
        </w:rPr>
        <w:t> </w:t>
      </w:r>
      <w:r>
        <w:rPr>
          <w:color w:val="4D4D4F"/>
          <w:w w:val="115"/>
          <w:sz w:val="22"/>
        </w:rPr>
        <w:t>specimens</w:t>
      </w:r>
      <w:r>
        <w:rPr>
          <w:color w:val="4D4D4F"/>
          <w:spacing w:val="-23"/>
          <w:w w:val="115"/>
          <w:sz w:val="22"/>
        </w:rPr>
        <w:t> </w:t>
      </w:r>
      <w:r>
        <w:rPr>
          <w:color w:val="4D4D4F"/>
          <w:w w:val="115"/>
          <w:sz w:val="22"/>
        </w:rPr>
        <w:t>and</w:t>
      </w:r>
      <w:r>
        <w:rPr>
          <w:color w:val="4D4D4F"/>
          <w:spacing w:val="-23"/>
          <w:w w:val="115"/>
          <w:sz w:val="22"/>
        </w:rPr>
        <w:t> </w:t>
      </w:r>
      <w:r>
        <w:rPr>
          <w:color w:val="4D4D4F"/>
          <w:w w:val="115"/>
          <w:sz w:val="22"/>
        </w:rPr>
        <w:t>to</w:t>
      </w:r>
      <w:r>
        <w:rPr>
          <w:color w:val="4D4D4F"/>
          <w:spacing w:val="-23"/>
          <w:w w:val="115"/>
          <w:sz w:val="22"/>
        </w:rPr>
        <w:t> </w:t>
      </w:r>
      <w:r>
        <w:rPr>
          <w:color w:val="4D4D4F"/>
          <w:w w:val="115"/>
          <w:sz w:val="22"/>
        </w:rPr>
        <w:t>respond</w:t>
      </w:r>
      <w:r>
        <w:rPr>
          <w:color w:val="4D4D4F"/>
          <w:spacing w:val="-23"/>
          <w:w w:val="115"/>
          <w:sz w:val="22"/>
        </w:rPr>
        <w:t> </w:t>
      </w:r>
      <w:r>
        <w:rPr>
          <w:color w:val="4D4D4F"/>
          <w:w w:val="115"/>
          <w:sz w:val="22"/>
        </w:rPr>
        <w:t>to</w:t>
      </w:r>
      <w:r>
        <w:rPr>
          <w:color w:val="4D4D4F"/>
          <w:spacing w:val="-23"/>
          <w:w w:val="115"/>
          <w:sz w:val="22"/>
        </w:rPr>
        <w:t> </w:t>
      </w:r>
      <w:r>
        <w:rPr>
          <w:color w:val="4D4D4F"/>
          <w:w w:val="115"/>
          <w:sz w:val="22"/>
        </w:rPr>
        <w:t>tests</w:t>
      </w:r>
      <w:r>
        <w:rPr>
          <w:color w:val="4D4D4F"/>
          <w:spacing w:val="-23"/>
          <w:w w:val="115"/>
          <w:sz w:val="22"/>
        </w:rPr>
        <w:t> </w:t>
      </w:r>
      <w:r>
        <w:rPr>
          <w:color w:val="4D4D4F"/>
          <w:w w:val="115"/>
          <w:sz w:val="22"/>
        </w:rPr>
        <w:t>that</w:t>
      </w:r>
      <w:r>
        <w:rPr>
          <w:color w:val="4D4D4F"/>
          <w:spacing w:val="-24"/>
          <w:w w:val="115"/>
          <w:sz w:val="22"/>
        </w:rPr>
        <w:t> </w:t>
      </w:r>
      <w:r>
        <w:rPr>
          <w:color w:val="4D4D4F"/>
          <w:spacing w:val="-8"/>
          <w:w w:val="115"/>
          <w:sz w:val="22"/>
        </w:rPr>
        <w:t>are </w:t>
      </w:r>
      <w:r>
        <w:rPr>
          <w:color w:val="4D4D4F"/>
          <w:w w:val="115"/>
          <w:sz w:val="22"/>
        </w:rPr>
        <w:t>negative for</w:t>
      </w:r>
      <w:r>
        <w:rPr>
          <w:color w:val="4D4D4F"/>
          <w:spacing w:val="-20"/>
          <w:w w:val="115"/>
          <w:sz w:val="22"/>
        </w:rPr>
        <w:t> </w:t>
      </w:r>
      <w:r>
        <w:rPr>
          <w:color w:val="4D4D4F"/>
          <w:w w:val="115"/>
          <w:sz w:val="22"/>
        </w:rPr>
        <w:t>methadone.</w:t>
      </w:r>
    </w:p>
    <w:p>
      <w:pPr>
        <w:pStyle w:val="ListParagraph"/>
        <w:numPr>
          <w:ilvl w:val="0"/>
          <w:numId w:val="4"/>
        </w:numPr>
        <w:tabs>
          <w:tab w:pos="411" w:val="left" w:leader="none"/>
        </w:tabs>
        <w:spacing w:line="220" w:lineRule="auto" w:before="49" w:after="0"/>
        <w:ind w:left="410" w:right="403" w:hanging="270"/>
        <w:jc w:val="both"/>
        <w:rPr>
          <w:rFonts w:ascii="Arial" w:hAnsi="Arial"/>
          <w:color w:val="137692"/>
          <w:sz w:val="28"/>
        </w:rPr>
      </w:pPr>
      <w:r>
        <w:rPr>
          <w:rFonts w:ascii="Calibri" w:hAnsi="Calibri"/>
          <w:b/>
          <w:color w:val="4D4D4F"/>
          <w:w w:val="110"/>
          <w:sz w:val="22"/>
        </w:rPr>
        <w:t>Require patients to store their take-home medication in a lockbox </w:t>
      </w:r>
      <w:r>
        <w:rPr>
          <w:color w:val="4D4D4F"/>
          <w:w w:val="110"/>
          <w:sz w:val="22"/>
        </w:rPr>
        <w:t>to prevent theft </w:t>
      </w:r>
      <w:r>
        <w:rPr>
          <w:color w:val="4D4D4F"/>
          <w:spacing w:val="-8"/>
          <w:w w:val="110"/>
          <w:sz w:val="22"/>
        </w:rPr>
        <w:t>or </w:t>
      </w:r>
      <w:r>
        <w:rPr>
          <w:color w:val="4D4D4F"/>
          <w:w w:val="110"/>
          <w:sz w:val="22"/>
        </w:rPr>
        <w:t>accidental use by children or</w:t>
      </w:r>
      <w:r>
        <w:rPr>
          <w:color w:val="4D4D4F"/>
          <w:spacing w:val="-23"/>
          <w:w w:val="110"/>
          <w:sz w:val="22"/>
        </w:rPr>
        <w:t> </w:t>
      </w:r>
      <w:r>
        <w:rPr>
          <w:color w:val="4D4D4F"/>
          <w:w w:val="110"/>
          <w:sz w:val="22"/>
        </w:rPr>
        <w:t>others.</w:t>
      </w:r>
    </w:p>
    <w:p>
      <w:pPr>
        <w:pStyle w:val="BodyText"/>
        <w:spacing w:before="1"/>
        <w:rPr>
          <w:sz w:val="23"/>
        </w:rPr>
      </w:pPr>
    </w:p>
    <w:p>
      <w:pPr>
        <w:pStyle w:val="Heading2"/>
        <w:spacing w:line="208" w:lineRule="auto" w:before="0"/>
        <w:ind w:right="594"/>
      </w:pPr>
      <w:bookmarkStart w:name="_TOC_250082" w:id="33"/>
      <w:bookmarkEnd w:id="33"/>
      <w:r>
        <w:rPr>
          <w:color w:val="137692"/>
          <w:w w:val="105"/>
        </w:rPr>
        <w:t>Duration of Methadone Treatment</w:t>
      </w:r>
    </w:p>
    <w:p>
      <w:pPr>
        <w:spacing w:line="235" w:lineRule="auto" w:before="42"/>
        <w:ind w:left="140" w:right="159" w:firstLine="0"/>
        <w:jc w:val="left"/>
        <w:rPr>
          <w:sz w:val="22"/>
        </w:rPr>
      </w:pPr>
      <w:r>
        <w:rPr>
          <w:rFonts w:ascii="Calibri"/>
          <w:b/>
          <w:color w:val="4D4D4F"/>
          <w:spacing w:val="-3"/>
          <w:w w:val="115"/>
          <w:sz w:val="22"/>
        </w:rPr>
        <w:t>Longer lengths </w:t>
      </w:r>
      <w:r>
        <w:rPr>
          <w:rFonts w:ascii="Calibri"/>
          <w:b/>
          <w:color w:val="4D4D4F"/>
          <w:w w:val="115"/>
          <w:sz w:val="22"/>
        </w:rPr>
        <w:t>of </w:t>
      </w:r>
      <w:r>
        <w:rPr>
          <w:rFonts w:ascii="Calibri"/>
          <w:b/>
          <w:color w:val="4D4D4F"/>
          <w:spacing w:val="-3"/>
          <w:w w:val="115"/>
          <w:sz w:val="22"/>
        </w:rPr>
        <w:t>stay </w:t>
      </w:r>
      <w:r>
        <w:rPr>
          <w:rFonts w:ascii="Calibri"/>
          <w:b/>
          <w:color w:val="4D4D4F"/>
          <w:w w:val="115"/>
          <w:sz w:val="22"/>
        </w:rPr>
        <w:t>in </w:t>
      </w:r>
      <w:r>
        <w:rPr>
          <w:rFonts w:ascii="Calibri"/>
          <w:b/>
          <w:color w:val="4D4D4F"/>
          <w:spacing w:val="-3"/>
          <w:w w:val="115"/>
          <w:sz w:val="22"/>
        </w:rPr>
        <w:t>methadone </w:t>
      </w:r>
      <w:r>
        <w:rPr>
          <w:rFonts w:ascii="Calibri"/>
          <w:b/>
          <w:color w:val="4D4D4F"/>
          <w:spacing w:val="-4"/>
          <w:w w:val="115"/>
          <w:sz w:val="22"/>
        </w:rPr>
        <w:t>treatment </w:t>
      </w:r>
      <w:r>
        <w:rPr>
          <w:rFonts w:ascii="Calibri"/>
          <w:b/>
          <w:color w:val="4D4D4F"/>
          <w:w w:val="115"/>
          <w:sz w:val="22"/>
        </w:rPr>
        <w:t>are associated with superior treatment </w:t>
      </w:r>
      <w:r>
        <w:rPr>
          <w:rFonts w:ascii="Calibri"/>
          <w:b/>
          <w:color w:val="4D4D4F"/>
          <w:spacing w:val="-3"/>
          <w:w w:val="115"/>
          <w:sz w:val="22"/>
        </w:rPr>
        <w:t>outcomes.</w:t>
      </w:r>
      <w:r>
        <w:rPr>
          <w:rFonts w:ascii="Calibri"/>
          <w:b/>
          <w:color w:val="4D4D4F"/>
          <w:spacing w:val="-3"/>
          <w:w w:val="115"/>
          <w:position w:val="7"/>
          <w:sz w:val="13"/>
        </w:rPr>
        <w:t>154 </w:t>
      </w:r>
      <w:r>
        <w:rPr>
          <w:color w:val="4D4D4F"/>
          <w:w w:val="115"/>
          <w:sz w:val="22"/>
        </w:rPr>
        <w:t>Leaving methadone treatment</w:t>
      </w:r>
    </w:p>
    <w:p>
      <w:pPr>
        <w:pStyle w:val="BodyText"/>
        <w:spacing w:line="247" w:lineRule="auto" w:before="3"/>
        <w:ind w:left="140"/>
      </w:pPr>
      <w:r>
        <w:rPr>
          <w:color w:val="4D4D4F"/>
          <w:w w:val="110"/>
        </w:rPr>
        <w:t>is associated with increased risk of death from overdose and other causes.</w:t>
      </w:r>
      <w:r>
        <w:rPr>
          <w:color w:val="4D4D4F"/>
          <w:w w:val="110"/>
          <w:position w:val="7"/>
          <w:sz w:val="13"/>
        </w:rPr>
        <w:t>155,156 </w:t>
      </w:r>
      <w:r>
        <w:rPr>
          <w:color w:val="4D4D4F"/>
          <w:w w:val="110"/>
        </w:rPr>
        <w:t>Patients should continue as long as they beneﬁt, want to, and develop no contraindications.</w:t>
      </w:r>
    </w:p>
    <w:p>
      <w:pPr>
        <w:pStyle w:val="BodyText"/>
        <w:rPr>
          <w:sz w:val="20"/>
        </w:rPr>
      </w:pPr>
    </w:p>
    <w:p>
      <w:pPr>
        <w:pStyle w:val="BodyText"/>
        <w:spacing w:before="1"/>
        <w:rPr>
          <w:sz w:val="10"/>
        </w:rPr>
      </w:pPr>
      <w:r>
        <w:rPr/>
        <w:pict>
          <v:group style="position:absolute;margin-left:315.001007pt;margin-top:7.843314pt;width:243.5pt;height:168pt;mso-position-horizontal-relative:page;mso-position-vertical-relative:paragraph;z-index:-15706624;mso-wrap-distance-left:0;mso-wrap-distance-right:0" coordorigin="6300,157" coordsize="4870,3360">
            <v:rect style="position:absolute;left:6305;top:161;width:4860;height:3350" filled="false" stroked="true" strokeweight=".5pt" strokecolor="#88aabd">
              <v:stroke dashstyle="solid"/>
            </v:rect>
            <v:shape style="position:absolute;left:6310;top:753;width:4850;height:2753" type="#_x0000_t202" filled="false" stroked="false">
              <v:textbox inset="0,0,0,0">
                <w:txbxContent>
                  <w:p>
                    <w:pPr>
                      <w:spacing w:line="278" w:lineRule="auto" w:before="59"/>
                      <w:ind w:left="230" w:right="492" w:firstLine="0"/>
                      <w:jc w:val="left"/>
                      <w:rPr>
                        <w:rFonts w:ascii="Arial"/>
                        <w:b/>
                        <w:sz w:val="24"/>
                      </w:rPr>
                    </w:pPr>
                    <w:r>
                      <w:rPr>
                        <w:rFonts w:ascii="Arial"/>
                        <w:b/>
                        <w:color w:val="137692"/>
                        <w:w w:val="110"/>
                        <w:sz w:val="24"/>
                      </w:rPr>
                      <w:t>Guidance on Federal Take-Home Methadone Dose Regulations</w:t>
                    </w:r>
                  </w:p>
                  <w:p>
                    <w:pPr>
                      <w:spacing w:line="348" w:lineRule="auto" w:before="154"/>
                      <w:ind w:left="230" w:right="497" w:firstLine="0"/>
                      <w:jc w:val="left"/>
                      <w:rPr>
                        <w:rFonts w:ascii="Arial" w:hAnsi="Arial"/>
                        <w:sz w:val="18"/>
                      </w:rPr>
                    </w:pPr>
                    <w:r>
                      <w:rPr>
                        <w:rFonts w:ascii="Arial" w:hAnsi="Arial"/>
                        <w:color w:val="414142"/>
                        <w:w w:val="115"/>
                        <w:sz w:val="18"/>
                      </w:rPr>
                      <w:t>For more information on federal take-home dose regulations for OTPs, see SAMHSA’s </w:t>
                    </w:r>
                    <w:r>
                      <w:rPr>
                        <w:rFonts w:ascii="Arial" w:hAnsi="Arial"/>
                        <w:i/>
                        <w:color w:val="414142"/>
                        <w:w w:val="115"/>
                        <w:sz w:val="18"/>
                      </w:rPr>
                      <w:t>Federal Guidelines for Opioid Treatment </w:t>
                    </w:r>
                    <w:r>
                      <w:rPr>
                        <w:rFonts w:ascii="Arial" w:hAnsi="Arial"/>
                        <w:i/>
                        <w:color w:val="414142"/>
                        <w:w w:val="115"/>
                        <w:sz w:val="18"/>
                      </w:rPr>
                      <w:t>Programs </w:t>
                    </w:r>
                    <w:r>
                      <w:rPr>
                        <w:rFonts w:ascii="Arial" w:hAnsi="Arial"/>
                        <w:color w:val="414142"/>
                        <w:w w:val="115"/>
                        <w:sz w:val="18"/>
                      </w:rPr>
                      <w:t>(</w:t>
                    </w:r>
                    <w:r>
                      <w:rPr>
                        <w:rFonts w:ascii="Arial" w:hAnsi="Arial"/>
                        <w:color w:val="3B68A6"/>
                        <w:w w:val="115"/>
                        <w:sz w:val="18"/>
                        <w:u w:val="single" w:color="3B68A6"/>
                      </w:rPr>
                      <w:t>https://store.samhsa.gov/product/</w:t>
                    </w:r>
                    <w:r>
                      <w:rPr>
                        <w:rFonts w:ascii="Arial" w:hAnsi="Arial"/>
                        <w:color w:val="3B68A6"/>
                        <w:w w:val="115"/>
                        <w:sz w:val="18"/>
                      </w:rPr>
                      <w:t> </w:t>
                    </w:r>
                    <w:r>
                      <w:rPr>
                        <w:rFonts w:ascii="Arial" w:hAnsi="Arial"/>
                        <w:color w:val="3B68A6"/>
                        <w:w w:val="115"/>
                        <w:sz w:val="18"/>
                        <w:u w:val="single" w:color="3B68A6"/>
                      </w:rPr>
                      <w:t>Federal-Guidelines-for-Opioid-Treatment-</w:t>
                    </w:r>
                    <w:r>
                      <w:rPr>
                        <w:rFonts w:ascii="Arial" w:hAnsi="Arial"/>
                        <w:color w:val="3B68A6"/>
                        <w:w w:val="115"/>
                        <w:sz w:val="18"/>
                      </w:rPr>
                      <w:t> </w:t>
                    </w:r>
                    <w:r>
                      <w:rPr>
                        <w:rFonts w:ascii="Arial" w:hAnsi="Arial"/>
                        <w:color w:val="3B68A6"/>
                        <w:w w:val="115"/>
                        <w:sz w:val="18"/>
                        <w:u w:val="single" w:color="3B68A6"/>
                      </w:rPr>
                      <w:t>Programs/PEP15-FEDGUIDEOTP</w:t>
                    </w:r>
                    <w:r>
                      <w:rPr>
                        <w:rFonts w:ascii="Arial" w:hAnsi="Arial"/>
                        <w:color w:val="414142"/>
                        <w:w w:val="115"/>
                        <w:sz w:val="18"/>
                      </w:rPr>
                      <w:t>).</w:t>
                    </w:r>
                  </w:p>
                </w:txbxContent>
              </v:textbox>
              <w10:wrap type="none"/>
            </v:shape>
            <v:shape style="position:absolute;left:6310;top:166;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topAndBottom"/>
          </v:group>
        </w:pict>
      </w:r>
    </w:p>
    <w:p>
      <w:pPr>
        <w:spacing w:after="0"/>
        <w:rPr>
          <w:sz w:val="10"/>
        </w:rPr>
        <w:sectPr>
          <w:type w:val="continuous"/>
          <w:pgSz w:w="12240" w:h="15840"/>
          <w:pgMar w:top="540" w:bottom="280" w:left="940" w:right="920"/>
          <w:cols w:num="2" w:equalWidth="0">
            <w:col w:w="5019" w:space="201"/>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spacing w:line="304" w:lineRule="auto" w:before="150"/>
        <w:ind w:left="438" w:right="137" w:firstLine="0"/>
        <w:jc w:val="left"/>
        <w:rPr>
          <w:rFonts w:ascii="Arial"/>
          <w:b/>
          <w:sz w:val="22"/>
        </w:rPr>
      </w:pPr>
      <w:r>
        <w:rPr/>
        <w:pict>
          <v:line style="position:absolute;mso-position-horizontal-relative:page;mso-position-vertical-relative:paragraph;z-index:15751680" from="54.5pt,81.817678pt" to="54.5pt,7.169678pt" stroked="true" strokeweight="1pt" strokecolor="#759eb4">
            <v:stroke dashstyle="solid"/>
            <w10:wrap type="none"/>
          </v:line>
        </w:pict>
      </w:r>
      <w:r>
        <w:rPr>
          <w:rFonts w:ascii="Arial"/>
          <w:b/>
          <w:color w:val="B15651"/>
          <w:w w:val="110"/>
          <w:sz w:val="22"/>
        </w:rPr>
        <w:t>The TIP expert panel considers arbitrary time limits on OUD treatment with methadone to be medically unwarranted and inappropriate. They pose a risk to patients and the public.</w:t>
      </w:r>
    </w:p>
    <w:p>
      <w:pPr>
        <w:pStyle w:val="BodyText"/>
        <w:spacing w:before="4"/>
        <w:rPr>
          <w:rFonts w:ascii="Arial"/>
          <w:b/>
          <w:sz w:val="25"/>
        </w:rPr>
      </w:pPr>
    </w:p>
    <w:p>
      <w:pPr>
        <w:pStyle w:val="Heading3"/>
        <w:spacing w:line="228" w:lineRule="auto" w:before="1"/>
        <w:ind w:right="1184"/>
      </w:pPr>
      <w:bookmarkStart w:name="_TOC_250081" w:id="34"/>
      <w:bookmarkEnd w:id="34"/>
      <w:r>
        <w:rPr>
          <w:color w:val="137692"/>
          <w:w w:val="110"/>
        </w:rPr>
        <w:t>Dose Tapering and Methadone Discontinuation</w:t>
      </w:r>
    </w:p>
    <w:p>
      <w:pPr>
        <w:spacing w:line="242" w:lineRule="auto" w:before="44"/>
        <w:ind w:left="140" w:right="81" w:firstLine="0"/>
        <w:jc w:val="left"/>
        <w:rPr>
          <w:sz w:val="22"/>
        </w:rPr>
      </w:pPr>
      <w:r>
        <w:rPr>
          <w:rFonts w:ascii="Calibri" w:hAnsi="Calibri"/>
          <w:b/>
          <w:color w:val="4D4D4F"/>
          <w:w w:val="110"/>
          <w:sz w:val="22"/>
        </w:rPr>
        <w:t>Discuss risks and beneﬁts with patients who wish to discontinue treatment. </w:t>
      </w:r>
      <w:r>
        <w:rPr>
          <w:color w:val="4D4D4F"/>
          <w:w w:val="110"/>
          <w:sz w:val="22"/>
        </w:rPr>
        <w:t>Explore their reasons for wanting to discontinue and solutions for potential barriers to treatment, which may include:</w:t>
      </w:r>
    </w:p>
    <w:p>
      <w:pPr>
        <w:pStyle w:val="ListParagraph"/>
        <w:numPr>
          <w:ilvl w:val="0"/>
          <w:numId w:val="4"/>
        </w:numPr>
        <w:tabs>
          <w:tab w:pos="410" w:val="left" w:leader="none"/>
        </w:tabs>
        <w:spacing w:line="264" w:lineRule="exact" w:before="118" w:after="0"/>
        <w:ind w:left="410" w:right="448" w:hanging="270"/>
        <w:jc w:val="left"/>
        <w:rPr>
          <w:rFonts w:ascii="Arial" w:hAnsi="Arial"/>
          <w:color w:val="137692"/>
          <w:sz w:val="28"/>
        </w:rPr>
      </w:pPr>
      <w:r>
        <w:rPr>
          <w:rFonts w:ascii="Calibri" w:hAnsi="Calibri"/>
          <w:b/>
          <w:color w:val="4D4D4F"/>
          <w:w w:val="110"/>
          <w:sz w:val="22"/>
        </w:rPr>
        <w:t>Logistics (e.g., travel, scheduling). </w:t>
      </w:r>
      <w:r>
        <w:rPr>
          <w:color w:val="4D4D4F"/>
          <w:w w:val="110"/>
          <w:sz w:val="22"/>
        </w:rPr>
        <w:t>Transportation services, including publicly funded ride services, ride sharing, or peer support workers, may be available. If not, transferring</w:t>
      </w:r>
      <w:r>
        <w:rPr>
          <w:color w:val="4D4D4F"/>
          <w:spacing w:val="-12"/>
          <w:w w:val="110"/>
          <w:sz w:val="22"/>
        </w:rPr>
        <w:t> </w:t>
      </w:r>
      <w:r>
        <w:rPr>
          <w:color w:val="4D4D4F"/>
          <w:w w:val="110"/>
          <w:sz w:val="22"/>
        </w:rPr>
        <w:t>patients</w:t>
      </w:r>
      <w:r>
        <w:rPr>
          <w:color w:val="4D4D4F"/>
          <w:spacing w:val="-11"/>
          <w:w w:val="110"/>
          <w:sz w:val="22"/>
        </w:rPr>
        <w:t> </w:t>
      </w:r>
      <w:r>
        <w:rPr>
          <w:color w:val="4D4D4F"/>
          <w:w w:val="110"/>
          <w:sz w:val="22"/>
        </w:rPr>
        <w:t>to</w:t>
      </w:r>
      <w:r>
        <w:rPr>
          <w:color w:val="4D4D4F"/>
          <w:spacing w:val="-11"/>
          <w:w w:val="110"/>
          <w:sz w:val="22"/>
        </w:rPr>
        <w:t> </w:t>
      </w:r>
      <w:r>
        <w:rPr>
          <w:color w:val="4D4D4F"/>
          <w:w w:val="110"/>
          <w:sz w:val="22"/>
        </w:rPr>
        <w:t>a</w:t>
      </w:r>
      <w:r>
        <w:rPr>
          <w:color w:val="4D4D4F"/>
          <w:spacing w:val="-11"/>
          <w:w w:val="110"/>
          <w:sz w:val="22"/>
        </w:rPr>
        <w:t> </w:t>
      </w:r>
      <w:r>
        <w:rPr>
          <w:color w:val="4D4D4F"/>
          <w:w w:val="110"/>
          <w:sz w:val="22"/>
        </w:rPr>
        <w:t>closer</w:t>
      </w:r>
      <w:r>
        <w:rPr>
          <w:color w:val="4D4D4F"/>
          <w:spacing w:val="-11"/>
          <w:w w:val="110"/>
          <w:sz w:val="22"/>
        </w:rPr>
        <w:t> </w:t>
      </w:r>
      <w:r>
        <w:rPr>
          <w:color w:val="4D4D4F"/>
          <w:w w:val="110"/>
          <w:sz w:val="22"/>
        </w:rPr>
        <w:t>OTP</w:t>
      </w:r>
      <w:r>
        <w:rPr>
          <w:color w:val="4D4D4F"/>
          <w:spacing w:val="-11"/>
          <w:w w:val="110"/>
          <w:sz w:val="22"/>
        </w:rPr>
        <w:t> </w:t>
      </w:r>
      <w:r>
        <w:rPr>
          <w:color w:val="4D4D4F"/>
          <w:w w:val="110"/>
          <w:sz w:val="22"/>
        </w:rPr>
        <w:t>or</w:t>
      </w:r>
      <w:r>
        <w:rPr>
          <w:color w:val="4D4D4F"/>
          <w:spacing w:val="-11"/>
          <w:w w:val="110"/>
          <w:sz w:val="22"/>
        </w:rPr>
        <w:t> </w:t>
      </w:r>
      <w:r>
        <w:rPr>
          <w:color w:val="4D4D4F"/>
          <w:w w:val="110"/>
          <w:sz w:val="22"/>
        </w:rPr>
        <w:t>to one</w:t>
      </w:r>
      <w:r>
        <w:rPr>
          <w:color w:val="4D4D4F"/>
          <w:spacing w:val="-10"/>
          <w:w w:val="110"/>
          <w:sz w:val="22"/>
        </w:rPr>
        <w:t> </w:t>
      </w:r>
      <w:r>
        <w:rPr>
          <w:color w:val="4D4D4F"/>
          <w:w w:val="110"/>
          <w:sz w:val="22"/>
        </w:rPr>
        <w:t>with</w:t>
      </w:r>
      <w:r>
        <w:rPr>
          <w:color w:val="4D4D4F"/>
          <w:spacing w:val="-10"/>
          <w:w w:val="110"/>
          <w:sz w:val="22"/>
        </w:rPr>
        <w:t> </w:t>
      </w:r>
      <w:r>
        <w:rPr>
          <w:color w:val="4D4D4F"/>
          <w:w w:val="110"/>
          <w:sz w:val="22"/>
        </w:rPr>
        <w:t>more</w:t>
      </w:r>
      <w:r>
        <w:rPr>
          <w:color w:val="4D4D4F"/>
          <w:spacing w:val="-9"/>
          <w:w w:val="110"/>
          <w:sz w:val="22"/>
        </w:rPr>
        <w:t> </w:t>
      </w:r>
      <w:r>
        <w:rPr>
          <w:color w:val="4D4D4F"/>
          <w:w w:val="110"/>
          <w:sz w:val="22"/>
        </w:rPr>
        <w:t>suitable</w:t>
      </w:r>
      <w:r>
        <w:rPr>
          <w:color w:val="4D4D4F"/>
          <w:spacing w:val="-10"/>
          <w:w w:val="110"/>
          <w:sz w:val="22"/>
        </w:rPr>
        <w:t> </w:t>
      </w:r>
      <w:r>
        <w:rPr>
          <w:color w:val="4D4D4F"/>
          <w:w w:val="110"/>
          <w:sz w:val="22"/>
        </w:rPr>
        <w:t>hours</w:t>
      </w:r>
      <w:r>
        <w:rPr>
          <w:color w:val="4D4D4F"/>
          <w:spacing w:val="-9"/>
          <w:w w:val="110"/>
          <w:sz w:val="22"/>
        </w:rPr>
        <w:t> </w:t>
      </w:r>
      <w:r>
        <w:rPr>
          <w:color w:val="4D4D4F"/>
          <w:w w:val="110"/>
          <w:sz w:val="22"/>
        </w:rPr>
        <w:t>of</w:t>
      </w:r>
      <w:r>
        <w:rPr>
          <w:color w:val="4D4D4F"/>
          <w:spacing w:val="-10"/>
          <w:w w:val="110"/>
          <w:sz w:val="22"/>
        </w:rPr>
        <w:t> </w:t>
      </w:r>
      <w:r>
        <w:rPr>
          <w:color w:val="4D4D4F"/>
          <w:w w:val="110"/>
          <w:sz w:val="22"/>
        </w:rPr>
        <w:t>operation may resolve the</w:t>
      </w:r>
      <w:r>
        <w:rPr>
          <w:color w:val="4D4D4F"/>
          <w:spacing w:val="-17"/>
          <w:w w:val="110"/>
          <w:sz w:val="22"/>
        </w:rPr>
        <w:t> </w:t>
      </w:r>
      <w:r>
        <w:rPr>
          <w:color w:val="4D4D4F"/>
          <w:w w:val="110"/>
          <w:sz w:val="22"/>
        </w:rPr>
        <w:t>problem.</w:t>
      </w:r>
    </w:p>
    <w:p>
      <w:pPr>
        <w:pStyle w:val="ListParagraph"/>
        <w:numPr>
          <w:ilvl w:val="0"/>
          <w:numId w:val="4"/>
        </w:numPr>
        <w:tabs>
          <w:tab w:pos="410" w:val="left" w:leader="none"/>
        </w:tabs>
        <w:spacing w:line="225" w:lineRule="auto" w:before="45" w:after="0"/>
        <w:ind w:left="410" w:right="38" w:hanging="270"/>
        <w:jc w:val="left"/>
        <w:rPr>
          <w:rFonts w:ascii="Arial" w:hAnsi="Arial"/>
          <w:color w:val="137692"/>
          <w:sz w:val="28"/>
        </w:rPr>
      </w:pPr>
      <w:r>
        <w:rPr>
          <w:rFonts w:ascii="Calibri" w:hAnsi="Calibri"/>
          <w:b/>
          <w:color w:val="4D4D4F"/>
          <w:w w:val="110"/>
          <w:sz w:val="22"/>
        </w:rPr>
        <w:t>Costs. </w:t>
      </w:r>
      <w:r>
        <w:rPr>
          <w:color w:val="4D4D4F"/>
          <w:w w:val="110"/>
          <w:sz w:val="22"/>
        </w:rPr>
        <w:t>Providers can help patients explore publicly supported treatment options or </w:t>
      </w:r>
      <w:r>
        <w:rPr>
          <w:color w:val="4D4D4F"/>
          <w:spacing w:val="-4"/>
          <w:w w:val="110"/>
          <w:sz w:val="22"/>
        </w:rPr>
        <w:t>apply </w:t>
      </w:r>
      <w:r>
        <w:rPr>
          <w:color w:val="4D4D4F"/>
          <w:w w:val="110"/>
          <w:sz w:val="22"/>
        </w:rPr>
        <w:t>for</w:t>
      </w:r>
      <w:r>
        <w:rPr>
          <w:color w:val="4D4D4F"/>
          <w:spacing w:val="-7"/>
          <w:w w:val="110"/>
          <w:sz w:val="22"/>
        </w:rPr>
        <w:t> </w:t>
      </w:r>
      <w:r>
        <w:rPr>
          <w:color w:val="4D4D4F"/>
          <w:w w:val="110"/>
          <w:sz w:val="22"/>
        </w:rPr>
        <w:t>insurance.</w:t>
      </w:r>
    </w:p>
    <w:p>
      <w:pPr>
        <w:pStyle w:val="ListParagraph"/>
        <w:numPr>
          <w:ilvl w:val="0"/>
          <w:numId w:val="4"/>
        </w:numPr>
        <w:tabs>
          <w:tab w:pos="410" w:val="left" w:leader="none"/>
        </w:tabs>
        <w:spacing w:line="208" w:lineRule="auto" w:before="69" w:after="0"/>
        <w:ind w:left="410" w:right="262" w:hanging="270"/>
        <w:jc w:val="left"/>
        <w:rPr>
          <w:rFonts w:ascii="Arial" w:hAnsi="Arial"/>
          <w:color w:val="137692"/>
          <w:sz w:val="28"/>
        </w:rPr>
      </w:pPr>
      <w:r>
        <w:rPr>
          <w:rFonts w:ascii="Calibri" w:hAnsi="Calibri"/>
          <w:b/>
          <w:color w:val="4D4D4F"/>
          <w:w w:val="115"/>
          <w:sz w:val="22"/>
        </w:rPr>
        <w:t>Side effects. </w:t>
      </w:r>
      <w:r>
        <w:rPr>
          <w:color w:val="4D4D4F"/>
          <w:w w:val="115"/>
          <w:sz w:val="22"/>
        </w:rPr>
        <w:t>Changing the dose or</w:t>
      </w:r>
      <w:r>
        <w:rPr>
          <w:color w:val="4D4D4F"/>
          <w:spacing w:val="-50"/>
          <w:w w:val="115"/>
          <w:sz w:val="22"/>
        </w:rPr>
        <w:t> </w:t>
      </w:r>
      <w:r>
        <w:rPr>
          <w:color w:val="4D4D4F"/>
          <w:spacing w:val="-4"/>
          <w:w w:val="115"/>
          <w:sz w:val="22"/>
        </w:rPr>
        <w:t>treating </w:t>
      </w:r>
      <w:r>
        <w:rPr>
          <w:color w:val="4D4D4F"/>
          <w:w w:val="115"/>
          <w:sz w:val="22"/>
        </w:rPr>
        <w:t>side</w:t>
      </w:r>
      <w:r>
        <w:rPr>
          <w:color w:val="4D4D4F"/>
          <w:spacing w:val="-15"/>
          <w:w w:val="115"/>
          <w:sz w:val="22"/>
        </w:rPr>
        <w:t> </w:t>
      </w:r>
      <w:r>
        <w:rPr>
          <w:color w:val="4D4D4F"/>
          <w:w w:val="115"/>
          <w:sz w:val="22"/>
        </w:rPr>
        <w:t>effects</w:t>
      </w:r>
      <w:r>
        <w:rPr>
          <w:color w:val="4D4D4F"/>
          <w:spacing w:val="-15"/>
          <w:w w:val="115"/>
          <w:sz w:val="22"/>
        </w:rPr>
        <w:t> </w:t>
      </w:r>
      <w:r>
        <w:rPr>
          <w:color w:val="4D4D4F"/>
          <w:w w:val="115"/>
          <w:sz w:val="22"/>
        </w:rPr>
        <w:t>may</w:t>
      </w:r>
      <w:r>
        <w:rPr>
          <w:color w:val="4D4D4F"/>
          <w:spacing w:val="-15"/>
          <w:w w:val="115"/>
          <w:sz w:val="22"/>
        </w:rPr>
        <w:t> </w:t>
      </w:r>
      <w:r>
        <w:rPr>
          <w:color w:val="4D4D4F"/>
          <w:w w:val="115"/>
          <w:sz w:val="22"/>
        </w:rPr>
        <w:t>resolve</w:t>
      </w:r>
      <w:r>
        <w:rPr>
          <w:color w:val="4D4D4F"/>
          <w:spacing w:val="-15"/>
          <w:w w:val="115"/>
          <w:sz w:val="22"/>
        </w:rPr>
        <w:t> </w:t>
      </w:r>
      <w:r>
        <w:rPr>
          <w:color w:val="4D4D4F"/>
          <w:w w:val="115"/>
          <w:sz w:val="22"/>
        </w:rPr>
        <w:t>the</w:t>
      </w:r>
      <w:r>
        <w:rPr>
          <w:color w:val="4D4D4F"/>
          <w:spacing w:val="-15"/>
          <w:w w:val="115"/>
          <w:sz w:val="22"/>
        </w:rPr>
        <w:t> </w:t>
      </w:r>
      <w:r>
        <w:rPr>
          <w:color w:val="4D4D4F"/>
          <w:w w:val="115"/>
          <w:sz w:val="22"/>
        </w:rPr>
        <w:t>problem.</w:t>
      </w:r>
    </w:p>
    <w:p>
      <w:pPr>
        <w:pStyle w:val="ListParagraph"/>
        <w:numPr>
          <w:ilvl w:val="0"/>
          <w:numId w:val="4"/>
        </w:numPr>
        <w:tabs>
          <w:tab w:pos="410" w:val="left" w:leader="none"/>
        </w:tabs>
        <w:spacing w:line="264" w:lineRule="exact" w:before="51" w:after="0"/>
        <w:ind w:left="410" w:right="80" w:hanging="270"/>
        <w:jc w:val="left"/>
        <w:rPr>
          <w:rFonts w:ascii="Arial" w:hAnsi="Arial"/>
          <w:color w:val="137692"/>
          <w:sz w:val="28"/>
        </w:rPr>
      </w:pPr>
      <w:r>
        <w:rPr>
          <w:rFonts w:ascii="Calibri" w:hAnsi="Calibri"/>
          <w:b/>
          <w:color w:val="4D4D4F"/>
          <w:w w:val="110"/>
          <w:sz w:val="22"/>
        </w:rPr>
        <w:t>Opinions of friends or </w:t>
      </w:r>
      <w:r>
        <w:rPr>
          <w:rFonts w:ascii="Calibri" w:hAnsi="Calibri"/>
          <w:b/>
          <w:color w:val="4D4D4F"/>
          <w:spacing w:val="-3"/>
          <w:w w:val="110"/>
          <w:sz w:val="22"/>
        </w:rPr>
        <w:t>family. </w:t>
      </w:r>
      <w:r>
        <w:rPr>
          <w:color w:val="4D4D4F"/>
          <w:w w:val="110"/>
          <w:sz w:val="22"/>
        </w:rPr>
        <w:t>When external pressure from family or friends drives the decision, a discussion with the patient and those individuals may</w:t>
      </w:r>
      <w:r>
        <w:rPr>
          <w:color w:val="4D4D4F"/>
          <w:spacing w:val="-12"/>
          <w:w w:val="110"/>
          <w:sz w:val="22"/>
        </w:rPr>
        <w:t> </w:t>
      </w:r>
      <w:r>
        <w:rPr>
          <w:color w:val="4D4D4F"/>
          <w:w w:val="110"/>
          <w:sz w:val="22"/>
        </w:rPr>
        <w:t>help.</w:t>
      </w:r>
    </w:p>
    <w:p>
      <w:pPr>
        <w:pStyle w:val="Heading7"/>
        <w:numPr>
          <w:ilvl w:val="0"/>
          <w:numId w:val="4"/>
        </w:numPr>
        <w:tabs>
          <w:tab w:pos="410" w:val="left" w:leader="none"/>
        </w:tabs>
        <w:spacing w:line="300" w:lineRule="exact" w:before="32" w:after="0"/>
        <w:ind w:left="410" w:right="0" w:hanging="270"/>
        <w:jc w:val="left"/>
        <w:rPr>
          <w:rFonts w:ascii="Arial" w:hAnsi="Arial"/>
          <w:color w:val="137692"/>
          <w:sz w:val="28"/>
        </w:rPr>
      </w:pPr>
      <w:r>
        <w:rPr>
          <w:color w:val="4D4D4F"/>
          <w:w w:val="115"/>
        </w:rPr>
        <w:t>A desire to switch to buprenorphine</w:t>
      </w:r>
      <w:r>
        <w:rPr>
          <w:color w:val="4D4D4F"/>
          <w:spacing w:val="-15"/>
          <w:w w:val="115"/>
        </w:rPr>
        <w:t> </w:t>
      </w:r>
      <w:r>
        <w:rPr>
          <w:color w:val="4D4D4F"/>
          <w:w w:val="115"/>
        </w:rPr>
        <w:t>or</w:t>
      </w:r>
    </w:p>
    <w:p>
      <w:pPr>
        <w:spacing w:line="246" w:lineRule="exact" w:before="0"/>
        <w:ind w:left="410" w:right="0" w:firstLine="0"/>
        <w:jc w:val="left"/>
        <w:rPr>
          <w:sz w:val="22"/>
        </w:rPr>
      </w:pPr>
      <w:r>
        <w:rPr>
          <w:rFonts w:ascii="Calibri"/>
          <w:b/>
          <w:color w:val="4D4D4F"/>
          <w:w w:val="115"/>
          <w:sz w:val="22"/>
        </w:rPr>
        <w:t>XR-NTX</w:t>
      </w:r>
      <w:r>
        <w:rPr>
          <w:rFonts w:ascii="Calibri"/>
          <w:b/>
          <w:color w:val="4D4D4F"/>
          <w:spacing w:val="-6"/>
          <w:w w:val="115"/>
          <w:sz w:val="22"/>
        </w:rPr>
        <w:t> </w:t>
      </w:r>
      <w:r>
        <w:rPr>
          <w:rFonts w:ascii="Calibri"/>
          <w:b/>
          <w:color w:val="4D4D4F"/>
          <w:w w:val="115"/>
          <w:sz w:val="22"/>
        </w:rPr>
        <w:t>treatment.</w:t>
      </w:r>
      <w:r>
        <w:rPr>
          <w:rFonts w:ascii="Calibri"/>
          <w:b/>
          <w:color w:val="4D4D4F"/>
          <w:spacing w:val="-9"/>
          <w:w w:val="115"/>
          <w:sz w:val="22"/>
        </w:rPr>
        <w:t> </w:t>
      </w:r>
      <w:r>
        <w:rPr>
          <w:color w:val="4D4D4F"/>
          <w:w w:val="115"/>
          <w:sz w:val="22"/>
        </w:rPr>
        <w:t>These</w:t>
      </w:r>
      <w:r>
        <w:rPr>
          <w:color w:val="4D4D4F"/>
          <w:spacing w:val="-21"/>
          <w:w w:val="115"/>
          <w:sz w:val="22"/>
        </w:rPr>
        <w:t> </w:t>
      </w:r>
      <w:r>
        <w:rPr>
          <w:color w:val="4D4D4F"/>
          <w:w w:val="115"/>
          <w:sz w:val="22"/>
        </w:rPr>
        <w:t>options</w:t>
      </w:r>
      <w:r>
        <w:rPr>
          <w:color w:val="4D4D4F"/>
          <w:spacing w:val="-22"/>
          <w:w w:val="115"/>
          <w:sz w:val="22"/>
        </w:rPr>
        <w:t> </w:t>
      </w:r>
      <w:r>
        <w:rPr>
          <w:color w:val="4D4D4F"/>
          <w:w w:val="115"/>
          <w:sz w:val="22"/>
        </w:rPr>
        <w:t>should</w:t>
      </w:r>
      <w:r>
        <w:rPr>
          <w:color w:val="4D4D4F"/>
          <w:spacing w:val="-21"/>
          <w:w w:val="115"/>
          <w:sz w:val="22"/>
        </w:rPr>
        <w:t> </w:t>
      </w:r>
      <w:r>
        <w:rPr>
          <w:color w:val="4D4D4F"/>
          <w:w w:val="115"/>
          <w:sz w:val="22"/>
        </w:rPr>
        <w:t>be</w:t>
      </w:r>
    </w:p>
    <w:p>
      <w:pPr>
        <w:pStyle w:val="BodyText"/>
        <w:ind w:left="410"/>
      </w:pPr>
      <w:r>
        <w:rPr>
          <w:color w:val="4D4D4F"/>
          <w:w w:val="115"/>
        </w:rPr>
        <w:t>discussed.</w:t>
      </w:r>
    </w:p>
    <w:p>
      <w:pPr>
        <w:spacing w:line="242" w:lineRule="auto" w:before="184"/>
        <w:ind w:left="140" w:right="62" w:firstLine="0"/>
        <w:jc w:val="left"/>
        <w:rPr>
          <w:sz w:val="22"/>
        </w:rPr>
      </w:pPr>
      <w:r>
        <w:rPr>
          <w:rFonts w:ascii="Calibri"/>
          <w:b/>
          <w:color w:val="4D4D4F"/>
          <w:w w:val="110"/>
          <w:sz w:val="22"/>
        </w:rPr>
        <w:t>Caution patients who are not  yet  stable against discontinuing treatment, because of high rates of return to illicit opioid use and increased chance of overdose death.</w:t>
      </w:r>
      <w:r>
        <w:rPr>
          <w:rFonts w:ascii="Calibri"/>
          <w:b/>
          <w:color w:val="4D4D4F"/>
          <w:w w:val="110"/>
          <w:position w:val="7"/>
          <w:sz w:val="13"/>
        </w:rPr>
        <w:t>157 </w:t>
      </w:r>
      <w:r>
        <w:rPr>
          <w:color w:val="4D4D4F"/>
          <w:spacing w:val="-3"/>
          <w:w w:val="110"/>
          <w:sz w:val="22"/>
        </w:rPr>
        <w:t>Discuss </w:t>
      </w:r>
      <w:r>
        <w:rPr>
          <w:color w:val="4D4D4F"/>
          <w:w w:val="110"/>
          <w:sz w:val="22"/>
        </w:rPr>
        <w:t>the alternative of switching to a different OUD medication. Give patients who stop treatment </w:t>
      </w:r>
      <w:r>
        <w:rPr>
          <w:color w:val="4D4D4F"/>
          <w:spacing w:val="-3"/>
          <w:w w:val="110"/>
          <w:sz w:val="22"/>
        </w:rPr>
        <w:t>information about </w:t>
      </w:r>
      <w:r>
        <w:rPr>
          <w:color w:val="4D4D4F"/>
          <w:spacing w:val="-4"/>
          <w:w w:val="110"/>
          <w:sz w:val="22"/>
        </w:rPr>
        <w:t>overdose prevention </w:t>
      </w:r>
      <w:r>
        <w:rPr>
          <w:color w:val="4D4D4F"/>
          <w:spacing w:val="-3"/>
          <w:w w:val="110"/>
          <w:sz w:val="22"/>
        </w:rPr>
        <w:t>and </w:t>
      </w:r>
      <w:r>
        <w:rPr>
          <w:color w:val="4D4D4F"/>
          <w:spacing w:val="-4"/>
          <w:w w:val="110"/>
          <w:sz w:val="22"/>
        </w:rPr>
        <w:t>encourage </w:t>
      </w:r>
      <w:r>
        <w:rPr>
          <w:color w:val="4D4D4F"/>
          <w:spacing w:val="-3"/>
          <w:w w:val="110"/>
          <w:sz w:val="22"/>
        </w:rPr>
        <w:t>them </w:t>
      </w:r>
      <w:r>
        <w:rPr>
          <w:color w:val="4D4D4F"/>
          <w:w w:val="110"/>
          <w:sz w:val="22"/>
        </w:rPr>
        <w:t>to </w:t>
      </w:r>
      <w:r>
        <w:rPr>
          <w:color w:val="4D4D4F"/>
          <w:spacing w:val="-4"/>
          <w:w w:val="110"/>
          <w:sz w:val="22"/>
        </w:rPr>
        <w:t>return </w:t>
      </w:r>
      <w:r>
        <w:rPr>
          <w:color w:val="4D4D4F"/>
          <w:w w:val="110"/>
          <w:sz w:val="22"/>
        </w:rPr>
        <w:t>to </w:t>
      </w:r>
      <w:r>
        <w:rPr>
          <w:color w:val="4D4D4F"/>
          <w:spacing w:val="-4"/>
          <w:w w:val="110"/>
          <w:sz w:val="22"/>
        </w:rPr>
        <w:t>treatment. </w:t>
      </w:r>
      <w:r>
        <w:rPr>
          <w:color w:val="4D4D4F"/>
          <w:spacing w:val="-5"/>
          <w:w w:val="110"/>
          <w:sz w:val="22"/>
        </w:rPr>
        <w:t>Prescribe </w:t>
      </w:r>
      <w:r>
        <w:rPr>
          <w:color w:val="4D4D4F"/>
          <w:w w:val="110"/>
          <w:sz w:val="22"/>
        </w:rPr>
        <w:t>naloxone to use in case of</w:t>
      </w:r>
      <w:r>
        <w:rPr>
          <w:color w:val="4D4D4F"/>
          <w:spacing w:val="-29"/>
          <w:w w:val="110"/>
          <w:sz w:val="22"/>
        </w:rPr>
        <w:t> </w:t>
      </w:r>
      <w:r>
        <w:rPr>
          <w:color w:val="4D4D4F"/>
          <w:w w:val="110"/>
          <w:sz w:val="22"/>
        </w:rPr>
        <w:t>overdose.</w:t>
      </w:r>
    </w:p>
    <w:p>
      <w:pPr>
        <w:pStyle w:val="Heading7"/>
        <w:spacing w:line="235" w:lineRule="auto" w:before="105"/>
        <w:ind w:right="253"/>
      </w:pPr>
      <w:r>
        <w:rPr>
          <w:b w:val="0"/>
        </w:rPr>
        <w:br w:type="column"/>
      </w:r>
      <w:r>
        <w:rPr>
          <w:color w:val="4D4D4F"/>
          <w:w w:val="110"/>
        </w:rPr>
        <w:t>Create a plan collaboratively with stable patients who wish to discontinue treatment that addresses:</w:t>
      </w:r>
    </w:p>
    <w:p>
      <w:pPr>
        <w:pStyle w:val="ListParagraph"/>
        <w:numPr>
          <w:ilvl w:val="0"/>
          <w:numId w:val="4"/>
        </w:numPr>
        <w:tabs>
          <w:tab w:pos="411" w:val="left" w:leader="none"/>
        </w:tabs>
        <w:spacing w:line="315" w:lineRule="exact" w:before="100" w:after="0"/>
        <w:ind w:left="410" w:right="0" w:hanging="271"/>
        <w:jc w:val="left"/>
        <w:rPr>
          <w:rFonts w:ascii="Arial" w:hAnsi="Arial"/>
          <w:color w:val="137692"/>
          <w:sz w:val="28"/>
        </w:rPr>
      </w:pPr>
      <w:r>
        <w:rPr>
          <w:color w:val="4D4D4F"/>
          <w:w w:val="110"/>
          <w:sz w:val="22"/>
        </w:rPr>
        <w:t>Gradually tapering their</w:t>
      </w:r>
      <w:r>
        <w:rPr>
          <w:color w:val="4D4D4F"/>
          <w:spacing w:val="-13"/>
          <w:w w:val="110"/>
          <w:sz w:val="22"/>
        </w:rPr>
        <w:t> </w:t>
      </w:r>
      <w:r>
        <w:rPr>
          <w:color w:val="4D4D4F"/>
          <w:w w:val="110"/>
          <w:sz w:val="22"/>
        </w:rPr>
        <w:t>dose.</w:t>
      </w:r>
    </w:p>
    <w:p>
      <w:pPr>
        <w:pStyle w:val="ListParagraph"/>
        <w:numPr>
          <w:ilvl w:val="0"/>
          <w:numId w:val="4"/>
        </w:numPr>
        <w:tabs>
          <w:tab w:pos="411" w:val="left" w:leader="none"/>
        </w:tabs>
        <w:spacing w:line="208" w:lineRule="auto" w:before="22" w:after="0"/>
        <w:ind w:left="410" w:right="1107" w:hanging="270"/>
        <w:jc w:val="left"/>
        <w:rPr>
          <w:rFonts w:ascii="Arial" w:hAnsi="Arial"/>
          <w:color w:val="137692"/>
          <w:sz w:val="28"/>
        </w:rPr>
      </w:pPr>
      <w:r>
        <w:rPr>
          <w:color w:val="4D4D4F"/>
          <w:w w:val="110"/>
          <w:sz w:val="22"/>
        </w:rPr>
        <w:t>Increasing psychosocial and </w:t>
      </w:r>
      <w:r>
        <w:rPr>
          <w:color w:val="4D4D4F"/>
          <w:spacing w:val="-4"/>
          <w:w w:val="110"/>
          <w:sz w:val="22"/>
        </w:rPr>
        <w:t>recovery </w:t>
      </w:r>
      <w:r>
        <w:rPr>
          <w:color w:val="4D4D4F"/>
          <w:w w:val="110"/>
          <w:sz w:val="22"/>
        </w:rPr>
        <w:t>supports.</w:t>
      </w:r>
    </w:p>
    <w:p>
      <w:pPr>
        <w:pStyle w:val="ListParagraph"/>
        <w:numPr>
          <w:ilvl w:val="0"/>
          <w:numId w:val="4"/>
        </w:numPr>
        <w:tabs>
          <w:tab w:pos="411" w:val="left" w:leader="none"/>
        </w:tabs>
        <w:spacing w:line="315" w:lineRule="exact" w:before="40" w:after="0"/>
        <w:ind w:left="410" w:right="0" w:hanging="271"/>
        <w:jc w:val="left"/>
        <w:rPr>
          <w:rFonts w:ascii="Arial" w:hAnsi="Arial"/>
          <w:color w:val="137692"/>
          <w:sz w:val="28"/>
        </w:rPr>
      </w:pPr>
      <w:r>
        <w:rPr>
          <w:color w:val="4D4D4F"/>
          <w:w w:val="110"/>
          <w:sz w:val="22"/>
        </w:rPr>
        <w:t>Discontinuing dose reduction if</w:t>
      </w:r>
      <w:r>
        <w:rPr>
          <w:color w:val="4D4D4F"/>
          <w:spacing w:val="-17"/>
          <w:w w:val="110"/>
          <w:sz w:val="22"/>
        </w:rPr>
        <w:t> </w:t>
      </w:r>
      <w:r>
        <w:rPr>
          <w:color w:val="4D4D4F"/>
          <w:w w:val="110"/>
          <w:sz w:val="22"/>
        </w:rPr>
        <w:t>necessary.</w:t>
      </w:r>
    </w:p>
    <w:p>
      <w:pPr>
        <w:pStyle w:val="ListParagraph"/>
        <w:numPr>
          <w:ilvl w:val="0"/>
          <w:numId w:val="4"/>
        </w:numPr>
        <w:tabs>
          <w:tab w:pos="411" w:val="left" w:leader="none"/>
        </w:tabs>
        <w:spacing w:line="225" w:lineRule="auto" w:before="6" w:after="0"/>
        <w:ind w:left="410" w:right="431" w:hanging="270"/>
        <w:jc w:val="left"/>
        <w:rPr>
          <w:rFonts w:ascii="Arial" w:hAnsi="Arial"/>
          <w:color w:val="137692"/>
          <w:sz w:val="28"/>
        </w:rPr>
      </w:pPr>
      <w:r>
        <w:rPr>
          <w:color w:val="4D4D4F"/>
          <w:w w:val="110"/>
          <w:sz w:val="22"/>
        </w:rPr>
        <w:t>Returning to medication treatment after discontinuation if they return to illicit</w:t>
      </w:r>
      <w:r>
        <w:rPr>
          <w:color w:val="4D4D4F"/>
          <w:spacing w:val="-35"/>
          <w:w w:val="110"/>
          <w:sz w:val="22"/>
        </w:rPr>
        <w:t> </w:t>
      </w:r>
      <w:r>
        <w:rPr>
          <w:color w:val="4D4D4F"/>
          <w:spacing w:val="-3"/>
          <w:w w:val="110"/>
          <w:sz w:val="22"/>
        </w:rPr>
        <w:t>opioid </w:t>
      </w:r>
      <w:r>
        <w:rPr>
          <w:color w:val="4D4D4F"/>
          <w:w w:val="110"/>
          <w:sz w:val="22"/>
        </w:rPr>
        <w:t>use.</w:t>
      </w:r>
    </w:p>
    <w:p>
      <w:pPr>
        <w:pStyle w:val="ListParagraph"/>
        <w:numPr>
          <w:ilvl w:val="0"/>
          <w:numId w:val="4"/>
        </w:numPr>
        <w:tabs>
          <w:tab w:pos="411" w:val="left" w:leader="none"/>
        </w:tabs>
        <w:spacing w:line="240" w:lineRule="auto" w:before="39" w:after="0"/>
        <w:ind w:left="410" w:right="0" w:hanging="271"/>
        <w:jc w:val="left"/>
        <w:rPr>
          <w:rFonts w:ascii="Arial" w:hAnsi="Arial"/>
          <w:color w:val="137692"/>
          <w:sz w:val="28"/>
        </w:rPr>
      </w:pPr>
      <w:r>
        <w:rPr>
          <w:color w:val="4D4D4F"/>
          <w:w w:val="115"/>
          <w:sz w:val="22"/>
        </w:rPr>
        <w:t>Increasing</w:t>
      </w:r>
      <w:r>
        <w:rPr>
          <w:color w:val="4D4D4F"/>
          <w:spacing w:val="-14"/>
          <w:w w:val="115"/>
          <w:sz w:val="22"/>
        </w:rPr>
        <w:t> </w:t>
      </w:r>
      <w:r>
        <w:rPr>
          <w:color w:val="4D4D4F"/>
          <w:w w:val="115"/>
          <w:sz w:val="22"/>
        </w:rPr>
        <w:t>dosage</w:t>
      </w:r>
      <w:r>
        <w:rPr>
          <w:color w:val="4D4D4F"/>
          <w:spacing w:val="-13"/>
          <w:w w:val="115"/>
          <w:sz w:val="22"/>
        </w:rPr>
        <w:t> </w:t>
      </w:r>
      <w:r>
        <w:rPr>
          <w:color w:val="4D4D4F"/>
          <w:w w:val="115"/>
          <w:sz w:val="22"/>
        </w:rPr>
        <w:t>if</w:t>
      </w:r>
      <w:r>
        <w:rPr>
          <w:color w:val="4D4D4F"/>
          <w:spacing w:val="-14"/>
          <w:w w:val="115"/>
          <w:sz w:val="22"/>
        </w:rPr>
        <w:t> </w:t>
      </w:r>
      <w:r>
        <w:rPr>
          <w:color w:val="4D4D4F"/>
          <w:w w:val="115"/>
          <w:sz w:val="22"/>
        </w:rPr>
        <w:t>destabilization</w:t>
      </w:r>
      <w:r>
        <w:rPr>
          <w:color w:val="4D4D4F"/>
          <w:spacing w:val="-13"/>
          <w:w w:val="115"/>
          <w:sz w:val="22"/>
        </w:rPr>
        <w:t> </w:t>
      </w:r>
      <w:r>
        <w:rPr>
          <w:color w:val="4D4D4F"/>
          <w:w w:val="115"/>
          <w:sz w:val="22"/>
        </w:rPr>
        <w:t>occurs.</w:t>
      </w:r>
    </w:p>
    <w:p>
      <w:pPr>
        <w:pStyle w:val="BodyText"/>
        <w:spacing w:line="247" w:lineRule="auto" w:before="135"/>
        <w:ind w:left="140" w:right="264"/>
      </w:pPr>
      <w:r>
        <w:rPr>
          <w:rFonts w:ascii="Calibri" w:hAnsi="Calibri"/>
          <w:b/>
          <w:color w:val="4D4D4F"/>
          <w:w w:val="110"/>
        </w:rPr>
        <w:t>Individualize the pace of methadone dose reduction to the patient’s response. </w:t>
      </w:r>
      <w:r>
        <w:rPr>
          <w:color w:val="4D4D4F"/>
          <w:w w:val="110"/>
        </w:rPr>
        <w:t>One approach is to decrease the methadone dose gradually by 5 to 10 percent every 1 to 2 </w:t>
      </w:r>
      <w:r>
        <w:rPr>
          <w:color w:val="4D4D4F"/>
          <w:spacing w:val="-3"/>
          <w:w w:val="110"/>
        </w:rPr>
        <w:t>weeks. </w:t>
      </w:r>
      <w:r>
        <w:rPr>
          <w:color w:val="4D4D4F"/>
          <w:w w:val="110"/>
        </w:rPr>
        <w:t>Once patients reach a relatively low dose, often between 20 mg and 40 mg, they may begin to feel more craving. Some patients may choose  to switch to buprenorphine for a period to complete the dose reduction. They may also wish to begin XR-NTX after an appropriate period of opioid</w:t>
      </w:r>
      <w:r>
        <w:rPr>
          <w:color w:val="4D4D4F"/>
          <w:spacing w:val="-12"/>
          <w:w w:val="110"/>
        </w:rPr>
        <w:t> </w:t>
      </w:r>
      <w:r>
        <w:rPr>
          <w:color w:val="4D4D4F"/>
          <w:w w:val="110"/>
        </w:rPr>
        <w:t>abstinence.</w:t>
      </w:r>
    </w:p>
    <w:p>
      <w:pPr>
        <w:spacing w:line="242" w:lineRule="auto" w:before="166"/>
        <w:ind w:left="140" w:right="154" w:firstLine="0"/>
        <w:jc w:val="left"/>
        <w:rPr>
          <w:sz w:val="22"/>
        </w:rPr>
      </w:pPr>
      <w:r>
        <w:rPr>
          <w:rFonts w:ascii="Calibri"/>
          <w:b/>
          <w:color w:val="4D4D4F"/>
          <w:w w:val="115"/>
          <w:sz w:val="22"/>
        </w:rPr>
        <w:t>Encourage patients to use techniques for preventing return to use, </w:t>
      </w:r>
      <w:r>
        <w:rPr>
          <w:color w:val="4D4D4F"/>
          <w:w w:val="115"/>
          <w:sz w:val="22"/>
        </w:rPr>
        <w:t>such as participating in</w:t>
      </w:r>
      <w:r>
        <w:rPr>
          <w:color w:val="4D4D4F"/>
          <w:spacing w:val="-21"/>
          <w:w w:val="115"/>
          <w:sz w:val="22"/>
        </w:rPr>
        <w:t> </w:t>
      </w:r>
      <w:r>
        <w:rPr>
          <w:color w:val="4D4D4F"/>
          <w:w w:val="115"/>
          <w:sz w:val="22"/>
        </w:rPr>
        <w:t>recovery</w:t>
      </w:r>
      <w:r>
        <w:rPr>
          <w:color w:val="4D4D4F"/>
          <w:spacing w:val="-21"/>
          <w:w w:val="115"/>
          <w:sz w:val="22"/>
        </w:rPr>
        <w:t> </w:t>
      </w:r>
      <w:r>
        <w:rPr>
          <w:color w:val="4D4D4F"/>
          <w:w w:val="115"/>
          <w:sz w:val="22"/>
        </w:rPr>
        <w:t>support</w:t>
      </w:r>
      <w:r>
        <w:rPr>
          <w:color w:val="4D4D4F"/>
          <w:spacing w:val="-20"/>
          <w:w w:val="115"/>
          <w:sz w:val="22"/>
        </w:rPr>
        <w:t> </w:t>
      </w:r>
      <w:r>
        <w:rPr>
          <w:color w:val="4D4D4F"/>
          <w:w w:val="115"/>
          <w:sz w:val="22"/>
        </w:rPr>
        <w:t>groups</w:t>
      </w:r>
      <w:r>
        <w:rPr>
          <w:color w:val="4D4D4F"/>
          <w:spacing w:val="-21"/>
          <w:w w:val="115"/>
          <w:sz w:val="22"/>
        </w:rPr>
        <w:t> </w:t>
      </w:r>
      <w:r>
        <w:rPr>
          <w:color w:val="4D4D4F"/>
          <w:w w:val="115"/>
          <w:sz w:val="22"/>
        </w:rPr>
        <w:t>and</w:t>
      </w:r>
      <w:r>
        <w:rPr>
          <w:color w:val="4D4D4F"/>
          <w:spacing w:val="-20"/>
          <w:w w:val="115"/>
          <w:sz w:val="22"/>
        </w:rPr>
        <w:t> </w:t>
      </w:r>
      <w:r>
        <w:rPr>
          <w:color w:val="4D4D4F"/>
          <w:w w:val="115"/>
          <w:sz w:val="22"/>
        </w:rPr>
        <w:t>gaining</w:t>
      </w:r>
      <w:r>
        <w:rPr>
          <w:color w:val="4D4D4F"/>
          <w:spacing w:val="-21"/>
          <w:w w:val="115"/>
          <w:sz w:val="22"/>
        </w:rPr>
        <w:t> </w:t>
      </w:r>
      <w:r>
        <w:rPr>
          <w:color w:val="4D4D4F"/>
          <w:w w:val="115"/>
          <w:sz w:val="22"/>
        </w:rPr>
        <w:t>support from counseling and </w:t>
      </w:r>
      <w:r>
        <w:rPr>
          <w:color w:val="4D4D4F"/>
          <w:spacing w:val="-3"/>
          <w:w w:val="115"/>
          <w:sz w:val="22"/>
        </w:rPr>
        <w:t>family. </w:t>
      </w:r>
      <w:r>
        <w:rPr>
          <w:color w:val="4D4D4F"/>
          <w:w w:val="115"/>
          <w:sz w:val="22"/>
        </w:rPr>
        <w:t>Doing so can help patients</w:t>
      </w:r>
      <w:r>
        <w:rPr>
          <w:color w:val="4D4D4F"/>
          <w:spacing w:val="-24"/>
          <w:w w:val="115"/>
          <w:sz w:val="22"/>
        </w:rPr>
        <w:t> </w:t>
      </w:r>
      <w:r>
        <w:rPr>
          <w:color w:val="4D4D4F"/>
          <w:w w:val="115"/>
          <w:sz w:val="22"/>
        </w:rPr>
        <w:t>succeed</w:t>
      </w:r>
      <w:r>
        <w:rPr>
          <w:color w:val="4D4D4F"/>
          <w:spacing w:val="-24"/>
          <w:w w:val="115"/>
          <w:sz w:val="22"/>
        </w:rPr>
        <w:t> </w:t>
      </w:r>
      <w:r>
        <w:rPr>
          <w:color w:val="4D4D4F"/>
          <w:w w:val="115"/>
          <w:sz w:val="22"/>
        </w:rPr>
        <w:t>in</w:t>
      </w:r>
      <w:r>
        <w:rPr>
          <w:color w:val="4D4D4F"/>
          <w:spacing w:val="-24"/>
          <w:w w:val="115"/>
          <w:sz w:val="22"/>
        </w:rPr>
        <w:t> </w:t>
      </w:r>
      <w:r>
        <w:rPr>
          <w:color w:val="4D4D4F"/>
          <w:w w:val="115"/>
          <w:sz w:val="22"/>
        </w:rPr>
        <w:t>tapering</w:t>
      </w:r>
      <w:r>
        <w:rPr>
          <w:color w:val="4D4D4F"/>
          <w:spacing w:val="-24"/>
          <w:w w:val="115"/>
          <w:sz w:val="22"/>
        </w:rPr>
        <w:t> </w:t>
      </w:r>
      <w:r>
        <w:rPr>
          <w:color w:val="4D4D4F"/>
          <w:w w:val="115"/>
          <w:sz w:val="22"/>
        </w:rPr>
        <w:t>off</w:t>
      </w:r>
      <w:r>
        <w:rPr>
          <w:color w:val="4D4D4F"/>
          <w:spacing w:val="-23"/>
          <w:w w:val="115"/>
          <w:sz w:val="22"/>
        </w:rPr>
        <w:t> </w:t>
      </w:r>
      <w:r>
        <w:rPr>
          <w:color w:val="4D4D4F"/>
          <w:w w:val="115"/>
          <w:sz w:val="22"/>
        </w:rPr>
        <w:t>their</w:t>
      </w:r>
      <w:r>
        <w:rPr>
          <w:color w:val="4D4D4F"/>
          <w:spacing w:val="-24"/>
          <w:w w:val="115"/>
          <w:sz w:val="22"/>
        </w:rPr>
        <w:t> </w:t>
      </w:r>
      <w:r>
        <w:rPr>
          <w:color w:val="4D4D4F"/>
          <w:w w:val="115"/>
          <w:sz w:val="22"/>
        </w:rPr>
        <w:t>medication.</w:t>
      </w:r>
    </w:p>
    <w:p>
      <w:pPr>
        <w:pStyle w:val="BodyText"/>
        <w:rPr>
          <w:sz w:val="20"/>
        </w:rPr>
      </w:pPr>
    </w:p>
    <w:p>
      <w:pPr>
        <w:pStyle w:val="BodyText"/>
        <w:spacing w:before="7"/>
        <w:rPr>
          <w:sz w:val="15"/>
        </w:rPr>
      </w:pPr>
      <w:r>
        <w:rPr/>
        <w:pict>
          <v:group style="position:absolute;margin-left:314.751007pt;margin-top:11.013072pt;width:243.5pt;height:153pt;mso-position-horizontal-relative:page;mso-position-vertical-relative:paragraph;z-index:-15706112;mso-wrap-distance-left:0;mso-wrap-distance-right:0" coordorigin="6295,220" coordsize="4870,3060">
            <v:rect style="position:absolute;left:6300;top:225;width:4860;height:3050" filled="false" stroked="true" strokeweight=".5pt" strokecolor="#88aabd">
              <v:stroke dashstyle="solid"/>
            </v:rect>
            <v:shape style="position:absolute;left:6305;top:817;width:4850;height:2453" type="#_x0000_t202" filled="false" stroked="false">
              <v:textbox inset="0,0,0,0">
                <w:txbxContent>
                  <w:p>
                    <w:pPr>
                      <w:spacing w:line="278" w:lineRule="auto" w:before="59"/>
                      <w:ind w:left="230" w:right="800" w:firstLine="0"/>
                      <w:jc w:val="left"/>
                      <w:rPr>
                        <w:rFonts w:ascii="Arial"/>
                        <w:b/>
                        <w:sz w:val="24"/>
                      </w:rPr>
                    </w:pPr>
                    <w:r>
                      <w:rPr>
                        <w:rFonts w:ascii="Arial"/>
                        <w:b/>
                        <w:color w:val="137692"/>
                        <w:w w:val="110"/>
                        <w:sz w:val="24"/>
                      </w:rPr>
                      <w:t>Guidance on Opioid Overdose Prevention</w:t>
                    </w:r>
                  </w:p>
                  <w:p>
                    <w:pPr>
                      <w:spacing w:line="348" w:lineRule="auto" w:before="154"/>
                      <w:ind w:left="230" w:right="411" w:firstLine="0"/>
                      <w:jc w:val="left"/>
                      <w:rPr>
                        <w:rFonts w:ascii="Arial"/>
                        <w:sz w:val="18"/>
                      </w:rPr>
                    </w:pPr>
                    <w:r>
                      <w:rPr>
                        <w:rFonts w:ascii="Arial"/>
                        <w:color w:val="414142"/>
                        <w:w w:val="120"/>
                        <w:sz w:val="18"/>
                      </w:rPr>
                      <w:t>For more information on preventing opioid </w:t>
                    </w:r>
                    <w:r>
                      <w:rPr>
                        <w:rFonts w:ascii="Arial"/>
                        <w:color w:val="414142"/>
                        <w:w w:val="115"/>
                        <w:sz w:val="18"/>
                      </w:rPr>
                      <w:t>overdose, see the </w:t>
                    </w:r>
                    <w:r>
                      <w:rPr>
                        <w:rFonts w:ascii="Arial"/>
                        <w:i/>
                        <w:color w:val="414142"/>
                        <w:w w:val="115"/>
                        <w:sz w:val="18"/>
                      </w:rPr>
                      <w:t>SAMHSA Opioid Overdose </w:t>
                    </w:r>
                    <w:r>
                      <w:rPr>
                        <w:rFonts w:ascii="Arial"/>
                        <w:i/>
                        <w:color w:val="414142"/>
                        <w:w w:val="115"/>
                        <w:sz w:val="18"/>
                      </w:rPr>
                      <w:t>Prevention Toolkit </w:t>
                    </w:r>
                    <w:r>
                      <w:rPr>
                        <w:rFonts w:ascii="Arial"/>
                        <w:color w:val="414142"/>
                        <w:w w:val="115"/>
                        <w:sz w:val="18"/>
                      </w:rPr>
                      <w:t>(</w:t>
                    </w:r>
                    <w:r>
                      <w:rPr>
                        <w:rFonts w:ascii="Arial"/>
                        <w:color w:val="3B68A6"/>
                        <w:w w:val="115"/>
                        <w:sz w:val="18"/>
                        <w:u w:val="single" w:color="3B68A6"/>
                      </w:rPr>
                      <w:t>https://store.samhsa.gov/</w:t>
                    </w:r>
                    <w:r>
                      <w:rPr>
                        <w:rFonts w:ascii="Arial"/>
                        <w:color w:val="3B68A6"/>
                        <w:w w:val="115"/>
                        <w:sz w:val="18"/>
                      </w:rPr>
                      <w:t> </w:t>
                    </w:r>
                    <w:r>
                      <w:rPr>
                        <w:rFonts w:ascii="Arial"/>
                        <w:color w:val="3B68A6"/>
                        <w:w w:val="115"/>
                        <w:sz w:val="18"/>
                        <w:u w:val="single" w:color="3B68A6"/>
                      </w:rPr>
                      <w:t>product/Opioid-Overdose-Prevention-Toolkit/</w:t>
                    </w:r>
                    <w:r>
                      <w:rPr>
                        <w:rFonts w:ascii="Arial"/>
                        <w:color w:val="3B68A6"/>
                        <w:w w:val="115"/>
                        <w:sz w:val="18"/>
                      </w:rPr>
                      <w:t> </w:t>
                    </w:r>
                    <w:r>
                      <w:rPr>
                        <w:rFonts w:ascii="Arial"/>
                        <w:color w:val="3B68A6"/>
                        <w:w w:val="120"/>
                        <w:sz w:val="18"/>
                        <w:u w:val="single" w:color="3B68A6"/>
                      </w:rPr>
                      <w:t>SMA18-4742</w:t>
                    </w:r>
                    <w:r>
                      <w:rPr>
                        <w:rFonts w:ascii="Arial"/>
                        <w:color w:val="414142"/>
                        <w:w w:val="120"/>
                        <w:sz w:val="18"/>
                      </w:rPr>
                      <w:t>).</w:t>
                    </w:r>
                  </w:p>
                </w:txbxContent>
              </v:textbox>
              <w10:wrap type="none"/>
            </v:shape>
            <v:shape style="position:absolute;left:6305;top:230;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topAndBottom"/>
          </v:group>
        </w:pict>
      </w:r>
    </w:p>
    <w:p>
      <w:pPr>
        <w:spacing w:after="0"/>
        <w:rPr>
          <w:sz w:val="15"/>
        </w:rPr>
        <w:sectPr>
          <w:type w:val="continuous"/>
          <w:pgSz w:w="12240" w:h="15840"/>
          <w:pgMar w:top="540" w:bottom="280" w:left="940" w:right="920"/>
          <w:cols w:num="2" w:equalWidth="0">
            <w:col w:w="5012" w:space="208"/>
            <w:col w:w="5160"/>
          </w:cols>
        </w:sectPr>
      </w:pPr>
    </w:p>
    <w:p>
      <w:pPr>
        <w:pStyle w:val="BodyText"/>
        <w:spacing w:before="5"/>
        <w:rPr>
          <w:sz w:val="26"/>
        </w:rPr>
      </w:pPr>
    </w:p>
    <w:p>
      <w:pPr>
        <w:spacing w:after="0"/>
        <w:rPr>
          <w:sz w:val="26"/>
        </w:rPr>
        <w:sectPr>
          <w:pgSz w:w="12240" w:h="15840"/>
          <w:pgMar w:header="576" w:footer="677" w:top="1340" w:bottom="860" w:left="940" w:right="920"/>
        </w:sectPr>
      </w:pPr>
    </w:p>
    <w:p>
      <w:pPr>
        <w:pStyle w:val="Heading2"/>
      </w:pPr>
      <w:bookmarkStart w:name="_TOC_250080" w:id="35"/>
      <w:bookmarkEnd w:id="35"/>
      <w:r>
        <w:rPr>
          <w:color w:val="137692"/>
          <w:w w:val="110"/>
        </w:rPr>
        <w:t>Methadone Dosing Summary</w:t>
      </w:r>
    </w:p>
    <w:p>
      <w:pPr>
        <w:pStyle w:val="BodyText"/>
        <w:spacing w:line="247" w:lineRule="auto" w:before="31"/>
        <w:ind w:left="140" w:right="378"/>
      </w:pPr>
      <w:r>
        <w:rPr>
          <w:color w:val="4D4D4F"/>
          <w:w w:val="110"/>
        </w:rPr>
        <w:t>The initial goal is to reduce opioid withdrawal and craving safely.</w:t>
      </w:r>
    </w:p>
    <w:p>
      <w:pPr>
        <w:pStyle w:val="ListParagraph"/>
        <w:numPr>
          <w:ilvl w:val="0"/>
          <w:numId w:val="4"/>
        </w:numPr>
        <w:tabs>
          <w:tab w:pos="410" w:val="left" w:leader="none"/>
        </w:tabs>
        <w:spacing w:line="264" w:lineRule="exact" w:before="111" w:after="0"/>
        <w:ind w:left="410" w:right="65" w:hanging="270"/>
        <w:jc w:val="left"/>
        <w:rPr>
          <w:rFonts w:ascii="Arial" w:hAnsi="Arial"/>
          <w:color w:val="137692"/>
          <w:sz w:val="28"/>
        </w:rPr>
      </w:pPr>
      <w:r>
        <w:rPr>
          <w:color w:val="4D4D4F"/>
          <w:w w:val="110"/>
          <w:sz w:val="22"/>
        </w:rPr>
        <w:t>Use the “start low and go slow” approach but increase dose at a rate that minimizes </w:t>
      </w:r>
      <w:r>
        <w:rPr>
          <w:color w:val="4D4D4F"/>
          <w:spacing w:val="-3"/>
          <w:w w:val="110"/>
          <w:sz w:val="22"/>
        </w:rPr>
        <w:t>chances </w:t>
      </w:r>
      <w:r>
        <w:rPr>
          <w:color w:val="4D4D4F"/>
          <w:w w:val="110"/>
          <w:sz w:val="22"/>
        </w:rPr>
        <w:t>of continued illicit drug use, while monitoring for side</w:t>
      </w:r>
      <w:r>
        <w:rPr>
          <w:color w:val="4D4D4F"/>
          <w:spacing w:val="-11"/>
          <w:w w:val="110"/>
          <w:sz w:val="22"/>
        </w:rPr>
        <w:t> </w:t>
      </w:r>
      <w:r>
        <w:rPr>
          <w:color w:val="4D4D4F"/>
          <w:w w:val="110"/>
          <w:sz w:val="22"/>
        </w:rPr>
        <w:t>effects.</w:t>
      </w:r>
    </w:p>
    <w:p>
      <w:pPr>
        <w:pStyle w:val="ListParagraph"/>
        <w:numPr>
          <w:ilvl w:val="0"/>
          <w:numId w:val="4"/>
        </w:numPr>
        <w:tabs>
          <w:tab w:pos="410" w:val="left" w:leader="none"/>
        </w:tabs>
        <w:spacing w:line="315" w:lineRule="exact" w:before="31" w:after="0"/>
        <w:ind w:left="410" w:right="0" w:hanging="270"/>
        <w:jc w:val="left"/>
        <w:rPr>
          <w:rFonts w:ascii="Arial" w:hAnsi="Arial"/>
          <w:color w:val="137692"/>
          <w:sz w:val="28"/>
        </w:rPr>
      </w:pPr>
      <w:r>
        <w:rPr>
          <w:color w:val="4D4D4F"/>
          <w:w w:val="110"/>
          <w:sz w:val="22"/>
        </w:rPr>
        <w:t>Increase doses gradually over several</w:t>
      </w:r>
      <w:r>
        <w:rPr>
          <w:color w:val="4D4D4F"/>
          <w:spacing w:val="2"/>
          <w:w w:val="110"/>
          <w:sz w:val="22"/>
        </w:rPr>
        <w:t> </w:t>
      </w:r>
      <w:r>
        <w:rPr>
          <w:color w:val="4D4D4F"/>
          <w:w w:val="110"/>
          <w:sz w:val="22"/>
        </w:rPr>
        <w:t>weeks.</w:t>
      </w:r>
    </w:p>
    <w:p>
      <w:pPr>
        <w:pStyle w:val="ListParagraph"/>
        <w:numPr>
          <w:ilvl w:val="0"/>
          <w:numId w:val="4"/>
        </w:numPr>
        <w:tabs>
          <w:tab w:pos="410" w:val="left" w:leader="none"/>
        </w:tabs>
        <w:spacing w:line="208" w:lineRule="auto" w:before="22" w:after="0"/>
        <w:ind w:left="410" w:right="154" w:hanging="270"/>
        <w:jc w:val="left"/>
        <w:rPr>
          <w:rFonts w:ascii="Arial" w:hAnsi="Arial"/>
          <w:color w:val="137692"/>
          <w:sz w:val="28"/>
        </w:rPr>
      </w:pPr>
      <w:r>
        <w:rPr>
          <w:color w:val="4D4D4F"/>
          <w:w w:val="110"/>
          <w:sz w:val="22"/>
        </w:rPr>
        <w:t>Assess for sedation at peak serum</w:t>
      </w:r>
      <w:r>
        <w:rPr>
          <w:color w:val="4D4D4F"/>
          <w:spacing w:val="-26"/>
          <w:w w:val="110"/>
          <w:sz w:val="22"/>
        </w:rPr>
        <w:t> </w:t>
      </w:r>
      <w:r>
        <w:rPr>
          <w:color w:val="4D4D4F"/>
          <w:w w:val="110"/>
          <w:sz w:val="22"/>
        </w:rPr>
        <w:t>concentra- tion (2–4 hours after the</w:t>
      </w:r>
      <w:r>
        <w:rPr>
          <w:color w:val="4D4D4F"/>
          <w:spacing w:val="-37"/>
          <w:w w:val="110"/>
          <w:sz w:val="22"/>
        </w:rPr>
        <w:t> </w:t>
      </w:r>
      <w:r>
        <w:rPr>
          <w:color w:val="4D4D4F"/>
          <w:w w:val="110"/>
          <w:sz w:val="22"/>
        </w:rPr>
        <w:t>dose).</w:t>
      </w:r>
    </w:p>
    <w:p>
      <w:pPr>
        <w:pStyle w:val="BodyText"/>
        <w:spacing w:before="195"/>
        <w:ind w:left="140"/>
      </w:pPr>
      <w:r>
        <w:rPr>
          <w:color w:val="4D4D4F"/>
          <w:w w:val="115"/>
        </w:rPr>
        <w:t>The eventual target is an adequate dose that:</w:t>
      </w:r>
    </w:p>
    <w:p>
      <w:pPr>
        <w:pStyle w:val="ListParagraph"/>
        <w:numPr>
          <w:ilvl w:val="0"/>
          <w:numId w:val="4"/>
        </w:numPr>
        <w:tabs>
          <w:tab w:pos="410" w:val="left" w:leader="none"/>
        </w:tabs>
        <w:spacing w:line="315" w:lineRule="exact" w:before="106" w:after="0"/>
        <w:ind w:left="410" w:right="0" w:hanging="270"/>
        <w:jc w:val="left"/>
        <w:rPr>
          <w:rFonts w:ascii="Arial" w:hAnsi="Arial"/>
          <w:color w:val="137692"/>
          <w:sz w:val="28"/>
        </w:rPr>
      </w:pPr>
      <w:r>
        <w:rPr>
          <w:color w:val="4D4D4F"/>
          <w:w w:val="110"/>
          <w:sz w:val="22"/>
        </w:rPr>
        <w:t>Stops withdrawal symptoms for 24</w:t>
      </w:r>
      <w:r>
        <w:rPr>
          <w:color w:val="4D4D4F"/>
          <w:spacing w:val="-31"/>
          <w:w w:val="110"/>
          <w:sz w:val="22"/>
        </w:rPr>
        <w:t> </w:t>
      </w:r>
      <w:r>
        <w:rPr>
          <w:color w:val="4D4D4F"/>
          <w:w w:val="110"/>
          <w:sz w:val="22"/>
        </w:rPr>
        <w:t>hours.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Reduces or eliminates</w:t>
      </w:r>
      <w:r>
        <w:rPr>
          <w:color w:val="4D4D4F"/>
          <w:spacing w:val="-14"/>
          <w:w w:val="110"/>
          <w:sz w:val="22"/>
        </w:rPr>
        <w:t> </w:t>
      </w:r>
      <w:r>
        <w:rPr>
          <w:color w:val="4D4D4F"/>
          <w:w w:val="110"/>
          <w:sz w:val="22"/>
        </w:rPr>
        <w:t>craving.</w:t>
      </w:r>
    </w:p>
    <w:p>
      <w:pPr>
        <w:pStyle w:val="ListParagraph"/>
        <w:numPr>
          <w:ilvl w:val="0"/>
          <w:numId w:val="4"/>
        </w:numPr>
        <w:tabs>
          <w:tab w:pos="410" w:val="left" w:leader="none"/>
        </w:tabs>
        <w:spacing w:line="208" w:lineRule="auto" w:before="22" w:after="0"/>
        <w:ind w:left="410" w:right="1129" w:hanging="270"/>
        <w:jc w:val="left"/>
        <w:rPr>
          <w:rFonts w:ascii="Arial" w:hAnsi="Arial"/>
          <w:color w:val="137692"/>
          <w:sz w:val="28"/>
        </w:rPr>
      </w:pPr>
      <w:r>
        <w:rPr>
          <w:color w:val="4D4D4F"/>
          <w:w w:val="110"/>
          <w:sz w:val="22"/>
        </w:rPr>
        <w:t>Blunts or blocks euphoria from</w:t>
      </w:r>
      <w:r>
        <w:rPr>
          <w:color w:val="4D4D4F"/>
          <w:spacing w:val="-35"/>
          <w:w w:val="110"/>
          <w:sz w:val="22"/>
        </w:rPr>
        <w:t> </w:t>
      </w:r>
      <w:r>
        <w:rPr>
          <w:color w:val="4D4D4F"/>
          <w:spacing w:val="-4"/>
          <w:w w:val="110"/>
          <w:sz w:val="22"/>
        </w:rPr>
        <w:t>self- </w:t>
      </w:r>
      <w:r>
        <w:rPr>
          <w:color w:val="4D4D4F"/>
          <w:w w:val="110"/>
          <w:sz w:val="22"/>
        </w:rPr>
        <w:t>administered illicit</w:t>
      </w:r>
      <w:r>
        <w:rPr>
          <w:color w:val="4D4D4F"/>
          <w:spacing w:val="-7"/>
          <w:w w:val="110"/>
          <w:sz w:val="22"/>
        </w:rPr>
        <w:t> </w:t>
      </w:r>
      <w:r>
        <w:rPr>
          <w:color w:val="4D4D4F"/>
          <w:w w:val="110"/>
          <w:sz w:val="22"/>
        </w:rPr>
        <w:t>opioids.</w:t>
      </w:r>
    </w:p>
    <w:p>
      <w:pPr>
        <w:pStyle w:val="BodyText"/>
        <w:spacing w:line="247" w:lineRule="auto" w:before="195"/>
        <w:ind w:left="140"/>
      </w:pPr>
      <w:r>
        <w:rPr>
          <w:color w:val="4D4D4F"/>
          <w:w w:val="110"/>
        </w:rPr>
        <w:t>In general, after induction is complete, higher doses are more effective than lower doses.</w:t>
      </w:r>
    </w:p>
    <w:p>
      <w:pPr>
        <w:pStyle w:val="BodyText"/>
      </w:pPr>
    </w:p>
    <w:p>
      <w:pPr>
        <w:pStyle w:val="Heading2"/>
        <w:spacing w:line="208" w:lineRule="auto" w:before="0"/>
        <w:ind w:right="1172"/>
      </w:pPr>
      <w:bookmarkStart w:name="_TOC_250079" w:id="36"/>
      <w:bookmarkEnd w:id="36"/>
      <w:r>
        <w:rPr>
          <w:color w:val="137692"/>
          <w:w w:val="110"/>
        </w:rPr>
        <w:t>Enhancing Access to OUD Medication in OTPs</w:t>
      </w:r>
    </w:p>
    <w:p>
      <w:pPr>
        <w:spacing w:line="240" w:lineRule="auto" w:before="38"/>
        <w:ind w:left="140" w:right="0" w:firstLine="0"/>
        <w:jc w:val="left"/>
        <w:rPr>
          <w:sz w:val="22"/>
        </w:rPr>
      </w:pPr>
      <w:r>
        <w:rPr>
          <w:rFonts w:ascii="Calibri"/>
          <w:b/>
          <w:color w:val="4D4D4F"/>
          <w:w w:val="110"/>
          <w:sz w:val="22"/>
        </w:rPr>
        <w:t>Individuals on waiting lists for OTPs should receive interim methadone maintenance treatment. </w:t>
      </w:r>
      <w:r>
        <w:rPr>
          <w:color w:val="4D4D4F"/>
          <w:w w:val="110"/>
          <w:sz w:val="22"/>
        </w:rPr>
        <w:t>People on waiting lists typically continue to use illicit opioids. Many never gain admission through the waiting list process.</w:t>
      </w:r>
    </w:p>
    <w:p>
      <w:pPr>
        <w:pStyle w:val="BodyText"/>
        <w:spacing w:line="247" w:lineRule="auto" w:before="9"/>
        <w:ind w:left="140" w:right="33"/>
      </w:pPr>
      <w:r>
        <w:rPr>
          <w:color w:val="4D4D4F"/>
          <w:w w:val="115"/>
        </w:rPr>
        <w:t>Federal OTP regulations permit use of interim methadone</w:t>
      </w:r>
      <w:r>
        <w:rPr>
          <w:color w:val="4D4D4F"/>
          <w:spacing w:val="-29"/>
          <w:w w:val="115"/>
        </w:rPr>
        <w:t> </w:t>
      </w:r>
      <w:r>
        <w:rPr>
          <w:color w:val="4D4D4F"/>
          <w:w w:val="115"/>
        </w:rPr>
        <w:t>maintenance</w:t>
      </w:r>
      <w:r>
        <w:rPr>
          <w:color w:val="4D4D4F"/>
          <w:spacing w:val="-29"/>
          <w:w w:val="115"/>
        </w:rPr>
        <w:t> </w:t>
      </w:r>
      <w:r>
        <w:rPr>
          <w:color w:val="4D4D4F"/>
          <w:w w:val="115"/>
        </w:rPr>
        <w:t>to</w:t>
      </w:r>
      <w:r>
        <w:rPr>
          <w:color w:val="4D4D4F"/>
          <w:spacing w:val="-29"/>
          <w:w w:val="115"/>
        </w:rPr>
        <w:t> </w:t>
      </w:r>
      <w:r>
        <w:rPr>
          <w:color w:val="4D4D4F"/>
          <w:w w:val="115"/>
        </w:rPr>
        <w:t>address</w:t>
      </w:r>
      <w:r>
        <w:rPr>
          <w:color w:val="4D4D4F"/>
          <w:spacing w:val="-29"/>
          <w:w w:val="115"/>
        </w:rPr>
        <w:t> </w:t>
      </w:r>
      <w:r>
        <w:rPr>
          <w:color w:val="4D4D4F"/>
          <w:w w:val="115"/>
        </w:rPr>
        <w:t>this</w:t>
      </w:r>
      <w:r>
        <w:rPr>
          <w:color w:val="4D4D4F"/>
          <w:spacing w:val="-29"/>
          <w:w w:val="115"/>
        </w:rPr>
        <w:t> </w:t>
      </w:r>
      <w:r>
        <w:rPr>
          <w:color w:val="4D4D4F"/>
          <w:spacing w:val="-4"/>
          <w:w w:val="115"/>
        </w:rPr>
        <w:t>problem </w:t>
      </w:r>
      <w:r>
        <w:rPr>
          <w:color w:val="4D4D4F"/>
          <w:w w:val="115"/>
        </w:rPr>
        <w:t>by</w:t>
      </w:r>
      <w:r>
        <w:rPr>
          <w:color w:val="4D4D4F"/>
          <w:spacing w:val="-26"/>
          <w:w w:val="115"/>
        </w:rPr>
        <w:t> </w:t>
      </w:r>
      <w:r>
        <w:rPr>
          <w:color w:val="4D4D4F"/>
          <w:w w:val="115"/>
        </w:rPr>
        <w:t>providing</w:t>
      </w:r>
      <w:r>
        <w:rPr>
          <w:color w:val="4D4D4F"/>
          <w:spacing w:val="-26"/>
          <w:w w:val="115"/>
        </w:rPr>
        <w:t> </w:t>
      </w:r>
      <w:r>
        <w:rPr>
          <w:color w:val="4D4D4F"/>
          <w:w w:val="115"/>
        </w:rPr>
        <w:t>methadone</w:t>
      </w:r>
      <w:r>
        <w:rPr>
          <w:color w:val="4D4D4F"/>
          <w:spacing w:val="-26"/>
          <w:w w:val="115"/>
        </w:rPr>
        <w:t> </w:t>
      </w:r>
      <w:r>
        <w:rPr>
          <w:color w:val="4D4D4F"/>
          <w:w w:val="115"/>
        </w:rPr>
        <w:t>treatment</w:t>
      </w:r>
      <w:r>
        <w:rPr>
          <w:color w:val="4D4D4F"/>
          <w:spacing w:val="-25"/>
          <w:w w:val="115"/>
        </w:rPr>
        <w:t> </w:t>
      </w:r>
      <w:r>
        <w:rPr>
          <w:color w:val="4D4D4F"/>
          <w:w w:val="115"/>
        </w:rPr>
        <w:t>for</w:t>
      </w:r>
      <w:r>
        <w:rPr>
          <w:color w:val="4D4D4F"/>
          <w:spacing w:val="-26"/>
          <w:w w:val="115"/>
        </w:rPr>
        <w:t> </w:t>
      </w:r>
      <w:r>
        <w:rPr>
          <w:color w:val="4D4D4F"/>
          <w:w w:val="115"/>
        </w:rPr>
        <w:t>up</w:t>
      </w:r>
      <w:r>
        <w:rPr>
          <w:color w:val="4D4D4F"/>
          <w:spacing w:val="-26"/>
          <w:w w:val="115"/>
        </w:rPr>
        <w:t> </w:t>
      </w:r>
      <w:r>
        <w:rPr>
          <w:color w:val="4D4D4F"/>
          <w:w w:val="115"/>
        </w:rPr>
        <w:t>to</w:t>
      </w:r>
      <w:r>
        <w:rPr>
          <w:color w:val="4D4D4F"/>
          <w:spacing w:val="-26"/>
          <w:w w:val="115"/>
        </w:rPr>
        <w:t> </w:t>
      </w:r>
      <w:r>
        <w:rPr>
          <w:color w:val="4D4D4F"/>
          <w:w w:val="115"/>
        </w:rPr>
        <w:t>120 days</w:t>
      </w:r>
      <w:r>
        <w:rPr>
          <w:color w:val="4D4D4F"/>
          <w:spacing w:val="-28"/>
          <w:w w:val="115"/>
        </w:rPr>
        <w:t> </w:t>
      </w:r>
      <w:r>
        <w:rPr>
          <w:color w:val="4D4D4F"/>
          <w:w w:val="115"/>
        </w:rPr>
        <w:t>to</w:t>
      </w:r>
      <w:r>
        <w:rPr>
          <w:color w:val="4D4D4F"/>
          <w:spacing w:val="-27"/>
          <w:w w:val="115"/>
        </w:rPr>
        <w:t> </w:t>
      </w:r>
      <w:r>
        <w:rPr>
          <w:color w:val="4D4D4F"/>
          <w:w w:val="115"/>
        </w:rPr>
        <w:t>someone</w:t>
      </w:r>
      <w:r>
        <w:rPr>
          <w:color w:val="4D4D4F"/>
          <w:spacing w:val="-27"/>
          <w:w w:val="115"/>
        </w:rPr>
        <w:t> </w:t>
      </w:r>
      <w:r>
        <w:rPr>
          <w:color w:val="4D4D4F"/>
          <w:w w:val="115"/>
        </w:rPr>
        <w:t>on</w:t>
      </w:r>
      <w:r>
        <w:rPr>
          <w:color w:val="4D4D4F"/>
          <w:spacing w:val="-27"/>
          <w:w w:val="115"/>
        </w:rPr>
        <w:t> </w:t>
      </w:r>
      <w:r>
        <w:rPr>
          <w:color w:val="4D4D4F"/>
          <w:w w:val="115"/>
        </w:rPr>
        <w:t>an</w:t>
      </w:r>
      <w:r>
        <w:rPr>
          <w:color w:val="4D4D4F"/>
          <w:spacing w:val="-27"/>
          <w:w w:val="115"/>
        </w:rPr>
        <w:t> </w:t>
      </w:r>
      <w:r>
        <w:rPr>
          <w:color w:val="4D4D4F"/>
          <w:w w:val="115"/>
        </w:rPr>
        <w:t>OTP</w:t>
      </w:r>
      <w:r>
        <w:rPr>
          <w:color w:val="4D4D4F"/>
          <w:spacing w:val="-27"/>
          <w:w w:val="115"/>
        </w:rPr>
        <w:t> </w:t>
      </w:r>
      <w:r>
        <w:rPr>
          <w:color w:val="4D4D4F"/>
          <w:w w:val="115"/>
        </w:rPr>
        <w:t>waiting</w:t>
      </w:r>
      <w:r>
        <w:rPr>
          <w:color w:val="4D4D4F"/>
          <w:spacing w:val="-27"/>
          <w:w w:val="115"/>
        </w:rPr>
        <w:t> </w:t>
      </w:r>
      <w:r>
        <w:rPr>
          <w:color w:val="4D4D4F"/>
          <w:w w:val="115"/>
        </w:rPr>
        <w:t>list.</w:t>
      </w:r>
      <w:r>
        <w:rPr>
          <w:color w:val="4D4D4F"/>
          <w:spacing w:val="-27"/>
          <w:w w:val="115"/>
        </w:rPr>
        <w:t> </w:t>
      </w:r>
      <w:r>
        <w:rPr>
          <w:color w:val="4D4D4F"/>
          <w:w w:val="115"/>
        </w:rPr>
        <w:t>Routine counseling and treatment planning are not required during this</w:t>
      </w:r>
      <w:r>
        <w:rPr>
          <w:color w:val="4D4D4F"/>
          <w:spacing w:val="-34"/>
          <w:w w:val="115"/>
        </w:rPr>
        <w:t> </w:t>
      </w:r>
      <w:r>
        <w:rPr>
          <w:color w:val="4D4D4F"/>
          <w:w w:val="115"/>
        </w:rPr>
        <w:t>period.</w:t>
      </w:r>
    </w:p>
    <w:p>
      <w:pPr>
        <w:spacing w:line="244" w:lineRule="auto" w:before="106"/>
        <w:ind w:left="140" w:right="697" w:firstLine="0"/>
        <w:jc w:val="left"/>
        <w:rPr>
          <w:sz w:val="22"/>
        </w:rPr>
      </w:pPr>
      <w:r>
        <w:rPr/>
        <w:br w:type="column"/>
      </w:r>
      <w:r>
        <w:rPr>
          <w:rFonts w:ascii="Calibri" w:hAnsi="Calibri"/>
          <w:b/>
          <w:color w:val="4D4D4F"/>
          <w:w w:val="110"/>
          <w:sz w:val="22"/>
        </w:rPr>
        <w:t>Interim methadone maintenance  has been shown to be more effective than a waiting list to facilitate entry into com- prehensive methadone treatment and to reduce illicit opioid use, </w:t>
      </w:r>
      <w:r>
        <w:rPr>
          <w:color w:val="4D4D4F"/>
          <w:w w:val="110"/>
          <w:sz w:val="22"/>
        </w:rPr>
        <w:t>according to two randomized trials.</w:t>
      </w:r>
      <w:r>
        <w:rPr>
          <w:color w:val="4D4D4F"/>
          <w:w w:val="110"/>
          <w:position w:val="7"/>
          <w:sz w:val="13"/>
        </w:rPr>
        <w:t>158,159 </w:t>
      </w:r>
      <w:r>
        <w:rPr>
          <w:color w:val="4D4D4F"/>
          <w:w w:val="110"/>
          <w:sz w:val="22"/>
        </w:rPr>
        <w:t>Interim methadone </w:t>
      </w:r>
      <w:r>
        <w:rPr>
          <w:rFonts w:ascii="Arial" w:hAnsi="Arial"/>
          <w:i/>
          <w:color w:val="4D4D4F"/>
          <w:w w:val="110"/>
          <w:sz w:val="22"/>
        </w:rPr>
        <w:t>requires </w:t>
      </w:r>
      <w:r>
        <w:rPr>
          <w:color w:val="4D4D4F"/>
          <w:w w:val="110"/>
          <w:sz w:val="22"/>
        </w:rPr>
        <w:t>approval by SAMHSA and the state opioid treatment authority. For more detailed information on interim methadone maintenance, see </w:t>
      </w:r>
      <w:r>
        <w:rPr>
          <w:color w:val="4D4D4F"/>
          <w:spacing w:val="-5"/>
          <w:w w:val="110"/>
          <w:sz w:val="22"/>
        </w:rPr>
        <w:t>SAMHSA’s </w:t>
      </w:r>
      <w:r>
        <w:rPr>
          <w:rFonts w:ascii="Arial" w:hAnsi="Arial"/>
          <w:i/>
          <w:color w:val="4D4D4F"/>
          <w:w w:val="110"/>
          <w:sz w:val="22"/>
        </w:rPr>
        <w:t>Federal </w:t>
      </w:r>
      <w:r>
        <w:rPr>
          <w:rFonts w:ascii="Arial" w:hAnsi="Arial"/>
          <w:i/>
          <w:color w:val="4D4D4F"/>
          <w:w w:val="105"/>
          <w:sz w:val="22"/>
        </w:rPr>
        <w:t>Guidelines for Opioid </w:t>
      </w:r>
      <w:r>
        <w:rPr>
          <w:rFonts w:ascii="Arial" w:hAnsi="Arial"/>
          <w:i/>
          <w:color w:val="4D4D4F"/>
          <w:spacing w:val="-3"/>
          <w:w w:val="105"/>
          <w:sz w:val="22"/>
        </w:rPr>
        <w:t>Treatment </w:t>
      </w:r>
      <w:r>
        <w:rPr>
          <w:rFonts w:ascii="Arial" w:hAnsi="Arial"/>
          <w:i/>
          <w:color w:val="4D4D4F"/>
          <w:w w:val="105"/>
          <w:sz w:val="22"/>
        </w:rPr>
        <w:t>Programs </w:t>
      </w:r>
      <w:r>
        <w:rPr>
          <w:color w:val="4D4D4F"/>
          <w:w w:val="110"/>
          <w:sz w:val="22"/>
        </w:rPr>
        <w:t>(</w:t>
      </w:r>
      <w:r>
        <w:rPr>
          <w:color w:val="205E9F"/>
          <w:w w:val="110"/>
          <w:sz w:val="22"/>
          <w:u w:val="single" w:color="205E9F"/>
        </w:rPr>
        <w:t>https://store.samhsa.gov/product/Federal-</w:t>
      </w:r>
      <w:r>
        <w:rPr>
          <w:color w:val="205E9F"/>
          <w:w w:val="110"/>
          <w:sz w:val="22"/>
        </w:rPr>
        <w:t> </w:t>
      </w:r>
      <w:r>
        <w:rPr>
          <w:color w:val="205E9F"/>
          <w:spacing w:val="-1"/>
          <w:w w:val="105"/>
          <w:sz w:val="22"/>
          <w:u w:val="single" w:color="205E9F"/>
        </w:rPr>
        <w:t>Guidelines-for-Opioid-Treatment-Programs/</w:t>
      </w:r>
      <w:r>
        <w:rPr>
          <w:color w:val="205E9F"/>
          <w:spacing w:val="-1"/>
          <w:w w:val="105"/>
          <w:sz w:val="22"/>
        </w:rPr>
        <w:t> </w:t>
      </w:r>
      <w:r>
        <w:rPr>
          <w:color w:val="205E9F"/>
          <w:w w:val="110"/>
          <w:sz w:val="22"/>
          <w:u w:val="single" w:color="205E9F"/>
        </w:rPr>
        <w:t>PEP15-FEDGUIDEOTP</w:t>
      </w:r>
      <w:r>
        <w:rPr>
          <w:color w:val="4D4D4F"/>
          <w:w w:val="110"/>
          <w:sz w:val="22"/>
        </w:rPr>
        <w:t>).</w:t>
      </w:r>
    </w:p>
    <w:p>
      <w:pPr>
        <w:spacing w:line="237" w:lineRule="auto" w:before="164"/>
        <w:ind w:left="140" w:right="549" w:firstLine="0"/>
        <w:jc w:val="left"/>
        <w:rPr>
          <w:sz w:val="22"/>
        </w:rPr>
      </w:pPr>
      <w:r>
        <w:rPr>
          <w:rFonts w:ascii="Calibri" w:hAnsi="Calibri"/>
          <w:b/>
          <w:color w:val="4D4D4F"/>
          <w:w w:val="115"/>
          <w:sz w:val="22"/>
        </w:rPr>
        <w:t>OTPs can overcome geographic barriers  by opening a medication unit of the</w:t>
      </w:r>
      <w:r>
        <w:rPr>
          <w:rFonts w:ascii="Calibri" w:hAnsi="Calibri"/>
          <w:b/>
          <w:color w:val="4D4D4F"/>
          <w:spacing w:val="-29"/>
          <w:w w:val="115"/>
          <w:sz w:val="22"/>
        </w:rPr>
        <w:t> </w:t>
      </w:r>
      <w:r>
        <w:rPr>
          <w:rFonts w:ascii="Calibri" w:hAnsi="Calibri"/>
          <w:b/>
          <w:color w:val="4D4D4F"/>
          <w:spacing w:val="-4"/>
          <w:w w:val="115"/>
          <w:sz w:val="22"/>
        </w:rPr>
        <w:t>parent </w:t>
      </w:r>
      <w:r>
        <w:rPr>
          <w:rFonts w:ascii="Calibri" w:hAnsi="Calibri"/>
          <w:b/>
          <w:color w:val="4D4D4F"/>
          <w:w w:val="115"/>
          <w:sz w:val="22"/>
        </w:rPr>
        <w:t>OTP</w:t>
      </w:r>
      <w:r>
        <w:rPr>
          <w:rFonts w:ascii="Calibri" w:hAnsi="Calibri"/>
          <w:b/>
          <w:color w:val="4D4D4F"/>
          <w:spacing w:val="-4"/>
          <w:w w:val="115"/>
          <w:sz w:val="22"/>
        </w:rPr>
        <w:t> </w:t>
      </w:r>
      <w:r>
        <w:rPr>
          <w:rFonts w:ascii="Calibri" w:hAnsi="Calibri"/>
          <w:b/>
          <w:color w:val="4D4D4F"/>
          <w:w w:val="115"/>
          <w:sz w:val="22"/>
        </w:rPr>
        <w:t>site.</w:t>
      </w:r>
      <w:r>
        <w:rPr>
          <w:rFonts w:ascii="Calibri" w:hAnsi="Calibri"/>
          <w:b/>
          <w:color w:val="4D4D4F"/>
          <w:spacing w:val="-4"/>
          <w:w w:val="115"/>
          <w:sz w:val="22"/>
        </w:rPr>
        <w:t> </w:t>
      </w:r>
      <w:r>
        <w:rPr>
          <w:color w:val="4D4D4F"/>
          <w:w w:val="115"/>
          <w:sz w:val="22"/>
        </w:rPr>
        <w:t>Under</w:t>
      </w:r>
      <w:r>
        <w:rPr>
          <w:color w:val="4D4D4F"/>
          <w:spacing w:val="-19"/>
          <w:w w:val="115"/>
          <w:sz w:val="22"/>
        </w:rPr>
        <w:t> </w:t>
      </w:r>
      <w:r>
        <w:rPr>
          <w:color w:val="4D4D4F"/>
          <w:w w:val="115"/>
          <w:sz w:val="22"/>
        </w:rPr>
        <w:t>the</w:t>
      </w:r>
      <w:r>
        <w:rPr>
          <w:color w:val="4D4D4F"/>
          <w:spacing w:val="-20"/>
          <w:w w:val="115"/>
          <w:sz w:val="22"/>
        </w:rPr>
        <w:t> </w:t>
      </w:r>
      <w:r>
        <w:rPr>
          <w:color w:val="4D4D4F"/>
          <w:w w:val="115"/>
          <w:sz w:val="22"/>
        </w:rPr>
        <w:t>aegis</w:t>
      </w:r>
      <w:r>
        <w:rPr>
          <w:color w:val="4D4D4F"/>
          <w:spacing w:val="-20"/>
          <w:w w:val="115"/>
          <w:sz w:val="22"/>
        </w:rPr>
        <w:t> </w:t>
      </w:r>
      <w:r>
        <w:rPr>
          <w:color w:val="4D4D4F"/>
          <w:w w:val="115"/>
          <w:sz w:val="22"/>
        </w:rPr>
        <w:t>of</w:t>
      </w:r>
      <w:r>
        <w:rPr>
          <w:color w:val="4D4D4F"/>
          <w:spacing w:val="-20"/>
          <w:w w:val="115"/>
          <w:sz w:val="22"/>
        </w:rPr>
        <w:t> </w:t>
      </w:r>
      <w:r>
        <w:rPr>
          <w:color w:val="4D4D4F"/>
          <w:w w:val="115"/>
          <w:sz w:val="22"/>
        </w:rPr>
        <w:t>a</w:t>
      </w:r>
      <w:r>
        <w:rPr>
          <w:color w:val="4D4D4F"/>
          <w:spacing w:val="-19"/>
          <w:w w:val="115"/>
          <w:sz w:val="22"/>
        </w:rPr>
        <w:t> </w:t>
      </w:r>
      <w:r>
        <w:rPr>
          <w:color w:val="4D4D4F"/>
          <w:w w:val="115"/>
          <w:sz w:val="22"/>
        </w:rPr>
        <w:t>certiﬁed</w:t>
      </w:r>
      <w:r>
        <w:rPr>
          <w:color w:val="4D4D4F"/>
          <w:spacing w:val="-20"/>
          <w:w w:val="115"/>
          <w:sz w:val="22"/>
        </w:rPr>
        <w:t> </w:t>
      </w:r>
      <w:r>
        <w:rPr>
          <w:color w:val="4D4D4F"/>
          <w:spacing w:val="-10"/>
          <w:w w:val="115"/>
          <w:sz w:val="22"/>
        </w:rPr>
        <w:t>OTP, </w:t>
      </w:r>
      <w:r>
        <w:rPr>
          <w:color w:val="4D4D4F"/>
          <w:w w:val="115"/>
          <w:sz w:val="22"/>
        </w:rPr>
        <w:t>a</w:t>
      </w:r>
      <w:r>
        <w:rPr>
          <w:color w:val="4D4D4F"/>
          <w:spacing w:val="-19"/>
          <w:w w:val="115"/>
          <w:sz w:val="22"/>
        </w:rPr>
        <w:t> </w:t>
      </w:r>
      <w:r>
        <w:rPr>
          <w:color w:val="4D4D4F"/>
          <w:w w:val="115"/>
          <w:sz w:val="22"/>
        </w:rPr>
        <w:t>medication</w:t>
      </w:r>
      <w:r>
        <w:rPr>
          <w:color w:val="4D4D4F"/>
          <w:spacing w:val="-18"/>
          <w:w w:val="115"/>
          <w:sz w:val="22"/>
        </w:rPr>
        <w:t> </w:t>
      </w:r>
      <w:r>
        <w:rPr>
          <w:color w:val="4D4D4F"/>
          <w:w w:val="115"/>
          <w:sz w:val="22"/>
        </w:rPr>
        <w:t>unit</w:t>
      </w:r>
      <w:r>
        <w:rPr>
          <w:color w:val="4D4D4F"/>
          <w:spacing w:val="-19"/>
          <w:w w:val="115"/>
          <w:sz w:val="22"/>
        </w:rPr>
        <w:t> </w:t>
      </w:r>
      <w:r>
        <w:rPr>
          <w:color w:val="4D4D4F"/>
          <w:w w:val="115"/>
          <w:sz w:val="22"/>
        </w:rPr>
        <w:t>may</w:t>
      </w:r>
      <w:r>
        <w:rPr>
          <w:color w:val="4D4D4F"/>
          <w:spacing w:val="-18"/>
          <w:w w:val="115"/>
          <w:sz w:val="22"/>
        </w:rPr>
        <w:t> </w:t>
      </w:r>
      <w:r>
        <w:rPr>
          <w:color w:val="4D4D4F"/>
          <w:w w:val="115"/>
          <w:sz w:val="22"/>
        </w:rPr>
        <w:t>provide</w:t>
      </w:r>
      <w:r>
        <w:rPr>
          <w:color w:val="4D4D4F"/>
          <w:spacing w:val="-19"/>
          <w:w w:val="115"/>
          <w:sz w:val="22"/>
        </w:rPr>
        <w:t> </w:t>
      </w:r>
      <w:r>
        <w:rPr>
          <w:color w:val="4D4D4F"/>
          <w:w w:val="115"/>
          <w:sz w:val="22"/>
        </w:rPr>
        <w:t>methadone</w:t>
      </w:r>
    </w:p>
    <w:p>
      <w:pPr>
        <w:pStyle w:val="BodyText"/>
        <w:spacing w:line="247" w:lineRule="auto" w:before="9"/>
        <w:ind w:left="140" w:right="101"/>
      </w:pPr>
      <w:r>
        <w:rPr>
          <w:color w:val="4D4D4F"/>
          <w:w w:val="110"/>
        </w:rPr>
        <w:t>or buprenorphine administration, dispensing capacity, and urine drug testing, but not coun- seling. The parent clinic must provide counseling and other required services. Such arrangements can lessen the amount of time required to drive to a parent OTP location in large states with </w:t>
      </w:r>
      <w:r>
        <w:rPr>
          <w:color w:val="4D4D4F"/>
          <w:spacing w:val="-4"/>
          <w:w w:val="110"/>
        </w:rPr>
        <w:t>rural </w:t>
      </w:r>
      <w:r>
        <w:rPr>
          <w:color w:val="4D4D4F"/>
          <w:w w:val="110"/>
        </w:rPr>
        <w:t>populations.</w:t>
      </w:r>
    </w:p>
    <w:p>
      <w:pPr>
        <w:spacing w:line="247" w:lineRule="auto" w:before="187"/>
        <w:ind w:left="140" w:right="338" w:firstLine="0"/>
        <w:jc w:val="left"/>
        <w:rPr>
          <w:sz w:val="22"/>
        </w:rPr>
      </w:pPr>
      <w:r>
        <w:rPr>
          <w:color w:val="4D4D4F"/>
          <w:w w:val="110"/>
          <w:sz w:val="22"/>
        </w:rPr>
        <w:t>SAMHSA’s </w:t>
      </w:r>
      <w:r>
        <w:rPr>
          <w:rFonts w:ascii="Arial" w:hAnsi="Arial"/>
          <w:i/>
          <w:color w:val="4D4D4F"/>
          <w:w w:val="110"/>
          <w:sz w:val="22"/>
        </w:rPr>
        <w:t>Federal Guidelines for Opioid </w:t>
      </w:r>
      <w:r>
        <w:rPr>
          <w:rFonts w:ascii="Arial" w:hAnsi="Arial"/>
          <w:i/>
          <w:color w:val="4D4D4F"/>
          <w:w w:val="110"/>
          <w:sz w:val="22"/>
        </w:rPr>
        <w:t>Treatment Programs </w:t>
      </w:r>
      <w:r>
        <w:rPr>
          <w:color w:val="4D4D4F"/>
          <w:w w:val="110"/>
          <w:sz w:val="22"/>
        </w:rPr>
        <w:t>offers more information on medication units and other OTP regulations (</w:t>
      </w:r>
      <w:r>
        <w:rPr>
          <w:color w:val="205E9F"/>
          <w:w w:val="110"/>
          <w:sz w:val="22"/>
          <w:u w:val="single" w:color="205E9F"/>
        </w:rPr>
        <w:t>https://store.samhsa.gov/product/Federal-</w:t>
      </w:r>
      <w:r>
        <w:rPr>
          <w:color w:val="205E9F"/>
          <w:w w:val="110"/>
          <w:sz w:val="22"/>
        </w:rPr>
        <w:t> </w:t>
      </w:r>
      <w:r>
        <w:rPr>
          <w:color w:val="205E9F"/>
          <w:w w:val="110"/>
          <w:sz w:val="22"/>
          <w:u w:val="single" w:color="205E9F"/>
        </w:rPr>
        <w:t>Guidelines-for-Opioid-Treatment-Programs/</w:t>
      </w:r>
      <w:r>
        <w:rPr>
          <w:color w:val="205E9F"/>
          <w:w w:val="110"/>
          <w:sz w:val="22"/>
        </w:rPr>
        <w:t> </w:t>
      </w:r>
      <w:r>
        <w:rPr>
          <w:color w:val="205E9F"/>
          <w:w w:val="110"/>
          <w:sz w:val="22"/>
          <w:u w:val="single" w:color="205E9F"/>
        </w:rPr>
        <w:t>PEP15-FEDGUIDEOTP</w:t>
      </w:r>
      <w:r>
        <w:rPr>
          <w:color w:val="4D4D4F"/>
          <w:w w:val="110"/>
          <w:sz w:val="22"/>
        </w:rPr>
        <w:t>)</w:t>
      </w:r>
    </w:p>
    <w:p>
      <w:pPr>
        <w:spacing w:after="0" w:line="247" w:lineRule="auto"/>
        <w:jc w:val="left"/>
        <w:rPr>
          <w:sz w:val="22"/>
        </w:rPr>
        <w:sectPr>
          <w:type w:val="continuous"/>
          <w:pgSz w:w="12240" w:h="15840"/>
          <w:pgMar w:top="540" w:bottom="280" w:left="940" w:right="920"/>
          <w:cols w:num="2" w:equalWidth="0">
            <w:col w:w="5040" w:space="180"/>
            <w:col w:w="5160"/>
          </w:cols>
        </w:sectPr>
      </w:pPr>
    </w:p>
    <w:p>
      <w:pPr>
        <w:pStyle w:val="BodyText"/>
        <w:spacing w:before="5"/>
        <w:rPr>
          <w:sz w:val="26"/>
        </w:rPr>
      </w:pPr>
    </w:p>
    <w:p>
      <w:pPr>
        <w:pStyle w:val="Heading2"/>
      </w:pPr>
      <w:bookmarkStart w:name="_TOC_250078" w:id="37"/>
      <w:bookmarkEnd w:id="37"/>
      <w:r>
        <w:rPr>
          <w:color w:val="137692"/>
          <w:w w:val="110"/>
        </w:rPr>
        <w:t>Chapter 3B Appendix</w:t>
      </w:r>
    </w:p>
    <w:p>
      <w:pPr>
        <w:pStyle w:val="Heading3"/>
        <w:spacing w:before="236"/>
      </w:pPr>
      <w:r>
        <w:rPr/>
        <w:pict>
          <v:rect style="position:absolute;margin-left:54pt;margin-top:41.389633pt;width:504.001pt;height:537.917pt;mso-position-horizontal-relative:page;mso-position-vertical-relative:paragraph;z-index:-19564032" filled="false" stroked="true" strokeweight=".5pt" strokecolor="#88aabd">
            <v:stroke dashstyle="solid"/>
            <w10:wrap type="none"/>
          </v:rect>
        </w:pict>
      </w:r>
      <w:bookmarkStart w:name="_TOC_250077" w:id="38"/>
      <w:bookmarkEnd w:id="38"/>
      <w:r>
        <w:rPr>
          <w:color w:val="137692"/>
          <w:w w:val="110"/>
        </w:rPr>
        <w:t>Sample Standard Consent to Opioid Maintenance Treatment Form for OTPs</w:t>
      </w:r>
    </w:p>
    <w:p>
      <w:pPr>
        <w:pStyle w:val="BodyText"/>
        <w:rPr>
          <w:rFonts w:ascii="Calibri"/>
          <w:b/>
          <w:sz w:val="30"/>
        </w:rPr>
      </w:pPr>
    </w:p>
    <w:p>
      <w:pPr>
        <w:pStyle w:val="BodyText"/>
        <w:spacing w:before="235"/>
        <w:ind w:left="505"/>
      </w:pPr>
      <w:r>
        <w:rPr>
          <w:color w:val="4D4D4F"/>
          <w:w w:val="105"/>
        </w:rPr>
        <w:t>CONSENT TO PARTICIPATE IN METHADONE OR BUPRENORPHINE TREATMENT</w:t>
      </w:r>
    </w:p>
    <w:p>
      <w:pPr>
        <w:pStyle w:val="BodyText"/>
        <w:spacing w:before="6"/>
        <w:rPr>
          <w:sz w:val="14"/>
        </w:rPr>
      </w:pPr>
    </w:p>
    <w:p>
      <w:pPr>
        <w:tabs>
          <w:tab w:pos="7350" w:val="left" w:leader="none"/>
          <w:tab w:pos="7785" w:val="left" w:leader="none"/>
          <w:tab w:pos="9854" w:val="left" w:leader="none"/>
        </w:tabs>
        <w:spacing w:before="101"/>
        <w:ind w:left="505" w:right="0" w:firstLine="0"/>
        <w:jc w:val="left"/>
        <w:rPr>
          <w:rFonts w:ascii="Calibri" w:hAnsi="Calibri"/>
          <w:b/>
          <w:sz w:val="20"/>
        </w:rPr>
      </w:pPr>
      <w:r>
        <w:rPr>
          <w:rFonts w:ascii="Calibri" w:hAnsi="Calibri"/>
          <w:b/>
          <w:color w:val="4D4D4F"/>
          <w:w w:val="115"/>
          <w:sz w:val="20"/>
        </w:rPr>
        <w:t>Patient’s</w:t>
      </w:r>
      <w:r>
        <w:rPr>
          <w:rFonts w:ascii="Calibri" w:hAnsi="Calibri"/>
          <w:b/>
          <w:color w:val="4D4D4F"/>
          <w:spacing w:val="-8"/>
          <w:w w:val="115"/>
          <w:sz w:val="20"/>
        </w:rPr>
        <w:t> </w:t>
      </w:r>
      <w:r>
        <w:rPr>
          <w:rFonts w:ascii="Calibri" w:hAnsi="Calibri"/>
          <w:b/>
          <w:color w:val="4D4D4F"/>
          <w:w w:val="115"/>
          <w:sz w:val="20"/>
        </w:rPr>
        <w:t>Name:</w:t>
      </w:r>
      <w:r>
        <w:rPr>
          <w:rFonts w:ascii="Calibri" w:hAnsi="Calibri"/>
          <w:b/>
          <w:color w:val="4D4D4F"/>
          <w:w w:val="115"/>
          <w:sz w:val="20"/>
          <w:u w:val="single" w:color="7F8184"/>
        </w:rPr>
        <w:t> </w:t>
        <w:tab/>
      </w:r>
      <w:r>
        <w:rPr>
          <w:rFonts w:ascii="Calibri" w:hAnsi="Calibri"/>
          <w:b/>
          <w:color w:val="4D4D4F"/>
          <w:w w:val="115"/>
          <w:sz w:val="20"/>
        </w:rPr>
        <w:tab/>
        <w:t>Date:</w:t>
      </w:r>
      <w:r>
        <w:rPr>
          <w:rFonts w:ascii="Calibri" w:hAnsi="Calibri"/>
          <w:b/>
          <w:color w:val="4D4D4F"/>
          <w:spacing w:val="9"/>
          <w:sz w:val="20"/>
        </w:rPr>
        <w:t> </w:t>
      </w:r>
      <w:r>
        <w:rPr>
          <w:rFonts w:ascii="Calibri" w:hAnsi="Calibri"/>
          <w:b/>
          <w:color w:val="4D4D4F"/>
          <w:w w:val="130"/>
          <w:sz w:val="20"/>
          <w:u w:val="single" w:color="7F8184"/>
        </w:rPr>
        <w:t> </w:t>
      </w:r>
      <w:r>
        <w:rPr>
          <w:rFonts w:ascii="Calibri" w:hAnsi="Calibri"/>
          <w:b/>
          <w:color w:val="4D4D4F"/>
          <w:sz w:val="20"/>
          <w:u w:val="single" w:color="7F8184"/>
        </w:rPr>
        <w:tab/>
      </w:r>
    </w:p>
    <w:p>
      <w:pPr>
        <w:tabs>
          <w:tab w:pos="7515" w:val="left" w:leader="none"/>
        </w:tabs>
        <w:spacing w:line="247" w:lineRule="auto" w:before="180"/>
        <w:ind w:left="505" w:right="595" w:firstLine="0"/>
        <w:jc w:val="left"/>
        <w:rPr>
          <w:sz w:val="20"/>
        </w:rPr>
      </w:pPr>
      <w:r>
        <w:rPr>
          <w:color w:val="4D4D4F"/>
          <w:w w:val="110"/>
          <w:sz w:val="20"/>
        </w:rPr>
        <w:t>I authorize and give voluntary</w:t>
      </w:r>
      <w:r>
        <w:rPr>
          <w:color w:val="4D4D4F"/>
          <w:spacing w:val="-8"/>
          <w:w w:val="110"/>
          <w:sz w:val="20"/>
        </w:rPr>
        <w:t> </w:t>
      </w:r>
      <w:r>
        <w:rPr>
          <w:color w:val="4D4D4F"/>
          <w:w w:val="110"/>
          <w:sz w:val="20"/>
        </w:rPr>
        <w:t>consent</w:t>
      </w:r>
      <w:r>
        <w:rPr>
          <w:color w:val="4D4D4F"/>
          <w:spacing w:val="-1"/>
          <w:w w:val="110"/>
          <w:sz w:val="20"/>
        </w:rPr>
        <w:t> </w:t>
      </w:r>
      <w:r>
        <w:rPr>
          <w:color w:val="4D4D4F"/>
          <w:w w:val="110"/>
          <w:sz w:val="20"/>
        </w:rPr>
        <w:t>to</w:t>
      </w:r>
      <w:r>
        <w:rPr>
          <w:color w:val="4D4D4F"/>
          <w:w w:val="110"/>
          <w:sz w:val="20"/>
          <w:u w:val="single" w:color="7F8184"/>
        </w:rPr>
        <w:t> </w:t>
        <w:tab/>
      </w:r>
      <w:r>
        <w:rPr>
          <w:color w:val="4D4D4F"/>
          <w:w w:val="110"/>
          <w:sz w:val="20"/>
        </w:rPr>
        <w:t>[insert name of</w:t>
      </w:r>
      <w:r>
        <w:rPr>
          <w:color w:val="4D4D4F"/>
          <w:spacing w:val="-22"/>
          <w:w w:val="110"/>
          <w:sz w:val="20"/>
        </w:rPr>
        <w:t> </w:t>
      </w:r>
      <w:r>
        <w:rPr>
          <w:color w:val="4D4D4F"/>
          <w:spacing w:val="-4"/>
          <w:w w:val="110"/>
          <w:sz w:val="20"/>
        </w:rPr>
        <w:t>program] </w:t>
      </w:r>
      <w:r>
        <w:rPr>
          <w:color w:val="4D4D4F"/>
          <w:w w:val="110"/>
          <w:sz w:val="20"/>
        </w:rPr>
        <w:t>to dispense and administer medications—including methadone or buprenorphine—to treat my opioid use </w:t>
      </w:r>
      <w:r>
        <w:rPr>
          <w:color w:val="4D4D4F"/>
          <w:spacing w:val="-3"/>
          <w:w w:val="110"/>
          <w:sz w:val="20"/>
        </w:rPr>
        <w:t>disorder. Treatment </w:t>
      </w:r>
      <w:r>
        <w:rPr>
          <w:color w:val="4D4D4F"/>
          <w:w w:val="110"/>
          <w:sz w:val="20"/>
        </w:rPr>
        <w:t>procedures have been explained to me, and I understand that I should take my medication at the schedule determined by the program physician, or his/her designee, in accordance with federal and state</w:t>
      </w:r>
      <w:r>
        <w:rPr>
          <w:color w:val="4D4D4F"/>
          <w:spacing w:val="-20"/>
          <w:w w:val="110"/>
          <w:sz w:val="20"/>
        </w:rPr>
        <w:t> </w:t>
      </w:r>
      <w:r>
        <w:rPr>
          <w:color w:val="4D4D4F"/>
          <w:w w:val="110"/>
          <w:sz w:val="20"/>
        </w:rPr>
        <w:t>regulations.</w:t>
      </w:r>
    </w:p>
    <w:p>
      <w:pPr>
        <w:spacing w:line="247" w:lineRule="auto" w:before="186"/>
        <w:ind w:left="505" w:right="613" w:firstLine="0"/>
        <w:jc w:val="left"/>
        <w:rPr>
          <w:sz w:val="20"/>
        </w:rPr>
      </w:pPr>
      <w:r>
        <w:rPr>
          <w:color w:val="4D4D4F"/>
          <w:w w:val="110"/>
          <w:sz w:val="20"/>
        </w:rPr>
        <w:t>I understand that, like all other medications, methadone or buprenorphine can be harmful if not taken as prescribed. It has been explained to me that I must safeguard these medications and not share them with anyone because they can be fatal to children and adults if taken without medical supervision.</w:t>
      </w:r>
    </w:p>
    <w:p>
      <w:pPr>
        <w:spacing w:before="183"/>
        <w:ind w:left="505" w:right="0" w:firstLine="0"/>
        <w:jc w:val="left"/>
        <w:rPr>
          <w:sz w:val="20"/>
        </w:rPr>
      </w:pPr>
      <w:r>
        <w:rPr>
          <w:color w:val="4D4D4F"/>
          <w:w w:val="110"/>
          <w:sz w:val="20"/>
        </w:rPr>
        <w:t>I also understand that methadone and buprenorphine produce physical opioid dependence.</w:t>
      </w:r>
    </w:p>
    <w:p>
      <w:pPr>
        <w:spacing w:line="247" w:lineRule="auto" w:before="188"/>
        <w:ind w:left="505" w:right="728" w:firstLine="0"/>
        <w:jc w:val="left"/>
        <w:rPr>
          <w:sz w:val="20"/>
        </w:rPr>
      </w:pPr>
      <w:r>
        <w:rPr>
          <w:color w:val="4D4D4F"/>
          <w:w w:val="115"/>
          <w:sz w:val="20"/>
        </w:rPr>
        <w:t>Like</w:t>
      </w:r>
      <w:r>
        <w:rPr>
          <w:color w:val="4D4D4F"/>
          <w:spacing w:val="-19"/>
          <w:w w:val="115"/>
          <w:sz w:val="20"/>
        </w:rPr>
        <w:t> </w:t>
      </w:r>
      <w:r>
        <w:rPr>
          <w:color w:val="4D4D4F"/>
          <w:w w:val="115"/>
          <w:sz w:val="20"/>
        </w:rPr>
        <w:t>all</w:t>
      </w:r>
      <w:r>
        <w:rPr>
          <w:color w:val="4D4D4F"/>
          <w:spacing w:val="-19"/>
          <w:w w:val="115"/>
          <w:sz w:val="20"/>
        </w:rPr>
        <w:t> </w:t>
      </w:r>
      <w:r>
        <w:rPr>
          <w:color w:val="4D4D4F"/>
          <w:w w:val="115"/>
          <w:sz w:val="20"/>
        </w:rPr>
        <w:t>medications,</w:t>
      </w:r>
      <w:r>
        <w:rPr>
          <w:color w:val="4D4D4F"/>
          <w:spacing w:val="-18"/>
          <w:w w:val="115"/>
          <w:sz w:val="20"/>
        </w:rPr>
        <w:t> </w:t>
      </w:r>
      <w:r>
        <w:rPr>
          <w:color w:val="4D4D4F"/>
          <w:w w:val="115"/>
          <w:sz w:val="20"/>
        </w:rPr>
        <w:t>they</w:t>
      </w:r>
      <w:r>
        <w:rPr>
          <w:color w:val="4D4D4F"/>
          <w:spacing w:val="-19"/>
          <w:w w:val="115"/>
          <w:sz w:val="20"/>
        </w:rPr>
        <w:t> </w:t>
      </w:r>
      <w:r>
        <w:rPr>
          <w:color w:val="4D4D4F"/>
          <w:w w:val="115"/>
          <w:sz w:val="20"/>
        </w:rPr>
        <w:t>may</w:t>
      </w:r>
      <w:r>
        <w:rPr>
          <w:color w:val="4D4D4F"/>
          <w:spacing w:val="-19"/>
          <w:w w:val="115"/>
          <w:sz w:val="20"/>
        </w:rPr>
        <w:t> </w:t>
      </w:r>
      <w:r>
        <w:rPr>
          <w:color w:val="4D4D4F"/>
          <w:w w:val="115"/>
          <w:sz w:val="20"/>
        </w:rPr>
        <w:t>have</w:t>
      </w:r>
      <w:r>
        <w:rPr>
          <w:color w:val="4D4D4F"/>
          <w:spacing w:val="-18"/>
          <w:w w:val="115"/>
          <w:sz w:val="20"/>
        </w:rPr>
        <w:t> </w:t>
      </w:r>
      <w:r>
        <w:rPr>
          <w:color w:val="4D4D4F"/>
          <w:w w:val="115"/>
          <w:sz w:val="20"/>
        </w:rPr>
        <w:t>side</w:t>
      </w:r>
      <w:r>
        <w:rPr>
          <w:color w:val="4D4D4F"/>
          <w:spacing w:val="-19"/>
          <w:w w:val="115"/>
          <w:sz w:val="20"/>
        </w:rPr>
        <w:t> </w:t>
      </w:r>
      <w:r>
        <w:rPr>
          <w:color w:val="4D4D4F"/>
          <w:w w:val="115"/>
          <w:sz w:val="20"/>
        </w:rPr>
        <w:t>effects.</w:t>
      </w:r>
      <w:r>
        <w:rPr>
          <w:color w:val="4D4D4F"/>
          <w:spacing w:val="-19"/>
          <w:w w:val="115"/>
          <w:sz w:val="20"/>
        </w:rPr>
        <w:t> </w:t>
      </w:r>
      <w:r>
        <w:rPr>
          <w:color w:val="4D4D4F"/>
          <w:w w:val="115"/>
          <w:sz w:val="20"/>
        </w:rPr>
        <w:t>Possible</w:t>
      </w:r>
      <w:r>
        <w:rPr>
          <w:color w:val="4D4D4F"/>
          <w:spacing w:val="-18"/>
          <w:w w:val="115"/>
          <w:sz w:val="20"/>
        </w:rPr>
        <w:t> </w:t>
      </w:r>
      <w:r>
        <w:rPr>
          <w:color w:val="4D4D4F"/>
          <w:w w:val="115"/>
          <w:sz w:val="20"/>
        </w:rPr>
        <w:t>side</w:t>
      </w:r>
      <w:r>
        <w:rPr>
          <w:color w:val="4D4D4F"/>
          <w:spacing w:val="-19"/>
          <w:w w:val="115"/>
          <w:sz w:val="20"/>
        </w:rPr>
        <w:t> </w:t>
      </w:r>
      <w:r>
        <w:rPr>
          <w:color w:val="4D4D4F"/>
          <w:w w:val="115"/>
          <w:sz w:val="20"/>
        </w:rPr>
        <w:t>effects,</w:t>
      </w:r>
      <w:r>
        <w:rPr>
          <w:color w:val="4D4D4F"/>
          <w:spacing w:val="-18"/>
          <w:w w:val="115"/>
          <w:sz w:val="20"/>
        </w:rPr>
        <w:t> </w:t>
      </w:r>
      <w:r>
        <w:rPr>
          <w:color w:val="4D4D4F"/>
          <w:w w:val="115"/>
          <w:sz w:val="20"/>
        </w:rPr>
        <w:t>as</w:t>
      </w:r>
      <w:r>
        <w:rPr>
          <w:color w:val="4D4D4F"/>
          <w:spacing w:val="-19"/>
          <w:w w:val="115"/>
          <w:sz w:val="20"/>
        </w:rPr>
        <w:t> </w:t>
      </w:r>
      <w:r>
        <w:rPr>
          <w:color w:val="4D4D4F"/>
          <w:w w:val="115"/>
          <w:sz w:val="20"/>
        </w:rPr>
        <w:t>well</w:t>
      </w:r>
      <w:r>
        <w:rPr>
          <w:color w:val="4D4D4F"/>
          <w:spacing w:val="-19"/>
          <w:w w:val="115"/>
          <w:sz w:val="20"/>
        </w:rPr>
        <w:t> </w:t>
      </w:r>
      <w:r>
        <w:rPr>
          <w:color w:val="4D4D4F"/>
          <w:w w:val="115"/>
          <w:sz w:val="20"/>
        </w:rPr>
        <w:t>as</w:t>
      </w:r>
      <w:r>
        <w:rPr>
          <w:color w:val="4D4D4F"/>
          <w:spacing w:val="-18"/>
          <w:w w:val="115"/>
          <w:sz w:val="20"/>
        </w:rPr>
        <w:t> </w:t>
      </w:r>
      <w:r>
        <w:rPr>
          <w:color w:val="4D4D4F"/>
          <w:w w:val="115"/>
          <w:sz w:val="20"/>
        </w:rPr>
        <w:t>alternative</w:t>
      </w:r>
      <w:r>
        <w:rPr>
          <w:color w:val="4D4D4F"/>
          <w:spacing w:val="-19"/>
          <w:w w:val="115"/>
          <w:sz w:val="20"/>
        </w:rPr>
        <w:t> </w:t>
      </w:r>
      <w:r>
        <w:rPr>
          <w:color w:val="4D4D4F"/>
          <w:spacing w:val="-3"/>
          <w:w w:val="115"/>
          <w:sz w:val="20"/>
        </w:rPr>
        <w:t>treatments </w:t>
      </w:r>
      <w:r>
        <w:rPr>
          <w:color w:val="4D4D4F"/>
          <w:w w:val="115"/>
          <w:sz w:val="20"/>
        </w:rPr>
        <w:t>and</w:t>
      </w:r>
      <w:r>
        <w:rPr>
          <w:color w:val="4D4D4F"/>
          <w:spacing w:val="-10"/>
          <w:w w:val="115"/>
          <w:sz w:val="20"/>
        </w:rPr>
        <w:t> </w:t>
      </w:r>
      <w:r>
        <w:rPr>
          <w:color w:val="4D4D4F"/>
          <w:w w:val="115"/>
          <w:sz w:val="20"/>
        </w:rPr>
        <w:t>their</w:t>
      </w:r>
      <w:r>
        <w:rPr>
          <w:color w:val="4D4D4F"/>
          <w:spacing w:val="-9"/>
          <w:w w:val="115"/>
          <w:sz w:val="20"/>
        </w:rPr>
        <w:t> </w:t>
      </w:r>
      <w:r>
        <w:rPr>
          <w:color w:val="4D4D4F"/>
          <w:w w:val="115"/>
          <w:sz w:val="20"/>
        </w:rPr>
        <w:t>risks</w:t>
      </w:r>
      <w:r>
        <w:rPr>
          <w:color w:val="4D4D4F"/>
          <w:spacing w:val="-9"/>
          <w:w w:val="115"/>
          <w:sz w:val="20"/>
        </w:rPr>
        <w:t> </w:t>
      </w:r>
      <w:r>
        <w:rPr>
          <w:color w:val="4D4D4F"/>
          <w:w w:val="115"/>
          <w:sz w:val="20"/>
        </w:rPr>
        <w:t>and</w:t>
      </w:r>
      <w:r>
        <w:rPr>
          <w:color w:val="4D4D4F"/>
          <w:spacing w:val="-10"/>
          <w:w w:val="115"/>
          <w:sz w:val="20"/>
        </w:rPr>
        <w:t> </w:t>
      </w:r>
      <w:r>
        <w:rPr>
          <w:color w:val="4D4D4F"/>
          <w:w w:val="115"/>
          <w:sz w:val="20"/>
        </w:rPr>
        <w:t>beneﬁts,</w:t>
      </w:r>
      <w:r>
        <w:rPr>
          <w:color w:val="4D4D4F"/>
          <w:spacing w:val="-9"/>
          <w:w w:val="115"/>
          <w:sz w:val="20"/>
        </w:rPr>
        <w:t> </w:t>
      </w:r>
      <w:r>
        <w:rPr>
          <w:color w:val="4D4D4F"/>
          <w:w w:val="115"/>
          <w:sz w:val="20"/>
        </w:rPr>
        <w:t>have</w:t>
      </w:r>
      <w:r>
        <w:rPr>
          <w:color w:val="4D4D4F"/>
          <w:spacing w:val="-9"/>
          <w:w w:val="115"/>
          <w:sz w:val="20"/>
        </w:rPr>
        <w:t> </w:t>
      </w:r>
      <w:r>
        <w:rPr>
          <w:color w:val="4D4D4F"/>
          <w:w w:val="115"/>
          <w:sz w:val="20"/>
        </w:rPr>
        <w:t>been</w:t>
      </w:r>
      <w:r>
        <w:rPr>
          <w:color w:val="4D4D4F"/>
          <w:spacing w:val="-10"/>
          <w:w w:val="115"/>
          <w:sz w:val="20"/>
        </w:rPr>
        <w:t> </w:t>
      </w:r>
      <w:r>
        <w:rPr>
          <w:color w:val="4D4D4F"/>
          <w:w w:val="115"/>
          <w:sz w:val="20"/>
        </w:rPr>
        <w:t>explained</w:t>
      </w:r>
      <w:r>
        <w:rPr>
          <w:color w:val="4D4D4F"/>
          <w:spacing w:val="-9"/>
          <w:w w:val="115"/>
          <w:sz w:val="20"/>
        </w:rPr>
        <w:t> </w:t>
      </w:r>
      <w:r>
        <w:rPr>
          <w:color w:val="4D4D4F"/>
          <w:w w:val="115"/>
          <w:sz w:val="20"/>
        </w:rPr>
        <w:t>to</w:t>
      </w:r>
      <w:r>
        <w:rPr>
          <w:color w:val="4D4D4F"/>
          <w:spacing w:val="-9"/>
          <w:w w:val="115"/>
          <w:sz w:val="20"/>
        </w:rPr>
        <w:t> </w:t>
      </w:r>
      <w:r>
        <w:rPr>
          <w:color w:val="4D4D4F"/>
          <w:w w:val="115"/>
          <w:sz w:val="20"/>
        </w:rPr>
        <w:t>me.</w:t>
      </w:r>
    </w:p>
    <w:p>
      <w:pPr>
        <w:spacing w:line="247" w:lineRule="auto" w:before="182"/>
        <w:ind w:left="505" w:right="595" w:firstLine="0"/>
        <w:jc w:val="left"/>
        <w:rPr>
          <w:sz w:val="20"/>
        </w:rPr>
      </w:pPr>
      <w:r>
        <w:rPr>
          <w:color w:val="4D4D4F"/>
          <w:w w:val="110"/>
          <w:sz w:val="20"/>
        </w:rPr>
        <w:t>I understand that it is important for me to inform any medical and psychiatric provider who may treat me that I am enrolled in an opioid treatment program. In this way, the provider will be aware of all the medications I am taking, can provide the best possible care, and can avoid prescribing medications that might affect my treatment with methadone or buprenorphine or my recovery.</w:t>
      </w:r>
    </w:p>
    <w:p>
      <w:pPr>
        <w:spacing w:line="247" w:lineRule="auto" w:before="185"/>
        <w:ind w:left="505" w:right="487" w:firstLine="0"/>
        <w:jc w:val="left"/>
        <w:rPr>
          <w:sz w:val="20"/>
        </w:rPr>
      </w:pPr>
      <w:r>
        <w:rPr>
          <w:color w:val="4D4D4F"/>
          <w:w w:val="110"/>
          <w:sz w:val="20"/>
        </w:rPr>
        <w:t>I understand that I may withdraw voluntarily from this treatment program and discontinue the use of these medications at any time. If I choose this option, I understand I will be offered medically supervised withdrawal.</w:t>
      </w:r>
    </w:p>
    <w:p>
      <w:pPr>
        <w:spacing w:line="247" w:lineRule="auto" w:before="181"/>
        <w:ind w:left="505" w:right="523" w:firstLine="0"/>
        <w:jc w:val="left"/>
        <w:rPr>
          <w:sz w:val="20"/>
        </w:rPr>
      </w:pPr>
      <w:r>
        <w:rPr>
          <w:rFonts w:ascii="Arial"/>
          <w:i/>
          <w:color w:val="4D4D4F"/>
          <w:w w:val="110"/>
          <w:sz w:val="20"/>
        </w:rPr>
        <w:t>For women of childbearing age: </w:t>
      </w:r>
      <w:r>
        <w:rPr>
          <w:color w:val="4D4D4F"/>
          <w:w w:val="110"/>
          <w:sz w:val="20"/>
        </w:rPr>
        <w:t>Pregnant women treated with methadone or sublingual or buccal buprenorphine</w:t>
      </w:r>
      <w:r>
        <w:rPr>
          <w:color w:val="4D4D4F"/>
          <w:spacing w:val="-4"/>
          <w:w w:val="110"/>
          <w:sz w:val="20"/>
        </w:rPr>
        <w:t> </w:t>
      </w:r>
      <w:r>
        <w:rPr>
          <w:color w:val="4D4D4F"/>
          <w:w w:val="110"/>
          <w:sz w:val="20"/>
        </w:rPr>
        <w:t>have</w:t>
      </w:r>
      <w:r>
        <w:rPr>
          <w:color w:val="4D4D4F"/>
          <w:spacing w:val="-3"/>
          <w:w w:val="110"/>
          <w:sz w:val="20"/>
        </w:rPr>
        <w:t> </w:t>
      </w:r>
      <w:r>
        <w:rPr>
          <w:color w:val="4D4D4F"/>
          <w:w w:val="110"/>
          <w:sz w:val="20"/>
        </w:rPr>
        <w:t>better</w:t>
      </w:r>
      <w:r>
        <w:rPr>
          <w:color w:val="4D4D4F"/>
          <w:spacing w:val="-3"/>
          <w:w w:val="110"/>
          <w:sz w:val="20"/>
        </w:rPr>
        <w:t> </w:t>
      </w:r>
      <w:r>
        <w:rPr>
          <w:color w:val="4D4D4F"/>
          <w:w w:val="110"/>
          <w:sz w:val="20"/>
        </w:rPr>
        <w:t>outcomes</w:t>
      </w:r>
      <w:r>
        <w:rPr>
          <w:color w:val="4D4D4F"/>
          <w:spacing w:val="-9"/>
          <w:w w:val="110"/>
          <w:sz w:val="20"/>
        </w:rPr>
        <w:t> </w:t>
      </w:r>
      <w:r>
        <w:rPr>
          <w:color w:val="4D4D4F"/>
          <w:w w:val="110"/>
          <w:sz w:val="20"/>
        </w:rPr>
        <w:t>than</w:t>
      </w:r>
      <w:r>
        <w:rPr>
          <w:color w:val="4D4D4F"/>
          <w:spacing w:val="-8"/>
          <w:w w:val="110"/>
          <w:sz w:val="20"/>
        </w:rPr>
        <w:t> </w:t>
      </w:r>
      <w:r>
        <w:rPr>
          <w:color w:val="4D4D4F"/>
          <w:spacing w:val="-3"/>
          <w:w w:val="110"/>
          <w:sz w:val="20"/>
        </w:rPr>
        <w:t>pregnant</w:t>
      </w:r>
      <w:r>
        <w:rPr>
          <w:color w:val="4D4D4F"/>
          <w:spacing w:val="-9"/>
          <w:w w:val="110"/>
          <w:sz w:val="20"/>
        </w:rPr>
        <w:t> </w:t>
      </w:r>
      <w:r>
        <w:rPr>
          <w:color w:val="4D4D4F"/>
          <w:w w:val="110"/>
          <w:sz w:val="20"/>
        </w:rPr>
        <w:t>women</w:t>
      </w:r>
      <w:r>
        <w:rPr>
          <w:color w:val="4D4D4F"/>
          <w:spacing w:val="-8"/>
          <w:w w:val="110"/>
          <w:sz w:val="20"/>
        </w:rPr>
        <w:t> </w:t>
      </w:r>
      <w:r>
        <w:rPr>
          <w:color w:val="4D4D4F"/>
          <w:w w:val="110"/>
          <w:sz w:val="20"/>
        </w:rPr>
        <w:t>not</w:t>
      </w:r>
      <w:r>
        <w:rPr>
          <w:color w:val="4D4D4F"/>
          <w:spacing w:val="-8"/>
          <w:w w:val="110"/>
          <w:sz w:val="20"/>
        </w:rPr>
        <w:t> </w:t>
      </w:r>
      <w:r>
        <w:rPr>
          <w:color w:val="4D4D4F"/>
          <w:w w:val="110"/>
          <w:sz w:val="20"/>
        </w:rPr>
        <w:t>in</w:t>
      </w:r>
      <w:r>
        <w:rPr>
          <w:color w:val="4D4D4F"/>
          <w:spacing w:val="-9"/>
          <w:w w:val="110"/>
          <w:sz w:val="20"/>
        </w:rPr>
        <w:t> </w:t>
      </w:r>
      <w:r>
        <w:rPr>
          <w:color w:val="4D4D4F"/>
          <w:spacing w:val="-3"/>
          <w:w w:val="110"/>
          <w:sz w:val="20"/>
        </w:rPr>
        <w:t>treatment</w:t>
      </w:r>
      <w:r>
        <w:rPr>
          <w:color w:val="4D4D4F"/>
          <w:spacing w:val="-8"/>
          <w:w w:val="110"/>
          <w:sz w:val="20"/>
        </w:rPr>
        <w:t> </w:t>
      </w:r>
      <w:r>
        <w:rPr>
          <w:color w:val="4D4D4F"/>
          <w:w w:val="110"/>
          <w:sz w:val="20"/>
        </w:rPr>
        <w:t>who</w:t>
      </w:r>
      <w:r>
        <w:rPr>
          <w:color w:val="4D4D4F"/>
          <w:spacing w:val="-9"/>
          <w:w w:val="110"/>
          <w:sz w:val="20"/>
        </w:rPr>
        <w:t> </w:t>
      </w:r>
      <w:r>
        <w:rPr>
          <w:color w:val="4D4D4F"/>
          <w:w w:val="110"/>
          <w:sz w:val="20"/>
        </w:rPr>
        <w:t>continue</w:t>
      </w:r>
      <w:r>
        <w:rPr>
          <w:color w:val="4D4D4F"/>
          <w:spacing w:val="-8"/>
          <w:w w:val="110"/>
          <w:sz w:val="20"/>
        </w:rPr>
        <w:t> </w:t>
      </w:r>
      <w:r>
        <w:rPr>
          <w:color w:val="4D4D4F"/>
          <w:w w:val="110"/>
          <w:sz w:val="20"/>
        </w:rPr>
        <w:t>to</w:t>
      </w:r>
      <w:r>
        <w:rPr>
          <w:color w:val="4D4D4F"/>
          <w:spacing w:val="-8"/>
          <w:w w:val="110"/>
          <w:sz w:val="20"/>
        </w:rPr>
        <w:t> </w:t>
      </w:r>
      <w:r>
        <w:rPr>
          <w:color w:val="4D4D4F"/>
          <w:w w:val="110"/>
          <w:sz w:val="20"/>
        </w:rPr>
        <w:t>use</w:t>
      </w:r>
      <w:r>
        <w:rPr>
          <w:color w:val="4D4D4F"/>
          <w:spacing w:val="-9"/>
          <w:w w:val="110"/>
          <w:sz w:val="20"/>
        </w:rPr>
        <w:t> </w:t>
      </w:r>
      <w:r>
        <w:rPr>
          <w:color w:val="4D4D4F"/>
          <w:spacing w:val="-2"/>
          <w:w w:val="110"/>
          <w:sz w:val="20"/>
        </w:rPr>
        <w:t>opioid </w:t>
      </w:r>
      <w:r>
        <w:rPr>
          <w:color w:val="4D4D4F"/>
          <w:w w:val="110"/>
          <w:sz w:val="20"/>
        </w:rPr>
        <w:t>drugs.</w:t>
      </w:r>
      <w:r>
        <w:rPr>
          <w:color w:val="4D4D4F"/>
          <w:spacing w:val="-12"/>
          <w:w w:val="110"/>
          <w:sz w:val="20"/>
        </w:rPr>
        <w:t> </w:t>
      </w:r>
      <w:r>
        <w:rPr>
          <w:color w:val="4D4D4F"/>
          <w:w w:val="110"/>
          <w:sz w:val="20"/>
        </w:rPr>
        <w:t>Newborns</w:t>
      </w:r>
      <w:r>
        <w:rPr>
          <w:color w:val="4D4D4F"/>
          <w:spacing w:val="-10"/>
          <w:w w:val="110"/>
          <w:sz w:val="20"/>
        </w:rPr>
        <w:t> </w:t>
      </w:r>
      <w:r>
        <w:rPr>
          <w:color w:val="4D4D4F"/>
          <w:w w:val="110"/>
          <w:sz w:val="20"/>
        </w:rPr>
        <w:t>of</w:t>
      </w:r>
      <w:r>
        <w:rPr>
          <w:color w:val="4D4D4F"/>
          <w:spacing w:val="-10"/>
          <w:w w:val="110"/>
          <w:sz w:val="20"/>
        </w:rPr>
        <w:t> </w:t>
      </w:r>
      <w:r>
        <w:rPr>
          <w:color w:val="4D4D4F"/>
          <w:w w:val="110"/>
          <w:sz w:val="20"/>
        </w:rPr>
        <w:t>mothers</w:t>
      </w:r>
      <w:r>
        <w:rPr>
          <w:color w:val="4D4D4F"/>
          <w:spacing w:val="-11"/>
          <w:w w:val="110"/>
          <w:sz w:val="20"/>
        </w:rPr>
        <w:t> </w:t>
      </w:r>
      <w:r>
        <w:rPr>
          <w:color w:val="4D4D4F"/>
          <w:w w:val="110"/>
          <w:sz w:val="20"/>
        </w:rPr>
        <w:t>who</w:t>
      </w:r>
      <w:r>
        <w:rPr>
          <w:color w:val="4D4D4F"/>
          <w:spacing w:val="-10"/>
          <w:w w:val="110"/>
          <w:sz w:val="20"/>
        </w:rPr>
        <w:t> </w:t>
      </w:r>
      <w:r>
        <w:rPr>
          <w:color w:val="4D4D4F"/>
          <w:w w:val="110"/>
          <w:sz w:val="20"/>
        </w:rPr>
        <w:t>are</w:t>
      </w:r>
      <w:r>
        <w:rPr>
          <w:color w:val="4D4D4F"/>
          <w:spacing w:val="-5"/>
          <w:w w:val="110"/>
          <w:sz w:val="20"/>
        </w:rPr>
        <w:t> </w:t>
      </w:r>
      <w:r>
        <w:rPr>
          <w:color w:val="4D4D4F"/>
          <w:w w:val="110"/>
          <w:sz w:val="20"/>
        </w:rPr>
        <w:t>receiving</w:t>
      </w:r>
      <w:r>
        <w:rPr>
          <w:color w:val="4D4D4F"/>
          <w:spacing w:val="-5"/>
          <w:w w:val="110"/>
          <w:sz w:val="20"/>
        </w:rPr>
        <w:t> </w:t>
      </w:r>
      <w:r>
        <w:rPr>
          <w:color w:val="4D4D4F"/>
          <w:w w:val="110"/>
          <w:sz w:val="20"/>
        </w:rPr>
        <w:t>methadone</w:t>
      </w:r>
      <w:r>
        <w:rPr>
          <w:color w:val="4D4D4F"/>
          <w:spacing w:val="-6"/>
          <w:w w:val="110"/>
          <w:sz w:val="20"/>
        </w:rPr>
        <w:t> </w:t>
      </w:r>
      <w:r>
        <w:rPr>
          <w:color w:val="4D4D4F"/>
          <w:w w:val="110"/>
          <w:sz w:val="20"/>
        </w:rPr>
        <w:t>or</w:t>
      </w:r>
      <w:r>
        <w:rPr>
          <w:color w:val="4D4D4F"/>
          <w:spacing w:val="-5"/>
          <w:w w:val="110"/>
          <w:sz w:val="20"/>
        </w:rPr>
        <w:t> </w:t>
      </w:r>
      <w:r>
        <w:rPr>
          <w:color w:val="4D4D4F"/>
          <w:w w:val="110"/>
          <w:sz w:val="20"/>
        </w:rPr>
        <w:t>buprenorphine</w:t>
      </w:r>
      <w:r>
        <w:rPr>
          <w:color w:val="4D4D4F"/>
          <w:spacing w:val="-5"/>
          <w:w w:val="110"/>
          <w:sz w:val="20"/>
        </w:rPr>
        <w:t> </w:t>
      </w:r>
      <w:r>
        <w:rPr>
          <w:color w:val="4D4D4F"/>
          <w:w w:val="110"/>
          <w:sz w:val="20"/>
        </w:rPr>
        <w:t>treatment</w:t>
      </w:r>
      <w:r>
        <w:rPr>
          <w:color w:val="4D4D4F"/>
          <w:spacing w:val="-5"/>
          <w:w w:val="110"/>
          <w:sz w:val="20"/>
        </w:rPr>
        <w:t> </w:t>
      </w:r>
      <w:r>
        <w:rPr>
          <w:color w:val="4D4D4F"/>
          <w:w w:val="110"/>
          <w:sz w:val="20"/>
        </w:rPr>
        <w:t>may</w:t>
      </w:r>
      <w:r>
        <w:rPr>
          <w:color w:val="4D4D4F"/>
          <w:spacing w:val="-5"/>
          <w:w w:val="110"/>
          <w:sz w:val="20"/>
        </w:rPr>
        <w:t> </w:t>
      </w:r>
      <w:r>
        <w:rPr>
          <w:color w:val="4D4D4F"/>
          <w:w w:val="110"/>
          <w:sz w:val="20"/>
        </w:rPr>
        <w:t>have</w:t>
      </w:r>
      <w:r>
        <w:rPr>
          <w:color w:val="4D4D4F"/>
          <w:spacing w:val="-6"/>
          <w:w w:val="110"/>
          <w:sz w:val="20"/>
        </w:rPr>
        <w:t> </w:t>
      </w:r>
      <w:r>
        <w:rPr>
          <w:color w:val="4D4D4F"/>
          <w:w w:val="110"/>
          <w:sz w:val="20"/>
        </w:rPr>
        <w:t>opioid withdrawal symptoms (i.e., neonatal abstinence syndrome). The delivery hospital may require babies who are exposed to opioids before birth to spend a number of days in the hospital for monitoring of withdrawal symptoms. Some babies may also need medication to stop withdrawal. If I am or become pregnant, I understand that I should tell the medical staff of the OTP right away so I can receive</w:t>
      </w:r>
      <w:r>
        <w:rPr>
          <w:color w:val="4D4D4F"/>
          <w:spacing w:val="-33"/>
          <w:w w:val="110"/>
          <w:sz w:val="20"/>
        </w:rPr>
        <w:t> </w:t>
      </w:r>
      <w:r>
        <w:rPr>
          <w:color w:val="4D4D4F"/>
          <w:w w:val="110"/>
          <w:sz w:val="20"/>
        </w:rPr>
        <w:t>or</w:t>
      </w:r>
    </w:p>
    <w:p>
      <w:pPr>
        <w:spacing w:line="247" w:lineRule="auto" w:before="8"/>
        <w:ind w:left="505" w:right="899" w:firstLine="0"/>
        <w:jc w:val="left"/>
        <w:rPr>
          <w:sz w:val="20"/>
        </w:rPr>
      </w:pPr>
      <w:r>
        <w:rPr>
          <w:color w:val="4D4D4F"/>
          <w:w w:val="110"/>
          <w:sz w:val="20"/>
        </w:rPr>
        <w:t>be referred to prenatal care. I understand that there are ways to maximize the healthy course of my pregnancy while I am taking methadone or buprenorphine.</w:t>
      </w:r>
    </w:p>
    <w:p>
      <w:pPr>
        <w:pStyle w:val="BodyText"/>
        <w:spacing w:before="6"/>
        <w:rPr>
          <w:sz w:val="25"/>
        </w:rPr>
      </w:pPr>
    </w:p>
    <w:p>
      <w:pPr>
        <w:tabs>
          <w:tab w:pos="6904" w:val="left" w:leader="none"/>
          <w:tab w:pos="7154" w:val="left" w:leader="none"/>
          <w:tab w:pos="9804" w:val="left" w:leader="none"/>
        </w:tabs>
        <w:spacing w:before="101"/>
        <w:ind w:left="505" w:right="0" w:firstLine="0"/>
        <w:jc w:val="left"/>
        <w:rPr>
          <w:rFonts w:ascii="Calibri"/>
          <w:b/>
          <w:sz w:val="18"/>
        </w:rPr>
      </w:pPr>
      <w:r>
        <w:rPr>
          <w:rFonts w:ascii="Calibri"/>
          <w:b/>
          <w:color w:val="4D4D4F"/>
          <w:w w:val="115"/>
          <w:sz w:val="18"/>
        </w:rPr>
        <w:t>Signature</w:t>
      </w:r>
      <w:r>
        <w:rPr>
          <w:rFonts w:ascii="Calibri"/>
          <w:b/>
          <w:color w:val="4D4D4F"/>
          <w:spacing w:val="-1"/>
          <w:w w:val="115"/>
          <w:sz w:val="18"/>
        </w:rPr>
        <w:t> </w:t>
      </w:r>
      <w:r>
        <w:rPr>
          <w:rFonts w:ascii="Calibri"/>
          <w:b/>
          <w:color w:val="4D4D4F"/>
          <w:w w:val="115"/>
          <w:sz w:val="18"/>
        </w:rPr>
        <w:t>of Patient:</w:t>
      </w:r>
      <w:r>
        <w:rPr>
          <w:rFonts w:ascii="Calibri"/>
          <w:b/>
          <w:color w:val="4D4D4F"/>
          <w:w w:val="115"/>
          <w:sz w:val="18"/>
          <w:u w:val="single" w:color="7F8184"/>
        </w:rPr>
        <w:t> </w:t>
        <w:tab/>
      </w:r>
      <w:r>
        <w:rPr>
          <w:rFonts w:ascii="Calibri"/>
          <w:b/>
          <w:color w:val="4D4D4F"/>
          <w:w w:val="115"/>
          <w:sz w:val="18"/>
        </w:rPr>
        <w:tab/>
        <w:t>Date of</w:t>
      </w:r>
      <w:r>
        <w:rPr>
          <w:rFonts w:ascii="Calibri"/>
          <w:b/>
          <w:color w:val="4D4D4F"/>
          <w:spacing w:val="-1"/>
          <w:w w:val="115"/>
          <w:sz w:val="18"/>
        </w:rPr>
        <w:t> </w:t>
      </w:r>
      <w:r>
        <w:rPr>
          <w:rFonts w:ascii="Calibri"/>
          <w:b/>
          <w:color w:val="4D4D4F"/>
          <w:w w:val="115"/>
          <w:sz w:val="18"/>
        </w:rPr>
        <w:t>Birth:</w:t>
      </w:r>
      <w:r>
        <w:rPr>
          <w:rFonts w:ascii="Calibri"/>
          <w:b/>
          <w:color w:val="4D4D4F"/>
          <w:spacing w:val="9"/>
          <w:sz w:val="18"/>
        </w:rPr>
        <w:t> </w:t>
      </w:r>
      <w:r>
        <w:rPr>
          <w:rFonts w:ascii="Calibri"/>
          <w:b/>
          <w:color w:val="4D4D4F"/>
          <w:w w:val="130"/>
          <w:sz w:val="18"/>
          <w:u w:val="single" w:color="7F8184"/>
        </w:rPr>
        <w:t> </w:t>
      </w:r>
      <w:r>
        <w:rPr>
          <w:rFonts w:ascii="Calibri"/>
          <w:b/>
          <w:color w:val="4D4D4F"/>
          <w:sz w:val="18"/>
          <w:u w:val="single" w:color="7F8184"/>
        </w:rPr>
        <w:tab/>
      </w:r>
    </w:p>
    <w:p>
      <w:pPr>
        <w:pStyle w:val="BodyText"/>
        <w:spacing w:before="2"/>
        <w:rPr>
          <w:rFonts w:ascii="Calibri"/>
          <w:b/>
          <w:sz w:val="17"/>
        </w:rPr>
      </w:pPr>
    </w:p>
    <w:p>
      <w:pPr>
        <w:tabs>
          <w:tab w:pos="2458" w:val="left" w:leader="none"/>
          <w:tab w:pos="2708" w:val="left" w:leader="none"/>
          <w:tab w:pos="9784" w:val="left" w:leader="none"/>
        </w:tabs>
        <w:spacing w:before="101"/>
        <w:ind w:left="505" w:right="0" w:firstLine="0"/>
        <w:jc w:val="left"/>
        <w:rPr>
          <w:rFonts w:ascii="Calibri"/>
          <w:b/>
          <w:sz w:val="18"/>
        </w:rPr>
      </w:pPr>
      <w:r>
        <w:rPr>
          <w:rFonts w:ascii="Calibri"/>
          <w:b/>
          <w:color w:val="4D4D4F"/>
          <w:w w:val="115"/>
          <w:sz w:val="18"/>
        </w:rPr>
        <w:t>Date:</w:t>
      </w:r>
      <w:r>
        <w:rPr>
          <w:rFonts w:ascii="Calibri"/>
          <w:b/>
          <w:color w:val="4D4D4F"/>
          <w:w w:val="115"/>
          <w:sz w:val="18"/>
          <w:u w:val="single" w:color="7F8184"/>
        </w:rPr>
        <w:t> </w:t>
        <w:tab/>
      </w:r>
      <w:r>
        <w:rPr>
          <w:rFonts w:ascii="Calibri"/>
          <w:b/>
          <w:color w:val="4D4D4F"/>
          <w:w w:val="115"/>
          <w:sz w:val="18"/>
        </w:rPr>
        <w:tab/>
        <w:t>Witness:</w:t>
      </w:r>
      <w:r>
        <w:rPr>
          <w:rFonts w:ascii="Calibri"/>
          <w:b/>
          <w:color w:val="4D4D4F"/>
          <w:spacing w:val="9"/>
          <w:sz w:val="18"/>
        </w:rPr>
        <w:t> </w:t>
      </w:r>
      <w:r>
        <w:rPr>
          <w:rFonts w:ascii="Calibri"/>
          <w:b/>
          <w:color w:val="4D4D4F"/>
          <w:w w:val="130"/>
          <w:sz w:val="18"/>
          <w:u w:val="single" w:color="7F8184"/>
        </w:rPr>
        <w:t> </w:t>
      </w:r>
      <w:r>
        <w:rPr>
          <w:rFonts w:ascii="Calibri"/>
          <w:b/>
          <w:color w:val="4D4D4F"/>
          <w:sz w:val="18"/>
          <w:u w:val="single" w:color="7F8184"/>
        </w:rPr>
        <w:tab/>
      </w:r>
    </w:p>
    <w:p>
      <w:pPr>
        <w:pStyle w:val="BodyText"/>
        <w:spacing w:before="6"/>
        <w:rPr>
          <w:rFonts w:ascii="Calibri"/>
          <w:b/>
          <w:sz w:val="13"/>
        </w:rPr>
      </w:pPr>
    </w:p>
    <w:p>
      <w:pPr>
        <w:spacing w:before="98"/>
        <w:ind w:left="505" w:right="0" w:firstLine="0"/>
        <w:jc w:val="left"/>
        <w:rPr>
          <w:rFonts w:ascii="Arial"/>
          <w:i/>
          <w:sz w:val="9"/>
        </w:rPr>
      </w:pPr>
      <w:r>
        <w:rPr>
          <w:rFonts w:ascii="Arial"/>
          <w:i/>
          <w:color w:val="4D4D4F"/>
          <w:w w:val="105"/>
          <w:sz w:val="16"/>
        </w:rPr>
        <w:t>Adapted from material in the public domain</w:t>
      </w:r>
      <w:r>
        <w:rPr>
          <w:rFonts w:ascii="Arial"/>
          <w:i/>
          <w:color w:val="4D4D4F"/>
          <w:w w:val="105"/>
          <w:position w:val="5"/>
          <w:sz w:val="9"/>
        </w:rPr>
        <w:t>160</w:t>
      </w:r>
    </w:p>
    <w:p>
      <w:pPr>
        <w:spacing w:after="0"/>
        <w:jc w:val="left"/>
        <w:rPr>
          <w:rFonts w:ascii="Arial"/>
          <w:sz w:val="9"/>
        </w:rPr>
        <w:sectPr>
          <w:pgSz w:w="12240" w:h="15840"/>
          <w:pgMar w:header="576" w:footer="677" w:top="1340" w:bottom="860" w:left="940" w:right="920"/>
        </w:sectPr>
      </w:pPr>
    </w:p>
    <w:p>
      <w:pPr>
        <w:pStyle w:val="BodyText"/>
        <w:spacing w:before="4"/>
        <w:rPr>
          <w:rFonts w:ascii="Arial"/>
          <w:i/>
          <w:sz w:val="24"/>
        </w:rPr>
      </w:pPr>
    </w:p>
    <w:p>
      <w:pPr>
        <w:pStyle w:val="Heading1"/>
        <w:spacing w:before="78"/>
      </w:pPr>
      <w:bookmarkStart w:name="_TOC_250076" w:id="39"/>
      <w:bookmarkEnd w:id="39"/>
      <w:r>
        <w:rPr>
          <w:color w:val="414142"/>
          <w:w w:val="105"/>
        </w:rPr>
        <w:t>Chapter 3C: Naltrexone</w:t>
      </w:r>
    </w:p>
    <w:p>
      <w:pPr>
        <w:pStyle w:val="BodyText"/>
        <w:spacing w:before="2"/>
        <w:rPr>
          <w:rFonts w:ascii="Calibri"/>
          <w:b/>
          <w:sz w:val="18"/>
        </w:rPr>
      </w:pPr>
      <w:r>
        <w:rPr/>
        <w:pict>
          <v:shape style="position:absolute;margin-left:54.25pt;margin-top:13.329594pt;width:504.05pt;height:49.05pt;mso-position-horizontal-relative:page;mso-position-vertical-relative:paragraph;z-index:-15704576;mso-wrap-distance-left:0;mso-wrap-distance-right:0" type="#_x0000_t202" filled="false" stroked="true" strokeweight=".5pt" strokecolor="#88aabd">
            <v:textbox inset="0,0,0,0">
              <w:txbxContent>
                <w:p>
                  <w:pPr>
                    <w:spacing w:line="247" w:lineRule="auto" w:before="229"/>
                    <w:ind w:left="270" w:right="924" w:firstLine="0"/>
                    <w:jc w:val="left"/>
                    <w:rPr>
                      <w:rFonts w:ascii="Trebuchet MS" w:hAnsi="Trebuchet MS"/>
                      <w:b/>
                      <w:i/>
                      <w:sz w:val="22"/>
                    </w:rPr>
                  </w:pPr>
                  <w:r>
                    <w:rPr>
                      <w:rFonts w:ascii="Trebuchet MS" w:hAnsi="Trebuchet MS"/>
                      <w:b/>
                      <w:i/>
                      <w:color w:val="137692"/>
                      <w:sz w:val="22"/>
                    </w:rPr>
                    <w:t>Chapter 3C gives </w:t>
                  </w:r>
                  <w:r>
                    <w:rPr>
                      <w:rFonts w:ascii="Trebuchet MS" w:hAnsi="Trebuchet MS"/>
                      <w:b/>
                      <w:i/>
                      <w:color w:val="4D4D4F"/>
                      <w:sz w:val="22"/>
                    </w:rPr>
                    <w:t>an overview of naltrexone pharmacology and speciﬁc guidance on </w:t>
                  </w:r>
                  <w:r>
                    <w:rPr>
                      <w:rFonts w:ascii="Trebuchet MS" w:hAnsi="Trebuchet MS"/>
                      <w:b/>
                      <w:i/>
                      <w:color w:val="4D4D4F"/>
                      <w:sz w:val="22"/>
                    </w:rPr>
                    <w:t>dosing for oral and injectable naltrexone.</w:t>
                  </w:r>
                </w:p>
              </w:txbxContent>
            </v:textbox>
            <v:stroke dashstyle="solid"/>
            <w10:wrap type="topAndBottom"/>
          </v:shape>
        </w:pict>
      </w:r>
    </w:p>
    <w:p>
      <w:pPr>
        <w:pStyle w:val="BodyText"/>
        <w:spacing w:before="3"/>
        <w:rPr>
          <w:rFonts w:ascii="Calibri"/>
          <w:b/>
          <w:sz w:val="29"/>
        </w:rPr>
      </w:pPr>
    </w:p>
    <w:p>
      <w:pPr>
        <w:spacing w:after="0"/>
        <w:rPr>
          <w:rFonts w:ascii="Calibri"/>
          <w:sz w:val="29"/>
        </w:rPr>
        <w:sectPr>
          <w:pgSz w:w="12240" w:h="15840"/>
          <w:pgMar w:header="576" w:footer="677" w:top="1340" w:bottom="860" w:left="940" w:right="920"/>
        </w:sectPr>
      </w:pPr>
    </w:p>
    <w:p>
      <w:pPr>
        <w:pStyle w:val="BodyText"/>
        <w:spacing w:line="247" w:lineRule="auto" w:before="101"/>
        <w:ind w:left="139" w:right="38"/>
      </w:pPr>
      <w:r>
        <w:rPr>
          <w:color w:val="4D4D4F"/>
          <w:w w:val="110"/>
        </w:rPr>
        <w:t>The opioid receptor antagonist naltrexone was synthesized in the 1960s to block the euphoric effects of morphine.</w:t>
      </w:r>
      <w:r>
        <w:rPr>
          <w:color w:val="4D4D4F"/>
          <w:w w:val="110"/>
          <w:position w:val="7"/>
          <w:sz w:val="13"/>
        </w:rPr>
        <w:t>161 </w:t>
      </w:r>
      <w:r>
        <w:rPr>
          <w:color w:val="4D4D4F"/>
          <w:w w:val="110"/>
        </w:rPr>
        <w:t>Oral naltrexone was approved by the Food and Drug Administration (FDA) in 1984 for the blockade of the effects of exogenously administered opioids. Long-acting, sustained-release opioid agonist preparations have been investigated since the 1970s to improve adherence over oral medications. In 2010, FDA approved injectable extended-release naltrexone (XR-NTX) for preventing return to opioid dependence after medically supervised withdrawal.</w:t>
      </w:r>
    </w:p>
    <w:p>
      <w:pPr>
        <w:pStyle w:val="BodyText"/>
        <w:spacing w:line="247" w:lineRule="auto" w:before="195"/>
        <w:ind w:left="140" w:right="51"/>
        <w:rPr>
          <w:sz w:val="13"/>
        </w:rPr>
      </w:pPr>
      <w:r>
        <w:rPr>
          <w:color w:val="4D4D4F"/>
          <w:w w:val="110"/>
        </w:rPr>
        <w:t>Despite its potential advantages (e.g., no abuse liability, no special regulatory requirements), oral naltrexone is not widely used to treat opioid use disorder (OUD) because of low rates of patient acceptance, difﬁculty in achieving abstinence for the necessary time before initiation of treatment, and high rates of medication nonadherence.</w:t>
      </w:r>
      <w:r>
        <w:rPr>
          <w:color w:val="4D4D4F"/>
          <w:w w:val="110"/>
          <w:position w:val="7"/>
          <w:sz w:val="13"/>
        </w:rPr>
        <w:t>162</w:t>
      </w:r>
    </w:p>
    <w:p>
      <w:pPr>
        <w:pStyle w:val="BodyText"/>
        <w:spacing w:line="247" w:lineRule="auto" w:before="189"/>
        <w:ind w:left="140" w:right="38"/>
      </w:pPr>
      <w:r>
        <w:rPr>
          <w:color w:val="4D4D4F"/>
          <w:w w:val="110"/>
        </w:rPr>
        <w:t>Before initiating either formulation of naltrex- one, patients must be opioid abstinent for</w:t>
      </w:r>
    </w:p>
    <w:p>
      <w:pPr>
        <w:pStyle w:val="BodyText"/>
        <w:spacing w:line="247" w:lineRule="auto" w:before="2"/>
        <w:ind w:left="140" w:right="140"/>
      </w:pPr>
      <w:r>
        <w:rPr>
          <w:color w:val="4D4D4F"/>
          <w:w w:val="110"/>
        </w:rPr>
        <w:t>an adequate period of time after completing opioid withdrawal. Medically supervised opioid withdrawal can be conducted on an outpatient or inpatient basis. The latter is often reserved for patients with co-occurring substance use</w:t>
      </w:r>
    </w:p>
    <w:p>
      <w:pPr>
        <w:pStyle w:val="BodyText"/>
        <w:spacing w:before="6"/>
        <w:ind w:left="140"/>
      </w:pPr>
      <w:r>
        <w:rPr>
          <w:color w:val="4D4D4F"/>
          <w:w w:val="110"/>
        </w:rPr>
        <w:t>disorders</w:t>
      </w:r>
      <w:r>
        <w:rPr>
          <w:color w:val="4D4D4F"/>
          <w:spacing w:val="-15"/>
          <w:w w:val="110"/>
        </w:rPr>
        <w:t> </w:t>
      </w:r>
      <w:r>
        <w:rPr>
          <w:color w:val="4D4D4F"/>
          <w:w w:val="110"/>
        </w:rPr>
        <w:t>(SUDs)</w:t>
      </w:r>
      <w:r>
        <w:rPr>
          <w:color w:val="4D4D4F"/>
          <w:spacing w:val="-15"/>
          <w:w w:val="110"/>
        </w:rPr>
        <w:t> </w:t>
      </w:r>
      <w:r>
        <w:rPr>
          <w:color w:val="4D4D4F"/>
          <w:w w:val="110"/>
        </w:rPr>
        <w:t>or</w:t>
      </w:r>
      <w:r>
        <w:rPr>
          <w:color w:val="4D4D4F"/>
          <w:spacing w:val="-15"/>
          <w:w w:val="110"/>
        </w:rPr>
        <w:t> </w:t>
      </w:r>
      <w:r>
        <w:rPr>
          <w:color w:val="4D4D4F"/>
          <w:w w:val="110"/>
        </w:rPr>
        <w:t>medical</w:t>
      </w:r>
      <w:r>
        <w:rPr>
          <w:color w:val="4D4D4F"/>
          <w:spacing w:val="-15"/>
          <w:w w:val="110"/>
        </w:rPr>
        <w:t> </w:t>
      </w:r>
      <w:r>
        <w:rPr>
          <w:color w:val="4D4D4F"/>
          <w:w w:val="110"/>
        </w:rPr>
        <w:t>or</w:t>
      </w:r>
      <w:r>
        <w:rPr>
          <w:color w:val="4D4D4F"/>
          <w:spacing w:val="-15"/>
          <w:w w:val="110"/>
        </w:rPr>
        <w:t> </w:t>
      </w:r>
      <w:r>
        <w:rPr>
          <w:color w:val="4D4D4F"/>
          <w:w w:val="110"/>
        </w:rPr>
        <w:t>psychiatric</w:t>
      </w:r>
      <w:r>
        <w:rPr>
          <w:color w:val="4D4D4F"/>
          <w:spacing w:val="-14"/>
          <w:w w:val="110"/>
        </w:rPr>
        <w:t> </w:t>
      </w:r>
      <w:r>
        <w:rPr>
          <w:color w:val="4D4D4F"/>
          <w:w w:val="110"/>
        </w:rPr>
        <w:t>illness.</w:t>
      </w:r>
    </w:p>
    <w:p>
      <w:pPr>
        <w:pStyle w:val="BodyText"/>
        <w:spacing w:line="247" w:lineRule="auto" w:before="189"/>
        <w:ind w:left="140" w:right="108"/>
      </w:pPr>
      <w:r>
        <w:rPr>
          <w:color w:val="4D4D4F"/>
          <w:w w:val="115"/>
        </w:rPr>
        <w:t>There are several pharmacological approaches to</w:t>
      </w:r>
      <w:r>
        <w:rPr>
          <w:color w:val="4D4D4F"/>
          <w:spacing w:val="-32"/>
          <w:w w:val="115"/>
        </w:rPr>
        <w:t> </w:t>
      </w:r>
      <w:r>
        <w:rPr>
          <w:color w:val="4D4D4F"/>
          <w:w w:val="115"/>
        </w:rPr>
        <w:t>medically</w:t>
      </w:r>
      <w:r>
        <w:rPr>
          <w:color w:val="4D4D4F"/>
          <w:spacing w:val="-32"/>
          <w:w w:val="115"/>
        </w:rPr>
        <w:t> </w:t>
      </w:r>
      <w:r>
        <w:rPr>
          <w:color w:val="4D4D4F"/>
          <w:w w:val="115"/>
        </w:rPr>
        <w:t>supervised</w:t>
      </w:r>
      <w:r>
        <w:rPr>
          <w:color w:val="4D4D4F"/>
          <w:spacing w:val="-31"/>
          <w:w w:val="115"/>
        </w:rPr>
        <w:t> </w:t>
      </w:r>
      <w:r>
        <w:rPr>
          <w:color w:val="4D4D4F"/>
          <w:w w:val="115"/>
        </w:rPr>
        <w:t>withdrawal.</w:t>
      </w:r>
      <w:r>
        <w:rPr>
          <w:color w:val="4D4D4F"/>
          <w:spacing w:val="-32"/>
          <w:w w:val="115"/>
        </w:rPr>
        <w:t> </w:t>
      </w:r>
      <w:r>
        <w:rPr>
          <w:color w:val="4D4D4F"/>
          <w:w w:val="115"/>
        </w:rPr>
        <w:t>Methadone can</w:t>
      </w:r>
      <w:r>
        <w:rPr>
          <w:color w:val="4D4D4F"/>
          <w:spacing w:val="-24"/>
          <w:w w:val="115"/>
        </w:rPr>
        <w:t> </w:t>
      </w:r>
      <w:r>
        <w:rPr>
          <w:color w:val="4D4D4F"/>
          <w:w w:val="115"/>
        </w:rPr>
        <w:t>be</w:t>
      </w:r>
      <w:r>
        <w:rPr>
          <w:color w:val="4D4D4F"/>
          <w:spacing w:val="-23"/>
          <w:w w:val="115"/>
        </w:rPr>
        <w:t> </w:t>
      </w:r>
      <w:r>
        <w:rPr>
          <w:color w:val="4D4D4F"/>
          <w:w w:val="115"/>
        </w:rPr>
        <w:t>used</w:t>
      </w:r>
      <w:r>
        <w:rPr>
          <w:color w:val="4D4D4F"/>
          <w:spacing w:val="-23"/>
          <w:w w:val="115"/>
        </w:rPr>
        <w:t> </w:t>
      </w:r>
      <w:r>
        <w:rPr>
          <w:color w:val="4D4D4F"/>
          <w:w w:val="115"/>
        </w:rPr>
        <w:t>for</w:t>
      </w:r>
      <w:r>
        <w:rPr>
          <w:color w:val="4D4D4F"/>
          <w:spacing w:val="-24"/>
          <w:w w:val="115"/>
        </w:rPr>
        <w:t> </w:t>
      </w:r>
      <w:r>
        <w:rPr>
          <w:color w:val="4D4D4F"/>
          <w:w w:val="115"/>
        </w:rPr>
        <w:t>this</w:t>
      </w:r>
      <w:r>
        <w:rPr>
          <w:color w:val="4D4D4F"/>
          <w:spacing w:val="-23"/>
          <w:w w:val="115"/>
        </w:rPr>
        <w:t> </w:t>
      </w:r>
      <w:r>
        <w:rPr>
          <w:color w:val="4D4D4F"/>
          <w:w w:val="115"/>
        </w:rPr>
        <w:t>purpose</w:t>
      </w:r>
      <w:r>
        <w:rPr>
          <w:color w:val="4D4D4F"/>
          <w:spacing w:val="-23"/>
          <w:w w:val="115"/>
        </w:rPr>
        <w:t> </w:t>
      </w:r>
      <w:r>
        <w:rPr>
          <w:color w:val="4D4D4F"/>
          <w:w w:val="115"/>
        </w:rPr>
        <w:t>in</w:t>
      </w:r>
      <w:r>
        <w:rPr>
          <w:color w:val="4D4D4F"/>
          <w:spacing w:val="-23"/>
          <w:w w:val="115"/>
        </w:rPr>
        <w:t> </w:t>
      </w:r>
      <w:r>
        <w:rPr>
          <w:color w:val="4D4D4F"/>
          <w:w w:val="115"/>
        </w:rPr>
        <w:t>opioid</w:t>
      </w:r>
      <w:r>
        <w:rPr>
          <w:color w:val="4D4D4F"/>
          <w:spacing w:val="-24"/>
          <w:w w:val="115"/>
        </w:rPr>
        <w:t> </w:t>
      </w:r>
      <w:r>
        <w:rPr>
          <w:color w:val="4D4D4F"/>
          <w:spacing w:val="-3"/>
          <w:w w:val="115"/>
        </w:rPr>
        <w:t>treatment </w:t>
      </w:r>
      <w:r>
        <w:rPr>
          <w:color w:val="4D4D4F"/>
          <w:w w:val="115"/>
        </w:rPr>
        <w:t>programs</w:t>
      </w:r>
      <w:r>
        <w:rPr>
          <w:color w:val="4D4D4F"/>
          <w:spacing w:val="-31"/>
          <w:w w:val="115"/>
        </w:rPr>
        <w:t> </w:t>
      </w:r>
      <w:r>
        <w:rPr>
          <w:color w:val="4D4D4F"/>
          <w:w w:val="115"/>
        </w:rPr>
        <w:t>(OTPs)</w:t>
      </w:r>
      <w:r>
        <w:rPr>
          <w:color w:val="4D4D4F"/>
          <w:spacing w:val="-30"/>
          <w:w w:val="115"/>
        </w:rPr>
        <w:t> </w:t>
      </w:r>
      <w:r>
        <w:rPr>
          <w:color w:val="4D4D4F"/>
          <w:w w:val="115"/>
        </w:rPr>
        <w:t>and</w:t>
      </w:r>
      <w:r>
        <w:rPr>
          <w:color w:val="4D4D4F"/>
          <w:spacing w:val="-30"/>
          <w:w w:val="115"/>
        </w:rPr>
        <w:t> </w:t>
      </w:r>
      <w:r>
        <w:rPr>
          <w:color w:val="4D4D4F"/>
          <w:w w:val="115"/>
        </w:rPr>
        <w:t>hospital</w:t>
      </w:r>
      <w:r>
        <w:rPr>
          <w:color w:val="4D4D4F"/>
          <w:spacing w:val="-30"/>
          <w:w w:val="115"/>
        </w:rPr>
        <w:t> </w:t>
      </w:r>
      <w:r>
        <w:rPr>
          <w:color w:val="4D4D4F"/>
          <w:w w:val="115"/>
        </w:rPr>
        <w:t>settings.</w:t>
      </w:r>
      <w:r>
        <w:rPr>
          <w:color w:val="4D4D4F"/>
          <w:spacing w:val="-30"/>
          <w:w w:val="115"/>
        </w:rPr>
        <w:t> </w:t>
      </w:r>
      <w:r>
        <w:rPr>
          <w:color w:val="4D4D4F"/>
          <w:w w:val="115"/>
        </w:rPr>
        <w:t>Patients in opioid withdrawal typically receive an indi- vidualized dose between 20 mg and 30 mg per </w:t>
      </w:r>
      <w:r>
        <w:rPr>
          <w:color w:val="4D4D4F"/>
          <w:spacing w:val="-5"/>
          <w:w w:val="115"/>
        </w:rPr>
        <w:t>day,</w:t>
      </w:r>
      <w:r>
        <w:rPr>
          <w:color w:val="4D4D4F"/>
          <w:spacing w:val="-17"/>
          <w:w w:val="115"/>
        </w:rPr>
        <w:t> </w:t>
      </w:r>
      <w:r>
        <w:rPr>
          <w:color w:val="4D4D4F"/>
          <w:w w:val="115"/>
        </w:rPr>
        <w:t>gradually</w:t>
      </w:r>
      <w:r>
        <w:rPr>
          <w:color w:val="4D4D4F"/>
          <w:spacing w:val="-16"/>
          <w:w w:val="115"/>
        </w:rPr>
        <w:t> </w:t>
      </w:r>
      <w:r>
        <w:rPr>
          <w:color w:val="4D4D4F"/>
          <w:w w:val="115"/>
        </w:rPr>
        <w:t>reduced</w:t>
      </w:r>
      <w:r>
        <w:rPr>
          <w:color w:val="4D4D4F"/>
          <w:spacing w:val="-17"/>
          <w:w w:val="115"/>
        </w:rPr>
        <w:t> </w:t>
      </w:r>
      <w:r>
        <w:rPr>
          <w:color w:val="4D4D4F"/>
          <w:w w:val="115"/>
        </w:rPr>
        <w:t>over</w:t>
      </w:r>
      <w:r>
        <w:rPr>
          <w:color w:val="4D4D4F"/>
          <w:spacing w:val="-16"/>
          <w:w w:val="115"/>
        </w:rPr>
        <w:t> </w:t>
      </w:r>
      <w:r>
        <w:rPr>
          <w:color w:val="4D4D4F"/>
          <w:w w:val="115"/>
        </w:rPr>
        <w:t>6</w:t>
      </w:r>
      <w:r>
        <w:rPr>
          <w:color w:val="4D4D4F"/>
          <w:spacing w:val="-17"/>
          <w:w w:val="115"/>
        </w:rPr>
        <w:t> </w:t>
      </w:r>
      <w:r>
        <w:rPr>
          <w:color w:val="4D4D4F"/>
          <w:w w:val="115"/>
        </w:rPr>
        <w:t>days</w:t>
      </w:r>
      <w:r>
        <w:rPr>
          <w:color w:val="4D4D4F"/>
          <w:spacing w:val="-16"/>
          <w:w w:val="115"/>
        </w:rPr>
        <w:t> </w:t>
      </w:r>
      <w:r>
        <w:rPr>
          <w:color w:val="4D4D4F"/>
          <w:w w:val="115"/>
        </w:rPr>
        <w:t>or</w:t>
      </w:r>
      <w:r>
        <w:rPr>
          <w:color w:val="4D4D4F"/>
          <w:spacing w:val="-16"/>
          <w:w w:val="115"/>
        </w:rPr>
        <w:t> </w:t>
      </w:r>
      <w:r>
        <w:rPr>
          <w:color w:val="4D4D4F"/>
          <w:w w:val="115"/>
        </w:rPr>
        <w:t>more.</w:t>
      </w:r>
    </w:p>
    <w:p>
      <w:pPr>
        <w:pStyle w:val="BodyText"/>
        <w:spacing w:before="9"/>
        <w:ind w:left="140"/>
      </w:pPr>
      <w:r>
        <w:rPr>
          <w:color w:val="4D4D4F"/>
          <w:w w:val="115"/>
        </w:rPr>
        <w:t>Buprenorphine can be used in an adequate</w:t>
      </w:r>
    </w:p>
    <w:p>
      <w:pPr>
        <w:pStyle w:val="BodyText"/>
        <w:spacing w:line="247" w:lineRule="auto" w:before="100"/>
        <w:ind w:left="139" w:right="594"/>
      </w:pPr>
      <w:r>
        <w:rPr/>
        <w:br w:type="column"/>
      </w:r>
      <w:r>
        <w:rPr>
          <w:color w:val="4D4D4F"/>
          <w:w w:val="110"/>
        </w:rPr>
        <w:t>dose to lessen withdrawal symptoms and then reduced gradually over several days or</w:t>
      </w:r>
    </w:p>
    <w:p>
      <w:pPr>
        <w:pStyle w:val="BodyText"/>
        <w:spacing w:line="247" w:lineRule="auto" w:before="3"/>
        <w:ind w:left="139" w:right="83"/>
        <w:rPr>
          <w:sz w:val="13"/>
        </w:rPr>
      </w:pPr>
      <w:r>
        <w:rPr>
          <w:color w:val="4D4D4F"/>
          <w:w w:val="110"/>
        </w:rPr>
        <w:t>more. If an opioid agonist is used for medically supervised withdrawal, an adequate interval of time following the last dose must occur before naltrexone induction. When it is not possible to use opioid agonists, alpha-2 adrenergic agonists such as clonidine can be used off label at doses from 0.1 mg to 0.3 mg every 6 to 8 hours to treat symptoms.</w:t>
      </w:r>
      <w:r>
        <w:rPr>
          <w:color w:val="4D4D4F"/>
          <w:w w:val="110"/>
          <w:position w:val="7"/>
          <w:sz w:val="13"/>
        </w:rPr>
        <w:t>163</w:t>
      </w:r>
    </w:p>
    <w:p>
      <w:pPr>
        <w:pStyle w:val="Heading2"/>
        <w:spacing w:before="223"/>
      </w:pPr>
      <w:bookmarkStart w:name="_TOC_250075" w:id="40"/>
      <w:bookmarkEnd w:id="40"/>
      <w:r>
        <w:rPr>
          <w:color w:val="137692"/>
          <w:w w:val="105"/>
        </w:rPr>
        <w:t>Formulations</w:t>
      </w:r>
    </w:p>
    <w:p>
      <w:pPr>
        <w:pStyle w:val="BodyText"/>
        <w:spacing w:line="244" w:lineRule="auto" w:before="26"/>
        <w:ind w:left="140" w:right="561"/>
      </w:pPr>
      <w:r>
        <w:rPr>
          <w:rFonts w:ascii="Calibri"/>
          <w:b/>
          <w:color w:val="4D4D4F"/>
          <w:w w:val="110"/>
        </w:rPr>
        <w:t>Oral: </w:t>
      </w:r>
      <w:r>
        <w:rPr>
          <w:color w:val="4D4D4F"/>
          <w:w w:val="110"/>
        </w:rPr>
        <w:t>Oral naltrexone is a 50 mg tablet of naltrexone hydrochloride. It was approved by FDA in 1984 for blockade of the effects</w:t>
      </w:r>
      <w:r>
        <w:rPr>
          <w:color w:val="4D4D4F"/>
          <w:spacing w:val="8"/>
          <w:w w:val="110"/>
        </w:rPr>
        <w:t> </w:t>
      </w:r>
      <w:r>
        <w:rPr>
          <w:color w:val="4D4D4F"/>
          <w:spacing w:val="-9"/>
          <w:w w:val="110"/>
        </w:rPr>
        <w:t>of</w:t>
      </w:r>
    </w:p>
    <w:p>
      <w:pPr>
        <w:spacing w:line="244" w:lineRule="auto" w:before="3"/>
        <w:ind w:left="140" w:right="253" w:firstLine="0"/>
        <w:jc w:val="left"/>
        <w:rPr>
          <w:rFonts w:ascii="Calibri"/>
          <w:b/>
          <w:sz w:val="13"/>
        </w:rPr>
      </w:pPr>
      <w:r>
        <w:rPr>
          <w:color w:val="4D4D4F"/>
          <w:w w:val="110"/>
          <w:sz w:val="22"/>
        </w:rPr>
        <w:t>exogenously administered opioids and in 1994 for alcohol dependence treatment. A Cochrane review examined 13 randomized trials among 1,158 patients who were opioid dependent and provided counseling. They were treated with or without oral naltrexone. The review concluded that </w:t>
      </w:r>
      <w:r>
        <w:rPr>
          <w:rFonts w:ascii="Calibri"/>
          <w:b/>
          <w:color w:val="4D4D4F"/>
          <w:w w:val="110"/>
          <w:sz w:val="22"/>
        </w:rPr>
        <w:t>oral naltrexone was not superior to placebo or to no medication in treatment retention or illicit opioid use reduction.</w:t>
      </w:r>
      <w:r>
        <w:rPr>
          <w:rFonts w:ascii="Calibri"/>
          <w:b/>
          <w:color w:val="4D4D4F"/>
          <w:w w:val="110"/>
          <w:position w:val="7"/>
          <w:sz w:val="13"/>
        </w:rPr>
        <w:t>164</w:t>
      </w:r>
    </w:p>
    <w:p>
      <w:pPr>
        <w:pStyle w:val="BodyText"/>
        <w:spacing w:line="244" w:lineRule="auto" w:before="168"/>
        <w:ind w:left="140" w:right="601"/>
        <w:jc w:val="both"/>
      </w:pPr>
      <w:r>
        <w:rPr>
          <w:rFonts w:ascii="Calibri"/>
          <w:b/>
          <w:color w:val="4D4D4F"/>
          <w:w w:val="110"/>
        </w:rPr>
        <w:t>XR-NTX: </w:t>
      </w:r>
      <w:r>
        <w:rPr>
          <w:color w:val="4D4D4F"/>
          <w:w w:val="110"/>
        </w:rPr>
        <w:t>In 2006, FDA approved XR-NTX as an</w:t>
      </w:r>
      <w:r>
        <w:rPr>
          <w:color w:val="4D4D4F"/>
          <w:spacing w:val="-11"/>
          <w:w w:val="110"/>
        </w:rPr>
        <w:t> </w:t>
      </w:r>
      <w:r>
        <w:rPr>
          <w:color w:val="4D4D4F"/>
          <w:w w:val="110"/>
        </w:rPr>
        <w:t>intramuscular</w:t>
      </w:r>
      <w:r>
        <w:rPr>
          <w:color w:val="4D4D4F"/>
          <w:spacing w:val="-11"/>
          <w:w w:val="110"/>
        </w:rPr>
        <w:t> </w:t>
      </w:r>
      <w:r>
        <w:rPr>
          <w:color w:val="4D4D4F"/>
          <w:w w:val="110"/>
        </w:rPr>
        <w:t>(IM)</w:t>
      </w:r>
      <w:r>
        <w:rPr>
          <w:color w:val="4D4D4F"/>
          <w:spacing w:val="-11"/>
          <w:w w:val="110"/>
        </w:rPr>
        <w:t> </w:t>
      </w:r>
      <w:r>
        <w:rPr>
          <w:color w:val="4D4D4F"/>
          <w:w w:val="110"/>
        </w:rPr>
        <w:t>injection</w:t>
      </w:r>
      <w:r>
        <w:rPr>
          <w:color w:val="4D4D4F"/>
          <w:spacing w:val="-10"/>
          <w:w w:val="110"/>
        </w:rPr>
        <w:t> </w:t>
      </w:r>
      <w:r>
        <w:rPr>
          <w:color w:val="4D4D4F"/>
          <w:w w:val="110"/>
        </w:rPr>
        <w:t>every</w:t>
      </w:r>
      <w:r>
        <w:rPr>
          <w:color w:val="4D4D4F"/>
          <w:spacing w:val="-11"/>
          <w:w w:val="110"/>
        </w:rPr>
        <w:t> </w:t>
      </w:r>
      <w:r>
        <w:rPr>
          <w:color w:val="4D4D4F"/>
          <w:w w:val="110"/>
        </w:rPr>
        <w:t>4</w:t>
      </w:r>
      <w:r>
        <w:rPr>
          <w:color w:val="4D4D4F"/>
          <w:spacing w:val="-11"/>
          <w:w w:val="110"/>
        </w:rPr>
        <w:t> </w:t>
      </w:r>
      <w:r>
        <w:rPr>
          <w:color w:val="4D4D4F"/>
          <w:spacing w:val="-3"/>
          <w:w w:val="110"/>
        </w:rPr>
        <w:t>weeks </w:t>
      </w:r>
      <w:r>
        <w:rPr>
          <w:color w:val="4D4D4F"/>
          <w:w w:val="110"/>
        </w:rPr>
        <w:t>or</w:t>
      </w:r>
      <w:r>
        <w:rPr>
          <w:color w:val="4D4D4F"/>
          <w:spacing w:val="-7"/>
          <w:w w:val="110"/>
        </w:rPr>
        <w:t> </w:t>
      </w:r>
      <w:r>
        <w:rPr>
          <w:color w:val="4D4D4F"/>
          <w:w w:val="110"/>
        </w:rPr>
        <w:t>once</w:t>
      </w:r>
      <w:r>
        <w:rPr>
          <w:color w:val="4D4D4F"/>
          <w:spacing w:val="-7"/>
          <w:w w:val="110"/>
        </w:rPr>
        <w:t> </w:t>
      </w:r>
      <w:r>
        <w:rPr>
          <w:color w:val="4D4D4F"/>
          <w:w w:val="110"/>
        </w:rPr>
        <w:t>a</w:t>
      </w:r>
      <w:r>
        <w:rPr>
          <w:color w:val="4D4D4F"/>
          <w:spacing w:val="-7"/>
          <w:w w:val="110"/>
        </w:rPr>
        <w:t> </w:t>
      </w:r>
      <w:r>
        <w:rPr>
          <w:color w:val="4D4D4F"/>
          <w:w w:val="110"/>
        </w:rPr>
        <w:t>month</w:t>
      </w:r>
      <w:r>
        <w:rPr>
          <w:color w:val="4D4D4F"/>
          <w:spacing w:val="-7"/>
          <w:w w:val="110"/>
        </w:rPr>
        <w:t> </w:t>
      </w:r>
      <w:r>
        <w:rPr>
          <w:color w:val="4D4D4F"/>
          <w:w w:val="110"/>
        </w:rPr>
        <w:t>for</w:t>
      </w:r>
      <w:r>
        <w:rPr>
          <w:color w:val="4D4D4F"/>
          <w:spacing w:val="-7"/>
          <w:w w:val="110"/>
        </w:rPr>
        <w:t> </w:t>
      </w:r>
      <w:r>
        <w:rPr>
          <w:color w:val="4D4D4F"/>
          <w:w w:val="110"/>
        </w:rPr>
        <w:t>the</w:t>
      </w:r>
      <w:r>
        <w:rPr>
          <w:color w:val="4D4D4F"/>
          <w:spacing w:val="-6"/>
          <w:w w:val="110"/>
        </w:rPr>
        <w:t> </w:t>
      </w:r>
      <w:r>
        <w:rPr>
          <w:color w:val="4D4D4F"/>
          <w:w w:val="110"/>
        </w:rPr>
        <w:t>treatment</w:t>
      </w:r>
      <w:r>
        <w:rPr>
          <w:color w:val="4D4D4F"/>
          <w:spacing w:val="-7"/>
          <w:w w:val="110"/>
        </w:rPr>
        <w:t> </w:t>
      </w:r>
      <w:r>
        <w:rPr>
          <w:color w:val="4D4D4F"/>
          <w:w w:val="110"/>
        </w:rPr>
        <w:t>of</w:t>
      </w:r>
      <w:r>
        <w:rPr>
          <w:color w:val="4D4D4F"/>
          <w:spacing w:val="-7"/>
          <w:w w:val="110"/>
        </w:rPr>
        <w:t> </w:t>
      </w:r>
      <w:r>
        <w:rPr>
          <w:color w:val="4D4D4F"/>
          <w:spacing w:val="-3"/>
          <w:w w:val="110"/>
        </w:rPr>
        <w:t>alcohol</w:t>
      </w:r>
    </w:p>
    <w:p>
      <w:pPr>
        <w:pStyle w:val="BodyText"/>
        <w:spacing w:line="247" w:lineRule="auto" w:before="2"/>
        <w:ind w:left="140" w:right="77"/>
      </w:pPr>
      <w:r>
        <w:rPr>
          <w:color w:val="4D4D4F"/>
          <w:w w:val="110"/>
        </w:rPr>
        <w:t>dependence. In 2010, FDA approved XR-NTX for the prevention of return to opioid dependence following medically supervised withdrawal.</w:t>
      </w:r>
    </w:p>
    <w:p>
      <w:pPr>
        <w:pStyle w:val="BodyText"/>
        <w:spacing w:line="247" w:lineRule="auto" w:before="4"/>
        <w:ind w:left="140" w:right="228"/>
        <w:rPr>
          <w:sz w:val="13"/>
        </w:rPr>
      </w:pPr>
      <w:r>
        <w:rPr>
          <w:color w:val="4D4D4F"/>
          <w:w w:val="110"/>
        </w:rPr>
        <w:t>XR-NTX is a suspension of 380 mg naltrexone embedded in microspheres made from a biode- gradable copolymer that undergoes hydrolysis </w:t>
      </w:r>
      <w:r>
        <w:rPr>
          <w:color w:val="4D4D4F"/>
          <w:spacing w:val="-9"/>
          <w:w w:val="110"/>
        </w:rPr>
        <w:t>as </w:t>
      </w:r>
      <w:r>
        <w:rPr>
          <w:color w:val="4D4D4F"/>
          <w:w w:val="110"/>
        </w:rPr>
        <w:t>it absorbs </w:t>
      </w:r>
      <w:r>
        <w:rPr>
          <w:color w:val="4D4D4F"/>
          <w:spacing w:val="-4"/>
          <w:w w:val="110"/>
        </w:rPr>
        <w:t>water. </w:t>
      </w:r>
      <w:r>
        <w:rPr>
          <w:color w:val="4D4D4F"/>
          <w:w w:val="110"/>
        </w:rPr>
        <w:t>XR-NTX requires refrigeration and is supplied as a vial of dry powder along</w:t>
      </w:r>
      <w:r>
        <w:rPr>
          <w:color w:val="4D4D4F"/>
          <w:spacing w:val="67"/>
          <w:w w:val="110"/>
        </w:rPr>
        <w:t> </w:t>
      </w:r>
      <w:r>
        <w:rPr>
          <w:color w:val="4D4D4F"/>
          <w:w w:val="110"/>
        </w:rPr>
        <w:t>with a separate vial of an aqueous diluent, which providers combine just before</w:t>
      </w:r>
      <w:r>
        <w:rPr>
          <w:color w:val="4D4D4F"/>
          <w:spacing w:val="-20"/>
          <w:w w:val="110"/>
        </w:rPr>
        <w:t> </w:t>
      </w:r>
      <w:r>
        <w:rPr>
          <w:color w:val="4D4D4F"/>
          <w:w w:val="110"/>
        </w:rPr>
        <w:t>use.</w:t>
      </w:r>
      <w:r>
        <w:rPr>
          <w:color w:val="4D4D4F"/>
          <w:w w:val="110"/>
          <w:position w:val="7"/>
          <w:sz w:val="13"/>
        </w:rPr>
        <w:t>165</w:t>
      </w:r>
    </w:p>
    <w:p>
      <w:pPr>
        <w:spacing w:after="0" w:line="247" w:lineRule="auto"/>
        <w:rPr>
          <w:sz w:val="13"/>
        </w:rPr>
        <w:sectPr>
          <w:type w:val="continuous"/>
          <w:pgSz w:w="12240" w:h="15840"/>
          <w:pgMar w:top="540" w:bottom="280" w:left="940" w:right="920"/>
          <w:cols w:num="2" w:equalWidth="0">
            <w:col w:w="5041" w:space="179"/>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pStyle w:val="BodyText"/>
        <w:spacing w:line="247" w:lineRule="auto" w:before="101"/>
        <w:ind w:left="140" w:right="104"/>
      </w:pPr>
      <w:r>
        <w:rPr>
          <w:rFonts w:ascii="Calibri" w:hAnsi="Calibri"/>
          <w:b/>
          <w:color w:val="4D4D4F"/>
          <w:w w:val="110"/>
        </w:rPr>
        <w:t>XR-NTX is more  effective  than  placebo</w:t>
      </w:r>
      <w:r>
        <w:rPr>
          <w:rFonts w:ascii="Calibri" w:hAnsi="Calibri"/>
          <w:b/>
          <w:color w:val="4D4D4F"/>
          <w:w w:val="110"/>
          <w:position w:val="7"/>
          <w:sz w:val="13"/>
        </w:rPr>
        <w:t>166</w:t>
      </w:r>
      <w:r>
        <w:rPr>
          <w:rFonts w:ascii="Calibri" w:hAnsi="Calibri"/>
          <w:b/>
          <w:color w:val="4D4D4F"/>
          <w:spacing w:val="32"/>
          <w:w w:val="110"/>
          <w:position w:val="7"/>
          <w:sz w:val="13"/>
        </w:rPr>
        <w:t> </w:t>
      </w:r>
      <w:r>
        <w:rPr>
          <w:rFonts w:ascii="Calibri" w:hAnsi="Calibri"/>
          <w:b/>
          <w:color w:val="4D4D4F"/>
          <w:w w:val="110"/>
        </w:rPr>
        <w:t>or no medication</w:t>
      </w:r>
      <w:r>
        <w:rPr>
          <w:rFonts w:ascii="Calibri" w:hAnsi="Calibri"/>
          <w:b/>
          <w:color w:val="4D4D4F"/>
          <w:w w:val="110"/>
          <w:position w:val="7"/>
          <w:sz w:val="13"/>
        </w:rPr>
        <w:t>167 </w:t>
      </w:r>
      <w:r>
        <w:rPr>
          <w:rFonts w:ascii="Calibri" w:hAnsi="Calibri"/>
          <w:b/>
          <w:color w:val="4D4D4F"/>
          <w:w w:val="110"/>
        </w:rPr>
        <w:t>in reducing risk of return to opioid use.</w:t>
      </w:r>
      <w:r>
        <w:rPr>
          <w:rFonts w:ascii="Calibri" w:hAnsi="Calibri"/>
          <w:b/>
          <w:color w:val="4D4D4F"/>
          <w:w w:val="110"/>
          <w:position w:val="7"/>
          <w:sz w:val="13"/>
        </w:rPr>
        <w:t>168 </w:t>
      </w:r>
      <w:r>
        <w:rPr>
          <w:color w:val="4D4D4F"/>
          <w:w w:val="110"/>
        </w:rPr>
        <w:t>A multisite randomized trial in the United States started in residential treatment programs found that buprenorphine treatment was associated with lower rates of return to use during 24 weeks of postdischarge outpatient treatment compared with XR-NTX,</w:t>
      </w:r>
      <w:r>
        <w:rPr>
          <w:color w:val="4D4D4F"/>
          <w:w w:val="110"/>
          <w:position w:val="7"/>
          <w:sz w:val="13"/>
        </w:rPr>
        <w:t>169 </w:t>
      </w:r>
      <w:r>
        <w:rPr>
          <w:color w:val="4D4D4F"/>
          <w:w w:val="110"/>
        </w:rPr>
        <w:t>given the signiﬁcant proportion of patients who did not actually receive XR-NTX because of challenges related to XR-NTX induction. The same study </w:t>
      </w:r>
      <w:r>
        <w:rPr>
          <w:color w:val="4D4D4F"/>
          <w:spacing w:val="-4"/>
          <w:w w:val="110"/>
        </w:rPr>
        <w:t>found </w:t>
      </w:r>
      <w:r>
        <w:rPr>
          <w:color w:val="4D4D4F"/>
          <w:w w:val="110"/>
        </w:rPr>
        <w:t>no </w:t>
      </w:r>
      <w:r>
        <w:rPr>
          <w:color w:val="4D4D4F"/>
          <w:spacing w:val="-4"/>
          <w:w w:val="110"/>
        </w:rPr>
        <w:t>signiﬁcant between-group </w:t>
      </w:r>
      <w:r>
        <w:rPr>
          <w:color w:val="4D4D4F"/>
          <w:spacing w:val="-5"/>
          <w:w w:val="110"/>
        </w:rPr>
        <w:t>differences </w:t>
      </w:r>
      <w:r>
        <w:rPr>
          <w:color w:val="4D4D4F"/>
          <w:spacing w:val="-4"/>
          <w:w w:val="110"/>
        </w:rPr>
        <w:t>in </w:t>
      </w:r>
      <w:r>
        <w:rPr>
          <w:color w:val="4D4D4F"/>
          <w:w w:val="110"/>
        </w:rPr>
        <w:t>rates of return to use when data were analyzed based solely on patients who did begin </w:t>
      </w:r>
      <w:r>
        <w:rPr>
          <w:color w:val="4D4D4F"/>
          <w:spacing w:val="-3"/>
          <w:w w:val="110"/>
        </w:rPr>
        <w:t>assigned </w:t>
      </w:r>
      <w:r>
        <w:rPr>
          <w:color w:val="4D4D4F"/>
          <w:spacing w:val="-4"/>
          <w:w w:val="110"/>
        </w:rPr>
        <w:t>medications. Study ﬁndings </w:t>
      </w:r>
      <w:r>
        <w:rPr>
          <w:color w:val="4D4D4F"/>
          <w:spacing w:val="-3"/>
          <w:w w:val="110"/>
        </w:rPr>
        <w:t>may not </w:t>
      </w:r>
      <w:r>
        <w:rPr>
          <w:color w:val="4D4D4F"/>
          <w:spacing w:val="-4"/>
          <w:w w:val="110"/>
        </w:rPr>
        <w:t>generalize to </w:t>
      </w:r>
      <w:r>
        <w:rPr>
          <w:color w:val="4D4D4F"/>
          <w:w w:val="110"/>
        </w:rPr>
        <w:t>outpatient settings, where naltrexone induction may be more </w:t>
      </w:r>
      <w:r>
        <w:rPr>
          <w:color w:val="4D4D4F"/>
          <w:spacing w:val="2"/>
          <w:w w:val="110"/>
        </w:rPr>
        <w:t>difﬁcult than </w:t>
      </w:r>
      <w:r>
        <w:rPr>
          <w:color w:val="4D4D4F"/>
          <w:w w:val="110"/>
        </w:rPr>
        <w:t>in </w:t>
      </w:r>
      <w:r>
        <w:rPr>
          <w:color w:val="4D4D4F"/>
          <w:spacing w:val="2"/>
          <w:w w:val="110"/>
        </w:rPr>
        <w:t>residential </w:t>
      </w:r>
      <w:r>
        <w:rPr>
          <w:color w:val="4D4D4F"/>
          <w:w w:val="110"/>
        </w:rPr>
        <w:t>treatment</w:t>
      </w:r>
      <w:r>
        <w:rPr>
          <w:color w:val="4D4D4F"/>
          <w:spacing w:val="-6"/>
          <w:w w:val="110"/>
        </w:rPr>
        <w:t> </w:t>
      </w:r>
      <w:r>
        <w:rPr>
          <w:color w:val="4D4D4F"/>
          <w:w w:val="110"/>
        </w:rPr>
        <w:t>settings.</w:t>
      </w:r>
    </w:p>
    <w:p>
      <w:pPr>
        <w:pStyle w:val="BodyText"/>
        <w:spacing w:line="247" w:lineRule="auto" w:before="165"/>
        <w:ind w:left="140" w:right="104"/>
      </w:pPr>
      <w:r>
        <w:rPr>
          <w:color w:val="4D4D4F"/>
          <w:w w:val="110"/>
        </w:rPr>
        <w:t>One additional study merits mention. A </w:t>
      </w:r>
      <w:r>
        <w:rPr>
          <w:color w:val="4D4D4F"/>
          <w:spacing w:val="-3"/>
          <w:w w:val="110"/>
        </w:rPr>
        <w:t>12-week </w:t>
      </w:r>
      <w:r>
        <w:rPr>
          <w:color w:val="4D4D4F"/>
          <w:w w:val="110"/>
        </w:rPr>
        <w:t>trial was conducted in Norway with 159 partic- ipants who, at the time of random assignment  to XR-NTX or buprenorphine, had completed medically supervised withdrawal or were</w:t>
      </w:r>
      <w:r>
        <w:rPr>
          <w:color w:val="4D4D4F"/>
          <w:spacing w:val="-18"/>
          <w:w w:val="110"/>
        </w:rPr>
        <w:t> </w:t>
      </w:r>
      <w:r>
        <w:rPr>
          <w:color w:val="4D4D4F"/>
          <w:w w:val="110"/>
        </w:rPr>
        <w:t>already</w:t>
      </w:r>
    </w:p>
    <w:p>
      <w:pPr>
        <w:pStyle w:val="BodyText"/>
        <w:spacing w:line="247" w:lineRule="auto" w:before="6"/>
        <w:ind w:left="140" w:right="37"/>
        <w:rPr>
          <w:sz w:val="13"/>
        </w:rPr>
      </w:pPr>
      <w:r>
        <w:rPr>
          <w:color w:val="4D4D4F"/>
          <w:w w:val="110"/>
        </w:rPr>
        <w:t>opioid</w:t>
      </w:r>
      <w:r>
        <w:rPr>
          <w:color w:val="4D4D4F"/>
          <w:spacing w:val="-12"/>
          <w:w w:val="110"/>
        </w:rPr>
        <w:t> </w:t>
      </w:r>
      <w:r>
        <w:rPr>
          <w:color w:val="4D4D4F"/>
          <w:w w:val="110"/>
        </w:rPr>
        <w:t>abstinent.</w:t>
      </w:r>
      <w:r>
        <w:rPr>
          <w:color w:val="4D4D4F"/>
          <w:spacing w:val="-11"/>
          <w:w w:val="110"/>
        </w:rPr>
        <w:t> </w:t>
      </w:r>
      <w:r>
        <w:rPr>
          <w:color w:val="4D4D4F"/>
          <w:w w:val="110"/>
        </w:rPr>
        <w:t>XR-NTX</w:t>
      </w:r>
      <w:r>
        <w:rPr>
          <w:color w:val="4D4D4F"/>
          <w:spacing w:val="-12"/>
          <w:w w:val="110"/>
        </w:rPr>
        <w:t> </w:t>
      </w:r>
      <w:r>
        <w:rPr>
          <w:color w:val="4D4D4F"/>
          <w:w w:val="110"/>
        </w:rPr>
        <w:t>was</w:t>
      </w:r>
      <w:r>
        <w:rPr>
          <w:color w:val="4D4D4F"/>
          <w:spacing w:val="-11"/>
          <w:w w:val="110"/>
        </w:rPr>
        <w:t> </w:t>
      </w:r>
      <w:r>
        <w:rPr>
          <w:color w:val="4D4D4F"/>
          <w:w w:val="110"/>
        </w:rPr>
        <w:t>found</w:t>
      </w:r>
      <w:r>
        <w:rPr>
          <w:color w:val="4D4D4F"/>
          <w:spacing w:val="-12"/>
          <w:w w:val="110"/>
        </w:rPr>
        <w:t> </w:t>
      </w:r>
      <w:r>
        <w:rPr>
          <w:color w:val="4D4D4F"/>
          <w:w w:val="110"/>
        </w:rPr>
        <w:t>to</w:t>
      </w:r>
      <w:r>
        <w:rPr>
          <w:color w:val="4D4D4F"/>
          <w:spacing w:val="-11"/>
          <w:w w:val="110"/>
        </w:rPr>
        <w:t> </w:t>
      </w:r>
      <w:r>
        <w:rPr>
          <w:color w:val="4D4D4F"/>
          <w:w w:val="110"/>
        </w:rPr>
        <w:t>be</w:t>
      </w:r>
      <w:r>
        <w:rPr>
          <w:color w:val="4D4D4F"/>
          <w:spacing w:val="-12"/>
          <w:w w:val="110"/>
        </w:rPr>
        <w:t> </w:t>
      </w:r>
      <w:r>
        <w:rPr>
          <w:color w:val="4D4D4F"/>
          <w:spacing w:val="-3"/>
          <w:w w:val="110"/>
        </w:rPr>
        <w:t>nonin- </w:t>
      </w:r>
      <w:r>
        <w:rPr>
          <w:color w:val="4D4D4F"/>
          <w:w w:val="110"/>
        </w:rPr>
        <w:t>ferior to buprenorphine in terms of treatment retention or reduction in illicit opioid</w:t>
      </w:r>
      <w:r>
        <w:rPr>
          <w:color w:val="4D4D4F"/>
          <w:spacing w:val="-44"/>
          <w:w w:val="110"/>
        </w:rPr>
        <w:t> </w:t>
      </w:r>
      <w:r>
        <w:rPr>
          <w:color w:val="4D4D4F"/>
          <w:w w:val="110"/>
        </w:rPr>
        <w:t>use.</w:t>
      </w:r>
      <w:r>
        <w:rPr>
          <w:color w:val="4D4D4F"/>
          <w:w w:val="110"/>
          <w:position w:val="7"/>
          <w:sz w:val="13"/>
        </w:rPr>
        <w:t>170</w:t>
      </w:r>
    </w:p>
    <w:p>
      <w:pPr>
        <w:pStyle w:val="Heading2"/>
        <w:spacing w:before="217"/>
      </w:pPr>
      <w:bookmarkStart w:name="_TOC_250074" w:id="41"/>
      <w:bookmarkEnd w:id="41"/>
      <w:r>
        <w:rPr>
          <w:color w:val="137692"/>
          <w:w w:val="110"/>
        </w:rPr>
        <w:t>Pharmacology</w:t>
      </w:r>
    </w:p>
    <w:p>
      <w:pPr>
        <w:pStyle w:val="BodyText"/>
        <w:spacing w:line="247" w:lineRule="auto" w:before="31"/>
        <w:ind w:left="140"/>
      </w:pPr>
      <w:r>
        <w:rPr>
          <w:color w:val="4D4D4F"/>
          <w:w w:val="110"/>
        </w:rPr>
        <w:t>Naltrexone is a competitive mu-opioid</w:t>
      </w:r>
      <w:r>
        <w:rPr>
          <w:color w:val="4D4D4F"/>
          <w:spacing w:val="-26"/>
          <w:w w:val="110"/>
        </w:rPr>
        <w:t> </w:t>
      </w:r>
      <w:r>
        <w:rPr>
          <w:color w:val="4D4D4F"/>
          <w:spacing w:val="-4"/>
          <w:w w:val="110"/>
        </w:rPr>
        <w:t>receptor </w:t>
      </w:r>
      <w:r>
        <w:rPr>
          <w:color w:val="4D4D4F"/>
          <w:w w:val="110"/>
        </w:rPr>
        <w:t>antagonist with strong receptor</w:t>
      </w:r>
      <w:r>
        <w:rPr>
          <w:color w:val="4D4D4F"/>
          <w:spacing w:val="-15"/>
          <w:w w:val="110"/>
        </w:rPr>
        <w:t> </w:t>
      </w:r>
      <w:r>
        <w:rPr>
          <w:color w:val="4D4D4F"/>
          <w:spacing w:val="-3"/>
          <w:w w:val="110"/>
        </w:rPr>
        <w:t>afﬁnity.</w:t>
      </w:r>
    </w:p>
    <w:p>
      <w:pPr>
        <w:spacing w:line="242" w:lineRule="auto" w:before="0"/>
        <w:ind w:left="140" w:right="165" w:firstLine="0"/>
        <w:jc w:val="left"/>
        <w:rPr>
          <w:sz w:val="22"/>
        </w:rPr>
      </w:pPr>
      <w:r>
        <w:rPr>
          <w:rFonts w:ascii="Calibri"/>
          <w:b/>
          <w:color w:val="4D4D4F"/>
          <w:w w:val="110"/>
          <w:sz w:val="22"/>
        </w:rPr>
        <w:t>Naltrexone does not activate the mu-opioid receptor and exerts no opioid effects. </w:t>
      </w:r>
      <w:r>
        <w:rPr>
          <w:color w:val="4D4D4F"/>
          <w:w w:val="110"/>
          <w:sz w:val="22"/>
        </w:rPr>
        <w:t>Unlike opioid agonists, naltrexone will not alleviate withdrawal symptoms, will not cause</w:t>
      </w:r>
      <w:r>
        <w:rPr>
          <w:color w:val="4D4D4F"/>
          <w:spacing w:val="-46"/>
          <w:w w:val="110"/>
          <w:sz w:val="22"/>
        </w:rPr>
        <w:t> </w:t>
      </w:r>
      <w:r>
        <w:rPr>
          <w:color w:val="4D4D4F"/>
          <w:w w:val="110"/>
          <w:sz w:val="22"/>
        </w:rPr>
        <w:t>withdrawal when stopped, and cannot be</w:t>
      </w:r>
      <w:r>
        <w:rPr>
          <w:color w:val="4D4D4F"/>
          <w:spacing w:val="1"/>
          <w:w w:val="110"/>
          <w:sz w:val="22"/>
        </w:rPr>
        <w:t> </w:t>
      </w:r>
      <w:r>
        <w:rPr>
          <w:color w:val="4D4D4F"/>
          <w:w w:val="110"/>
          <w:sz w:val="22"/>
        </w:rPr>
        <w:t>diverted.</w:t>
      </w:r>
    </w:p>
    <w:p>
      <w:pPr>
        <w:spacing w:line="237" w:lineRule="auto" w:before="184"/>
        <w:ind w:left="140" w:right="58" w:firstLine="0"/>
        <w:jc w:val="left"/>
        <w:rPr>
          <w:rFonts w:ascii="Calibri" w:hAnsi="Calibri"/>
          <w:b/>
          <w:sz w:val="22"/>
        </w:rPr>
      </w:pPr>
      <w:r>
        <w:rPr>
          <w:rFonts w:ascii="Calibri" w:hAnsi="Calibri"/>
          <w:b/>
          <w:color w:val="4D4D4F"/>
          <w:w w:val="110"/>
          <w:sz w:val="22"/>
        </w:rPr>
        <w:t>If patients maintained on  naltrexone  use opioid agonists, naltrexone can block their effects</w:t>
      </w:r>
      <w:r>
        <w:rPr>
          <w:color w:val="4D4D4F"/>
          <w:w w:val="110"/>
          <w:sz w:val="22"/>
        </w:rPr>
        <w:t>—a key feature of its therapeutic </w:t>
      </w:r>
      <w:r>
        <w:rPr>
          <w:color w:val="4D4D4F"/>
          <w:spacing w:val="-3"/>
          <w:w w:val="110"/>
          <w:sz w:val="22"/>
        </w:rPr>
        <w:t>efﬁcacy. However, </w:t>
      </w:r>
      <w:r>
        <w:rPr>
          <w:color w:val="4D4D4F"/>
          <w:w w:val="110"/>
          <w:sz w:val="22"/>
        </w:rPr>
        <w:t>because the interaction at the </w:t>
      </w:r>
      <w:r>
        <w:rPr>
          <w:color w:val="4D4D4F"/>
          <w:spacing w:val="-4"/>
          <w:w w:val="110"/>
          <w:sz w:val="22"/>
        </w:rPr>
        <w:t>receptor </w:t>
      </w:r>
      <w:r>
        <w:rPr>
          <w:color w:val="4D4D4F"/>
          <w:w w:val="110"/>
          <w:sz w:val="22"/>
        </w:rPr>
        <w:t>is competitive, the </w:t>
      </w:r>
      <w:r>
        <w:rPr>
          <w:rFonts w:ascii="Calibri" w:hAnsi="Calibri"/>
          <w:b/>
          <w:color w:val="4D4D4F"/>
          <w:w w:val="110"/>
          <w:sz w:val="22"/>
        </w:rPr>
        <w:t>blockade can potentially be overridden with high doses of</w:t>
      </w:r>
      <w:r>
        <w:rPr>
          <w:rFonts w:ascii="Calibri" w:hAnsi="Calibri"/>
          <w:b/>
          <w:color w:val="4D4D4F"/>
          <w:spacing w:val="29"/>
          <w:w w:val="110"/>
          <w:sz w:val="22"/>
        </w:rPr>
        <w:t> </w:t>
      </w:r>
      <w:r>
        <w:rPr>
          <w:rFonts w:ascii="Calibri" w:hAnsi="Calibri"/>
          <w:b/>
          <w:color w:val="4D4D4F"/>
          <w:w w:val="110"/>
          <w:sz w:val="22"/>
        </w:rPr>
        <w:t>opioids.</w:t>
      </w:r>
    </w:p>
    <w:p>
      <w:pPr>
        <w:spacing w:line="242" w:lineRule="auto" w:before="180"/>
        <w:ind w:left="140" w:right="59" w:firstLine="0"/>
        <w:jc w:val="left"/>
        <w:rPr>
          <w:sz w:val="22"/>
        </w:rPr>
      </w:pPr>
      <w:r>
        <w:rPr>
          <w:rFonts w:ascii="Calibri" w:hAnsi="Calibri"/>
          <w:b/>
          <w:color w:val="4D4D4F"/>
          <w:spacing w:val="-4"/>
          <w:w w:val="110"/>
          <w:sz w:val="22"/>
        </w:rPr>
        <w:t>Taking </w:t>
      </w:r>
      <w:r>
        <w:rPr>
          <w:rFonts w:ascii="Calibri" w:hAnsi="Calibri"/>
          <w:b/>
          <w:color w:val="4D4D4F"/>
          <w:w w:val="110"/>
          <w:sz w:val="22"/>
        </w:rPr>
        <w:t>naltrexone after recent use of opioids can precipitate opioid withdrawal. </w:t>
      </w:r>
      <w:r>
        <w:rPr>
          <w:color w:val="4D4D4F"/>
          <w:w w:val="110"/>
          <w:sz w:val="22"/>
        </w:rPr>
        <w:t>Given its strong </w:t>
      </w:r>
      <w:r>
        <w:rPr>
          <w:color w:val="4D4D4F"/>
          <w:spacing w:val="-3"/>
          <w:w w:val="110"/>
          <w:sz w:val="22"/>
        </w:rPr>
        <w:t>afﬁnity, </w:t>
      </w:r>
      <w:r>
        <w:rPr>
          <w:color w:val="4D4D4F"/>
          <w:w w:val="110"/>
          <w:sz w:val="22"/>
        </w:rPr>
        <w:t>naltrexone can displace other opioids from the </w:t>
      </w:r>
      <w:r>
        <w:rPr>
          <w:color w:val="4D4D4F"/>
          <w:spacing w:val="-3"/>
          <w:w w:val="110"/>
          <w:sz w:val="22"/>
        </w:rPr>
        <w:t>receptor. </w:t>
      </w:r>
      <w:r>
        <w:rPr>
          <w:color w:val="4D4D4F"/>
          <w:w w:val="110"/>
          <w:sz w:val="22"/>
        </w:rPr>
        <w:t>Patients must typically wait</w:t>
      </w:r>
      <w:r>
        <w:rPr>
          <w:color w:val="4D4D4F"/>
          <w:spacing w:val="-6"/>
          <w:w w:val="110"/>
          <w:sz w:val="22"/>
        </w:rPr>
        <w:t> </w:t>
      </w:r>
      <w:r>
        <w:rPr>
          <w:color w:val="4D4D4F"/>
          <w:w w:val="110"/>
          <w:sz w:val="22"/>
        </w:rPr>
        <w:t>7</w:t>
      </w:r>
      <w:r>
        <w:rPr>
          <w:color w:val="4D4D4F"/>
          <w:spacing w:val="-6"/>
          <w:w w:val="110"/>
          <w:sz w:val="22"/>
        </w:rPr>
        <w:t> </w:t>
      </w:r>
      <w:r>
        <w:rPr>
          <w:color w:val="4D4D4F"/>
          <w:w w:val="110"/>
          <w:sz w:val="22"/>
        </w:rPr>
        <w:t>to</w:t>
      </w:r>
      <w:r>
        <w:rPr>
          <w:color w:val="4D4D4F"/>
          <w:spacing w:val="-6"/>
          <w:w w:val="110"/>
          <w:sz w:val="22"/>
        </w:rPr>
        <w:t> </w:t>
      </w:r>
      <w:r>
        <w:rPr>
          <w:color w:val="4D4D4F"/>
          <w:w w:val="110"/>
          <w:sz w:val="22"/>
        </w:rPr>
        <w:t>10</w:t>
      </w:r>
      <w:r>
        <w:rPr>
          <w:color w:val="4D4D4F"/>
          <w:spacing w:val="-6"/>
          <w:w w:val="110"/>
          <w:sz w:val="22"/>
        </w:rPr>
        <w:t> </w:t>
      </w:r>
      <w:r>
        <w:rPr>
          <w:color w:val="4D4D4F"/>
          <w:w w:val="110"/>
          <w:sz w:val="22"/>
        </w:rPr>
        <w:t>days</w:t>
      </w:r>
      <w:r>
        <w:rPr>
          <w:color w:val="4D4D4F"/>
          <w:spacing w:val="-6"/>
          <w:w w:val="110"/>
          <w:sz w:val="22"/>
        </w:rPr>
        <w:t> </w:t>
      </w:r>
      <w:r>
        <w:rPr>
          <w:color w:val="4D4D4F"/>
          <w:w w:val="110"/>
          <w:sz w:val="22"/>
        </w:rPr>
        <w:t>after</w:t>
      </w:r>
      <w:r>
        <w:rPr>
          <w:color w:val="4D4D4F"/>
          <w:spacing w:val="-6"/>
          <w:w w:val="110"/>
          <w:sz w:val="22"/>
        </w:rPr>
        <w:t> </w:t>
      </w:r>
      <w:r>
        <w:rPr>
          <w:color w:val="4D4D4F"/>
          <w:w w:val="110"/>
          <w:sz w:val="22"/>
        </w:rPr>
        <w:t>their</w:t>
      </w:r>
      <w:r>
        <w:rPr>
          <w:color w:val="4D4D4F"/>
          <w:spacing w:val="-6"/>
          <w:w w:val="110"/>
          <w:sz w:val="22"/>
        </w:rPr>
        <w:t> </w:t>
      </w:r>
      <w:r>
        <w:rPr>
          <w:color w:val="4D4D4F"/>
          <w:w w:val="110"/>
          <w:sz w:val="22"/>
        </w:rPr>
        <w:t>last</w:t>
      </w:r>
      <w:r>
        <w:rPr>
          <w:color w:val="4D4D4F"/>
          <w:spacing w:val="-6"/>
          <w:w w:val="110"/>
          <w:sz w:val="22"/>
        </w:rPr>
        <w:t> </w:t>
      </w:r>
      <w:r>
        <w:rPr>
          <w:color w:val="4D4D4F"/>
          <w:w w:val="110"/>
          <w:sz w:val="22"/>
        </w:rPr>
        <w:t>use</w:t>
      </w:r>
      <w:r>
        <w:rPr>
          <w:color w:val="4D4D4F"/>
          <w:spacing w:val="-6"/>
          <w:w w:val="110"/>
          <w:sz w:val="22"/>
        </w:rPr>
        <w:t> </w:t>
      </w:r>
      <w:r>
        <w:rPr>
          <w:color w:val="4D4D4F"/>
          <w:w w:val="110"/>
          <w:sz w:val="22"/>
        </w:rPr>
        <w:t>of</w:t>
      </w:r>
      <w:r>
        <w:rPr>
          <w:color w:val="4D4D4F"/>
          <w:spacing w:val="-6"/>
          <w:w w:val="110"/>
          <w:sz w:val="22"/>
        </w:rPr>
        <w:t> </w:t>
      </w:r>
      <w:r>
        <w:rPr>
          <w:color w:val="4D4D4F"/>
          <w:w w:val="110"/>
          <w:sz w:val="22"/>
        </w:rPr>
        <w:t>short-</w:t>
      </w:r>
    </w:p>
    <w:p>
      <w:pPr>
        <w:pStyle w:val="BodyText"/>
        <w:spacing w:line="247" w:lineRule="auto" w:before="106"/>
        <w:ind w:left="140" w:right="274"/>
      </w:pPr>
      <w:r>
        <w:rPr/>
        <w:br w:type="column"/>
      </w:r>
      <w:r>
        <w:rPr>
          <w:color w:val="4D4D4F"/>
          <w:w w:val="110"/>
        </w:rPr>
        <w:t>acting opioids and 10 to 14 days after their last use of long-acting opioids before taking their ﬁrst dose of naltrexone.</w:t>
      </w:r>
    </w:p>
    <w:p>
      <w:pPr>
        <w:pStyle w:val="BodyText"/>
        <w:spacing w:before="11"/>
      </w:pPr>
    </w:p>
    <w:p>
      <w:pPr>
        <w:pStyle w:val="Heading3"/>
      </w:pPr>
      <w:bookmarkStart w:name="_TOC_250073" w:id="42"/>
      <w:bookmarkEnd w:id="42"/>
      <w:r>
        <w:rPr>
          <w:color w:val="137692"/>
          <w:w w:val="110"/>
        </w:rPr>
        <w:t>Bioavailability</w:t>
      </w:r>
    </w:p>
    <w:p>
      <w:pPr>
        <w:pStyle w:val="BodyText"/>
        <w:spacing w:line="244" w:lineRule="auto" w:before="42"/>
        <w:ind w:left="140" w:right="394"/>
        <w:jc w:val="both"/>
        <w:rPr>
          <w:sz w:val="13"/>
        </w:rPr>
      </w:pPr>
      <w:r>
        <w:rPr>
          <w:rFonts w:ascii="Calibri"/>
          <w:b/>
          <w:color w:val="4D4D4F"/>
          <w:w w:val="110"/>
        </w:rPr>
        <w:t>Oral: </w:t>
      </w:r>
      <w:r>
        <w:rPr>
          <w:color w:val="4D4D4F"/>
          <w:w w:val="110"/>
        </w:rPr>
        <w:t>The gastrointestinal tract readily absorbs oral</w:t>
      </w:r>
      <w:r>
        <w:rPr>
          <w:color w:val="4D4D4F"/>
          <w:spacing w:val="-10"/>
          <w:w w:val="110"/>
        </w:rPr>
        <w:t> </w:t>
      </w:r>
      <w:r>
        <w:rPr>
          <w:color w:val="4D4D4F"/>
          <w:w w:val="110"/>
        </w:rPr>
        <w:t>naltrexone.</w:t>
      </w:r>
      <w:r>
        <w:rPr>
          <w:color w:val="4D4D4F"/>
          <w:spacing w:val="-10"/>
          <w:w w:val="110"/>
        </w:rPr>
        <w:t> </w:t>
      </w:r>
      <w:r>
        <w:rPr>
          <w:color w:val="4D4D4F"/>
          <w:w w:val="110"/>
        </w:rPr>
        <w:t>Peak</w:t>
      </w:r>
      <w:r>
        <w:rPr>
          <w:color w:val="4D4D4F"/>
          <w:spacing w:val="-10"/>
          <w:w w:val="110"/>
        </w:rPr>
        <w:t> </w:t>
      </w:r>
      <w:r>
        <w:rPr>
          <w:color w:val="4D4D4F"/>
          <w:w w:val="110"/>
        </w:rPr>
        <w:t>concentrations</w:t>
      </w:r>
      <w:r>
        <w:rPr>
          <w:color w:val="4D4D4F"/>
          <w:spacing w:val="-9"/>
          <w:w w:val="110"/>
        </w:rPr>
        <w:t> </w:t>
      </w:r>
      <w:r>
        <w:rPr>
          <w:color w:val="4D4D4F"/>
          <w:w w:val="110"/>
        </w:rPr>
        <w:t>occur</w:t>
      </w:r>
      <w:r>
        <w:rPr>
          <w:color w:val="4D4D4F"/>
          <w:spacing w:val="-10"/>
          <w:w w:val="110"/>
        </w:rPr>
        <w:t> </w:t>
      </w:r>
      <w:r>
        <w:rPr>
          <w:color w:val="4D4D4F"/>
          <w:w w:val="110"/>
        </w:rPr>
        <w:t>in</w:t>
      </w:r>
      <w:r>
        <w:rPr>
          <w:color w:val="4D4D4F"/>
          <w:spacing w:val="-10"/>
          <w:w w:val="110"/>
        </w:rPr>
        <w:t> </w:t>
      </w:r>
      <w:r>
        <w:rPr>
          <w:color w:val="4D4D4F"/>
          <w:spacing w:val="-18"/>
          <w:w w:val="110"/>
        </w:rPr>
        <w:t>1 </w:t>
      </w:r>
      <w:r>
        <w:rPr>
          <w:color w:val="4D4D4F"/>
          <w:w w:val="110"/>
        </w:rPr>
        <w:t>to 2</w:t>
      </w:r>
      <w:r>
        <w:rPr>
          <w:color w:val="4D4D4F"/>
          <w:spacing w:val="-13"/>
          <w:w w:val="110"/>
        </w:rPr>
        <w:t> </w:t>
      </w:r>
      <w:r>
        <w:rPr>
          <w:color w:val="4D4D4F"/>
          <w:w w:val="110"/>
        </w:rPr>
        <w:t>hours.</w:t>
      </w:r>
      <w:r>
        <w:rPr>
          <w:color w:val="4D4D4F"/>
          <w:w w:val="110"/>
          <w:position w:val="7"/>
          <w:sz w:val="13"/>
        </w:rPr>
        <w:t>171</w:t>
      </w:r>
    </w:p>
    <w:p>
      <w:pPr>
        <w:pStyle w:val="BodyText"/>
        <w:spacing w:line="247" w:lineRule="auto" w:before="178"/>
        <w:ind w:left="140" w:right="278"/>
      </w:pPr>
      <w:r>
        <w:rPr>
          <w:rFonts w:ascii="Calibri"/>
          <w:b/>
          <w:color w:val="4D4D4F"/>
          <w:w w:val="110"/>
        </w:rPr>
        <w:t>XR-NTX: </w:t>
      </w:r>
      <w:r>
        <w:rPr>
          <w:color w:val="4D4D4F"/>
          <w:w w:val="110"/>
        </w:rPr>
        <w:t>IM injection causes a transient peak blood concentration 2 hours after injection and another at 2 to 3 days after injection.</w:t>
      </w:r>
      <w:r>
        <w:rPr>
          <w:color w:val="4D4D4F"/>
          <w:w w:val="110"/>
          <w:position w:val="7"/>
          <w:sz w:val="13"/>
        </w:rPr>
        <w:t>172 </w:t>
      </w:r>
      <w:r>
        <w:rPr>
          <w:color w:val="4D4D4F"/>
          <w:w w:val="110"/>
        </w:rPr>
        <w:t>About 14 days after injection, concentrations gradually diminish, with measurable blood levels for more than 1 month.</w:t>
      </w:r>
    </w:p>
    <w:p>
      <w:pPr>
        <w:spacing w:line="242" w:lineRule="auto" w:before="173"/>
        <w:ind w:left="140" w:right="253" w:firstLine="0"/>
        <w:jc w:val="left"/>
        <w:rPr>
          <w:sz w:val="13"/>
        </w:rPr>
      </w:pPr>
      <w:r>
        <w:rPr>
          <w:rFonts w:ascii="Calibri" w:hAnsi="Calibri"/>
          <w:b/>
          <w:color w:val="4D4D4F"/>
          <w:w w:val="110"/>
          <w:sz w:val="22"/>
        </w:rPr>
        <w:t>Both formulations are extensively metabolized by the kidneys and liver, </w:t>
      </w:r>
      <w:r>
        <w:rPr>
          <w:color w:val="4D4D4F"/>
          <w:w w:val="110"/>
          <w:sz w:val="22"/>
        </w:rPr>
        <w:t>but without CYP450 enzyme system involvement. Unlike methadone and buprenorphine, </w:t>
      </w:r>
      <w:r>
        <w:rPr>
          <w:rFonts w:ascii="Calibri" w:hAnsi="Calibri"/>
          <w:b/>
          <w:color w:val="4D4D4F"/>
          <w:w w:val="110"/>
          <w:sz w:val="22"/>
        </w:rPr>
        <w:t>naltrexone has limited potential drug–drug interactions. </w:t>
      </w:r>
      <w:r>
        <w:rPr>
          <w:color w:val="4D4D4F"/>
          <w:w w:val="110"/>
          <w:sz w:val="22"/>
        </w:rPr>
        <w:t>Its major metabolite, 6-beta naltrexol, is also a mu-opioid receptor antagonist. It is eliminated primarily by the kidneys in the urine.</w:t>
      </w:r>
      <w:r>
        <w:rPr>
          <w:color w:val="4D4D4F"/>
          <w:w w:val="110"/>
          <w:position w:val="7"/>
          <w:sz w:val="13"/>
        </w:rPr>
        <w:t>173</w:t>
      </w:r>
    </w:p>
    <w:p>
      <w:pPr>
        <w:spacing w:line="242" w:lineRule="auto" w:before="177"/>
        <w:ind w:left="140" w:right="327" w:firstLine="0"/>
        <w:jc w:val="left"/>
        <w:rPr>
          <w:sz w:val="13"/>
        </w:rPr>
      </w:pPr>
      <w:r>
        <w:rPr>
          <w:rFonts w:ascii="Calibri"/>
          <w:b/>
          <w:color w:val="4D4D4F"/>
          <w:w w:val="110"/>
          <w:sz w:val="22"/>
        </w:rPr>
        <w:t>Orally administered naltrexone has a half-life of approximately 4 hours. </w:t>
      </w:r>
      <w:r>
        <w:rPr>
          <w:color w:val="4D4D4F"/>
          <w:w w:val="110"/>
          <w:sz w:val="22"/>
        </w:rPr>
        <w:t>Its primary me- tabolite, 6-beta-naltrexol, is a weak mu-opioid receptor antagonist with a half-life of approxi- mately 12 hours.</w:t>
      </w:r>
      <w:r>
        <w:rPr>
          <w:color w:val="4D4D4F"/>
          <w:w w:val="110"/>
          <w:position w:val="7"/>
          <w:sz w:val="13"/>
        </w:rPr>
        <w:t>174</w:t>
      </w:r>
    </w:p>
    <w:p>
      <w:pPr>
        <w:spacing w:line="240" w:lineRule="auto" w:before="184"/>
        <w:ind w:left="140" w:right="471" w:firstLine="0"/>
        <w:jc w:val="left"/>
        <w:rPr>
          <w:sz w:val="22"/>
        </w:rPr>
      </w:pPr>
      <w:r>
        <w:rPr>
          <w:rFonts w:ascii="Calibri" w:hAnsi="Calibri"/>
          <w:b/>
          <w:color w:val="4D4D4F"/>
          <w:w w:val="110"/>
          <w:sz w:val="22"/>
        </w:rPr>
        <w:t>XR-NTX</w:t>
      </w:r>
      <w:r>
        <w:rPr>
          <w:color w:val="4D4D4F"/>
          <w:w w:val="110"/>
          <w:sz w:val="22"/>
        </w:rPr>
        <w:t>, or “depot naltrexone,” is encapsu- lated in biodegradable polymer microspheres. </w:t>
      </w:r>
      <w:r>
        <w:rPr>
          <w:rFonts w:ascii="Calibri" w:hAnsi="Calibri"/>
          <w:b/>
          <w:color w:val="4D4D4F"/>
          <w:w w:val="110"/>
          <w:sz w:val="22"/>
        </w:rPr>
        <w:t>It provides opioid blockade by delivering steady naltrexone concentrations  for  about 1 month.</w:t>
      </w:r>
      <w:r>
        <w:rPr>
          <w:rFonts w:ascii="Calibri" w:hAnsi="Calibri"/>
          <w:b/>
          <w:color w:val="4D4D4F"/>
          <w:w w:val="110"/>
          <w:position w:val="7"/>
          <w:sz w:val="13"/>
        </w:rPr>
        <w:t>175 </w:t>
      </w:r>
      <w:r>
        <w:rPr>
          <w:color w:val="4D4D4F"/>
          <w:w w:val="110"/>
          <w:sz w:val="22"/>
        </w:rPr>
        <w:t>Elimination half-life is 5 to 10</w:t>
      </w:r>
      <w:r>
        <w:rPr>
          <w:color w:val="4D4D4F"/>
          <w:spacing w:val="-22"/>
          <w:w w:val="110"/>
          <w:sz w:val="22"/>
        </w:rPr>
        <w:t> </w:t>
      </w:r>
      <w:r>
        <w:rPr>
          <w:color w:val="4D4D4F"/>
          <w:spacing w:val="-4"/>
          <w:w w:val="110"/>
          <w:sz w:val="22"/>
        </w:rPr>
        <w:t>days.</w:t>
      </w:r>
    </w:p>
    <w:p>
      <w:pPr>
        <w:pStyle w:val="BodyText"/>
        <w:spacing w:line="247" w:lineRule="auto"/>
        <w:ind w:left="140" w:right="232"/>
      </w:pPr>
      <w:r>
        <w:rPr>
          <w:color w:val="4D4D4F"/>
          <w:w w:val="110"/>
        </w:rPr>
        <w:t>Repeated administration causes no </w:t>
      </w:r>
      <w:r>
        <w:rPr>
          <w:color w:val="4D4D4F"/>
          <w:spacing w:val="-2"/>
          <w:w w:val="110"/>
        </w:rPr>
        <w:t>accumulation </w:t>
      </w:r>
      <w:r>
        <w:rPr>
          <w:color w:val="4D4D4F"/>
          <w:w w:val="110"/>
        </w:rPr>
        <w:t>of naltrexone or its</w:t>
      </w:r>
      <w:r>
        <w:rPr>
          <w:color w:val="4D4D4F"/>
          <w:spacing w:val="-24"/>
          <w:w w:val="110"/>
        </w:rPr>
        <w:t> </w:t>
      </w:r>
      <w:r>
        <w:rPr>
          <w:color w:val="4D4D4F"/>
          <w:w w:val="110"/>
        </w:rPr>
        <w:t>metabolites.</w:t>
      </w:r>
    </w:p>
    <w:p>
      <w:pPr>
        <w:pStyle w:val="Heading2"/>
        <w:spacing w:before="212"/>
        <w:jc w:val="both"/>
      </w:pPr>
      <w:bookmarkStart w:name="_TOC_250072" w:id="43"/>
      <w:r>
        <w:rPr>
          <w:color w:val="137692"/>
          <w:w w:val="110"/>
        </w:rPr>
        <w:t>Dosing</w:t>
      </w:r>
      <w:r>
        <w:rPr>
          <w:color w:val="137692"/>
          <w:spacing w:val="-30"/>
          <w:w w:val="110"/>
        </w:rPr>
        <w:t> </w:t>
      </w:r>
      <w:bookmarkEnd w:id="43"/>
      <w:r>
        <w:rPr>
          <w:color w:val="137692"/>
          <w:spacing w:val="-3"/>
          <w:w w:val="110"/>
        </w:rPr>
        <w:t>Considerations</w:t>
      </w:r>
    </w:p>
    <w:p>
      <w:pPr>
        <w:pStyle w:val="Heading3"/>
        <w:spacing w:before="114"/>
      </w:pPr>
      <w:bookmarkStart w:name="_TOC_250071" w:id="44"/>
      <w:bookmarkEnd w:id="44"/>
      <w:r>
        <w:rPr>
          <w:color w:val="137692"/>
          <w:w w:val="110"/>
        </w:rPr>
        <w:t>XR-NTX</w:t>
      </w:r>
    </w:p>
    <w:p>
      <w:pPr>
        <w:pStyle w:val="BodyText"/>
        <w:spacing w:line="247" w:lineRule="auto" w:before="47"/>
        <w:ind w:left="140" w:right="175"/>
      </w:pPr>
      <w:r>
        <w:rPr>
          <w:color w:val="4D4D4F"/>
          <w:spacing w:val="-3"/>
          <w:w w:val="110"/>
        </w:rPr>
        <w:t>XR-NTX </w:t>
      </w:r>
      <w:r>
        <w:rPr>
          <w:color w:val="4D4D4F"/>
          <w:w w:val="110"/>
        </w:rPr>
        <w:t>is </w:t>
      </w:r>
      <w:r>
        <w:rPr>
          <w:color w:val="4D4D4F"/>
          <w:spacing w:val="-3"/>
          <w:w w:val="110"/>
        </w:rPr>
        <w:t>indicated </w:t>
      </w:r>
      <w:r>
        <w:rPr>
          <w:color w:val="4D4D4F"/>
          <w:w w:val="110"/>
        </w:rPr>
        <w:t>for the </w:t>
      </w:r>
      <w:r>
        <w:rPr>
          <w:color w:val="4D4D4F"/>
          <w:spacing w:val="-4"/>
          <w:w w:val="110"/>
        </w:rPr>
        <w:t>prevention </w:t>
      </w:r>
      <w:r>
        <w:rPr>
          <w:color w:val="4D4D4F"/>
          <w:w w:val="110"/>
        </w:rPr>
        <w:t>of </w:t>
      </w:r>
      <w:r>
        <w:rPr>
          <w:color w:val="4D4D4F"/>
          <w:spacing w:val="-4"/>
          <w:w w:val="110"/>
        </w:rPr>
        <w:t>return </w:t>
      </w:r>
      <w:r>
        <w:rPr>
          <w:color w:val="4D4D4F"/>
          <w:w w:val="110"/>
        </w:rPr>
        <w:t>to opioid dependence following medically supervised opioid withdrawal. Appropriate patients should have an adequate period of abstinence with no signs of opioid withdrawal before XR-NTX administration. Patients must be willing to receive monthly IM injections. </w:t>
      </w:r>
      <w:r>
        <w:rPr>
          <w:color w:val="4D4D4F"/>
          <w:spacing w:val="-3"/>
          <w:w w:val="110"/>
        </w:rPr>
        <w:t>Become</w:t>
      </w:r>
    </w:p>
    <w:p>
      <w:pPr>
        <w:spacing w:after="0" w:line="247" w:lineRule="auto"/>
        <w:sectPr>
          <w:type w:val="continuous"/>
          <w:pgSz w:w="12240" w:h="15840"/>
          <w:pgMar w:top="540" w:bottom="280" w:left="940" w:right="920"/>
          <w:cols w:num="2" w:equalWidth="0">
            <w:col w:w="5040" w:space="180"/>
            <w:col w:w="5160"/>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140" w:right="320"/>
      </w:pPr>
      <w:r>
        <w:rPr>
          <w:color w:val="4C4D4F"/>
          <w:w w:val="115"/>
        </w:rPr>
        <w:t>acquainted with the FDA label for XR-NTX, which</w:t>
      </w:r>
      <w:r>
        <w:rPr>
          <w:color w:val="4C4D4F"/>
          <w:spacing w:val="-28"/>
          <w:w w:val="115"/>
        </w:rPr>
        <w:t> </w:t>
      </w:r>
      <w:r>
        <w:rPr>
          <w:color w:val="4C4D4F"/>
          <w:w w:val="115"/>
        </w:rPr>
        <w:t>is</w:t>
      </w:r>
      <w:r>
        <w:rPr>
          <w:color w:val="4C4D4F"/>
          <w:spacing w:val="-28"/>
          <w:w w:val="115"/>
        </w:rPr>
        <w:t> </w:t>
      </w:r>
      <w:r>
        <w:rPr>
          <w:color w:val="4C4D4F"/>
          <w:w w:val="115"/>
        </w:rPr>
        <w:t>available</w:t>
      </w:r>
      <w:r>
        <w:rPr>
          <w:color w:val="4C4D4F"/>
          <w:spacing w:val="-28"/>
          <w:w w:val="115"/>
        </w:rPr>
        <w:t> </w:t>
      </w:r>
      <w:r>
        <w:rPr>
          <w:color w:val="4C4D4F"/>
          <w:w w:val="115"/>
        </w:rPr>
        <w:t>online</w:t>
      </w:r>
      <w:r>
        <w:rPr>
          <w:color w:val="4C4D4F"/>
          <w:spacing w:val="-27"/>
          <w:w w:val="115"/>
        </w:rPr>
        <w:t> </w:t>
      </w:r>
      <w:r>
        <w:rPr>
          <w:color w:val="4C4D4F"/>
          <w:w w:val="115"/>
        </w:rPr>
        <w:t>(</w:t>
      </w:r>
      <w:r>
        <w:rPr>
          <w:color w:val="205E9E"/>
          <w:w w:val="115"/>
          <w:u w:val="single" w:color="205E9E"/>
        </w:rPr>
        <w:t>https://dailymed.nlm</w:t>
      </w:r>
    </w:p>
    <w:p>
      <w:pPr>
        <w:pStyle w:val="BodyText"/>
        <w:spacing w:before="2"/>
        <w:ind w:left="140"/>
      </w:pPr>
      <w:r>
        <w:rPr>
          <w:color w:val="205E9E"/>
          <w:w w:val="115"/>
          <w:u w:val="single" w:color="205E9E"/>
        </w:rPr>
        <w:t>.nih.gov/dailymed/drugInfo.cfm?setid=cd11c435</w:t>
      </w:r>
    </w:p>
    <w:p>
      <w:pPr>
        <w:pStyle w:val="BodyText"/>
        <w:spacing w:before="9"/>
        <w:ind w:left="140"/>
      </w:pPr>
      <w:r>
        <w:rPr>
          <w:color w:val="205E9E"/>
          <w:w w:val="115"/>
          <w:u w:val="single" w:color="205E9E"/>
        </w:rPr>
        <w:t>-b0f0-4bb9-ae78-60f101f3703f</w:t>
      </w:r>
      <w:r>
        <w:rPr>
          <w:color w:val="4C4D4F"/>
          <w:w w:val="115"/>
        </w:rPr>
        <w:t>).</w:t>
      </w:r>
    </w:p>
    <w:p>
      <w:pPr>
        <w:pStyle w:val="Heading5"/>
        <w:spacing w:before="223"/>
        <w:rPr>
          <w:i/>
        </w:rPr>
      </w:pPr>
      <w:r>
        <w:rPr>
          <w:i/>
          <w:color w:val="147592"/>
        </w:rPr>
        <w:t>Contraindications</w:t>
      </w:r>
    </w:p>
    <w:p>
      <w:pPr>
        <w:pStyle w:val="Heading7"/>
        <w:spacing w:line="235" w:lineRule="auto" w:before="47"/>
        <w:ind w:right="108"/>
        <w:rPr>
          <w:sz w:val="13"/>
        </w:rPr>
      </w:pPr>
      <w:r>
        <w:rPr>
          <w:color w:val="4C4D4F"/>
          <w:w w:val="115"/>
        </w:rPr>
        <w:t>Contraindications to receiving XR-NTX (as well as to receiving oral naltrexone, with the exception of hypersensitivity to the XR-NTX suspension and diluent) include:</w:t>
      </w:r>
      <w:r>
        <w:rPr>
          <w:color w:val="4C4D4F"/>
          <w:w w:val="115"/>
          <w:position w:val="7"/>
          <w:sz w:val="13"/>
        </w:rPr>
        <w:t>176</w:t>
      </w:r>
    </w:p>
    <w:p>
      <w:pPr>
        <w:pStyle w:val="ListParagraph"/>
        <w:numPr>
          <w:ilvl w:val="0"/>
          <w:numId w:val="4"/>
        </w:numPr>
        <w:tabs>
          <w:tab w:pos="410" w:val="left" w:leader="none"/>
        </w:tabs>
        <w:spacing w:line="315" w:lineRule="exact" w:before="101" w:after="0"/>
        <w:ind w:left="410" w:right="0" w:hanging="270"/>
        <w:jc w:val="left"/>
        <w:rPr>
          <w:rFonts w:ascii="Arial" w:hAnsi="Arial"/>
          <w:color w:val="147592"/>
          <w:sz w:val="28"/>
        </w:rPr>
      </w:pPr>
      <w:r>
        <w:rPr>
          <w:color w:val="4C4D4F"/>
          <w:w w:val="110"/>
          <w:sz w:val="22"/>
        </w:rPr>
        <w:t>Current pain treatment with opioid</w:t>
      </w:r>
      <w:r>
        <w:rPr>
          <w:color w:val="4C4D4F"/>
          <w:spacing w:val="7"/>
          <w:w w:val="110"/>
          <w:sz w:val="22"/>
        </w:rPr>
        <w:t> </w:t>
      </w:r>
      <w:r>
        <w:rPr>
          <w:color w:val="4C4D4F"/>
          <w:w w:val="110"/>
          <w:sz w:val="22"/>
        </w:rPr>
        <w:t>analgesics.</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5"/>
          <w:sz w:val="22"/>
        </w:rPr>
        <w:t>Current physiological opioid</w:t>
      </w:r>
      <w:r>
        <w:rPr>
          <w:color w:val="4C4D4F"/>
          <w:spacing w:val="-53"/>
          <w:w w:val="115"/>
          <w:sz w:val="22"/>
        </w:rPr>
        <w:t> </w:t>
      </w:r>
      <w:r>
        <w:rPr>
          <w:color w:val="4C4D4F"/>
          <w:w w:val="115"/>
          <w:sz w:val="22"/>
        </w:rPr>
        <w:t>dependence.</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Current acute opioid</w:t>
      </w:r>
      <w:r>
        <w:rPr>
          <w:color w:val="4C4D4F"/>
          <w:spacing w:val="-21"/>
          <w:w w:val="110"/>
          <w:sz w:val="22"/>
        </w:rPr>
        <w:t> </w:t>
      </w:r>
      <w:r>
        <w:rPr>
          <w:color w:val="4C4D4F"/>
          <w:w w:val="110"/>
          <w:sz w:val="22"/>
        </w:rPr>
        <w:t>withdrawal.</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5"/>
          <w:sz w:val="22"/>
        </w:rPr>
        <w:t>Severe hepatic</w:t>
      </w:r>
      <w:r>
        <w:rPr>
          <w:color w:val="4C4D4F"/>
          <w:spacing w:val="-22"/>
          <w:w w:val="115"/>
          <w:sz w:val="22"/>
        </w:rPr>
        <w:t> </w:t>
      </w:r>
      <w:r>
        <w:rPr>
          <w:color w:val="4C4D4F"/>
          <w:w w:val="115"/>
          <w:sz w:val="22"/>
        </w:rPr>
        <w:t>impairment.</w:t>
      </w:r>
    </w:p>
    <w:p>
      <w:pPr>
        <w:pStyle w:val="ListParagraph"/>
        <w:numPr>
          <w:ilvl w:val="0"/>
          <w:numId w:val="4"/>
        </w:numPr>
        <w:tabs>
          <w:tab w:pos="410" w:val="left" w:leader="none"/>
        </w:tabs>
        <w:spacing w:line="225" w:lineRule="auto" w:before="6" w:after="0"/>
        <w:ind w:left="410" w:right="384" w:hanging="270"/>
        <w:jc w:val="left"/>
        <w:rPr>
          <w:rFonts w:ascii="Arial" w:hAnsi="Arial"/>
          <w:color w:val="147592"/>
          <w:sz w:val="28"/>
        </w:rPr>
      </w:pPr>
      <w:r>
        <w:rPr>
          <w:color w:val="4C4D4F"/>
          <w:w w:val="110"/>
          <w:sz w:val="22"/>
        </w:rPr>
        <w:t>Naloxone challenge (Exhibit 3C.1) or oral naltrexone dose causing opioid withdrawal symptoms.</w:t>
      </w:r>
    </w:p>
    <w:p>
      <w:pPr>
        <w:pStyle w:val="ListParagraph"/>
        <w:numPr>
          <w:ilvl w:val="0"/>
          <w:numId w:val="4"/>
        </w:numPr>
        <w:tabs>
          <w:tab w:pos="410" w:val="left" w:leader="none"/>
        </w:tabs>
        <w:spacing w:line="225" w:lineRule="auto" w:before="53" w:after="0"/>
        <w:ind w:left="410" w:right="477" w:hanging="270"/>
        <w:jc w:val="left"/>
        <w:rPr>
          <w:rFonts w:ascii="Arial" w:hAnsi="Arial"/>
          <w:color w:val="147592"/>
          <w:sz w:val="28"/>
        </w:rPr>
      </w:pPr>
      <w:r>
        <w:rPr>
          <w:color w:val="4C4D4F"/>
          <w:w w:val="110"/>
          <w:sz w:val="22"/>
        </w:rPr>
        <w:t>Positive urine opioid screen for</w:t>
      </w:r>
      <w:r>
        <w:rPr>
          <w:color w:val="4C4D4F"/>
          <w:spacing w:val="-41"/>
          <w:w w:val="110"/>
          <w:sz w:val="22"/>
        </w:rPr>
        <w:t> </w:t>
      </w:r>
      <w:r>
        <w:rPr>
          <w:color w:val="4C4D4F"/>
          <w:w w:val="110"/>
          <w:sz w:val="22"/>
        </w:rPr>
        <w:t>morphine, methadone, buprenorphine, oxycodone, fentanyl, or other</w:t>
      </w:r>
      <w:r>
        <w:rPr>
          <w:color w:val="4C4D4F"/>
          <w:spacing w:val="-16"/>
          <w:w w:val="110"/>
          <w:sz w:val="22"/>
        </w:rPr>
        <w:t> </w:t>
      </w:r>
      <w:r>
        <w:rPr>
          <w:color w:val="4C4D4F"/>
          <w:w w:val="110"/>
          <w:sz w:val="22"/>
        </w:rPr>
        <w:t>opioids.</w:t>
      </w:r>
    </w:p>
    <w:p>
      <w:pPr>
        <w:pStyle w:val="ListParagraph"/>
        <w:numPr>
          <w:ilvl w:val="0"/>
          <w:numId w:val="4"/>
        </w:numPr>
        <w:tabs>
          <w:tab w:pos="410" w:val="left" w:leader="none"/>
        </w:tabs>
        <w:spacing w:line="225" w:lineRule="auto" w:before="53" w:after="0"/>
        <w:ind w:left="410" w:right="146" w:hanging="270"/>
        <w:jc w:val="left"/>
        <w:rPr>
          <w:rFonts w:ascii="Arial" w:hAnsi="Arial"/>
          <w:color w:val="147592"/>
          <w:sz w:val="28"/>
        </w:rPr>
      </w:pPr>
      <w:r>
        <w:rPr>
          <w:color w:val="4C4D4F"/>
          <w:w w:val="110"/>
          <w:sz w:val="22"/>
        </w:rPr>
        <w:t>History of hypersensitivity to naltrexone, polylactide-co-glycolide, carboxymethylcellu- lose, or any other components of the</w:t>
      </w:r>
      <w:r>
        <w:rPr>
          <w:color w:val="4C4D4F"/>
          <w:spacing w:val="-2"/>
          <w:w w:val="110"/>
          <w:sz w:val="22"/>
        </w:rPr>
        <w:t> </w:t>
      </w:r>
      <w:r>
        <w:rPr>
          <w:color w:val="4C4D4F"/>
          <w:spacing w:val="-3"/>
          <w:w w:val="110"/>
          <w:sz w:val="22"/>
        </w:rPr>
        <w:t>diluent.</w:t>
      </w:r>
    </w:p>
    <w:p>
      <w:pPr>
        <w:pStyle w:val="Heading5"/>
        <w:spacing w:before="229"/>
        <w:rPr>
          <w:i/>
        </w:rPr>
      </w:pPr>
      <w:r>
        <w:rPr>
          <w:i/>
          <w:color w:val="147592"/>
          <w:w w:val="105"/>
        </w:rPr>
        <w:t>Precautions and warnings</w:t>
      </w:r>
    </w:p>
    <w:p>
      <w:pPr>
        <w:pStyle w:val="ListParagraph"/>
        <w:numPr>
          <w:ilvl w:val="0"/>
          <w:numId w:val="4"/>
        </w:numPr>
        <w:tabs>
          <w:tab w:pos="410" w:val="left" w:leader="none"/>
        </w:tabs>
        <w:spacing w:line="264" w:lineRule="exact" w:before="40" w:after="0"/>
        <w:ind w:left="410" w:right="57" w:hanging="270"/>
        <w:jc w:val="left"/>
        <w:rPr>
          <w:rFonts w:ascii="Arial" w:hAnsi="Arial"/>
          <w:color w:val="147592"/>
          <w:sz w:val="28"/>
        </w:rPr>
      </w:pPr>
      <w:r>
        <w:rPr>
          <w:rFonts w:ascii="Calibri" w:hAnsi="Calibri"/>
          <w:b/>
          <w:color w:val="4C4D4F"/>
          <w:w w:val="110"/>
          <w:sz w:val="22"/>
        </w:rPr>
        <w:t>Discuss the risks and beneﬁts of continuing naltrexone with patients who become pregnant while receiving naltrexone treatment and whose OUD is in remission. </w:t>
      </w:r>
      <w:r>
        <w:rPr>
          <w:color w:val="4C4D4F"/>
          <w:w w:val="110"/>
          <w:sz w:val="22"/>
        </w:rPr>
        <w:t>Unlike methadone and buprenorphine, nal- trexone has been little researched in </w:t>
      </w:r>
      <w:r>
        <w:rPr>
          <w:color w:val="4C4D4F"/>
          <w:spacing w:val="-4"/>
          <w:w w:val="110"/>
          <w:sz w:val="22"/>
        </w:rPr>
        <w:t>pregnant </w:t>
      </w:r>
      <w:r>
        <w:rPr>
          <w:color w:val="4C4D4F"/>
          <w:w w:val="110"/>
          <w:sz w:val="22"/>
        </w:rPr>
        <w:t>populations.</w:t>
      </w:r>
      <w:r>
        <w:rPr>
          <w:color w:val="4C4D4F"/>
          <w:w w:val="110"/>
          <w:position w:val="7"/>
          <w:sz w:val="13"/>
        </w:rPr>
        <w:t>177,178</w:t>
      </w:r>
    </w:p>
    <w:p>
      <w:pPr>
        <w:pStyle w:val="ListParagraph"/>
        <w:numPr>
          <w:ilvl w:val="0"/>
          <w:numId w:val="4"/>
        </w:numPr>
        <w:tabs>
          <w:tab w:pos="410" w:val="left" w:leader="none"/>
        </w:tabs>
        <w:spacing w:line="264" w:lineRule="exact" w:before="44" w:after="0"/>
        <w:ind w:left="410" w:right="166" w:hanging="270"/>
        <w:jc w:val="left"/>
        <w:rPr>
          <w:rFonts w:ascii="Arial" w:hAnsi="Arial"/>
          <w:color w:val="147592"/>
          <w:sz w:val="28"/>
        </w:rPr>
      </w:pPr>
      <w:r>
        <w:rPr>
          <w:rFonts w:ascii="Calibri" w:hAnsi="Calibri"/>
          <w:b/>
          <w:color w:val="4C4D4F"/>
          <w:w w:val="110"/>
          <w:sz w:val="22"/>
        </w:rPr>
        <w:t>Patients are vulnerable to opioid </w:t>
      </w:r>
      <w:r>
        <w:rPr>
          <w:rFonts w:ascii="Calibri" w:hAnsi="Calibri"/>
          <w:b/>
          <w:color w:val="4C4D4F"/>
          <w:spacing w:val="-3"/>
          <w:w w:val="110"/>
          <w:sz w:val="22"/>
        </w:rPr>
        <w:t>overdose </w:t>
      </w:r>
      <w:r>
        <w:rPr>
          <w:rFonts w:ascii="Calibri" w:hAnsi="Calibri"/>
          <w:b/>
          <w:color w:val="4C4D4F"/>
          <w:w w:val="110"/>
          <w:sz w:val="22"/>
        </w:rPr>
        <w:t>death </w:t>
      </w:r>
      <w:r>
        <w:rPr>
          <w:color w:val="4C4D4F"/>
          <w:w w:val="110"/>
          <w:sz w:val="22"/>
        </w:rPr>
        <w:t>after completing the every-4-weeks or once-monthly dosing period, missing a dose, or stopping treatment. Trying to override opioid blockade with high opioid doses may cause</w:t>
      </w:r>
      <w:r>
        <w:rPr>
          <w:color w:val="4C4D4F"/>
          <w:spacing w:val="-6"/>
          <w:w w:val="110"/>
          <w:sz w:val="22"/>
        </w:rPr>
        <w:t> </w:t>
      </w:r>
      <w:r>
        <w:rPr>
          <w:color w:val="4C4D4F"/>
          <w:w w:val="110"/>
          <w:sz w:val="22"/>
        </w:rPr>
        <w:t>overdose.</w:t>
      </w:r>
    </w:p>
    <w:p>
      <w:pPr>
        <w:pStyle w:val="ListParagraph"/>
        <w:numPr>
          <w:ilvl w:val="0"/>
          <w:numId w:val="4"/>
        </w:numPr>
        <w:tabs>
          <w:tab w:pos="410" w:val="left" w:leader="none"/>
        </w:tabs>
        <w:spacing w:line="264" w:lineRule="exact" w:before="43" w:after="0"/>
        <w:ind w:left="410" w:right="45" w:hanging="270"/>
        <w:jc w:val="left"/>
        <w:rPr>
          <w:rFonts w:ascii="Arial" w:hAnsi="Arial"/>
          <w:color w:val="147592"/>
          <w:sz w:val="28"/>
        </w:rPr>
      </w:pPr>
      <w:r>
        <w:rPr>
          <w:rFonts w:ascii="Calibri" w:hAnsi="Calibri"/>
          <w:b/>
          <w:color w:val="4C4D4F"/>
          <w:w w:val="110"/>
          <w:sz w:val="22"/>
        </w:rPr>
        <w:t>Patients may experience injection site reactions </w:t>
      </w:r>
      <w:r>
        <w:rPr>
          <w:color w:val="4C4D4F"/>
          <w:w w:val="110"/>
          <w:sz w:val="22"/>
        </w:rPr>
        <w:t>including pain, tenderness, indura- tion, swelling, erythema, bruising, or pruritus. Severe injection site reactions may occur </w:t>
      </w:r>
      <w:r>
        <w:rPr>
          <w:color w:val="4C4D4F"/>
          <w:spacing w:val="-3"/>
          <w:w w:val="110"/>
          <w:sz w:val="22"/>
        </w:rPr>
        <w:t>(e.g., </w:t>
      </w:r>
      <w:r>
        <w:rPr>
          <w:color w:val="4C4D4F"/>
          <w:w w:val="110"/>
          <w:sz w:val="22"/>
        </w:rPr>
        <w:t>cellulitis, hematoma, abscess, sterile abscess, necrosis). Some cases may require surgical intervention and may result in</w:t>
      </w:r>
      <w:r>
        <w:rPr>
          <w:color w:val="4C4D4F"/>
          <w:spacing w:val="-15"/>
          <w:w w:val="110"/>
          <w:sz w:val="22"/>
        </w:rPr>
        <w:t> </w:t>
      </w:r>
      <w:r>
        <w:rPr>
          <w:color w:val="4C4D4F"/>
          <w:w w:val="110"/>
          <w:sz w:val="22"/>
        </w:rPr>
        <w:t>signiﬁcant</w:t>
      </w:r>
    </w:p>
    <w:p>
      <w:pPr>
        <w:pStyle w:val="BodyText"/>
        <w:spacing w:line="247" w:lineRule="auto" w:before="100"/>
        <w:ind w:left="409" w:right="157"/>
      </w:pPr>
      <w:r>
        <w:rPr/>
        <w:br w:type="column"/>
      </w:r>
      <w:r>
        <w:rPr>
          <w:color w:val="4C4D4F"/>
          <w:w w:val="110"/>
        </w:rPr>
        <w:t>scarring. (See the Chapter 3C Appendix for techniques to reduce injection site reactions.) As with any IM injection, use caution in patients with thrombocytopenia or a coagula- tion disorder.</w:t>
      </w:r>
    </w:p>
    <w:p>
      <w:pPr>
        <w:pStyle w:val="ListParagraph"/>
        <w:numPr>
          <w:ilvl w:val="0"/>
          <w:numId w:val="4"/>
        </w:numPr>
        <w:tabs>
          <w:tab w:pos="410" w:val="left" w:leader="none"/>
        </w:tabs>
        <w:spacing w:line="264" w:lineRule="exact" w:before="43" w:after="0"/>
        <w:ind w:left="410" w:right="306" w:hanging="270"/>
        <w:jc w:val="left"/>
        <w:rPr>
          <w:rFonts w:ascii="Arial" w:hAnsi="Arial"/>
          <w:color w:val="147592"/>
          <w:sz w:val="28"/>
        </w:rPr>
      </w:pPr>
      <w:r>
        <w:rPr>
          <w:rFonts w:ascii="Calibri" w:hAnsi="Calibri"/>
          <w:b/>
          <w:color w:val="4C4D4F"/>
          <w:w w:val="110"/>
          <w:sz w:val="22"/>
        </w:rPr>
        <w:t>Precipitated opioid withdrawal  can  occur in patients who used illicit opioids </w:t>
      </w:r>
      <w:r>
        <w:rPr>
          <w:rFonts w:ascii="Calibri" w:hAnsi="Calibri"/>
          <w:b/>
          <w:color w:val="4C4D4F"/>
          <w:spacing w:val="-3"/>
          <w:w w:val="110"/>
          <w:sz w:val="22"/>
        </w:rPr>
        <w:t>recently </w:t>
      </w:r>
      <w:r>
        <w:rPr>
          <w:rFonts w:ascii="Calibri" w:hAnsi="Calibri"/>
          <w:b/>
          <w:color w:val="4C4D4F"/>
          <w:w w:val="110"/>
          <w:sz w:val="22"/>
        </w:rPr>
        <w:t>or switched from an opioid agonist med- ication.  </w:t>
      </w:r>
      <w:r>
        <w:rPr>
          <w:color w:val="4C4D4F"/>
          <w:w w:val="110"/>
          <w:sz w:val="22"/>
        </w:rPr>
        <w:t>Symptoms may be severe enough for hospitalization. </w:t>
      </w:r>
      <w:r>
        <w:rPr>
          <w:color w:val="4C4D4F"/>
          <w:spacing w:val="-13"/>
          <w:w w:val="110"/>
          <w:sz w:val="22"/>
        </w:rPr>
        <w:t>To </w:t>
      </w:r>
      <w:r>
        <w:rPr>
          <w:color w:val="4C4D4F"/>
          <w:w w:val="110"/>
          <w:sz w:val="22"/>
        </w:rPr>
        <w:t>avoid precipitated withdrawal from either formulation, patients should typically stop use of short-acting opioid agonists for 7 to 10 days and long- acting agonists for 10 to 14 days.</w:t>
      </w:r>
      <w:r>
        <w:rPr>
          <w:color w:val="4C4D4F"/>
          <w:w w:val="110"/>
          <w:position w:val="7"/>
          <w:sz w:val="13"/>
        </w:rPr>
        <w:t>179</w:t>
      </w:r>
      <w:r>
        <w:rPr>
          <w:color w:val="4C4D4F"/>
          <w:spacing w:val="21"/>
          <w:w w:val="110"/>
          <w:position w:val="7"/>
          <w:sz w:val="13"/>
        </w:rPr>
        <w:t> </w:t>
      </w:r>
      <w:r>
        <w:rPr>
          <w:color w:val="4C4D4F"/>
          <w:w w:val="110"/>
          <w:sz w:val="22"/>
        </w:rPr>
        <w:t>There</w:t>
      </w:r>
    </w:p>
    <w:p>
      <w:pPr>
        <w:pStyle w:val="BodyText"/>
        <w:spacing w:line="247" w:lineRule="auto" w:before="6"/>
        <w:ind w:left="410" w:right="448"/>
        <w:rPr>
          <w:sz w:val="13"/>
        </w:rPr>
      </w:pPr>
      <w:r>
        <w:rPr>
          <w:color w:val="4C4D4F"/>
          <w:w w:val="115"/>
        </w:rPr>
        <w:t>is</w:t>
      </w:r>
      <w:r>
        <w:rPr>
          <w:color w:val="4C4D4F"/>
          <w:spacing w:val="-28"/>
          <w:w w:val="115"/>
        </w:rPr>
        <w:t> </w:t>
      </w:r>
      <w:r>
        <w:rPr>
          <w:color w:val="4C4D4F"/>
          <w:w w:val="115"/>
        </w:rPr>
        <w:t>active</w:t>
      </w:r>
      <w:r>
        <w:rPr>
          <w:color w:val="4C4D4F"/>
          <w:spacing w:val="-28"/>
          <w:w w:val="115"/>
        </w:rPr>
        <w:t> </w:t>
      </w:r>
      <w:r>
        <w:rPr>
          <w:color w:val="4C4D4F"/>
          <w:w w:val="115"/>
        </w:rPr>
        <w:t>research</w:t>
      </w:r>
      <w:r>
        <w:rPr>
          <w:color w:val="4C4D4F"/>
          <w:spacing w:val="-27"/>
          <w:w w:val="115"/>
        </w:rPr>
        <w:t> </w:t>
      </w:r>
      <w:r>
        <w:rPr>
          <w:color w:val="4C4D4F"/>
          <w:w w:val="115"/>
        </w:rPr>
        <w:t>on</w:t>
      </w:r>
      <w:r>
        <w:rPr>
          <w:color w:val="4C4D4F"/>
          <w:spacing w:val="-28"/>
          <w:w w:val="115"/>
        </w:rPr>
        <w:t> </w:t>
      </w:r>
      <w:r>
        <w:rPr>
          <w:color w:val="4C4D4F"/>
          <w:w w:val="115"/>
        </w:rPr>
        <w:t>approaches</w:t>
      </w:r>
      <w:r>
        <w:rPr>
          <w:color w:val="4C4D4F"/>
          <w:spacing w:val="-27"/>
          <w:w w:val="115"/>
        </w:rPr>
        <w:t> </w:t>
      </w:r>
      <w:r>
        <w:rPr>
          <w:color w:val="4C4D4F"/>
          <w:w w:val="115"/>
        </w:rPr>
        <w:t>to</w:t>
      </w:r>
      <w:r>
        <w:rPr>
          <w:color w:val="4C4D4F"/>
          <w:spacing w:val="-28"/>
          <w:w w:val="115"/>
        </w:rPr>
        <w:t> </w:t>
      </w:r>
      <w:r>
        <w:rPr>
          <w:color w:val="4C4D4F"/>
          <w:w w:val="115"/>
        </w:rPr>
        <w:t>initiate </w:t>
      </w:r>
      <w:r>
        <w:rPr>
          <w:color w:val="4C4D4F"/>
          <w:w w:val="110"/>
        </w:rPr>
        <w:t>XR-NTX</w:t>
      </w:r>
      <w:r>
        <w:rPr>
          <w:color w:val="4C4D4F"/>
          <w:spacing w:val="-27"/>
          <w:w w:val="110"/>
        </w:rPr>
        <w:t> </w:t>
      </w:r>
      <w:r>
        <w:rPr>
          <w:color w:val="4C4D4F"/>
          <w:w w:val="110"/>
        </w:rPr>
        <w:t>more</w:t>
      </w:r>
      <w:r>
        <w:rPr>
          <w:color w:val="4C4D4F"/>
          <w:spacing w:val="-26"/>
          <w:w w:val="110"/>
        </w:rPr>
        <w:t> </w:t>
      </w:r>
      <w:r>
        <w:rPr>
          <w:color w:val="4C4D4F"/>
          <w:w w:val="110"/>
        </w:rPr>
        <w:t>quickly</w:t>
      </w:r>
      <w:r>
        <w:rPr>
          <w:color w:val="4C4D4F"/>
          <w:spacing w:val="-26"/>
          <w:w w:val="110"/>
        </w:rPr>
        <w:t> </w:t>
      </w:r>
      <w:r>
        <w:rPr>
          <w:color w:val="4C4D4F"/>
          <w:w w:val="110"/>
        </w:rPr>
        <w:t>for</w:t>
      </w:r>
      <w:r>
        <w:rPr>
          <w:color w:val="4C4D4F"/>
          <w:spacing w:val="-27"/>
          <w:w w:val="110"/>
        </w:rPr>
        <w:t> </w:t>
      </w:r>
      <w:r>
        <w:rPr>
          <w:color w:val="4C4D4F"/>
          <w:w w:val="110"/>
        </w:rPr>
        <w:t>patients</w:t>
      </w:r>
      <w:r>
        <w:rPr>
          <w:color w:val="4C4D4F"/>
          <w:spacing w:val="-26"/>
          <w:w w:val="110"/>
        </w:rPr>
        <w:t> </w:t>
      </w:r>
      <w:r>
        <w:rPr>
          <w:color w:val="4C4D4F"/>
          <w:w w:val="110"/>
        </w:rPr>
        <w:t>physically </w:t>
      </w:r>
      <w:r>
        <w:rPr>
          <w:color w:val="4C4D4F"/>
          <w:w w:val="115"/>
        </w:rPr>
        <w:t>dependent on opioid</w:t>
      </w:r>
      <w:r>
        <w:rPr>
          <w:color w:val="4C4D4F"/>
          <w:spacing w:val="-31"/>
          <w:w w:val="115"/>
        </w:rPr>
        <w:t> </w:t>
      </w:r>
      <w:r>
        <w:rPr>
          <w:color w:val="4C4D4F"/>
          <w:w w:val="115"/>
        </w:rPr>
        <w:t>agonists.</w:t>
      </w:r>
      <w:r>
        <w:rPr>
          <w:color w:val="4C4D4F"/>
          <w:w w:val="115"/>
          <w:position w:val="7"/>
          <w:sz w:val="13"/>
        </w:rPr>
        <w:t>180</w:t>
      </w:r>
    </w:p>
    <w:p>
      <w:pPr>
        <w:pStyle w:val="ListParagraph"/>
        <w:numPr>
          <w:ilvl w:val="0"/>
          <w:numId w:val="4"/>
        </w:numPr>
        <w:tabs>
          <w:tab w:pos="410" w:val="left" w:leader="none"/>
        </w:tabs>
        <w:spacing w:line="264" w:lineRule="exact" w:before="40" w:after="0"/>
        <w:ind w:left="410" w:right="261" w:hanging="270"/>
        <w:jc w:val="left"/>
        <w:rPr>
          <w:rFonts w:ascii="Arial" w:hAnsi="Arial"/>
          <w:color w:val="147592"/>
          <w:sz w:val="28"/>
        </w:rPr>
      </w:pPr>
      <w:r>
        <w:rPr>
          <w:rFonts w:ascii="Calibri" w:hAnsi="Calibri"/>
          <w:b/>
          <w:color w:val="4C4D4F"/>
          <w:spacing w:val="-3"/>
          <w:w w:val="110"/>
          <w:sz w:val="22"/>
        </w:rPr>
        <w:t>Hepatitis </w:t>
      </w:r>
      <w:r>
        <w:rPr>
          <w:rFonts w:ascii="Calibri" w:hAnsi="Calibri"/>
          <w:b/>
          <w:color w:val="4C4D4F"/>
          <w:w w:val="110"/>
          <w:sz w:val="22"/>
        </w:rPr>
        <w:t>has </w:t>
      </w:r>
      <w:r>
        <w:rPr>
          <w:rFonts w:ascii="Calibri" w:hAnsi="Calibri"/>
          <w:b/>
          <w:color w:val="4C4D4F"/>
          <w:spacing w:val="-3"/>
          <w:w w:val="110"/>
          <w:sz w:val="22"/>
        </w:rPr>
        <w:t>been associated with XR-NTX, </w:t>
      </w:r>
      <w:r>
        <w:rPr>
          <w:color w:val="4C4D4F"/>
          <w:w w:val="110"/>
          <w:sz w:val="22"/>
        </w:rPr>
        <w:t>often in the presence of other potential causes of hepatic toxicity (e.g., alcohol liver disease, viral hepatitis). Monitor liver function tests during treatment. Stop naltrexone in the presence of acute hepatitis and severe liver disease.</w:t>
      </w:r>
      <w:r>
        <w:rPr>
          <w:color w:val="4C4D4F"/>
          <w:w w:val="110"/>
          <w:position w:val="7"/>
          <w:sz w:val="13"/>
        </w:rPr>
        <w:t>181 </w:t>
      </w:r>
      <w:r>
        <w:rPr>
          <w:color w:val="4C4D4F"/>
          <w:w w:val="110"/>
          <w:sz w:val="22"/>
        </w:rPr>
        <w:t>Initiate or refer patients to treatment for</w:t>
      </w:r>
      <w:r>
        <w:rPr>
          <w:color w:val="4C4D4F"/>
          <w:spacing w:val="-12"/>
          <w:w w:val="110"/>
          <w:sz w:val="22"/>
        </w:rPr>
        <w:t> </w:t>
      </w:r>
      <w:r>
        <w:rPr>
          <w:color w:val="4C4D4F"/>
          <w:w w:val="110"/>
          <w:sz w:val="22"/>
        </w:rPr>
        <w:t>hepatitis.</w:t>
      </w:r>
    </w:p>
    <w:p>
      <w:pPr>
        <w:pStyle w:val="ListParagraph"/>
        <w:numPr>
          <w:ilvl w:val="0"/>
          <w:numId w:val="4"/>
        </w:numPr>
        <w:tabs>
          <w:tab w:pos="410" w:val="left" w:leader="none"/>
        </w:tabs>
        <w:spacing w:line="264" w:lineRule="exact" w:before="44" w:after="0"/>
        <w:ind w:left="410" w:right="425" w:hanging="270"/>
        <w:jc w:val="left"/>
        <w:rPr>
          <w:rFonts w:ascii="Arial" w:hAnsi="Arial"/>
          <w:color w:val="147592"/>
          <w:sz w:val="28"/>
        </w:rPr>
      </w:pPr>
      <w:r>
        <w:rPr>
          <w:rFonts w:ascii="Calibri" w:hAnsi="Calibri"/>
          <w:b/>
          <w:color w:val="4C4D4F"/>
          <w:w w:val="110"/>
          <w:sz w:val="22"/>
        </w:rPr>
        <w:t>Use cautiously in patients with moderate- to-severe renal impairment, </w:t>
      </w:r>
      <w:r>
        <w:rPr>
          <w:color w:val="4C4D4F"/>
          <w:w w:val="110"/>
          <w:sz w:val="22"/>
        </w:rPr>
        <w:t>because the medication is eliminated primarily through the</w:t>
      </w:r>
      <w:r>
        <w:rPr>
          <w:color w:val="4C4D4F"/>
          <w:spacing w:val="-6"/>
          <w:w w:val="110"/>
          <w:sz w:val="22"/>
        </w:rPr>
        <w:t> </w:t>
      </w:r>
      <w:r>
        <w:rPr>
          <w:color w:val="4C4D4F"/>
          <w:w w:val="110"/>
          <w:sz w:val="22"/>
        </w:rPr>
        <w:t>kidneys.</w:t>
      </w:r>
    </w:p>
    <w:p>
      <w:pPr>
        <w:pStyle w:val="ListParagraph"/>
        <w:numPr>
          <w:ilvl w:val="0"/>
          <w:numId w:val="4"/>
        </w:numPr>
        <w:tabs>
          <w:tab w:pos="410" w:val="left" w:leader="none"/>
        </w:tabs>
        <w:spacing w:line="225" w:lineRule="auto" w:before="45" w:after="0"/>
        <w:ind w:left="410" w:right="611" w:hanging="270"/>
        <w:jc w:val="left"/>
        <w:rPr>
          <w:rFonts w:ascii="Arial" w:hAnsi="Arial"/>
          <w:color w:val="147592"/>
          <w:sz w:val="28"/>
        </w:rPr>
      </w:pPr>
      <w:r>
        <w:rPr>
          <w:rFonts w:ascii="Calibri" w:hAnsi="Calibri"/>
          <w:b/>
          <w:color w:val="4C4D4F"/>
          <w:w w:val="115"/>
          <w:sz w:val="22"/>
        </w:rPr>
        <w:t>Hypersensitivity reactions </w:t>
      </w:r>
      <w:r>
        <w:rPr>
          <w:color w:val="4C4D4F"/>
          <w:w w:val="115"/>
          <w:sz w:val="22"/>
        </w:rPr>
        <w:t>can </w:t>
      </w:r>
      <w:r>
        <w:rPr>
          <w:color w:val="4C4D4F"/>
          <w:spacing w:val="-4"/>
          <w:w w:val="115"/>
          <w:sz w:val="22"/>
        </w:rPr>
        <w:t>occur, </w:t>
      </w:r>
      <w:r>
        <w:rPr>
          <w:color w:val="4C4D4F"/>
          <w:w w:val="115"/>
          <w:sz w:val="22"/>
        </w:rPr>
        <w:t>including</w:t>
      </w:r>
      <w:r>
        <w:rPr>
          <w:color w:val="4C4D4F"/>
          <w:spacing w:val="-15"/>
          <w:w w:val="115"/>
          <w:sz w:val="22"/>
        </w:rPr>
        <w:t> </w:t>
      </w:r>
      <w:r>
        <w:rPr>
          <w:color w:val="4C4D4F"/>
          <w:w w:val="115"/>
          <w:sz w:val="22"/>
        </w:rPr>
        <w:t>rash,</w:t>
      </w:r>
      <w:r>
        <w:rPr>
          <w:color w:val="4C4D4F"/>
          <w:spacing w:val="-15"/>
          <w:w w:val="115"/>
          <w:sz w:val="22"/>
        </w:rPr>
        <w:t> </w:t>
      </w:r>
      <w:r>
        <w:rPr>
          <w:color w:val="4C4D4F"/>
          <w:w w:val="115"/>
          <w:sz w:val="22"/>
        </w:rPr>
        <w:t>urticaria,</w:t>
      </w:r>
      <w:r>
        <w:rPr>
          <w:color w:val="4C4D4F"/>
          <w:spacing w:val="-14"/>
          <w:w w:val="115"/>
          <w:sz w:val="22"/>
        </w:rPr>
        <w:t> </w:t>
      </w:r>
      <w:r>
        <w:rPr>
          <w:color w:val="4C4D4F"/>
          <w:w w:val="115"/>
          <w:sz w:val="22"/>
        </w:rPr>
        <w:t>angioedema,</w:t>
      </w:r>
      <w:r>
        <w:rPr>
          <w:color w:val="4C4D4F"/>
          <w:spacing w:val="-15"/>
          <w:w w:val="115"/>
          <w:sz w:val="22"/>
        </w:rPr>
        <w:t> </w:t>
      </w:r>
      <w:r>
        <w:rPr>
          <w:color w:val="4C4D4F"/>
          <w:spacing w:val="-6"/>
          <w:w w:val="115"/>
          <w:sz w:val="22"/>
        </w:rPr>
        <w:t>and </w:t>
      </w:r>
      <w:r>
        <w:rPr>
          <w:color w:val="4C4D4F"/>
          <w:w w:val="115"/>
          <w:sz w:val="22"/>
        </w:rPr>
        <w:t>anaphylaxis.</w:t>
      </w:r>
    </w:p>
    <w:p>
      <w:pPr>
        <w:pStyle w:val="ListParagraph"/>
        <w:numPr>
          <w:ilvl w:val="0"/>
          <w:numId w:val="4"/>
        </w:numPr>
        <w:tabs>
          <w:tab w:pos="410" w:val="left" w:leader="none"/>
        </w:tabs>
        <w:spacing w:line="220" w:lineRule="auto" w:before="57" w:after="0"/>
        <w:ind w:left="410" w:right="634" w:hanging="270"/>
        <w:jc w:val="left"/>
        <w:rPr>
          <w:rFonts w:ascii="Arial" w:hAnsi="Arial"/>
          <w:color w:val="147592"/>
          <w:sz w:val="28"/>
        </w:rPr>
      </w:pPr>
      <w:r>
        <w:rPr>
          <w:rFonts w:ascii="Calibri" w:hAnsi="Calibri"/>
          <w:b/>
          <w:color w:val="4C4D4F"/>
          <w:w w:val="110"/>
          <w:sz w:val="22"/>
        </w:rPr>
        <w:t>Monitor patients with OUD for depres- sion and suicidal ideation. </w:t>
      </w:r>
      <w:r>
        <w:rPr>
          <w:color w:val="4C4D4F"/>
          <w:w w:val="110"/>
          <w:sz w:val="22"/>
        </w:rPr>
        <w:t>Naltrexone use has been occasionally associated</w:t>
      </w:r>
      <w:r>
        <w:rPr>
          <w:color w:val="4C4D4F"/>
          <w:spacing w:val="54"/>
          <w:w w:val="110"/>
          <w:sz w:val="22"/>
        </w:rPr>
        <w:t> </w:t>
      </w:r>
      <w:r>
        <w:rPr>
          <w:color w:val="4C4D4F"/>
          <w:spacing w:val="-5"/>
          <w:w w:val="110"/>
          <w:sz w:val="22"/>
        </w:rPr>
        <w:t>with</w:t>
      </w:r>
    </w:p>
    <w:p>
      <w:pPr>
        <w:pStyle w:val="BodyText"/>
        <w:spacing w:line="247" w:lineRule="auto" w:before="14"/>
        <w:ind w:left="410" w:right="157" w:hanging="1"/>
      </w:pPr>
      <w:r>
        <w:rPr>
          <w:color w:val="4C4D4F"/>
          <w:w w:val="110"/>
        </w:rPr>
        <w:t>dysphoria,</w:t>
      </w:r>
      <w:r>
        <w:rPr>
          <w:color w:val="4C4D4F"/>
          <w:w w:val="110"/>
          <w:position w:val="7"/>
          <w:sz w:val="13"/>
        </w:rPr>
        <w:t>182 </w:t>
      </w:r>
      <w:r>
        <w:rPr>
          <w:color w:val="4C4D4F"/>
          <w:w w:val="110"/>
        </w:rPr>
        <w:t>although </w:t>
      </w:r>
      <w:r>
        <w:rPr>
          <w:color w:val="4C4D4F"/>
          <w:spacing w:val="-5"/>
          <w:w w:val="110"/>
        </w:rPr>
        <w:t>it’s </w:t>
      </w:r>
      <w:r>
        <w:rPr>
          <w:color w:val="4C4D4F"/>
          <w:w w:val="110"/>
        </w:rPr>
        <w:t>unclear whether </w:t>
      </w:r>
      <w:r>
        <w:rPr>
          <w:color w:val="4C4D4F"/>
          <w:spacing w:val="-4"/>
          <w:w w:val="110"/>
        </w:rPr>
        <w:t>this </w:t>
      </w:r>
      <w:r>
        <w:rPr>
          <w:color w:val="4C4D4F"/>
          <w:w w:val="110"/>
        </w:rPr>
        <w:t>is a side effect of the medication or a manifes- tation of underlying depression or depressed mood related to OUD.</w:t>
      </w:r>
      <w:r>
        <w:rPr>
          <w:color w:val="4C4D4F"/>
          <w:w w:val="110"/>
          <w:position w:val="7"/>
          <w:sz w:val="13"/>
        </w:rPr>
        <w:t>183 </w:t>
      </w:r>
      <w:r>
        <w:rPr>
          <w:color w:val="4C4D4F"/>
          <w:w w:val="110"/>
        </w:rPr>
        <w:t>Monitor patients for depression, which is common with</w:t>
      </w:r>
      <w:r>
        <w:rPr>
          <w:color w:val="4C4D4F"/>
          <w:spacing w:val="-47"/>
          <w:w w:val="110"/>
        </w:rPr>
        <w:t> </w:t>
      </w:r>
      <w:r>
        <w:rPr>
          <w:color w:val="4C4D4F"/>
          <w:w w:val="110"/>
        </w:rPr>
        <w:t>OUD.</w:t>
      </w:r>
    </w:p>
    <w:p>
      <w:pPr>
        <w:pStyle w:val="ListParagraph"/>
        <w:numPr>
          <w:ilvl w:val="0"/>
          <w:numId w:val="4"/>
        </w:numPr>
        <w:tabs>
          <w:tab w:pos="410" w:val="left" w:leader="none"/>
        </w:tabs>
        <w:spacing w:line="264" w:lineRule="exact" w:before="43" w:after="0"/>
        <w:ind w:left="410" w:right="203" w:hanging="270"/>
        <w:jc w:val="left"/>
        <w:rPr>
          <w:rFonts w:ascii="Arial" w:hAnsi="Arial"/>
          <w:color w:val="147592"/>
          <w:sz w:val="28"/>
        </w:rPr>
      </w:pPr>
      <w:r>
        <w:rPr>
          <w:rFonts w:ascii="Calibri" w:hAnsi="Calibri"/>
          <w:b/>
          <w:color w:val="4C4D4F"/>
          <w:w w:val="110"/>
          <w:sz w:val="22"/>
        </w:rPr>
        <w:t>If a patient needs emergency pain treatment, </w:t>
      </w:r>
      <w:r>
        <w:rPr>
          <w:color w:val="4C4D4F"/>
          <w:w w:val="110"/>
          <w:sz w:val="22"/>
        </w:rPr>
        <w:t>regional anesthesia or nonopioid analgesics are alternatives to opioid analge- sics. A patient who must have opioids for </w:t>
      </w:r>
      <w:r>
        <w:rPr>
          <w:color w:val="4C4D4F"/>
          <w:spacing w:val="-5"/>
          <w:w w:val="110"/>
          <w:sz w:val="22"/>
        </w:rPr>
        <w:t>pain </w:t>
      </w:r>
      <w:r>
        <w:rPr>
          <w:color w:val="4C4D4F"/>
          <w:w w:val="110"/>
          <w:sz w:val="22"/>
        </w:rPr>
        <w:t>treatment or anesthesia requires continuous monitoring in an anesthesia care</w:t>
      </w:r>
      <w:r>
        <w:rPr>
          <w:color w:val="4C4D4F"/>
          <w:spacing w:val="2"/>
          <w:w w:val="110"/>
          <w:sz w:val="22"/>
        </w:rPr>
        <w:t> </w:t>
      </w:r>
      <w:r>
        <w:rPr>
          <w:color w:val="4C4D4F"/>
          <w:w w:val="110"/>
          <w:sz w:val="22"/>
        </w:rPr>
        <w:t>setting.</w:t>
      </w:r>
    </w:p>
    <w:p>
      <w:pPr>
        <w:spacing w:after="0" w:line="264" w:lineRule="exact"/>
        <w:jc w:val="left"/>
        <w:rPr>
          <w:rFonts w:ascii="Arial" w:hAnsi="Arial"/>
          <w:sz w:val="28"/>
        </w:rPr>
        <w:sectPr>
          <w:type w:val="continuous"/>
          <w:pgSz w:w="12240" w:h="15840"/>
          <w:pgMar w:top="540" w:bottom="280" w:left="940" w:right="920"/>
          <w:cols w:num="2" w:equalWidth="0">
            <w:col w:w="5024" w:space="196"/>
            <w:col w:w="5160"/>
          </w:cols>
        </w:sectPr>
      </w:pPr>
    </w:p>
    <w:p>
      <w:pPr>
        <w:pStyle w:val="BodyText"/>
        <w:rPr>
          <w:sz w:val="20"/>
        </w:rPr>
      </w:pPr>
      <w:r>
        <w:rPr/>
        <w:pict>
          <v:group style="position:absolute;margin-left:54.048pt;margin-top:90pt;width:503.95pt;height:630.6pt;mso-position-horizontal-relative:page;mso-position-vertical-relative:page;z-index:-19563008" coordorigin="1081,1800" coordsize="10079,12612">
            <v:rect style="position:absolute;left:1085;top:1805;width:10069;height:12602" filled="true" fillcolor="#fff7f2" stroked="false">
              <v:fill type="solid"/>
            </v:rect>
            <v:rect style="position:absolute;left:1085;top:1805;width:10069;height:12602" filled="false" stroked="true" strokeweight=".5pt" strokecolor="#88aabd">
              <v:stroke dashstyle="solid"/>
            </v:rect>
            <v:line style="position:absolute" from="1361,2442" to="10879,2442" stroked="true" strokeweight="2pt" strokecolor="#598ea7">
              <v:stroke dashstyle="solid"/>
            </v:line>
            <w10:wrap type="none"/>
          </v:group>
        </w:pict>
      </w:r>
    </w:p>
    <w:p>
      <w:pPr>
        <w:pStyle w:val="BodyText"/>
        <w:spacing w:before="2"/>
        <w:rPr>
          <w:sz w:val="27"/>
        </w:rPr>
      </w:pPr>
    </w:p>
    <w:p>
      <w:pPr>
        <w:pStyle w:val="Heading3"/>
        <w:spacing w:before="136"/>
        <w:ind w:left="420"/>
        <w:rPr>
          <w:rFonts w:ascii="Arial"/>
        </w:rPr>
      </w:pPr>
      <w:r>
        <w:rPr>
          <w:rFonts w:ascii="Arial"/>
          <w:color w:val="137692"/>
          <w:w w:val="110"/>
        </w:rPr>
        <w:t>EXHIBIT 3C.1. Naloxone Challenge</w:t>
      </w:r>
    </w:p>
    <w:p>
      <w:pPr>
        <w:pStyle w:val="BodyText"/>
        <w:spacing w:before="10"/>
        <w:rPr>
          <w:rFonts w:ascii="Arial"/>
          <w:b/>
          <w:sz w:val="29"/>
        </w:rPr>
      </w:pPr>
    </w:p>
    <w:p>
      <w:pPr>
        <w:spacing w:line="261" w:lineRule="auto" w:before="0"/>
        <w:ind w:left="420" w:right="1012" w:firstLine="0"/>
        <w:jc w:val="left"/>
        <w:rPr>
          <w:rFonts w:ascii="Calibri"/>
          <w:sz w:val="18"/>
        </w:rPr>
      </w:pPr>
      <w:r>
        <w:rPr>
          <w:rFonts w:ascii="Arial"/>
          <w:b/>
          <w:color w:val="414142"/>
          <w:w w:val="120"/>
          <w:sz w:val="18"/>
        </w:rPr>
        <w:t>Use</w:t>
      </w:r>
      <w:r>
        <w:rPr>
          <w:rFonts w:ascii="Arial"/>
          <w:b/>
          <w:color w:val="414142"/>
          <w:spacing w:val="-37"/>
          <w:w w:val="120"/>
          <w:sz w:val="18"/>
        </w:rPr>
        <w:t> </w:t>
      </w:r>
      <w:r>
        <w:rPr>
          <w:rFonts w:ascii="Arial"/>
          <w:b/>
          <w:color w:val="414142"/>
          <w:w w:val="120"/>
          <w:sz w:val="18"/>
        </w:rPr>
        <w:t>the</w:t>
      </w:r>
      <w:r>
        <w:rPr>
          <w:rFonts w:ascii="Arial"/>
          <w:b/>
          <w:color w:val="414142"/>
          <w:spacing w:val="-37"/>
          <w:w w:val="120"/>
          <w:sz w:val="18"/>
        </w:rPr>
        <w:t> </w:t>
      </w:r>
      <w:r>
        <w:rPr>
          <w:rFonts w:ascii="Arial"/>
          <w:b/>
          <w:color w:val="414142"/>
          <w:w w:val="120"/>
          <w:sz w:val="18"/>
        </w:rPr>
        <w:t>naloxone</w:t>
      </w:r>
      <w:r>
        <w:rPr>
          <w:rFonts w:ascii="Arial"/>
          <w:b/>
          <w:color w:val="414142"/>
          <w:spacing w:val="-36"/>
          <w:w w:val="120"/>
          <w:sz w:val="18"/>
        </w:rPr>
        <w:t> </w:t>
      </w:r>
      <w:r>
        <w:rPr>
          <w:rFonts w:ascii="Arial"/>
          <w:b/>
          <w:color w:val="414142"/>
          <w:w w:val="120"/>
          <w:sz w:val="18"/>
        </w:rPr>
        <w:t>challenge</w:t>
      </w:r>
      <w:r>
        <w:rPr>
          <w:rFonts w:ascii="Arial"/>
          <w:b/>
          <w:color w:val="414142"/>
          <w:spacing w:val="-37"/>
          <w:w w:val="120"/>
          <w:sz w:val="18"/>
        </w:rPr>
        <w:t> </w:t>
      </w:r>
      <w:r>
        <w:rPr>
          <w:rFonts w:ascii="Arial"/>
          <w:b/>
          <w:color w:val="414142"/>
          <w:w w:val="120"/>
          <w:sz w:val="18"/>
        </w:rPr>
        <w:t>to</w:t>
      </w:r>
      <w:r>
        <w:rPr>
          <w:rFonts w:ascii="Arial"/>
          <w:b/>
          <w:color w:val="414142"/>
          <w:spacing w:val="-36"/>
          <w:w w:val="120"/>
          <w:sz w:val="18"/>
        </w:rPr>
        <w:t> </w:t>
      </w:r>
      <w:r>
        <w:rPr>
          <w:rFonts w:ascii="Arial"/>
          <w:b/>
          <w:color w:val="414142"/>
          <w:w w:val="120"/>
          <w:sz w:val="18"/>
        </w:rPr>
        <w:t>assess</w:t>
      </w:r>
      <w:r>
        <w:rPr>
          <w:rFonts w:ascii="Arial"/>
          <w:b/>
          <w:color w:val="414142"/>
          <w:spacing w:val="-37"/>
          <w:w w:val="120"/>
          <w:sz w:val="18"/>
        </w:rPr>
        <w:t> </w:t>
      </w:r>
      <w:r>
        <w:rPr>
          <w:rFonts w:ascii="Arial"/>
          <w:b/>
          <w:color w:val="414142"/>
          <w:w w:val="120"/>
          <w:sz w:val="18"/>
        </w:rPr>
        <w:t>lack</w:t>
      </w:r>
      <w:r>
        <w:rPr>
          <w:rFonts w:ascii="Arial"/>
          <w:b/>
          <w:color w:val="414142"/>
          <w:spacing w:val="-36"/>
          <w:w w:val="120"/>
          <w:sz w:val="18"/>
        </w:rPr>
        <w:t> </w:t>
      </w:r>
      <w:r>
        <w:rPr>
          <w:rFonts w:ascii="Arial"/>
          <w:b/>
          <w:color w:val="414142"/>
          <w:w w:val="120"/>
          <w:sz w:val="18"/>
        </w:rPr>
        <w:t>of</w:t>
      </w:r>
      <w:r>
        <w:rPr>
          <w:rFonts w:ascii="Arial"/>
          <w:b/>
          <w:color w:val="414142"/>
          <w:spacing w:val="-37"/>
          <w:w w:val="120"/>
          <w:sz w:val="18"/>
        </w:rPr>
        <w:t> </w:t>
      </w:r>
      <w:r>
        <w:rPr>
          <w:rFonts w:ascii="Arial"/>
          <w:b/>
          <w:color w:val="414142"/>
          <w:w w:val="120"/>
          <w:sz w:val="18"/>
        </w:rPr>
        <w:t>physical</w:t>
      </w:r>
      <w:r>
        <w:rPr>
          <w:rFonts w:ascii="Arial"/>
          <w:b/>
          <w:color w:val="414142"/>
          <w:spacing w:val="-36"/>
          <w:w w:val="120"/>
          <w:sz w:val="18"/>
        </w:rPr>
        <w:t> </w:t>
      </w:r>
      <w:r>
        <w:rPr>
          <w:rFonts w:ascii="Arial"/>
          <w:b/>
          <w:color w:val="414142"/>
          <w:w w:val="120"/>
          <w:sz w:val="18"/>
        </w:rPr>
        <w:t>opioid</w:t>
      </w:r>
      <w:r>
        <w:rPr>
          <w:rFonts w:ascii="Arial"/>
          <w:b/>
          <w:color w:val="414142"/>
          <w:spacing w:val="-37"/>
          <w:w w:val="120"/>
          <w:sz w:val="18"/>
        </w:rPr>
        <w:t> </w:t>
      </w:r>
      <w:r>
        <w:rPr>
          <w:rFonts w:ascii="Arial"/>
          <w:b/>
          <w:color w:val="414142"/>
          <w:w w:val="120"/>
          <w:sz w:val="18"/>
        </w:rPr>
        <w:t>dependence.</w:t>
      </w:r>
      <w:r>
        <w:rPr>
          <w:rFonts w:ascii="Arial"/>
          <w:b/>
          <w:color w:val="414142"/>
          <w:spacing w:val="-38"/>
          <w:w w:val="120"/>
          <w:sz w:val="18"/>
        </w:rPr>
        <w:t> </w:t>
      </w:r>
      <w:r>
        <w:rPr>
          <w:rFonts w:ascii="Calibri"/>
          <w:color w:val="414142"/>
          <w:w w:val="120"/>
          <w:sz w:val="18"/>
        </w:rPr>
        <w:t>Naloxone</w:t>
      </w:r>
      <w:r>
        <w:rPr>
          <w:rFonts w:ascii="Calibri"/>
          <w:color w:val="414142"/>
          <w:spacing w:val="-27"/>
          <w:w w:val="120"/>
          <w:sz w:val="18"/>
        </w:rPr>
        <w:t> </w:t>
      </w:r>
      <w:r>
        <w:rPr>
          <w:rFonts w:ascii="Calibri"/>
          <w:color w:val="414142"/>
          <w:w w:val="120"/>
          <w:sz w:val="18"/>
        </w:rPr>
        <w:t>can</w:t>
      </w:r>
      <w:r>
        <w:rPr>
          <w:rFonts w:ascii="Calibri"/>
          <w:color w:val="414142"/>
          <w:spacing w:val="-27"/>
          <w:w w:val="120"/>
          <w:sz w:val="18"/>
        </w:rPr>
        <w:t> </w:t>
      </w:r>
      <w:r>
        <w:rPr>
          <w:rFonts w:ascii="Calibri"/>
          <w:color w:val="414142"/>
          <w:w w:val="120"/>
          <w:sz w:val="18"/>
        </w:rPr>
        <w:t>be administered via intravenous, subcutaneous, or IM routes to patients who report an adequate   period</w:t>
      </w:r>
      <w:r>
        <w:rPr>
          <w:rFonts w:ascii="Calibri"/>
          <w:color w:val="414142"/>
          <w:spacing w:val="16"/>
          <w:w w:val="120"/>
          <w:sz w:val="18"/>
        </w:rPr>
        <w:t> </w:t>
      </w:r>
      <w:r>
        <w:rPr>
          <w:rFonts w:ascii="Calibri"/>
          <w:color w:val="414142"/>
          <w:w w:val="120"/>
          <w:sz w:val="18"/>
        </w:rPr>
        <w:t>of</w:t>
      </w:r>
      <w:r>
        <w:rPr>
          <w:rFonts w:ascii="Calibri"/>
          <w:color w:val="414142"/>
          <w:spacing w:val="17"/>
          <w:w w:val="120"/>
          <w:sz w:val="18"/>
        </w:rPr>
        <w:t> </w:t>
      </w:r>
      <w:r>
        <w:rPr>
          <w:rFonts w:ascii="Calibri"/>
          <w:color w:val="414142"/>
          <w:w w:val="120"/>
          <w:sz w:val="18"/>
        </w:rPr>
        <w:t>opioid</w:t>
      </w:r>
      <w:r>
        <w:rPr>
          <w:rFonts w:ascii="Calibri"/>
          <w:color w:val="414142"/>
          <w:spacing w:val="17"/>
          <w:w w:val="120"/>
          <w:sz w:val="18"/>
        </w:rPr>
        <w:t> </w:t>
      </w:r>
      <w:r>
        <w:rPr>
          <w:rFonts w:ascii="Calibri"/>
          <w:color w:val="414142"/>
          <w:w w:val="120"/>
          <w:sz w:val="18"/>
        </w:rPr>
        <w:t>abstinence</w:t>
      </w:r>
      <w:r>
        <w:rPr>
          <w:rFonts w:ascii="Calibri"/>
          <w:color w:val="414142"/>
          <w:spacing w:val="17"/>
          <w:w w:val="120"/>
          <w:sz w:val="18"/>
        </w:rPr>
        <w:t> </w:t>
      </w:r>
      <w:r>
        <w:rPr>
          <w:rFonts w:ascii="Calibri"/>
          <w:color w:val="414142"/>
          <w:w w:val="120"/>
          <w:sz w:val="18"/>
        </w:rPr>
        <w:t>and</w:t>
      </w:r>
      <w:r>
        <w:rPr>
          <w:rFonts w:ascii="Calibri"/>
          <w:color w:val="414142"/>
          <w:spacing w:val="17"/>
          <w:w w:val="120"/>
          <w:sz w:val="18"/>
        </w:rPr>
        <w:t> </w:t>
      </w:r>
      <w:r>
        <w:rPr>
          <w:rFonts w:ascii="Calibri"/>
          <w:color w:val="414142"/>
          <w:w w:val="120"/>
          <w:sz w:val="18"/>
        </w:rPr>
        <w:t>have</w:t>
      </w:r>
      <w:r>
        <w:rPr>
          <w:rFonts w:ascii="Calibri"/>
          <w:color w:val="414142"/>
          <w:spacing w:val="17"/>
          <w:w w:val="120"/>
          <w:sz w:val="18"/>
        </w:rPr>
        <w:t> </w:t>
      </w:r>
      <w:r>
        <w:rPr>
          <w:rFonts w:ascii="Calibri"/>
          <w:color w:val="414142"/>
          <w:w w:val="120"/>
          <w:sz w:val="18"/>
        </w:rPr>
        <w:t>a</w:t>
      </w:r>
      <w:r>
        <w:rPr>
          <w:rFonts w:ascii="Calibri"/>
          <w:color w:val="414142"/>
          <w:spacing w:val="17"/>
          <w:w w:val="120"/>
          <w:sz w:val="18"/>
        </w:rPr>
        <w:t> </w:t>
      </w:r>
      <w:r>
        <w:rPr>
          <w:rFonts w:ascii="Calibri"/>
          <w:color w:val="414142"/>
          <w:w w:val="120"/>
          <w:sz w:val="18"/>
        </w:rPr>
        <w:t>negative</w:t>
      </w:r>
      <w:r>
        <w:rPr>
          <w:rFonts w:ascii="Calibri"/>
          <w:color w:val="414142"/>
          <w:spacing w:val="17"/>
          <w:w w:val="120"/>
          <w:sz w:val="18"/>
        </w:rPr>
        <w:t> </w:t>
      </w:r>
      <w:r>
        <w:rPr>
          <w:rFonts w:ascii="Calibri"/>
          <w:color w:val="414142"/>
          <w:w w:val="120"/>
          <w:sz w:val="18"/>
        </w:rPr>
        <w:t>opioid</w:t>
      </w:r>
      <w:r>
        <w:rPr>
          <w:rFonts w:ascii="Calibri"/>
          <w:color w:val="414142"/>
          <w:spacing w:val="17"/>
          <w:w w:val="120"/>
          <w:sz w:val="18"/>
        </w:rPr>
        <w:t> </w:t>
      </w:r>
      <w:r>
        <w:rPr>
          <w:rFonts w:ascii="Calibri"/>
          <w:color w:val="414142"/>
          <w:w w:val="120"/>
          <w:sz w:val="18"/>
        </w:rPr>
        <w:t>urine</w:t>
      </w:r>
      <w:r>
        <w:rPr>
          <w:rFonts w:ascii="Calibri"/>
          <w:color w:val="414142"/>
          <w:spacing w:val="17"/>
          <w:w w:val="120"/>
          <w:sz w:val="18"/>
        </w:rPr>
        <w:t> </w:t>
      </w:r>
      <w:r>
        <w:rPr>
          <w:rFonts w:ascii="Calibri"/>
          <w:color w:val="414142"/>
          <w:w w:val="120"/>
          <w:sz w:val="18"/>
        </w:rPr>
        <w:t>test</w:t>
      </w:r>
      <w:r>
        <w:rPr>
          <w:rFonts w:ascii="Calibri"/>
          <w:color w:val="414142"/>
          <w:spacing w:val="17"/>
          <w:w w:val="120"/>
          <w:sz w:val="18"/>
        </w:rPr>
        <w:t> </w:t>
      </w:r>
      <w:r>
        <w:rPr>
          <w:rFonts w:ascii="Calibri"/>
          <w:color w:val="414142"/>
          <w:w w:val="120"/>
          <w:sz w:val="18"/>
        </w:rPr>
        <w:t>(including</w:t>
      </w:r>
      <w:r>
        <w:rPr>
          <w:rFonts w:ascii="Calibri"/>
          <w:color w:val="414142"/>
          <w:spacing w:val="17"/>
          <w:w w:val="120"/>
          <w:sz w:val="18"/>
        </w:rPr>
        <w:t> </w:t>
      </w:r>
      <w:r>
        <w:rPr>
          <w:rFonts w:ascii="Calibri"/>
          <w:color w:val="414142"/>
          <w:w w:val="120"/>
          <w:sz w:val="18"/>
        </w:rPr>
        <w:t>morphine,</w:t>
      </w:r>
      <w:r>
        <w:rPr>
          <w:rFonts w:ascii="Calibri"/>
          <w:color w:val="414142"/>
          <w:spacing w:val="17"/>
          <w:w w:val="120"/>
          <w:sz w:val="18"/>
        </w:rPr>
        <w:t> </w:t>
      </w:r>
      <w:r>
        <w:rPr>
          <w:rFonts w:ascii="Calibri"/>
          <w:color w:val="414142"/>
          <w:w w:val="120"/>
          <w:sz w:val="18"/>
        </w:rPr>
        <w:t>methadone,</w:t>
      </w:r>
    </w:p>
    <w:p>
      <w:pPr>
        <w:spacing w:line="264" w:lineRule="auto" w:before="1"/>
        <w:ind w:left="420" w:right="875" w:firstLine="0"/>
        <w:jc w:val="left"/>
        <w:rPr>
          <w:rFonts w:ascii="Arial"/>
          <w:b/>
          <w:sz w:val="10"/>
        </w:rPr>
      </w:pPr>
      <w:r>
        <w:rPr>
          <w:rFonts w:ascii="Calibri"/>
          <w:color w:val="414142"/>
          <w:w w:val="110"/>
          <w:sz w:val="18"/>
        </w:rPr>
        <w:t>buprenorphine, and oxycodone). </w:t>
      </w:r>
      <w:r>
        <w:rPr>
          <w:rFonts w:ascii="Arial"/>
          <w:b/>
          <w:color w:val="414142"/>
          <w:w w:val="110"/>
          <w:sz w:val="18"/>
        </w:rPr>
        <w:t>A negative naloxone challenge does not guarantee that the patient  will not experience precipitated opioid withdrawal upon naltrexone</w:t>
      </w:r>
      <w:r>
        <w:rPr>
          <w:rFonts w:ascii="Arial"/>
          <w:b/>
          <w:color w:val="414142"/>
          <w:spacing w:val="-16"/>
          <w:w w:val="110"/>
          <w:sz w:val="18"/>
        </w:rPr>
        <w:t> </w:t>
      </w:r>
      <w:r>
        <w:rPr>
          <w:rFonts w:ascii="Arial"/>
          <w:b/>
          <w:color w:val="414142"/>
          <w:w w:val="110"/>
          <w:sz w:val="18"/>
        </w:rPr>
        <w:t>administration.</w:t>
      </w:r>
      <w:r>
        <w:rPr>
          <w:rFonts w:ascii="Arial"/>
          <w:b/>
          <w:color w:val="414142"/>
          <w:w w:val="110"/>
          <w:position w:val="6"/>
          <w:sz w:val="10"/>
        </w:rPr>
        <w:t>184</w:t>
      </w:r>
    </w:p>
    <w:p>
      <w:pPr>
        <w:pStyle w:val="Heading4"/>
        <w:spacing w:before="197"/>
        <w:ind w:left="420"/>
      </w:pPr>
      <w:r>
        <w:rPr>
          <w:color w:val="137692"/>
          <w:w w:val="110"/>
        </w:rPr>
        <w:t>Intravenous Administration</w:t>
      </w:r>
    </w:p>
    <w:p>
      <w:pPr>
        <w:pStyle w:val="ListParagraph"/>
        <w:numPr>
          <w:ilvl w:val="0"/>
          <w:numId w:val="19"/>
        </w:numPr>
        <w:tabs>
          <w:tab w:pos="780" w:val="left" w:leader="none"/>
          <w:tab w:pos="781" w:val="left" w:leader="none"/>
        </w:tabs>
        <w:spacing w:line="240" w:lineRule="auto" w:before="78" w:after="0"/>
        <w:ind w:left="780" w:right="0" w:hanging="361"/>
        <w:jc w:val="left"/>
        <w:rPr>
          <w:rFonts w:ascii="Arial"/>
          <w:sz w:val="18"/>
        </w:rPr>
      </w:pPr>
      <w:r>
        <w:rPr>
          <w:rFonts w:ascii="Arial"/>
          <w:color w:val="414142"/>
          <w:w w:val="115"/>
          <w:sz w:val="18"/>
        </w:rPr>
        <w:t>Draw</w:t>
      </w:r>
      <w:r>
        <w:rPr>
          <w:rFonts w:ascii="Arial"/>
          <w:color w:val="414142"/>
          <w:spacing w:val="-10"/>
          <w:w w:val="115"/>
          <w:sz w:val="18"/>
        </w:rPr>
        <w:t> </w:t>
      </w:r>
      <w:r>
        <w:rPr>
          <w:rFonts w:ascii="Arial"/>
          <w:color w:val="414142"/>
          <w:w w:val="115"/>
          <w:sz w:val="18"/>
        </w:rPr>
        <w:t>0.8</w:t>
      </w:r>
      <w:r>
        <w:rPr>
          <w:rFonts w:ascii="Arial"/>
          <w:color w:val="414142"/>
          <w:spacing w:val="-9"/>
          <w:w w:val="115"/>
          <w:sz w:val="18"/>
        </w:rPr>
        <w:t> </w:t>
      </w:r>
      <w:r>
        <w:rPr>
          <w:rFonts w:ascii="Arial"/>
          <w:color w:val="414142"/>
          <w:w w:val="115"/>
          <w:sz w:val="18"/>
        </w:rPr>
        <w:t>mg</w:t>
      </w:r>
      <w:r>
        <w:rPr>
          <w:rFonts w:ascii="Arial"/>
          <w:color w:val="414142"/>
          <w:spacing w:val="-10"/>
          <w:w w:val="115"/>
          <w:sz w:val="18"/>
        </w:rPr>
        <w:t> </w:t>
      </w:r>
      <w:r>
        <w:rPr>
          <w:rFonts w:ascii="Arial"/>
          <w:color w:val="414142"/>
          <w:w w:val="115"/>
          <w:sz w:val="18"/>
        </w:rPr>
        <w:t>naloxone</w:t>
      </w:r>
      <w:r>
        <w:rPr>
          <w:rFonts w:ascii="Arial"/>
          <w:color w:val="414142"/>
          <w:spacing w:val="-9"/>
          <w:w w:val="115"/>
          <w:sz w:val="18"/>
        </w:rPr>
        <w:t> </w:t>
      </w:r>
      <w:r>
        <w:rPr>
          <w:rFonts w:ascii="Arial"/>
          <w:color w:val="414142"/>
          <w:w w:val="115"/>
          <w:sz w:val="18"/>
        </w:rPr>
        <w:t>into</w:t>
      </w:r>
      <w:r>
        <w:rPr>
          <w:rFonts w:ascii="Arial"/>
          <w:color w:val="414142"/>
          <w:spacing w:val="-9"/>
          <w:w w:val="115"/>
          <w:sz w:val="18"/>
        </w:rPr>
        <w:t> </w:t>
      </w:r>
      <w:r>
        <w:rPr>
          <w:rFonts w:ascii="Arial"/>
          <w:color w:val="414142"/>
          <w:w w:val="115"/>
          <w:sz w:val="18"/>
        </w:rPr>
        <w:t>a</w:t>
      </w:r>
      <w:r>
        <w:rPr>
          <w:rFonts w:ascii="Arial"/>
          <w:color w:val="414142"/>
          <w:spacing w:val="-10"/>
          <w:w w:val="115"/>
          <w:sz w:val="18"/>
        </w:rPr>
        <w:t> </w:t>
      </w:r>
      <w:r>
        <w:rPr>
          <w:rFonts w:ascii="Arial"/>
          <w:color w:val="414142"/>
          <w:w w:val="115"/>
          <w:sz w:val="18"/>
        </w:rPr>
        <w:t>sterile</w:t>
      </w:r>
      <w:r>
        <w:rPr>
          <w:rFonts w:ascii="Arial"/>
          <w:color w:val="414142"/>
          <w:spacing w:val="-9"/>
          <w:w w:val="115"/>
          <w:sz w:val="18"/>
        </w:rPr>
        <w:t> </w:t>
      </w:r>
      <w:r>
        <w:rPr>
          <w:rFonts w:ascii="Arial"/>
          <w:color w:val="414142"/>
          <w:w w:val="115"/>
          <w:sz w:val="18"/>
        </w:rPr>
        <w:t>syringe.</w:t>
      </w:r>
    </w:p>
    <w:p>
      <w:pPr>
        <w:pStyle w:val="ListParagraph"/>
        <w:numPr>
          <w:ilvl w:val="0"/>
          <w:numId w:val="19"/>
        </w:numPr>
        <w:tabs>
          <w:tab w:pos="780" w:val="left" w:leader="none"/>
          <w:tab w:pos="781" w:val="left" w:leader="none"/>
        </w:tabs>
        <w:spacing w:line="240" w:lineRule="auto" w:before="62" w:after="0"/>
        <w:ind w:left="780" w:right="0" w:hanging="361"/>
        <w:jc w:val="left"/>
        <w:rPr>
          <w:rFonts w:ascii="Arial"/>
          <w:sz w:val="18"/>
        </w:rPr>
      </w:pPr>
      <w:r>
        <w:rPr>
          <w:rFonts w:ascii="Arial"/>
          <w:color w:val="414142"/>
          <w:w w:val="115"/>
          <w:sz w:val="18"/>
        </w:rPr>
        <w:t>Inject 0.2 mg naloxone</w:t>
      </w:r>
      <w:r>
        <w:rPr>
          <w:rFonts w:ascii="Arial"/>
          <w:color w:val="414142"/>
          <w:spacing w:val="-38"/>
          <w:w w:val="115"/>
          <w:sz w:val="18"/>
        </w:rPr>
        <w:t> </w:t>
      </w:r>
      <w:r>
        <w:rPr>
          <w:rFonts w:ascii="Arial"/>
          <w:color w:val="414142"/>
          <w:w w:val="115"/>
          <w:sz w:val="18"/>
        </w:rPr>
        <w:t>intravenously.</w:t>
      </w:r>
    </w:p>
    <w:p>
      <w:pPr>
        <w:pStyle w:val="ListParagraph"/>
        <w:numPr>
          <w:ilvl w:val="0"/>
          <w:numId w:val="19"/>
        </w:numPr>
        <w:tabs>
          <w:tab w:pos="780" w:val="left" w:leader="none"/>
          <w:tab w:pos="781" w:val="left" w:leader="none"/>
        </w:tabs>
        <w:spacing w:line="278" w:lineRule="auto" w:before="62" w:after="0"/>
        <w:ind w:left="780" w:right="595" w:hanging="360"/>
        <w:jc w:val="left"/>
        <w:rPr>
          <w:rFonts w:ascii="Arial"/>
          <w:sz w:val="18"/>
        </w:rPr>
      </w:pPr>
      <w:r>
        <w:rPr>
          <w:rFonts w:ascii="Arial"/>
          <w:color w:val="414142"/>
          <w:spacing w:val="-3"/>
          <w:w w:val="115"/>
          <w:sz w:val="18"/>
        </w:rPr>
        <w:t>Wait </w:t>
      </w:r>
      <w:r>
        <w:rPr>
          <w:rFonts w:ascii="Arial"/>
          <w:color w:val="414142"/>
          <w:w w:val="115"/>
          <w:sz w:val="18"/>
        </w:rPr>
        <w:t>30 seconds for signs and symptoms of withdrawal. If withdrawal signs/symptoms are present, stop</w:t>
      </w:r>
      <w:r>
        <w:rPr>
          <w:rFonts w:ascii="Arial"/>
          <w:color w:val="414142"/>
          <w:spacing w:val="-9"/>
          <w:w w:val="115"/>
          <w:sz w:val="18"/>
        </w:rPr>
        <w:t> </w:t>
      </w:r>
      <w:r>
        <w:rPr>
          <w:rFonts w:ascii="Arial"/>
          <w:color w:val="414142"/>
          <w:w w:val="115"/>
          <w:sz w:val="18"/>
        </w:rPr>
        <w:t>the</w:t>
      </w:r>
      <w:r>
        <w:rPr>
          <w:rFonts w:ascii="Arial"/>
          <w:color w:val="414142"/>
          <w:spacing w:val="-9"/>
          <w:w w:val="115"/>
          <w:sz w:val="18"/>
        </w:rPr>
        <w:t> </w:t>
      </w:r>
      <w:r>
        <w:rPr>
          <w:rFonts w:ascii="Arial"/>
          <w:color w:val="414142"/>
          <w:w w:val="115"/>
          <w:sz w:val="18"/>
        </w:rPr>
        <w:t>naloxone</w:t>
      </w:r>
      <w:r>
        <w:rPr>
          <w:rFonts w:ascii="Arial"/>
          <w:color w:val="414142"/>
          <w:spacing w:val="-8"/>
          <w:w w:val="115"/>
          <w:sz w:val="18"/>
        </w:rPr>
        <w:t> </w:t>
      </w:r>
      <w:r>
        <w:rPr>
          <w:rFonts w:ascii="Arial"/>
          <w:color w:val="414142"/>
          <w:w w:val="115"/>
          <w:sz w:val="18"/>
        </w:rPr>
        <w:t>challenge</w:t>
      </w:r>
      <w:r>
        <w:rPr>
          <w:rFonts w:ascii="Arial"/>
          <w:color w:val="414142"/>
          <w:spacing w:val="-9"/>
          <w:w w:val="115"/>
          <w:sz w:val="18"/>
        </w:rPr>
        <w:t> </w:t>
      </w:r>
      <w:r>
        <w:rPr>
          <w:rFonts w:ascii="Arial"/>
          <w:color w:val="414142"/>
          <w:w w:val="115"/>
          <w:sz w:val="18"/>
        </w:rPr>
        <w:t>and</w:t>
      </w:r>
      <w:r>
        <w:rPr>
          <w:rFonts w:ascii="Arial"/>
          <w:color w:val="414142"/>
          <w:spacing w:val="-8"/>
          <w:w w:val="115"/>
          <w:sz w:val="18"/>
        </w:rPr>
        <w:t> </w:t>
      </w:r>
      <w:r>
        <w:rPr>
          <w:rFonts w:ascii="Arial"/>
          <w:color w:val="414142"/>
          <w:w w:val="115"/>
          <w:sz w:val="18"/>
        </w:rPr>
        <w:t>treat</w:t>
      </w:r>
      <w:r>
        <w:rPr>
          <w:rFonts w:ascii="Arial"/>
          <w:color w:val="414142"/>
          <w:spacing w:val="-9"/>
          <w:w w:val="115"/>
          <w:sz w:val="18"/>
        </w:rPr>
        <w:t> </w:t>
      </w:r>
      <w:r>
        <w:rPr>
          <w:rFonts w:ascii="Arial"/>
          <w:color w:val="414142"/>
          <w:w w:val="115"/>
          <w:sz w:val="18"/>
        </w:rPr>
        <w:t>symptomatically.</w:t>
      </w:r>
    </w:p>
    <w:p>
      <w:pPr>
        <w:pStyle w:val="ListParagraph"/>
        <w:numPr>
          <w:ilvl w:val="0"/>
          <w:numId w:val="19"/>
        </w:numPr>
        <w:tabs>
          <w:tab w:pos="781" w:val="left" w:leader="none"/>
        </w:tabs>
        <w:spacing w:line="278" w:lineRule="auto" w:before="28" w:after="0"/>
        <w:ind w:left="780" w:right="1110" w:hanging="360"/>
        <w:jc w:val="left"/>
        <w:rPr>
          <w:rFonts w:ascii="Arial" w:hAnsi="Arial"/>
          <w:sz w:val="18"/>
        </w:rPr>
      </w:pPr>
      <w:r>
        <w:rPr>
          <w:rFonts w:ascii="Arial" w:hAnsi="Arial"/>
          <w:color w:val="414142"/>
          <w:w w:val="120"/>
          <w:sz w:val="18"/>
        </w:rPr>
        <w:t>If</w:t>
      </w:r>
      <w:r>
        <w:rPr>
          <w:rFonts w:ascii="Arial" w:hAnsi="Arial"/>
          <w:color w:val="414142"/>
          <w:spacing w:val="-24"/>
          <w:w w:val="120"/>
          <w:sz w:val="18"/>
        </w:rPr>
        <w:t> </w:t>
      </w:r>
      <w:r>
        <w:rPr>
          <w:rFonts w:ascii="Arial" w:hAnsi="Arial"/>
          <w:color w:val="414142"/>
          <w:w w:val="120"/>
          <w:sz w:val="18"/>
        </w:rPr>
        <w:t>no</w:t>
      </w:r>
      <w:r>
        <w:rPr>
          <w:rFonts w:ascii="Arial" w:hAnsi="Arial"/>
          <w:color w:val="414142"/>
          <w:spacing w:val="-24"/>
          <w:w w:val="120"/>
          <w:sz w:val="18"/>
        </w:rPr>
        <w:t> </w:t>
      </w:r>
      <w:r>
        <w:rPr>
          <w:rFonts w:ascii="Arial" w:hAnsi="Arial"/>
          <w:color w:val="414142"/>
          <w:w w:val="120"/>
          <w:sz w:val="18"/>
        </w:rPr>
        <w:t>withdrawal</w:t>
      </w:r>
      <w:r>
        <w:rPr>
          <w:rFonts w:ascii="Arial" w:hAnsi="Arial"/>
          <w:color w:val="414142"/>
          <w:spacing w:val="-23"/>
          <w:w w:val="120"/>
          <w:sz w:val="18"/>
        </w:rPr>
        <w:t> </w:t>
      </w:r>
      <w:r>
        <w:rPr>
          <w:rFonts w:ascii="Arial" w:hAnsi="Arial"/>
          <w:color w:val="414142"/>
          <w:w w:val="120"/>
          <w:sz w:val="18"/>
        </w:rPr>
        <w:t>signs</w:t>
      </w:r>
      <w:r>
        <w:rPr>
          <w:rFonts w:ascii="Arial" w:hAnsi="Arial"/>
          <w:color w:val="414142"/>
          <w:spacing w:val="-24"/>
          <w:w w:val="120"/>
          <w:sz w:val="18"/>
        </w:rPr>
        <w:t> </w:t>
      </w:r>
      <w:r>
        <w:rPr>
          <w:rFonts w:ascii="Arial" w:hAnsi="Arial"/>
          <w:color w:val="414142"/>
          <w:w w:val="120"/>
          <w:sz w:val="18"/>
        </w:rPr>
        <w:t>and</w:t>
      </w:r>
      <w:r>
        <w:rPr>
          <w:rFonts w:ascii="Arial" w:hAnsi="Arial"/>
          <w:color w:val="414142"/>
          <w:spacing w:val="-24"/>
          <w:w w:val="120"/>
          <w:sz w:val="18"/>
        </w:rPr>
        <w:t> </w:t>
      </w:r>
      <w:r>
        <w:rPr>
          <w:rFonts w:ascii="Arial" w:hAnsi="Arial"/>
          <w:color w:val="414142"/>
          <w:w w:val="120"/>
          <w:sz w:val="18"/>
        </w:rPr>
        <w:t>symptoms</w:t>
      </w:r>
      <w:r>
        <w:rPr>
          <w:rFonts w:ascii="Arial" w:hAnsi="Arial"/>
          <w:color w:val="414142"/>
          <w:spacing w:val="-23"/>
          <w:w w:val="120"/>
          <w:sz w:val="18"/>
        </w:rPr>
        <w:t> </w:t>
      </w:r>
      <w:r>
        <w:rPr>
          <w:rFonts w:ascii="Arial" w:hAnsi="Arial"/>
          <w:color w:val="414142"/>
          <w:w w:val="120"/>
          <w:sz w:val="18"/>
        </w:rPr>
        <w:t>are</w:t>
      </w:r>
      <w:r>
        <w:rPr>
          <w:rFonts w:ascii="Arial" w:hAnsi="Arial"/>
          <w:color w:val="414142"/>
          <w:spacing w:val="-24"/>
          <w:w w:val="120"/>
          <w:sz w:val="18"/>
        </w:rPr>
        <w:t> </w:t>
      </w:r>
      <w:r>
        <w:rPr>
          <w:rFonts w:ascii="Arial" w:hAnsi="Arial"/>
          <w:color w:val="414142"/>
          <w:w w:val="120"/>
          <w:sz w:val="18"/>
        </w:rPr>
        <w:t>present</w:t>
      </w:r>
      <w:r>
        <w:rPr>
          <w:rFonts w:ascii="Arial" w:hAnsi="Arial"/>
          <w:color w:val="414142"/>
          <w:spacing w:val="-23"/>
          <w:w w:val="120"/>
          <w:sz w:val="18"/>
        </w:rPr>
        <w:t> </w:t>
      </w:r>
      <w:r>
        <w:rPr>
          <w:rFonts w:ascii="Arial" w:hAnsi="Arial"/>
          <w:color w:val="414142"/>
          <w:w w:val="120"/>
          <w:sz w:val="18"/>
        </w:rPr>
        <w:t>and</w:t>
      </w:r>
      <w:r>
        <w:rPr>
          <w:rFonts w:ascii="Arial" w:hAnsi="Arial"/>
          <w:color w:val="414142"/>
          <w:spacing w:val="-24"/>
          <w:w w:val="120"/>
          <w:sz w:val="18"/>
        </w:rPr>
        <w:t> </w:t>
      </w:r>
      <w:r>
        <w:rPr>
          <w:rFonts w:ascii="Arial" w:hAnsi="Arial"/>
          <w:color w:val="414142"/>
          <w:w w:val="120"/>
          <w:sz w:val="18"/>
        </w:rPr>
        <w:t>vital</w:t>
      </w:r>
      <w:r>
        <w:rPr>
          <w:rFonts w:ascii="Arial" w:hAnsi="Arial"/>
          <w:color w:val="414142"/>
          <w:spacing w:val="-24"/>
          <w:w w:val="120"/>
          <w:sz w:val="18"/>
        </w:rPr>
        <w:t> </w:t>
      </w:r>
      <w:r>
        <w:rPr>
          <w:rFonts w:ascii="Arial" w:hAnsi="Arial"/>
          <w:color w:val="414142"/>
          <w:w w:val="120"/>
          <w:sz w:val="18"/>
        </w:rPr>
        <w:t>signs</w:t>
      </w:r>
      <w:r>
        <w:rPr>
          <w:rFonts w:ascii="Arial" w:hAnsi="Arial"/>
          <w:color w:val="414142"/>
          <w:spacing w:val="-23"/>
          <w:w w:val="120"/>
          <w:sz w:val="18"/>
        </w:rPr>
        <w:t> </w:t>
      </w:r>
      <w:r>
        <w:rPr>
          <w:rFonts w:ascii="Arial" w:hAnsi="Arial"/>
          <w:color w:val="414142"/>
          <w:w w:val="120"/>
          <w:sz w:val="18"/>
        </w:rPr>
        <w:t>are</w:t>
      </w:r>
      <w:r>
        <w:rPr>
          <w:rFonts w:ascii="Arial" w:hAnsi="Arial"/>
          <w:color w:val="414142"/>
          <w:spacing w:val="-24"/>
          <w:w w:val="120"/>
          <w:sz w:val="18"/>
        </w:rPr>
        <w:t> </w:t>
      </w:r>
      <w:r>
        <w:rPr>
          <w:rFonts w:ascii="Arial" w:hAnsi="Arial"/>
          <w:color w:val="414142"/>
          <w:w w:val="120"/>
          <w:sz w:val="18"/>
        </w:rPr>
        <w:t>stable,</w:t>
      </w:r>
      <w:r>
        <w:rPr>
          <w:rFonts w:ascii="Arial" w:hAnsi="Arial"/>
          <w:color w:val="414142"/>
          <w:spacing w:val="-23"/>
          <w:w w:val="120"/>
          <w:sz w:val="18"/>
        </w:rPr>
        <w:t> </w:t>
      </w:r>
      <w:r>
        <w:rPr>
          <w:rFonts w:ascii="Arial" w:hAnsi="Arial"/>
          <w:color w:val="414142"/>
          <w:w w:val="120"/>
          <w:sz w:val="18"/>
        </w:rPr>
        <w:t>inject</w:t>
      </w:r>
      <w:r>
        <w:rPr>
          <w:rFonts w:ascii="Arial" w:hAnsi="Arial"/>
          <w:color w:val="414142"/>
          <w:spacing w:val="-24"/>
          <w:w w:val="120"/>
          <w:sz w:val="18"/>
        </w:rPr>
        <w:t> </w:t>
      </w:r>
      <w:r>
        <w:rPr>
          <w:rFonts w:ascii="Arial" w:hAnsi="Arial"/>
          <w:color w:val="414142"/>
          <w:w w:val="120"/>
          <w:sz w:val="18"/>
        </w:rPr>
        <w:t>remaining naloxone</w:t>
      </w:r>
      <w:r>
        <w:rPr>
          <w:rFonts w:ascii="Arial" w:hAnsi="Arial"/>
          <w:color w:val="414142"/>
          <w:spacing w:val="-29"/>
          <w:w w:val="120"/>
          <w:sz w:val="18"/>
        </w:rPr>
        <w:t> </w:t>
      </w:r>
      <w:r>
        <w:rPr>
          <w:rFonts w:ascii="Arial" w:hAnsi="Arial"/>
          <w:color w:val="414142"/>
          <w:w w:val="120"/>
          <w:sz w:val="18"/>
        </w:rPr>
        <w:t>(0.6</w:t>
      </w:r>
      <w:r>
        <w:rPr>
          <w:rFonts w:ascii="Arial" w:hAnsi="Arial"/>
          <w:color w:val="414142"/>
          <w:spacing w:val="-28"/>
          <w:w w:val="120"/>
          <w:sz w:val="18"/>
        </w:rPr>
        <w:t> </w:t>
      </w:r>
      <w:r>
        <w:rPr>
          <w:rFonts w:ascii="Arial" w:hAnsi="Arial"/>
          <w:color w:val="414142"/>
          <w:w w:val="120"/>
          <w:sz w:val="18"/>
        </w:rPr>
        <w:t>mg)</w:t>
      </w:r>
      <w:r>
        <w:rPr>
          <w:rFonts w:ascii="Arial" w:hAnsi="Arial"/>
          <w:color w:val="414142"/>
          <w:spacing w:val="-28"/>
          <w:w w:val="120"/>
          <w:sz w:val="18"/>
        </w:rPr>
        <w:t> </w:t>
      </w:r>
      <w:r>
        <w:rPr>
          <w:rFonts w:ascii="Arial" w:hAnsi="Arial"/>
          <w:color w:val="414142"/>
          <w:w w:val="120"/>
          <w:sz w:val="18"/>
        </w:rPr>
        <w:t>and</w:t>
      </w:r>
      <w:r>
        <w:rPr>
          <w:rFonts w:ascii="Arial" w:hAnsi="Arial"/>
          <w:color w:val="414142"/>
          <w:spacing w:val="-28"/>
          <w:w w:val="120"/>
          <w:sz w:val="18"/>
        </w:rPr>
        <w:t> </w:t>
      </w:r>
      <w:r>
        <w:rPr>
          <w:rFonts w:ascii="Arial" w:hAnsi="Arial"/>
          <w:color w:val="414142"/>
          <w:w w:val="120"/>
          <w:sz w:val="18"/>
        </w:rPr>
        <w:t>observe</w:t>
      </w:r>
      <w:r>
        <w:rPr>
          <w:rFonts w:ascii="Arial" w:hAnsi="Arial"/>
          <w:color w:val="414142"/>
          <w:spacing w:val="-28"/>
          <w:w w:val="120"/>
          <w:sz w:val="18"/>
        </w:rPr>
        <w:t> </w:t>
      </w:r>
      <w:r>
        <w:rPr>
          <w:rFonts w:ascii="Arial" w:hAnsi="Arial"/>
          <w:color w:val="414142"/>
          <w:w w:val="120"/>
          <w:sz w:val="18"/>
        </w:rPr>
        <w:t>for</w:t>
      </w:r>
      <w:r>
        <w:rPr>
          <w:rFonts w:ascii="Arial" w:hAnsi="Arial"/>
          <w:color w:val="414142"/>
          <w:spacing w:val="-28"/>
          <w:w w:val="120"/>
          <w:sz w:val="18"/>
        </w:rPr>
        <w:t> </w:t>
      </w:r>
      <w:r>
        <w:rPr>
          <w:rFonts w:ascii="Arial" w:hAnsi="Arial"/>
          <w:color w:val="414142"/>
          <w:w w:val="120"/>
          <w:sz w:val="18"/>
        </w:rPr>
        <w:t>20</w:t>
      </w:r>
      <w:r>
        <w:rPr>
          <w:rFonts w:ascii="Arial" w:hAnsi="Arial"/>
          <w:color w:val="414142"/>
          <w:spacing w:val="-28"/>
          <w:w w:val="120"/>
          <w:sz w:val="18"/>
        </w:rPr>
        <w:t> </w:t>
      </w:r>
      <w:r>
        <w:rPr>
          <w:rFonts w:ascii="Arial" w:hAnsi="Arial"/>
          <w:color w:val="414142"/>
          <w:w w:val="120"/>
          <w:sz w:val="18"/>
        </w:rPr>
        <w:t>minutes.</w:t>
      </w:r>
      <w:r>
        <w:rPr>
          <w:rFonts w:ascii="Arial" w:hAnsi="Arial"/>
          <w:color w:val="414142"/>
          <w:spacing w:val="-28"/>
          <w:w w:val="120"/>
          <w:sz w:val="18"/>
        </w:rPr>
        <w:t> </w:t>
      </w:r>
      <w:r>
        <w:rPr>
          <w:rFonts w:ascii="Arial" w:hAnsi="Arial"/>
          <w:color w:val="414142"/>
          <w:w w:val="120"/>
          <w:sz w:val="18"/>
        </w:rPr>
        <w:t>Check</w:t>
      </w:r>
      <w:r>
        <w:rPr>
          <w:rFonts w:ascii="Arial" w:hAnsi="Arial"/>
          <w:color w:val="414142"/>
          <w:spacing w:val="-28"/>
          <w:w w:val="120"/>
          <w:sz w:val="18"/>
        </w:rPr>
        <w:t> </w:t>
      </w:r>
      <w:r>
        <w:rPr>
          <w:rFonts w:ascii="Arial" w:hAnsi="Arial"/>
          <w:color w:val="414142"/>
          <w:w w:val="120"/>
          <w:sz w:val="18"/>
        </w:rPr>
        <w:t>the</w:t>
      </w:r>
      <w:r>
        <w:rPr>
          <w:rFonts w:ascii="Arial" w:hAnsi="Arial"/>
          <w:color w:val="414142"/>
          <w:spacing w:val="-28"/>
          <w:w w:val="120"/>
          <w:sz w:val="18"/>
        </w:rPr>
        <w:t> </w:t>
      </w:r>
      <w:r>
        <w:rPr>
          <w:rFonts w:ascii="Arial" w:hAnsi="Arial"/>
          <w:color w:val="414142"/>
          <w:w w:val="120"/>
          <w:sz w:val="18"/>
        </w:rPr>
        <w:t>patient’s</w:t>
      </w:r>
      <w:r>
        <w:rPr>
          <w:rFonts w:ascii="Arial" w:hAnsi="Arial"/>
          <w:color w:val="414142"/>
          <w:spacing w:val="-28"/>
          <w:w w:val="120"/>
          <w:sz w:val="18"/>
        </w:rPr>
        <w:t> </w:t>
      </w:r>
      <w:r>
        <w:rPr>
          <w:rFonts w:ascii="Arial" w:hAnsi="Arial"/>
          <w:color w:val="414142"/>
          <w:w w:val="120"/>
          <w:sz w:val="18"/>
        </w:rPr>
        <w:t>vital</w:t>
      </w:r>
      <w:r>
        <w:rPr>
          <w:rFonts w:ascii="Arial" w:hAnsi="Arial"/>
          <w:color w:val="414142"/>
          <w:spacing w:val="-28"/>
          <w:w w:val="120"/>
          <w:sz w:val="18"/>
        </w:rPr>
        <w:t> </w:t>
      </w:r>
      <w:r>
        <w:rPr>
          <w:rFonts w:ascii="Arial" w:hAnsi="Arial"/>
          <w:color w:val="414142"/>
          <w:w w:val="120"/>
          <w:sz w:val="18"/>
        </w:rPr>
        <w:t>signs</w:t>
      </w:r>
      <w:r>
        <w:rPr>
          <w:rFonts w:ascii="Arial" w:hAnsi="Arial"/>
          <w:color w:val="414142"/>
          <w:spacing w:val="-28"/>
          <w:w w:val="120"/>
          <w:sz w:val="18"/>
        </w:rPr>
        <w:t> </w:t>
      </w:r>
      <w:r>
        <w:rPr>
          <w:rFonts w:ascii="Arial" w:hAnsi="Arial"/>
          <w:color w:val="414142"/>
          <w:w w:val="120"/>
          <w:sz w:val="18"/>
        </w:rPr>
        <w:t>and</w:t>
      </w:r>
      <w:r>
        <w:rPr>
          <w:rFonts w:ascii="Arial" w:hAnsi="Arial"/>
          <w:color w:val="414142"/>
          <w:spacing w:val="-28"/>
          <w:w w:val="120"/>
          <w:sz w:val="18"/>
        </w:rPr>
        <w:t> </w:t>
      </w:r>
      <w:r>
        <w:rPr>
          <w:rFonts w:ascii="Arial" w:hAnsi="Arial"/>
          <w:color w:val="414142"/>
          <w:w w:val="120"/>
          <w:sz w:val="18"/>
        </w:rPr>
        <w:t>monitor</w:t>
      </w:r>
      <w:r>
        <w:rPr>
          <w:rFonts w:ascii="Arial" w:hAnsi="Arial"/>
          <w:color w:val="414142"/>
          <w:spacing w:val="-28"/>
          <w:w w:val="120"/>
          <w:sz w:val="18"/>
        </w:rPr>
        <w:t> </w:t>
      </w:r>
      <w:r>
        <w:rPr>
          <w:rFonts w:ascii="Arial" w:hAnsi="Arial"/>
          <w:color w:val="414142"/>
          <w:w w:val="120"/>
          <w:sz w:val="18"/>
        </w:rPr>
        <w:t>for withdrawal.</w:t>
      </w:r>
    </w:p>
    <w:p>
      <w:pPr>
        <w:pStyle w:val="ListParagraph"/>
        <w:numPr>
          <w:ilvl w:val="0"/>
          <w:numId w:val="19"/>
        </w:numPr>
        <w:tabs>
          <w:tab w:pos="780" w:val="left" w:leader="none"/>
          <w:tab w:pos="781" w:val="left" w:leader="none"/>
        </w:tabs>
        <w:spacing w:line="278" w:lineRule="auto" w:before="29" w:after="0"/>
        <w:ind w:left="780" w:right="711" w:hanging="360"/>
        <w:jc w:val="left"/>
        <w:rPr>
          <w:rFonts w:ascii="Arial"/>
          <w:sz w:val="18"/>
        </w:rPr>
      </w:pPr>
      <w:r>
        <w:rPr>
          <w:rFonts w:ascii="Arial"/>
          <w:color w:val="414142"/>
          <w:w w:val="115"/>
          <w:sz w:val="18"/>
        </w:rPr>
        <w:t>If withdrawal signs and symptoms are present, stop the naloxone challenge and treat symptomatically. The test can be repeated in 24 hours or the patient can be considered for</w:t>
      </w:r>
      <w:r>
        <w:rPr>
          <w:rFonts w:ascii="Arial"/>
          <w:color w:val="414142"/>
          <w:spacing w:val="-25"/>
          <w:w w:val="115"/>
          <w:sz w:val="18"/>
        </w:rPr>
        <w:t> </w:t>
      </w:r>
      <w:r>
        <w:rPr>
          <w:rFonts w:ascii="Arial"/>
          <w:color w:val="414142"/>
          <w:w w:val="115"/>
          <w:sz w:val="18"/>
        </w:rPr>
        <w:t>opioid agonist</w:t>
      </w:r>
      <w:r>
        <w:rPr>
          <w:rFonts w:ascii="Arial"/>
          <w:color w:val="414142"/>
          <w:spacing w:val="-10"/>
          <w:w w:val="115"/>
          <w:sz w:val="18"/>
        </w:rPr>
        <w:t> </w:t>
      </w:r>
      <w:r>
        <w:rPr>
          <w:rFonts w:ascii="Arial"/>
          <w:color w:val="414142"/>
          <w:w w:val="115"/>
          <w:sz w:val="18"/>
        </w:rPr>
        <w:t>treatment.</w:t>
      </w:r>
    </w:p>
    <w:p>
      <w:pPr>
        <w:pStyle w:val="ListParagraph"/>
        <w:numPr>
          <w:ilvl w:val="0"/>
          <w:numId w:val="19"/>
        </w:numPr>
        <w:tabs>
          <w:tab w:pos="780" w:val="left" w:leader="none"/>
          <w:tab w:pos="781" w:val="left" w:leader="none"/>
        </w:tabs>
        <w:spacing w:line="278" w:lineRule="auto" w:before="28" w:after="0"/>
        <w:ind w:left="780" w:right="493" w:hanging="360"/>
        <w:jc w:val="left"/>
        <w:rPr>
          <w:rFonts w:ascii="Arial" w:hAnsi="Arial"/>
          <w:sz w:val="18"/>
        </w:rPr>
      </w:pPr>
      <w:r>
        <w:rPr>
          <w:rFonts w:ascii="Arial" w:hAnsi="Arial"/>
          <w:color w:val="414142"/>
          <w:w w:val="120"/>
          <w:sz w:val="18"/>
        </w:rPr>
        <w:t>If</w:t>
      </w:r>
      <w:r>
        <w:rPr>
          <w:rFonts w:ascii="Arial" w:hAnsi="Arial"/>
          <w:color w:val="414142"/>
          <w:spacing w:val="-29"/>
          <w:w w:val="120"/>
          <w:sz w:val="18"/>
        </w:rPr>
        <w:t> </w:t>
      </w:r>
      <w:r>
        <w:rPr>
          <w:rFonts w:ascii="Arial" w:hAnsi="Arial"/>
          <w:color w:val="414142"/>
          <w:w w:val="120"/>
          <w:sz w:val="18"/>
        </w:rPr>
        <w:t>no</w:t>
      </w:r>
      <w:r>
        <w:rPr>
          <w:rFonts w:ascii="Arial" w:hAnsi="Arial"/>
          <w:color w:val="414142"/>
          <w:spacing w:val="-29"/>
          <w:w w:val="120"/>
          <w:sz w:val="18"/>
        </w:rPr>
        <w:t> </w:t>
      </w:r>
      <w:r>
        <w:rPr>
          <w:rFonts w:ascii="Arial" w:hAnsi="Arial"/>
          <w:color w:val="414142"/>
          <w:w w:val="120"/>
          <w:sz w:val="18"/>
        </w:rPr>
        <w:t>withdrawal</w:t>
      </w:r>
      <w:r>
        <w:rPr>
          <w:rFonts w:ascii="Arial" w:hAnsi="Arial"/>
          <w:color w:val="414142"/>
          <w:spacing w:val="-29"/>
          <w:w w:val="120"/>
          <w:sz w:val="18"/>
        </w:rPr>
        <w:t> </w:t>
      </w:r>
      <w:r>
        <w:rPr>
          <w:rFonts w:ascii="Arial" w:hAnsi="Arial"/>
          <w:color w:val="414142"/>
          <w:w w:val="120"/>
          <w:sz w:val="18"/>
        </w:rPr>
        <w:t>signs</w:t>
      </w:r>
      <w:r>
        <w:rPr>
          <w:rFonts w:ascii="Arial" w:hAnsi="Arial"/>
          <w:color w:val="414142"/>
          <w:spacing w:val="-29"/>
          <w:w w:val="120"/>
          <w:sz w:val="18"/>
        </w:rPr>
        <w:t> </w:t>
      </w:r>
      <w:r>
        <w:rPr>
          <w:rFonts w:ascii="Arial" w:hAnsi="Arial"/>
          <w:color w:val="414142"/>
          <w:w w:val="120"/>
          <w:sz w:val="18"/>
        </w:rPr>
        <w:t>and</w:t>
      </w:r>
      <w:r>
        <w:rPr>
          <w:rFonts w:ascii="Arial" w:hAnsi="Arial"/>
          <w:color w:val="414142"/>
          <w:spacing w:val="-29"/>
          <w:w w:val="120"/>
          <w:sz w:val="18"/>
        </w:rPr>
        <w:t> </w:t>
      </w:r>
      <w:r>
        <w:rPr>
          <w:rFonts w:ascii="Arial" w:hAnsi="Arial"/>
          <w:color w:val="414142"/>
          <w:w w:val="120"/>
          <w:sz w:val="18"/>
        </w:rPr>
        <w:t>symptoms</w:t>
      </w:r>
      <w:r>
        <w:rPr>
          <w:rFonts w:ascii="Arial" w:hAnsi="Arial"/>
          <w:color w:val="414142"/>
          <w:spacing w:val="-29"/>
          <w:w w:val="120"/>
          <w:sz w:val="18"/>
        </w:rPr>
        <w:t> </w:t>
      </w:r>
      <w:r>
        <w:rPr>
          <w:rFonts w:ascii="Arial" w:hAnsi="Arial"/>
          <w:color w:val="414142"/>
          <w:w w:val="120"/>
          <w:sz w:val="18"/>
        </w:rPr>
        <w:t>are</w:t>
      </w:r>
      <w:r>
        <w:rPr>
          <w:rFonts w:ascii="Arial" w:hAnsi="Arial"/>
          <w:color w:val="414142"/>
          <w:spacing w:val="-28"/>
          <w:w w:val="120"/>
          <w:sz w:val="18"/>
        </w:rPr>
        <w:t> </w:t>
      </w:r>
      <w:r>
        <w:rPr>
          <w:rFonts w:ascii="Arial" w:hAnsi="Arial"/>
          <w:color w:val="414142"/>
          <w:w w:val="120"/>
          <w:sz w:val="18"/>
        </w:rPr>
        <w:t>present*</w:t>
      </w:r>
      <w:r>
        <w:rPr>
          <w:rFonts w:ascii="Arial" w:hAnsi="Arial"/>
          <w:color w:val="414142"/>
          <w:spacing w:val="-29"/>
          <w:w w:val="120"/>
          <w:sz w:val="18"/>
        </w:rPr>
        <w:t> </w:t>
      </w:r>
      <w:r>
        <w:rPr>
          <w:rFonts w:ascii="Arial" w:hAnsi="Arial"/>
          <w:color w:val="414142"/>
          <w:w w:val="120"/>
          <w:sz w:val="18"/>
        </w:rPr>
        <w:t>and</w:t>
      </w:r>
      <w:r>
        <w:rPr>
          <w:rFonts w:ascii="Arial" w:hAnsi="Arial"/>
          <w:color w:val="414142"/>
          <w:spacing w:val="-28"/>
          <w:w w:val="120"/>
          <w:sz w:val="18"/>
        </w:rPr>
        <w:t> </w:t>
      </w:r>
      <w:r>
        <w:rPr>
          <w:rFonts w:ascii="Arial" w:hAnsi="Arial"/>
          <w:b/>
          <w:color w:val="414142"/>
          <w:w w:val="120"/>
          <w:sz w:val="18"/>
        </w:rPr>
        <w:t>oral</w:t>
      </w:r>
      <w:r>
        <w:rPr>
          <w:rFonts w:ascii="Arial" w:hAnsi="Arial"/>
          <w:b/>
          <w:color w:val="414142"/>
          <w:spacing w:val="-28"/>
          <w:w w:val="120"/>
          <w:sz w:val="18"/>
        </w:rPr>
        <w:t> </w:t>
      </w:r>
      <w:r>
        <w:rPr>
          <w:rFonts w:ascii="Arial" w:hAnsi="Arial"/>
          <w:b/>
          <w:color w:val="414142"/>
          <w:w w:val="120"/>
          <w:sz w:val="18"/>
        </w:rPr>
        <w:t>naltrexone</w:t>
      </w:r>
      <w:r>
        <w:rPr>
          <w:rFonts w:ascii="Arial" w:hAnsi="Arial"/>
          <w:b/>
          <w:color w:val="414142"/>
          <w:spacing w:val="-28"/>
          <w:w w:val="120"/>
          <w:sz w:val="18"/>
        </w:rPr>
        <w:t> </w:t>
      </w:r>
      <w:r>
        <w:rPr>
          <w:rFonts w:ascii="Arial" w:hAnsi="Arial"/>
          <w:b/>
          <w:color w:val="414142"/>
          <w:w w:val="120"/>
          <w:sz w:val="18"/>
        </w:rPr>
        <w:t>is</w:t>
      </w:r>
      <w:r>
        <w:rPr>
          <w:rFonts w:ascii="Arial" w:hAnsi="Arial"/>
          <w:b/>
          <w:color w:val="414142"/>
          <w:spacing w:val="-27"/>
          <w:w w:val="120"/>
          <w:sz w:val="18"/>
        </w:rPr>
        <w:t> </w:t>
      </w:r>
      <w:r>
        <w:rPr>
          <w:rFonts w:ascii="Arial" w:hAnsi="Arial"/>
          <w:b/>
          <w:color w:val="414142"/>
          <w:w w:val="120"/>
          <w:sz w:val="18"/>
        </w:rPr>
        <w:t>the</w:t>
      </w:r>
      <w:r>
        <w:rPr>
          <w:rFonts w:ascii="Arial" w:hAnsi="Arial"/>
          <w:b/>
          <w:color w:val="414142"/>
          <w:spacing w:val="-28"/>
          <w:w w:val="120"/>
          <w:sz w:val="18"/>
        </w:rPr>
        <w:t> </w:t>
      </w:r>
      <w:r>
        <w:rPr>
          <w:rFonts w:ascii="Arial" w:hAnsi="Arial"/>
          <w:b/>
          <w:color w:val="414142"/>
          <w:w w:val="120"/>
          <w:sz w:val="18"/>
        </w:rPr>
        <w:t>desired</w:t>
      </w:r>
      <w:r>
        <w:rPr>
          <w:rFonts w:ascii="Arial" w:hAnsi="Arial"/>
          <w:b/>
          <w:color w:val="414142"/>
          <w:spacing w:val="-27"/>
          <w:w w:val="120"/>
          <w:sz w:val="18"/>
        </w:rPr>
        <w:t> </w:t>
      </w:r>
      <w:r>
        <w:rPr>
          <w:rFonts w:ascii="Arial" w:hAnsi="Arial"/>
          <w:b/>
          <w:color w:val="414142"/>
          <w:w w:val="120"/>
          <w:sz w:val="18"/>
        </w:rPr>
        <w:t>treatment course,</w:t>
      </w:r>
      <w:r>
        <w:rPr>
          <w:rFonts w:ascii="Arial" w:hAnsi="Arial"/>
          <w:b/>
          <w:color w:val="414142"/>
          <w:spacing w:val="-26"/>
          <w:w w:val="120"/>
          <w:sz w:val="18"/>
        </w:rPr>
        <w:t> </w:t>
      </w:r>
      <w:r>
        <w:rPr>
          <w:rFonts w:ascii="Arial" w:hAnsi="Arial"/>
          <w:color w:val="414142"/>
          <w:w w:val="120"/>
          <w:sz w:val="18"/>
        </w:rPr>
        <w:t>give</w:t>
      </w:r>
      <w:r>
        <w:rPr>
          <w:rFonts w:ascii="Arial" w:hAnsi="Arial"/>
          <w:color w:val="414142"/>
          <w:spacing w:val="-25"/>
          <w:w w:val="120"/>
          <w:sz w:val="18"/>
        </w:rPr>
        <w:t> </w:t>
      </w:r>
      <w:r>
        <w:rPr>
          <w:rFonts w:ascii="Arial" w:hAnsi="Arial"/>
          <w:color w:val="414142"/>
          <w:w w:val="120"/>
          <w:sz w:val="18"/>
        </w:rPr>
        <w:t>the</w:t>
      </w:r>
      <w:r>
        <w:rPr>
          <w:rFonts w:ascii="Arial" w:hAnsi="Arial"/>
          <w:color w:val="414142"/>
          <w:spacing w:val="-25"/>
          <w:w w:val="120"/>
          <w:sz w:val="18"/>
        </w:rPr>
        <w:t> </w:t>
      </w:r>
      <w:r>
        <w:rPr>
          <w:rFonts w:ascii="Arial" w:hAnsi="Arial"/>
          <w:color w:val="414142"/>
          <w:w w:val="120"/>
          <w:sz w:val="18"/>
        </w:rPr>
        <w:t>patient</w:t>
      </w:r>
      <w:r>
        <w:rPr>
          <w:rFonts w:ascii="Arial" w:hAnsi="Arial"/>
          <w:color w:val="414142"/>
          <w:spacing w:val="-26"/>
          <w:w w:val="120"/>
          <w:sz w:val="18"/>
        </w:rPr>
        <w:t> </w:t>
      </w:r>
      <w:r>
        <w:rPr>
          <w:rFonts w:ascii="Arial" w:hAnsi="Arial"/>
          <w:color w:val="414142"/>
          <w:w w:val="120"/>
          <w:sz w:val="18"/>
        </w:rPr>
        <w:t>two</w:t>
      </w:r>
      <w:r>
        <w:rPr>
          <w:rFonts w:ascii="Arial" w:hAnsi="Arial"/>
          <w:color w:val="414142"/>
          <w:spacing w:val="-25"/>
          <w:w w:val="120"/>
          <w:sz w:val="18"/>
        </w:rPr>
        <w:t> </w:t>
      </w:r>
      <w:r>
        <w:rPr>
          <w:rFonts w:ascii="Arial" w:hAnsi="Arial"/>
          <w:color w:val="414142"/>
          <w:w w:val="120"/>
          <w:sz w:val="18"/>
        </w:rPr>
        <w:t>tablets</w:t>
      </w:r>
      <w:r>
        <w:rPr>
          <w:rFonts w:ascii="Arial" w:hAnsi="Arial"/>
          <w:color w:val="414142"/>
          <w:spacing w:val="-25"/>
          <w:w w:val="120"/>
          <w:sz w:val="18"/>
        </w:rPr>
        <w:t> </w:t>
      </w:r>
      <w:r>
        <w:rPr>
          <w:rFonts w:ascii="Arial" w:hAnsi="Arial"/>
          <w:color w:val="414142"/>
          <w:w w:val="120"/>
          <w:sz w:val="18"/>
        </w:rPr>
        <w:t>of</w:t>
      </w:r>
      <w:r>
        <w:rPr>
          <w:rFonts w:ascii="Arial" w:hAnsi="Arial"/>
          <w:color w:val="414142"/>
          <w:spacing w:val="-26"/>
          <w:w w:val="120"/>
          <w:sz w:val="18"/>
        </w:rPr>
        <w:t> </w:t>
      </w:r>
      <w:r>
        <w:rPr>
          <w:rFonts w:ascii="Arial" w:hAnsi="Arial"/>
          <w:color w:val="414142"/>
          <w:w w:val="120"/>
          <w:sz w:val="18"/>
        </w:rPr>
        <w:t>25</w:t>
      </w:r>
      <w:r>
        <w:rPr>
          <w:rFonts w:ascii="Arial" w:hAnsi="Arial"/>
          <w:color w:val="414142"/>
          <w:spacing w:val="-25"/>
          <w:w w:val="120"/>
          <w:sz w:val="18"/>
        </w:rPr>
        <w:t> </w:t>
      </w:r>
      <w:r>
        <w:rPr>
          <w:rFonts w:ascii="Arial" w:hAnsi="Arial"/>
          <w:color w:val="414142"/>
          <w:w w:val="120"/>
          <w:sz w:val="18"/>
        </w:rPr>
        <w:t>mg</w:t>
      </w:r>
      <w:r>
        <w:rPr>
          <w:rFonts w:ascii="Arial" w:hAnsi="Arial"/>
          <w:color w:val="414142"/>
          <w:spacing w:val="-25"/>
          <w:w w:val="120"/>
          <w:sz w:val="18"/>
        </w:rPr>
        <w:t> </w:t>
      </w:r>
      <w:r>
        <w:rPr>
          <w:rFonts w:ascii="Arial" w:hAnsi="Arial"/>
          <w:color w:val="414142"/>
          <w:w w:val="120"/>
          <w:sz w:val="18"/>
        </w:rPr>
        <w:t>naltrexone</w:t>
      </w:r>
      <w:r>
        <w:rPr>
          <w:rFonts w:ascii="Arial" w:hAnsi="Arial"/>
          <w:color w:val="414142"/>
          <w:spacing w:val="-25"/>
          <w:w w:val="120"/>
          <w:sz w:val="18"/>
        </w:rPr>
        <w:t> </w:t>
      </w:r>
      <w:r>
        <w:rPr>
          <w:rFonts w:ascii="Arial" w:hAnsi="Arial"/>
          <w:color w:val="414142"/>
          <w:w w:val="120"/>
          <w:sz w:val="18"/>
        </w:rPr>
        <w:t>(take</w:t>
      </w:r>
      <w:r>
        <w:rPr>
          <w:rFonts w:ascii="Arial" w:hAnsi="Arial"/>
          <w:color w:val="414142"/>
          <w:spacing w:val="-26"/>
          <w:w w:val="120"/>
          <w:sz w:val="18"/>
        </w:rPr>
        <w:t> </w:t>
      </w:r>
      <w:r>
        <w:rPr>
          <w:rFonts w:ascii="Arial" w:hAnsi="Arial"/>
          <w:color w:val="414142"/>
          <w:w w:val="120"/>
          <w:sz w:val="18"/>
        </w:rPr>
        <w:t>one</w:t>
      </w:r>
      <w:r>
        <w:rPr>
          <w:rFonts w:ascii="Arial" w:hAnsi="Arial"/>
          <w:color w:val="414142"/>
          <w:spacing w:val="-25"/>
          <w:w w:val="120"/>
          <w:sz w:val="18"/>
        </w:rPr>
        <w:t> </w:t>
      </w:r>
      <w:r>
        <w:rPr>
          <w:rFonts w:ascii="Arial" w:hAnsi="Arial"/>
          <w:color w:val="414142"/>
          <w:w w:val="120"/>
          <w:sz w:val="18"/>
        </w:rPr>
        <w:t>tablet</w:t>
      </w:r>
      <w:r>
        <w:rPr>
          <w:rFonts w:ascii="Arial" w:hAnsi="Arial"/>
          <w:color w:val="414142"/>
          <w:spacing w:val="-25"/>
          <w:w w:val="120"/>
          <w:sz w:val="18"/>
        </w:rPr>
        <w:t> </w:t>
      </w:r>
      <w:r>
        <w:rPr>
          <w:rFonts w:ascii="Arial" w:hAnsi="Arial"/>
          <w:color w:val="414142"/>
          <w:w w:val="120"/>
          <w:sz w:val="18"/>
        </w:rPr>
        <w:t>on</w:t>
      </w:r>
      <w:r>
        <w:rPr>
          <w:rFonts w:ascii="Arial" w:hAnsi="Arial"/>
          <w:color w:val="414142"/>
          <w:spacing w:val="-26"/>
          <w:w w:val="120"/>
          <w:sz w:val="18"/>
        </w:rPr>
        <w:t> </w:t>
      </w:r>
      <w:r>
        <w:rPr>
          <w:rFonts w:ascii="Arial" w:hAnsi="Arial"/>
          <w:color w:val="414142"/>
          <w:w w:val="120"/>
          <w:sz w:val="18"/>
        </w:rPr>
        <w:t>each</w:t>
      </w:r>
      <w:r>
        <w:rPr>
          <w:rFonts w:ascii="Arial" w:hAnsi="Arial"/>
          <w:color w:val="414142"/>
          <w:spacing w:val="-25"/>
          <w:w w:val="120"/>
          <w:sz w:val="18"/>
        </w:rPr>
        <w:t> </w:t>
      </w:r>
      <w:r>
        <w:rPr>
          <w:rFonts w:ascii="Arial" w:hAnsi="Arial"/>
          <w:color w:val="414142"/>
          <w:w w:val="120"/>
          <w:sz w:val="18"/>
        </w:rPr>
        <w:t>of</w:t>
      </w:r>
      <w:r>
        <w:rPr>
          <w:rFonts w:ascii="Arial" w:hAnsi="Arial"/>
          <w:color w:val="414142"/>
          <w:spacing w:val="-25"/>
          <w:w w:val="120"/>
          <w:sz w:val="18"/>
        </w:rPr>
        <w:t> </w:t>
      </w:r>
      <w:r>
        <w:rPr>
          <w:rFonts w:ascii="Arial" w:hAnsi="Arial"/>
          <w:color w:val="414142"/>
          <w:w w:val="120"/>
          <w:sz w:val="18"/>
        </w:rPr>
        <w:t>the</w:t>
      </w:r>
      <w:r>
        <w:rPr>
          <w:rFonts w:ascii="Arial" w:hAnsi="Arial"/>
          <w:color w:val="414142"/>
          <w:spacing w:val="-25"/>
          <w:w w:val="120"/>
          <w:sz w:val="18"/>
        </w:rPr>
        <w:t> </w:t>
      </w:r>
      <w:r>
        <w:rPr>
          <w:rFonts w:ascii="Arial" w:hAnsi="Arial"/>
          <w:color w:val="414142"/>
          <w:w w:val="120"/>
          <w:sz w:val="18"/>
        </w:rPr>
        <w:t>next</w:t>
      </w:r>
      <w:r>
        <w:rPr>
          <w:rFonts w:ascii="Arial" w:hAnsi="Arial"/>
          <w:color w:val="414142"/>
          <w:spacing w:val="-26"/>
          <w:w w:val="120"/>
          <w:sz w:val="18"/>
        </w:rPr>
        <w:t> </w:t>
      </w:r>
      <w:r>
        <w:rPr>
          <w:rFonts w:ascii="Arial" w:hAnsi="Arial"/>
          <w:color w:val="414142"/>
          <w:w w:val="120"/>
          <w:sz w:val="18"/>
        </w:rPr>
        <w:t>2</w:t>
      </w:r>
      <w:r>
        <w:rPr>
          <w:rFonts w:ascii="Arial" w:hAnsi="Arial"/>
          <w:color w:val="414142"/>
          <w:spacing w:val="-25"/>
          <w:w w:val="120"/>
          <w:sz w:val="18"/>
        </w:rPr>
        <w:t> </w:t>
      </w:r>
      <w:r>
        <w:rPr>
          <w:rFonts w:ascii="Arial" w:hAnsi="Arial"/>
          <w:color w:val="414142"/>
          <w:w w:val="120"/>
          <w:sz w:val="18"/>
        </w:rPr>
        <w:t>days) and a sufﬁcient number of 50 mg naltrexone tablets (take one 50 mg tablet daily starting on the third</w:t>
      </w:r>
      <w:r>
        <w:rPr>
          <w:rFonts w:ascii="Arial" w:hAnsi="Arial"/>
          <w:color w:val="414142"/>
          <w:spacing w:val="-16"/>
          <w:w w:val="120"/>
          <w:sz w:val="18"/>
        </w:rPr>
        <w:t> </w:t>
      </w:r>
      <w:r>
        <w:rPr>
          <w:rFonts w:ascii="Arial" w:hAnsi="Arial"/>
          <w:color w:val="414142"/>
          <w:w w:val="120"/>
          <w:sz w:val="18"/>
        </w:rPr>
        <w:t>day)</w:t>
      </w:r>
      <w:r>
        <w:rPr>
          <w:rFonts w:ascii="Arial" w:hAnsi="Arial"/>
          <w:color w:val="414142"/>
          <w:spacing w:val="-15"/>
          <w:w w:val="120"/>
          <w:sz w:val="18"/>
        </w:rPr>
        <w:t> </w:t>
      </w:r>
      <w:r>
        <w:rPr>
          <w:rFonts w:ascii="Arial" w:hAnsi="Arial"/>
          <w:color w:val="414142"/>
          <w:w w:val="120"/>
          <w:sz w:val="18"/>
        </w:rPr>
        <w:t>until</w:t>
      </w:r>
      <w:r>
        <w:rPr>
          <w:rFonts w:ascii="Arial" w:hAnsi="Arial"/>
          <w:color w:val="414142"/>
          <w:spacing w:val="-16"/>
          <w:w w:val="120"/>
          <w:sz w:val="18"/>
        </w:rPr>
        <w:t> </w:t>
      </w:r>
      <w:r>
        <w:rPr>
          <w:rFonts w:ascii="Arial" w:hAnsi="Arial"/>
          <w:color w:val="414142"/>
          <w:w w:val="120"/>
          <w:sz w:val="18"/>
        </w:rPr>
        <w:t>they</w:t>
      </w:r>
      <w:r>
        <w:rPr>
          <w:rFonts w:ascii="Arial" w:hAnsi="Arial"/>
          <w:color w:val="414142"/>
          <w:spacing w:val="-15"/>
          <w:w w:val="120"/>
          <w:sz w:val="18"/>
        </w:rPr>
        <w:t> </w:t>
      </w:r>
      <w:r>
        <w:rPr>
          <w:rFonts w:ascii="Arial" w:hAnsi="Arial"/>
          <w:color w:val="414142"/>
          <w:w w:val="120"/>
          <w:sz w:val="18"/>
        </w:rPr>
        <w:t>are</w:t>
      </w:r>
      <w:r>
        <w:rPr>
          <w:rFonts w:ascii="Arial" w:hAnsi="Arial"/>
          <w:color w:val="414142"/>
          <w:spacing w:val="-15"/>
          <w:w w:val="120"/>
          <w:sz w:val="18"/>
        </w:rPr>
        <w:t> </w:t>
      </w:r>
      <w:r>
        <w:rPr>
          <w:rFonts w:ascii="Arial" w:hAnsi="Arial"/>
          <w:color w:val="414142"/>
          <w:w w:val="120"/>
          <w:sz w:val="18"/>
        </w:rPr>
        <w:t>able</w:t>
      </w:r>
      <w:r>
        <w:rPr>
          <w:rFonts w:ascii="Arial" w:hAnsi="Arial"/>
          <w:color w:val="414142"/>
          <w:spacing w:val="-16"/>
          <w:w w:val="120"/>
          <w:sz w:val="18"/>
        </w:rPr>
        <w:t> </w:t>
      </w:r>
      <w:r>
        <w:rPr>
          <w:rFonts w:ascii="Arial" w:hAnsi="Arial"/>
          <w:color w:val="414142"/>
          <w:w w:val="120"/>
          <w:sz w:val="18"/>
        </w:rPr>
        <w:t>to</w:t>
      </w:r>
      <w:r>
        <w:rPr>
          <w:rFonts w:ascii="Arial" w:hAnsi="Arial"/>
          <w:color w:val="414142"/>
          <w:spacing w:val="-15"/>
          <w:w w:val="120"/>
          <w:sz w:val="18"/>
        </w:rPr>
        <w:t> </w:t>
      </w:r>
      <w:r>
        <w:rPr>
          <w:rFonts w:ascii="Arial" w:hAnsi="Arial"/>
          <w:color w:val="414142"/>
          <w:w w:val="120"/>
          <w:sz w:val="18"/>
        </w:rPr>
        <w:t>ﬁll</w:t>
      </w:r>
      <w:r>
        <w:rPr>
          <w:rFonts w:ascii="Arial" w:hAnsi="Arial"/>
          <w:color w:val="414142"/>
          <w:spacing w:val="-16"/>
          <w:w w:val="120"/>
          <w:sz w:val="18"/>
        </w:rPr>
        <w:t> </w:t>
      </w:r>
      <w:r>
        <w:rPr>
          <w:rFonts w:ascii="Arial" w:hAnsi="Arial"/>
          <w:color w:val="414142"/>
          <w:w w:val="120"/>
          <w:sz w:val="18"/>
        </w:rPr>
        <w:t>their</w:t>
      </w:r>
      <w:r>
        <w:rPr>
          <w:rFonts w:ascii="Arial" w:hAnsi="Arial"/>
          <w:color w:val="414142"/>
          <w:spacing w:val="-15"/>
          <w:w w:val="120"/>
          <w:sz w:val="18"/>
        </w:rPr>
        <w:t> </w:t>
      </w:r>
      <w:r>
        <w:rPr>
          <w:rFonts w:ascii="Arial" w:hAnsi="Arial"/>
          <w:color w:val="414142"/>
          <w:w w:val="120"/>
          <w:sz w:val="18"/>
        </w:rPr>
        <w:t>prescription</w:t>
      </w:r>
      <w:r>
        <w:rPr>
          <w:rFonts w:ascii="Arial" w:hAnsi="Arial"/>
          <w:color w:val="414142"/>
          <w:spacing w:val="-15"/>
          <w:w w:val="120"/>
          <w:sz w:val="18"/>
        </w:rPr>
        <w:t> </w:t>
      </w:r>
      <w:r>
        <w:rPr>
          <w:rFonts w:ascii="Arial" w:hAnsi="Arial"/>
          <w:color w:val="414142"/>
          <w:w w:val="120"/>
          <w:sz w:val="18"/>
        </w:rPr>
        <w:t>for</w:t>
      </w:r>
      <w:r>
        <w:rPr>
          <w:rFonts w:ascii="Arial" w:hAnsi="Arial"/>
          <w:color w:val="414142"/>
          <w:spacing w:val="-16"/>
          <w:w w:val="120"/>
          <w:sz w:val="18"/>
        </w:rPr>
        <w:t> </w:t>
      </w:r>
      <w:r>
        <w:rPr>
          <w:rFonts w:ascii="Arial" w:hAnsi="Arial"/>
          <w:color w:val="414142"/>
          <w:w w:val="120"/>
          <w:sz w:val="18"/>
        </w:rPr>
        <w:t>oral</w:t>
      </w:r>
      <w:r>
        <w:rPr>
          <w:rFonts w:ascii="Arial" w:hAnsi="Arial"/>
          <w:color w:val="414142"/>
          <w:spacing w:val="-15"/>
          <w:w w:val="120"/>
          <w:sz w:val="18"/>
        </w:rPr>
        <w:t> </w:t>
      </w:r>
      <w:r>
        <w:rPr>
          <w:rFonts w:ascii="Arial" w:hAnsi="Arial"/>
          <w:color w:val="414142"/>
          <w:w w:val="120"/>
          <w:sz w:val="18"/>
        </w:rPr>
        <w:t>naltrexone.</w:t>
      </w:r>
      <w:r>
        <w:rPr>
          <w:rFonts w:ascii="Arial" w:hAnsi="Arial"/>
          <w:color w:val="414142"/>
          <w:spacing w:val="-16"/>
          <w:w w:val="120"/>
          <w:sz w:val="18"/>
        </w:rPr>
        <w:t> </w:t>
      </w:r>
      <w:r>
        <w:rPr>
          <w:rFonts w:ascii="Arial" w:hAnsi="Arial"/>
          <w:color w:val="414142"/>
          <w:w w:val="120"/>
          <w:sz w:val="18"/>
        </w:rPr>
        <w:t>Skip</w:t>
      </w:r>
      <w:r>
        <w:rPr>
          <w:rFonts w:ascii="Arial" w:hAnsi="Arial"/>
          <w:color w:val="414142"/>
          <w:spacing w:val="-15"/>
          <w:w w:val="120"/>
          <w:sz w:val="18"/>
        </w:rPr>
        <w:t> </w:t>
      </w:r>
      <w:r>
        <w:rPr>
          <w:rFonts w:ascii="Arial" w:hAnsi="Arial"/>
          <w:color w:val="414142"/>
          <w:w w:val="120"/>
          <w:sz w:val="18"/>
        </w:rPr>
        <w:t>to</w:t>
      </w:r>
      <w:r>
        <w:rPr>
          <w:rFonts w:ascii="Arial" w:hAnsi="Arial"/>
          <w:color w:val="414142"/>
          <w:spacing w:val="-15"/>
          <w:w w:val="120"/>
          <w:sz w:val="18"/>
        </w:rPr>
        <w:t> </w:t>
      </w:r>
      <w:r>
        <w:rPr>
          <w:rFonts w:ascii="Arial" w:hAnsi="Arial"/>
          <w:color w:val="414142"/>
          <w:w w:val="120"/>
          <w:sz w:val="18"/>
        </w:rPr>
        <w:t>Step</w:t>
      </w:r>
      <w:r>
        <w:rPr>
          <w:rFonts w:ascii="Arial" w:hAnsi="Arial"/>
          <w:color w:val="414142"/>
          <w:spacing w:val="-16"/>
          <w:w w:val="120"/>
          <w:sz w:val="18"/>
        </w:rPr>
        <w:t> </w:t>
      </w:r>
      <w:r>
        <w:rPr>
          <w:rFonts w:ascii="Arial" w:hAnsi="Arial"/>
          <w:color w:val="414142"/>
          <w:w w:val="120"/>
          <w:sz w:val="18"/>
        </w:rPr>
        <w:t>8.</w:t>
      </w:r>
    </w:p>
    <w:p>
      <w:pPr>
        <w:pStyle w:val="ListParagraph"/>
        <w:numPr>
          <w:ilvl w:val="0"/>
          <w:numId w:val="19"/>
        </w:numPr>
        <w:tabs>
          <w:tab w:pos="780" w:val="left" w:leader="none"/>
          <w:tab w:pos="781" w:val="left" w:leader="none"/>
        </w:tabs>
        <w:spacing w:line="278" w:lineRule="auto" w:before="28" w:after="0"/>
        <w:ind w:left="780" w:right="609" w:hanging="360"/>
        <w:jc w:val="left"/>
        <w:rPr>
          <w:rFonts w:ascii="Arial"/>
          <w:sz w:val="18"/>
        </w:rPr>
      </w:pPr>
      <w:r>
        <w:rPr>
          <w:rFonts w:ascii="Arial"/>
          <w:color w:val="414142"/>
          <w:w w:val="115"/>
          <w:sz w:val="18"/>
        </w:rPr>
        <w:t>If</w:t>
      </w:r>
      <w:r>
        <w:rPr>
          <w:rFonts w:ascii="Arial"/>
          <w:color w:val="414142"/>
          <w:spacing w:val="-15"/>
          <w:w w:val="115"/>
          <w:sz w:val="18"/>
        </w:rPr>
        <w:t> </w:t>
      </w:r>
      <w:r>
        <w:rPr>
          <w:rFonts w:ascii="Arial"/>
          <w:color w:val="414142"/>
          <w:w w:val="115"/>
          <w:sz w:val="18"/>
        </w:rPr>
        <w:t>no</w:t>
      </w:r>
      <w:r>
        <w:rPr>
          <w:rFonts w:ascii="Arial"/>
          <w:color w:val="414142"/>
          <w:spacing w:val="-14"/>
          <w:w w:val="115"/>
          <w:sz w:val="18"/>
        </w:rPr>
        <w:t> </w:t>
      </w:r>
      <w:r>
        <w:rPr>
          <w:rFonts w:ascii="Arial"/>
          <w:color w:val="414142"/>
          <w:w w:val="115"/>
          <w:sz w:val="18"/>
        </w:rPr>
        <w:t>withdrawal</w:t>
      </w:r>
      <w:r>
        <w:rPr>
          <w:rFonts w:ascii="Arial"/>
          <w:color w:val="414142"/>
          <w:spacing w:val="-15"/>
          <w:w w:val="115"/>
          <w:sz w:val="18"/>
        </w:rPr>
        <w:t> </w:t>
      </w:r>
      <w:r>
        <w:rPr>
          <w:rFonts w:ascii="Arial"/>
          <w:color w:val="414142"/>
          <w:w w:val="115"/>
          <w:sz w:val="18"/>
        </w:rPr>
        <w:t>signs</w:t>
      </w:r>
      <w:r>
        <w:rPr>
          <w:rFonts w:ascii="Arial"/>
          <w:color w:val="414142"/>
          <w:spacing w:val="-14"/>
          <w:w w:val="115"/>
          <w:sz w:val="18"/>
        </w:rPr>
        <w:t> </w:t>
      </w:r>
      <w:r>
        <w:rPr>
          <w:rFonts w:ascii="Arial"/>
          <w:color w:val="414142"/>
          <w:w w:val="115"/>
          <w:sz w:val="18"/>
        </w:rPr>
        <w:t>and</w:t>
      </w:r>
      <w:r>
        <w:rPr>
          <w:rFonts w:ascii="Arial"/>
          <w:color w:val="414142"/>
          <w:spacing w:val="-15"/>
          <w:w w:val="115"/>
          <w:sz w:val="18"/>
        </w:rPr>
        <w:t> </w:t>
      </w:r>
      <w:r>
        <w:rPr>
          <w:rFonts w:ascii="Arial"/>
          <w:color w:val="414142"/>
          <w:w w:val="115"/>
          <w:sz w:val="18"/>
        </w:rPr>
        <w:t>symptoms</w:t>
      </w:r>
      <w:r>
        <w:rPr>
          <w:rFonts w:ascii="Arial"/>
          <w:color w:val="414142"/>
          <w:spacing w:val="-14"/>
          <w:w w:val="115"/>
          <w:sz w:val="18"/>
        </w:rPr>
        <w:t> </w:t>
      </w:r>
      <w:r>
        <w:rPr>
          <w:rFonts w:ascii="Arial"/>
          <w:color w:val="414142"/>
          <w:w w:val="115"/>
          <w:sz w:val="18"/>
        </w:rPr>
        <w:t>are</w:t>
      </w:r>
      <w:r>
        <w:rPr>
          <w:rFonts w:ascii="Arial"/>
          <w:color w:val="414142"/>
          <w:spacing w:val="-14"/>
          <w:w w:val="115"/>
          <w:sz w:val="18"/>
        </w:rPr>
        <w:t> </w:t>
      </w:r>
      <w:r>
        <w:rPr>
          <w:rFonts w:ascii="Arial"/>
          <w:color w:val="414142"/>
          <w:w w:val="115"/>
          <w:sz w:val="18"/>
        </w:rPr>
        <w:t>present**</w:t>
      </w:r>
      <w:r>
        <w:rPr>
          <w:rFonts w:ascii="Arial"/>
          <w:color w:val="414142"/>
          <w:spacing w:val="-15"/>
          <w:w w:val="115"/>
          <w:sz w:val="18"/>
        </w:rPr>
        <w:t> </w:t>
      </w:r>
      <w:r>
        <w:rPr>
          <w:rFonts w:ascii="Arial"/>
          <w:color w:val="414142"/>
          <w:w w:val="115"/>
          <w:sz w:val="18"/>
        </w:rPr>
        <w:t>and</w:t>
      </w:r>
      <w:r>
        <w:rPr>
          <w:rFonts w:ascii="Arial"/>
          <w:color w:val="414142"/>
          <w:spacing w:val="-13"/>
          <w:w w:val="115"/>
          <w:sz w:val="18"/>
        </w:rPr>
        <w:t> </w:t>
      </w:r>
      <w:r>
        <w:rPr>
          <w:rFonts w:ascii="Arial"/>
          <w:b/>
          <w:color w:val="414142"/>
          <w:spacing w:val="-3"/>
          <w:w w:val="115"/>
          <w:sz w:val="18"/>
        </w:rPr>
        <w:t>XR-NTX</w:t>
      </w:r>
      <w:r>
        <w:rPr>
          <w:rFonts w:ascii="Arial"/>
          <w:b/>
          <w:color w:val="414142"/>
          <w:spacing w:val="-13"/>
          <w:w w:val="115"/>
          <w:sz w:val="18"/>
        </w:rPr>
        <w:t> </w:t>
      </w:r>
      <w:r>
        <w:rPr>
          <w:rFonts w:ascii="Arial"/>
          <w:b/>
          <w:color w:val="414142"/>
          <w:w w:val="115"/>
          <w:sz w:val="18"/>
        </w:rPr>
        <w:t>is</w:t>
      </w:r>
      <w:r>
        <w:rPr>
          <w:rFonts w:ascii="Arial"/>
          <w:b/>
          <w:color w:val="414142"/>
          <w:spacing w:val="-12"/>
          <w:w w:val="115"/>
          <w:sz w:val="18"/>
        </w:rPr>
        <w:t> </w:t>
      </w:r>
      <w:r>
        <w:rPr>
          <w:rFonts w:ascii="Arial"/>
          <w:b/>
          <w:color w:val="414142"/>
          <w:w w:val="115"/>
          <w:sz w:val="18"/>
        </w:rPr>
        <w:t>the</w:t>
      </w:r>
      <w:r>
        <w:rPr>
          <w:rFonts w:ascii="Arial"/>
          <w:b/>
          <w:color w:val="414142"/>
          <w:spacing w:val="-13"/>
          <w:w w:val="115"/>
          <w:sz w:val="18"/>
        </w:rPr>
        <w:t> </w:t>
      </w:r>
      <w:r>
        <w:rPr>
          <w:rFonts w:ascii="Arial"/>
          <w:b/>
          <w:color w:val="414142"/>
          <w:w w:val="115"/>
          <w:sz w:val="18"/>
        </w:rPr>
        <w:t>desired</w:t>
      </w:r>
      <w:r>
        <w:rPr>
          <w:rFonts w:ascii="Arial"/>
          <w:b/>
          <w:color w:val="414142"/>
          <w:spacing w:val="-13"/>
          <w:w w:val="115"/>
          <w:sz w:val="18"/>
        </w:rPr>
        <w:t> </w:t>
      </w:r>
      <w:r>
        <w:rPr>
          <w:rFonts w:ascii="Arial"/>
          <w:b/>
          <w:color w:val="414142"/>
          <w:w w:val="115"/>
          <w:sz w:val="18"/>
        </w:rPr>
        <w:t>treatment</w:t>
      </w:r>
      <w:r>
        <w:rPr>
          <w:rFonts w:ascii="Arial"/>
          <w:b/>
          <w:color w:val="414142"/>
          <w:spacing w:val="-12"/>
          <w:w w:val="115"/>
          <w:sz w:val="18"/>
        </w:rPr>
        <w:t> </w:t>
      </w:r>
      <w:r>
        <w:rPr>
          <w:rFonts w:ascii="Arial"/>
          <w:b/>
          <w:color w:val="414142"/>
          <w:w w:val="115"/>
          <w:sz w:val="18"/>
        </w:rPr>
        <w:t>course, </w:t>
      </w:r>
      <w:r>
        <w:rPr>
          <w:rFonts w:ascii="Arial"/>
          <w:color w:val="414142"/>
          <w:w w:val="115"/>
          <w:sz w:val="18"/>
        </w:rPr>
        <w:t>administer XR-NTX in the upper outer quadrant of the buttock, following package insert directions (summarized</w:t>
      </w:r>
      <w:r>
        <w:rPr>
          <w:rFonts w:ascii="Arial"/>
          <w:color w:val="414142"/>
          <w:spacing w:val="-10"/>
          <w:w w:val="115"/>
          <w:sz w:val="18"/>
        </w:rPr>
        <w:t> </w:t>
      </w:r>
      <w:r>
        <w:rPr>
          <w:rFonts w:ascii="Arial"/>
          <w:color w:val="414142"/>
          <w:w w:val="115"/>
          <w:sz w:val="18"/>
        </w:rPr>
        <w:t>below).</w:t>
      </w:r>
    </w:p>
    <w:p>
      <w:pPr>
        <w:pStyle w:val="ListParagraph"/>
        <w:numPr>
          <w:ilvl w:val="0"/>
          <w:numId w:val="19"/>
        </w:numPr>
        <w:tabs>
          <w:tab w:pos="781" w:val="left" w:leader="none"/>
        </w:tabs>
        <w:spacing w:line="240" w:lineRule="auto" w:before="28" w:after="0"/>
        <w:ind w:left="780" w:right="0" w:hanging="361"/>
        <w:jc w:val="left"/>
        <w:rPr>
          <w:rFonts w:ascii="Arial"/>
          <w:sz w:val="18"/>
        </w:rPr>
      </w:pPr>
      <w:r>
        <w:rPr>
          <w:rFonts w:ascii="Arial"/>
          <w:color w:val="414142"/>
          <w:w w:val="120"/>
          <w:sz w:val="18"/>
        </w:rPr>
        <w:t>Instruct</w:t>
      </w:r>
      <w:r>
        <w:rPr>
          <w:rFonts w:ascii="Arial"/>
          <w:color w:val="414142"/>
          <w:spacing w:val="-23"/>
          <w:w w:val="120"/>
          <w:sz w:val="18"/>
        </w:rPr>
        <w:t> </w:t>
      </w:r>
      <w:r>
        <w:rPr>
          <w:rFonts w:ascii="Arial"/>
          <w:color w:val="414142"/>
          <w:w w:val="120"/>
          <w:sz w:val="18"/>
        </w:rPr>
        <w:t>the</w:t>
      </w:r>
      <w:r>
        <w:rPr>
          <w:rFonts w:ascii="Arial"/>
          <w:color w:val="414142"/>
          <w:spacing w:val="-23"/>
          <w:w w:val="120"/>
          <w:sz w:val="18"/>
        </w:rPr>
        <w:t> </w:t>
      </w:r>
      <w:r>
        <w:rPr>
          <w:rFonts w:ascii="Arial"/>
          <w:color w:val="414142"/>
          <w:w w:val="120"/>
          <w:sz w:val="18"/>
        </w:rPr>
        <w:t>patient</w:t>
      </w:r>
      <w:r>
        <w:rPr>
          <w:rFonts w:ascii="Arial"/>
          <w:color w:val="414142"/>
          <w:spacing w:val="-22"/>
          <w:w w:val="120"/>
          <w:sz w:val="18"/>
        </w:rPr>
        <w:t> </w:t>
      </w:r>
      <w:r>
        <w:rPr>
          <w:rFonts w:ascii="Arial"/>
          <w:color w:val="414142"/>
          <w:w w:val="120"/>
          <w:sz w:val="18"/>
        </w:rPr>
        <w:t>about</w:t>
      </w:r>
      <w:r>
        <w:rPr>
          <w:rFonts w:ascii="Arial"/>
          <w:color w:val="414142"/>
          <w:spacing w:val="-23"/>
          <w:w w:val="120"/>
          <w:sz w:val="18"/>
        </w:rPr>
        <w:t> </w:t>
      </w:r>
      <w:r>
        <w:rPr>
          <w:rFonts w:ascii="Arial"/>
          <w:color w:val="414142"/>
          <w:w w:val="120"/>
          <w:sz w:val="18"/>
        </w:rPr>
        <w:t>the</w:t>
      </w:r>
      <w:r>
        <w:rPr>
          <w:rFonts w:ascii="Arial"/>
          <w:color w:val="414142"/>
          <w:spacing w:val="-23"/>
          <w:w w:val="120"/>
          <w:sz w:val="18"/>
        </w:rPr>
        <w:t> </w:t>
      </w:r>
      <w:r>
        <w:rPr>
          <w:rFonts w:ascii="Arial"/>
          <w:color w:val="414142"/>
          <w:w w:val="120"/>
          <w:sz w:val="18"/>
        </w:rPr>
        <w:t>risk</w:t>
      </w:r>
      <w:r>
        <w:rPr>
          <w:rFonts w:ascii="Arial"/>
          <w:color w:val="414142"/>
          <w:spacing w:val="-22"/>
          <w:w w:val="120"/>
          <w:sz w:val="18"/>
        </w:rPr>
        <w:t> </w:t>
      </w:r>
      <w:r>
        <w:rPr>
          <w:rFonts w:ascii="Arial"/>
          <w:color w:val="414142"/>
          <w:w w:val="120"/>
          <w:sz w:val="18"/>
        </w:rPr>
        <w:t>of</w:t>
      </w:r>
      <w:r>
        <w:rPr>
          <w:rFonts w:ascii="Arial"/>
          <w:color w:val="414142"/>
          <w:spacing w:val="-23"/>
          <w:w w:val="120"/>
          <w:sz w:val="18"/>
        </w:rPr>
        <w:t> </w:t>
      </w:r>
      <w:r>
        <w:rPr>
          <w:rFonts w:ascii="Arial"/>
          <w:color w:val="414142"/>
          <w:spacing w:val="-3"/>
          <w:w w:val="120"/>
          <w:sz w:val="18"/>
        </w:rPr>
        <w:t>overdose</w:t>
      </w:r>
      <w:r>
        <w:rPr>
          <w:rFonts w:ascii="Arial"/>
          <w:color w:val="414142"/>
          <w:spacing w:val="-22"/>
          <w:w w:val="120"/>
          <w:sz w:val="18"/>
        </w:rPr>
        <w:t> </w:t>
      </w:r>
      <w:r>
        <w:rPr>
          <w:rFonts w:ascii="Arial"/>
          <w:color w:val="414142"/>
          <w:w w:val="120"/>
          <w:sz w:val="18"/>
        </w:rPr>
        <w:t>and</w:t>
      </w:r>
      <w:r>
        <w:rPr>
          <w:rFonts w:ascii="Arial"/>
          <w:color w:val="414142"/>
          <w:spacing w:val="-23"/>
          <w:w w:val="120"/>
          <w:sz w:val="18"/>
        </w:rPr>
        <w:t> </w:t>
      </w:r>
      <w:r>
        <w:rPr>
          <w:rFonts w:ascii="Arial"/>
          <w:color w:val="414142"/>
          <w:spacing w:val="-3"/>
          <w:w w:val="120"/>
          <w:sz w:val="18"/>
        </w:rPr>
        <w:t>death</w:t>
      </w:r>
      <w:r>
        <w:rPr>
          <w:rFonts w:ascii="Arial"/>
          <w:color w:val="414142"/>
          <w:spacing w:val="-23"/>
          <w:w w:val="120"/>
          <w:sz w:val="18"/>
        </w:rPr>
        <w:t> </w:t>
      </w:r>
      <w:r>
        <w:rPr>
          <w:rFonts w:ascii="Arial"/>
          <w:color w:val="414142"/>
          <w:w w:val="120"/>
          <w:sz w:val="18"/>
        </w:rPr>
        <w:t>if</w:t>
      </w:r>
      <w:r>
        <w:rPr>
          <w:rFonts w:ascii="Arial"/>
          <w:color w:val="414142"/>
          <w:spacing w:val="-22"/>
          <w:w w:val="120"/>
          <w:sz w:val="18"/>
        </w:rPr>
        <w:t> </w:t>
      </w:r>
      <w:r>
        <w:rPr>
          <w:rFonts w:ascii="Arial"/>
          <w:color w:val="414142"/>
          <w:w w:val="120"/>
          <w:sz w:val="18"/>
        </w:rPr>
        <w:t>they</w:t>
      </w:r>
      <w:r>
        <w:rPr>
          <w:rFonts w:ascii="Arial"/>
          <w:color w:val="414142"/>
          <w:spacing w:val="-23"/>
          <w:w w:val="120"/>
          <w:sz w:val="18"/>
        </w:rPr>
        <w:t> </w:t>
      </w:r>
      <w:r>
        <w:rPr>
          <w:rFonts w:ascii="Arial"/>
          <w:color w:val="414142"/>
          <w:w w:val="120"/>
          <w:sz w:val="18"/>
        </w:rPr>
        <w:t>use</w:t>
      </w:r>
      <w:r>
        <w:rPr>
          <w:rFonts w:ascii="Arial"/>
          <w:color w:val="414142"/>
          <w:spacing w:val="-23"/>
          <w:w w:val="120"/>
          <w:sz w:val="18"/>
        </w:rPr>
        <w:t> </w:t>
      </w:r>
      <w:r>
        <w:rPr>
          <w:rFonts w:ascii="Arial"/>
          <w:color w:val="414142"/>
          <w:w w:val="120"/>
          <w:sz w:val="18"/>
        </w:rPr>
        <w:t>opioids</w:t>
      </w:r>
      <w:r>
        <w:rPr>
          <w:rFonts w:ascii="Arial"/>
          <w:color w:val="414142"/>
          <w:spacing w:val="-22"/>
          <w:w w:val="120"/>
          <w:sz w:val="18"/>
        </w:rPr>
        <w:t> </w:t>
      </w:r>
      <w:r>
        <w:rPr>
          <w:rFonts w:ascii="Arial"/>
          <w:color w:val="414142"/>
          <w:spacing w:val="-3"/>
          <w:w w:val="120"/>
          <w:sz w:val="18"/>
        </w:rPr>
        <w:t>to</w:t>
      </w:r>
      <w:r>
        <w:rPr>
          <w:rFonts w:ascii="Arial"/>
          <w:color w:val="414142"/>
          <w:spacing w:val="-23"/>
          <w:w w:val="120"/>
          <w:sz w:val="18"/>
        </w:rPr>
        <w:t> </w:t>
      </w:r>
      <w:r>
        <w:rPr>
          <w:rFonts w:ascii="Arial"/>
          <w:color w:val="414142"/>
          <w:spacing w:val="-3"/>
          <w:w w:val="120"/>
          <w:sz w:val="18"/>
        </w:rPr>
        <w:t>override</w:t>
      </w:r>
      <w:r>
        <w:rPr>
          <w:rFonts w:ascii="Arial"/>
          <w:color w:val="414142"/>
          <w:spacing w:val="-22"/>
          <w:w w:val="120"/>
          <w:sz w:val="18"/>
        </w:rPr>
        <w:t> </w:t>
      </w:r>
      <w:r>
        <w:rPr>
          <w:rFonts w:ascii="Arial"/>
          <w:color w:val="414142"/>
          <w:w w:val="120"/>
          <w:sz w:val="18"/>
        </w:rPr>
        <w:t>the</w:t>
      </w:r>
      <w:r>
        <w:rPr>
          <w:rFonts w:ascii="Arial"/>
          <w:color w:val="414142"/>
          <w:spacing w:val="-23"/>
          <w:w w:val="120"/>
          <w:sz w:val="18"/>
        </w:rPr>
        <w:t> </w:t>
      </w:r>
      <w:r>
        <w:rPr>
          <w:rFonts w:ascii="Arial"/>
          <w:color w:val="414142"/>
          <w:spacing w:val="-3"/>
          <w:w w:val="120"/>
          <w:sz w:val="18"/>
        </w:rPr>
        <w:t>blockade.</w:t>
      </w:r>
    </w:p>
    <w:p>
      <w:pPr>
        <w:pStyle w:val="BodyText"/>
        <w:rPr>
          <w:rFonts w:ascii="Arial"/>
          <w:sz w:val="19"/>
        </w:rPr>
      </w:pPr>
    </w:p>
    <w:p>
      <w:pPr>
        <w:pStyle w:val="Heading4"/>
        <w:ind w:left="420"/>
      </w:pPr>
      <w:r>
        <w:rPr>
          <w:color w:val="137692"/>
          <w:w w:val="110"/>
        </w:rPr>
        <w:t>Subcutaneous Administration</w:t>
      </w:r>
    </w:p>
    <w:p>
      <w:pPr>
        <w:pStyle w:val="ListParagraph"/>
        <w:numPr>
          <w:ilvl w:val="0"/>
          <w:numId w:val="20"/>
        </w:numPr>
        <w:tabs>
          <w:tab w:pos="780" w:val="left" w:leader="none"/>
          <w:tab w:pos="781" w:val="left" w:leader="none"/>
        </w:tabs>
        <w:spacing w:line="240" w:lineRule="auto" w:before="78" w:after="0"/>
        <w:ind w:left="780" w:right="0" w:hanging="361"/>
        <w:jc w:val="left"/>
        <w:rPr>
          <w:rFonts w:ascii="Arial"/>
          <w:sz w:val="18"/>
        </w:rPr>
      </w:pPr>
      <w:r>
        <w:rPr>
          <w:rFonts w:ascii="Arial"/>
          <w:color w:val="414142"/>
          <w:w w:val="115"/>
          <w:sz w:val="18"/>
        </w:rPr>
        <w:t>Inject 0.8 mg naloxone</w:t>
      </w:r>
      <w:r>
        <w:rPr>
          <w:rFonts w:ascii="Arial"/>
          <w:color w:val="414142"/>
          <w:spacing w:val="-38"/>
          <w:w w:val="115"/>
          <w:sz w:val="18"/>
        </w:rPr>
        <w:t> </w:t>
      </w:r>
      <w:r>
        <w:rPr>
          <w:rFonts w:ascii="Arial"/>
          <w:color w:val="414142"/>
          <w:w w:val="115"/>
          <w:sz w:val="18"/>
        </w:rPr>
        <w:t>subcutaneously.</w:t>
      </w:r>
    </w:p>
    <w:p>
      <w:pPr>
        <w:pStyle w:val="ListParagraph"/>
        <w:numPr>
          <w:ilvl w:val="0"/>
          <w:numId w:val="20"/>
        </w:numPr>
        <w:tabs>
          <w:tab w:pos="780" w:val="left" w:leader="none"/>
          <w:tab w:pos="781" w:val="left" w:leader="none"/>
        </w:tabs>
        <w:spacing w:line="278" w:lineRule="auto" w:before="61" w:after="0"/>
        <w:ind w:left="780" w:right="1248" w:hanging="360"/>
        <w:jc w:val="left"/>
        <w:rPr>
          <w:rFonts w:ascii="Arial"/>
          <w:sz w:val="18"/>
        </w:rPr>
      </w:pPr>
      <w:r>
        <w:rPr>
          <w:rFonts w:ascii="Arial"/>
          <w:color w:val="414142"/>
          <w:spacing w:val="-3"/>
          <w:w w:val="120"/>
          <w:sz w:val="18"/>
        </w:rPr>
        <w:t>Wait</w:t>
      </w:r>
      <w:r>
        <w:rPr>
          <w:rFonts w:ascii="Arial"/>
          <w:color w:val="414142"/>
          <w:spacing w:val="-22"/>
          <w:w w:val="120"/>
          <w:sz w:val="18"/>
        </w:rPr>
        <w:t> </w:t>
      </w:r>
      <w:r>
        <w:rPr>
          <w:rFonts w:ascii="Arial"/>
          <w:color w:val="414142"/>
          <w:w w:val="120"/>
          <w:sz w:val="18"/>
        </w:rPr>
        <w:t>20</w:t>
      </w:r>
      <w:r>
        <w:rPr>
          <w:rFonts w:ascii="Arial"/>
          <w:color w:val="414142"/>
          <w:spacing w:val="-22"/>
          <w:w w:val="120"/>
          <w:sz w:val="18"/>
        </w:rPr>
        <w:t> </w:t>
      </w:r>
      <w:r>
        <w:rPr>
          <w:rFonts w:ascii="Arial"/>
          <w:color w:val="414142"/>
          <w:w w:val="120"/>
          <w:sz w:val="18"/>
        </w:rPr>
        <w:t>minutes</w:t>
      </w:r>
      <w:r>
        <w:rPr>
          <w:rFonts w:ascii="Arial"/>
          <w:color w:val="414142"/>
          <w:spacing w:val="-22"/>
          <w:w w:val="120"/>
          <w:sz w:val="18"/>
        </w:rPr>
        <w:t> </w:t>
      </w:r>
      <w:r>
        <w:rPr>
          <w:rFonts w:ascii="Arial"/>
          <w:color w:val="414142"/>
          <w:w w:val="120"/>
          <w:sz w:val="18"/>
        </w:rPr>
        <w:t>while</w:t>
      </w:r>
      <w:r>
        <w:rPr>
          <w:rFonts w:ascii="Arial"/>
          <w:color w:val="414142"/>
          <w:spacing w:val="-22"/>
          <w:w w:val="120"/>
          <w:sz w:val="18"/>
        </w:rPr>
        <w:t> </w:t>
      </w:r>
      <w:r>
        <w:rPr>
          <w:rFonts w:ascii="Arial"/>
          <w:color w:val="414142"/>
          <w:w w:val="120"/>
          <w:sz w:val="18"/>
        </w:rPr>
        <w:t>checking</w:t>
      </w:r>
      <w:r>
        <w:rPr>
          <w:rFonts w:ascii="Arial"/>
          <w:color w:val="414142"/>
          <w:spacing w:val="-22"/>
          <w:w w:val="120"/>
          <w:sz w:val="18"/>
        </w:rPr>
        <w:t> </w:t>
      </w:r>
      <w:r>
        <w:rPr>
          <w:rFonts w:ascii="Arial"/>
          <w:color w:val="414142"/>
          <w:w w:val="120"/>
          <w:sz w:val="18"/>
        </w:rPr>
        <w:t>vital</w:t>
      </w:r>
      <w:r>
        <w:rPr>
          <w:rFonts w:ascii="Arial"/>
          <w:color w:val="414142"/>
          <w:spacing w:val="-21"/>
          <w:w w:val="120"/>
          <w:sz w:val="18"/>
        </w:rPr>
        <w:t> </w:t>
      </w:r>
      <w:r>
        <w:rPr>
          <w:rFonts w:ascii="Arial"/>
          <w:color w:val="414142"/>
          <w:w w:val="120"/>
          <w:sz w:val="18"/>
        </w:rPr>
        <w:t>signs</w:t>
      </w:r>
      <w:r>
        <w:rPr>
          <w:rFonts w:ascii="Arial"/>
          <w:color w:val="414142"/>
          <w:spacing w:val="-22"/>
          <w:w w:val="120"/>
          <w:sz w:val="18"/>
        </w:rPr>
        <w:t> </w:t>
      </w:r>
      <w:r>
        <w:rPr>
          <w:rFonts w:ascii="Arial"/>
          <w:color w:val="414142"/>
          <w:w w:val="120"/>
          <w:sz w:val="18"/>
        </w:rPr>
        <w:t>and</w:t>
      </w:r>
      <w:r>
        <w:rPr>
          <w:rFonts w:ascii="Arial"/>
          <w:color w:val="414142"/>
          <w:spacing w:val="-22"/>
          <w:w w:val="120"/>
          <w:sz w:val="18"/>
        </w:rPr>
        <w:t> </w:t>
      </w:r>
      <w:r>
        <w:rPr>
          <w:rFonts w:ascii="Arial"/>
          <w:color w:val="414142"/>
          <w:w w:val="120"/>
          <w:sz w:val="18"/>
        </w:rPr>
        <w:t>observing</w:t>
      </w:r>
      <w:r>
        <w:rPr>
          <w:rFonts w:ascii="Arial"/>
          <w:color w:val="414142"/>
          <w:spacing w:val="-22"/>
          <w:w w:val="120"/>
          <w:sz w:val="18"/>
        </w:rPr>
        <w:t> </w:t>
      </w:r>
      <w:r>
        <w:rPr>
          <w:rFonts w:ascii="Arial"/>
          <w:color w:val="414142"/>
          <w:w w:val="120"/>
          <w:sz w:val="18"/>
        </w:rPr>
        <w:t>for</w:t>
      </w:r>
      <w:r>
        <w:rPr>
          <w:rFonts w:ascii="Arial"/>
          <w:color w:val="414142"/>
          <w:spacing w:val="-22"/>
          <w:w w:val="120"/>
          <w:sz w:val="18"/>
        </w:rPr>
        <w:t> </w:t>
      </w:r>
      <w:r>
        <w:rPr>
          <w:rFonts w:ascii="Arial"/>
          <w:color w:val="414142"/>
          <w:w w:val="120"/>
          <w:sz w:val="18"/>
        </w:rPr>
        <w:t>signs</w:t>
      </w:r>
      <w:r>
        <w:rPr>
          <w:rFonts w:ascii="Arial"/>
          <w:color w:val="414142"/>
          <w:spacing w:val="-21"/>
          <w:w w:val="120"/>
          <w:sz w:val="18"/>
        </w:rPr>
        <w:t> </w:t>
      </w:r>
      <w:r>
        <w:rPr>
          <w:rFonts w:ascii="Arial"/>
          <w:color w:val="414142"/>
          <w:w w:val="120"/>
          <w:sz w:val="18"/>
        </w:rPr>
        <w:t>and</w:t>
      </w:r>
      <w:r>
        <w:rPr>
          <w:rFonts w:ascii="Arial"/>
          <w:color w:val="414142"/>
          <w:spacing w:val="-22"/>
          <w:w w:val="120"/>
          <w:sz w:val="18"/>
        </w:rPr>
        <w:t> </w:t>
      </w:r>
      <w:r>
        <w:rPr>
          <w:rFonts w:ascii="Arial"/>
          <w:color w:val="414142"/>
          <w:w w:val="120"/>
          <w:sz w:val="18"/>
        </w:rPr>
        <w:t>symptoms</w:t>
      </w:r>
      <w:r>
        <w:rPr>
          <w:rFonts w:ascii="Arial"/>
          <w:color w:val="414142"/>
          <w:spacing w:val="-22"/>
          <w:w w:val="120"/>
          <w:sz w:val="18"/>
        </w:rPr>
        <w:t> </w:t>
      </w:r>
      <w:r>
        <w:rPr>
          <w:rFonts w:ascii="Arial"/>
          <w:color w:val="414142"/>
          <w:w w:val="120"/>
          <w:sz w:val="18"/>
        </w:rPr>
        <w:t>of</w:t>
      </w:r>
      <w:r>
        <w:rPr>
          <w:rFonts w:ascii="Arial"/>
          <w:color w:val="414142"/>
          <w:spacing w:val="-22"/>
          <w:w w:val="120"/>
          <w:sz w:val="18"/>
        </w:rPr>
        <w:t> </w:t>
      </w:r>
      <w:r>
        <w:rPr>
          <w:rFonts w:ascii="Arial"/>
          <w:color w:val="414142"/>
          <w:w w:val="120"/>
          <w:sz w:val="18"/>
        </w:rPr>
        <w:t>opioid withdrawal.</w:t>
      </w:r>
    </w:p>
    <w:p>
      <w:pPr>
        <w:pStyle w:val="ListParagraph"/>
        <w:numPr>
          <w:ilvl w:val="0"/>
          <w:numId w:val="20"/>
        </w:numPr>
        <w:tabs>
          <w:tab w:pos="780" w:val="left" w:leader="none"/>
          <w:tab w:pos="781" w:val="left" w:leader="none"/>
        </w:tabs>
        <w:spacing w:line="278" w:lineRule="auto" w:before="29" w:after="0"/>
        <w:ind w:left="780" w:right="711" w:hanging="360"/>
        <w:jc w:val="left"/>
        <w:rPr>
          <w:rFonts w:ascii="Arial"/>
          <w:sz w:val="18"/>
        </w:rPr>
      </w:pPr>
      <w:r>
        <w:rPr>
          <w:rFonts w:ascii="Arial"/>
          <w:color w:val="414142"/>
          <w:w w:val="115"/>
          <w:sz w:val="18"/>
        </w:rPr>
        <w:t>If withdrawal signs and symptom are present, stop the naloxone challenge and treat symptomatically. The test can be repeated in 24 hours or the patient can be considered for</w:t>
      </w:r>
      <w:r>
        <w:rPr>
          <w:rFonts w:ascii="Arial"/>
          <w:color w:val="414142"/>
          <w:spacing w:val="-25"/>
          <w:w w:val="115"/>
          <w:sz w:val="18"/>
        </w:rPr>
        <w:t> </w:t>
      </w:r>
      <w:r>
        <w:rPr>
          <w:rFonts w:ascii="Arial"/>
          <w:color w:val="414142"/>
          <w:w w:val="115"/>
          <w:sz w:val="18"/>
        </w:rPr>
        <w:t>opioid agonist</w:t>
      </w:r>
      <w:r>
        <w:rPr>
          <w:rFonts w:ascii="Arial"/>
          <w:color w:val="414142"/>
          <w:spacing w:val="-10"/>
          <w:w w:val="115"/>
          <w:sz w:val="18"/>
        </w:rPr>
        <w:t> </w:t>
      </w:r>
      <w:r>
        <w:rPr>
          <w:rFonts w:ascii="Arial"/>
          <w:color w:val="414142"/>
          <w:w w:val="115"/>
          <w:sz w:val="18"/>
        </w:rPr>
        <w:t>treatment.</w:t>
      </w:r>
    </w:p>
    <w:p>
      <w:pPr>
        <w:pStyle w:val="ListParagraph"/>
        <w:numPr>
          <w:ilvl w:val="0"/>
          <w:numId w:val="20"/>
        </w:numPr>
        <w:tabs>
          <w:tab w:pos="781" w:val="left" w:leader="none"/>
        </w:tabs>
        <w:spacing w:line="278" w:lineRule="auto" w:before="28" w:after="0"/>
        <w:ind w:left="780" w:right="758" w:hanging="360"/>
        <w:jc w:val="left"/>
        <w:rPr>
          <w:rFonts w:ascii="Arial"/>
          <w:sz w:val="18"/>
        </w:rPr>
      </w:pPr>
      <w:r>
        <w:rPr>
          <w:rFonts w:ascii="Arial"/>
          <w:color w:val="414142"/>
          <w:w w:val="115"/>
          <w:sz w:val="18"/>
        </w:rPr>
        <w:t>If no withdrawal signs and symptoms are present, follow Step 6 (for oral naltrexone treatment) or Step</w:t>
      </w:r>
      <w:r>
        <w:rPr>
          <w:rFonts w:ascii="Arial"/>
          <w:color w:val="414142"/>
          <w:spacing w:val="-11"/>
          <w:w w:val="115"/>
          <w:sz w:val="18"/>
        </w:rPr>
        <w:t> </w:t>
      </w:r>
      <w:r>
        <w:rPr>
          <w:rFonts w:ascii="Arial"/>
          <w:color w:val="414142"/>
          <w:w w:val="115"/>
          <w:sz w:val="18"/>
        </w:rPr>
        <w:t>7</w:t>
      </w:r>
      <w:r>
        <w:rPr>
          <w:rFonts w:ascii="Arial"/>
          <w:color w:val="414142"/>
          <w:spacing w:val="-10"/>
          <w:w w:val="115"/>
          <w:sz w:val="18"/>
        </w:rPr>
        <w:t> </w:t>
      </w:r>
      <w:r>
        <w:rPr>
          <w:rFonts w:ascii="Arial"/>
          <w:color w:val="414142"/>
          <w:w w:val="115"/>
          <w:sz w:val="18"/>
        </w:rPr>
        <w:t>(for</w:t>
      </w:r>
      <w:r>
        <w:rPr>
          <w:rFonts w:ascii="Arial"/>
          <w:color w:val="414142"/>
          <w:spacing w:val="-10"/>
          <w:w w:val="115"/>
          <w:sz w:val="18"/>
        </w:rPr>
        <w:t> </w:t>
      </w:r>
      <w:r>
        <w:rPr>
          <w:rFonts w:ascii="Arial"/>
          <w:color w:val="414142"/>
          <w:w w:val="115"/>
          <w:sz w:val="18"/>
        </w:rPr>
        <w:t>XR-NTX</w:t>
      </w:r>
      <w:r>
        <w:rPr>
          <w:rFonts w:ascii="Arial"/>
          <w:color w:val="414142"/>
          <w:spacing w:val="-10"/>
          <w:w w:val="115"/>
          <w:sz w:val="18"/>
        </w:rPr>
        <w:t> </w:t>
      </w:r>
      <w:r>
        <w:rPr>
          <w:rFonts w:ascii="Arial"/>
          <w:color w:val="414142"/>
          <w:w w:val="115"/>
          <w:sz w:val="18"/>
        </w:rPr>
        <w:t>treatment)</w:t>
      </w:r>
      <w:r>
        <w:rPr>
          <w:rFonts w:ascii="Arial"/>
          <w:color w:val="414142"/>
          <w:spacing w:val="-11"/>
          <w:w w:val="115"/>
          <w:sz w:val="18"/>
        </w:rPr>
        <w:t> </w:t>
      </w:r>
      <w:r>
        <w:rPr>
          <w:rFonts w:ascii="Arial"/>
          <w:color w:val="414142"/>
          <w:w w:val="115"/>
          <w:sz w:val="18"/>
        </w:rPr>
        <w:t>above.</w:t>
      </w:r>
    </w:p>
    <w:p>
      <w:pPr>
        <w:pStyle w:val="BodyText"/>
        <w:rPr>
          <w:rFonts w:ascii="Arial"/>
          <w:sz w:val="21"/>
        </w:rPr>
      </w:pPr>
    </w:p>
    <w:p>
      <w:pPr>
        <w:spacing w:line="235" w:lineRule="auto" w:before="0"/>
        <w:ind w:left="420" w:right="728" w:firstLine="0"/>
        <w:jc w:val="left"/>
        <w:rPr>
          <w:rFonts w:ascii="Calibri"/>
          <w:sz w:val="16"/>
        </w:rPr>
      </w:pPr>
      <w:r>
        <w:rPr>
          <w:rFonts w:ascii="Calibri"/>
          <w:color w:val="4D4D4F"/>
          <w:w w:val="105"/>
          <w:sz w:val="16"/>
        </w:rPr>
        <w:t>* </w:t>
      </w:r>
      <w:r>
        <w:rPr>
          <w:rFonts w:ascii="Arial"/>
          <w:b/>
          <w:color w:val="4D4D4F"/>
          <w:w w:val="120"/>
          <w:sz w:val="16"/>
        </w:rPr>
        <w:t>Optional: </w:t>
      </w:r>
      <w:r>
        <w:rPr>
          <w:rFonts w:ascii="Calibri"/>
          <w:color w:val="4D4D4F"/>
          <w:w w:val="120"/>
          <w:sz w:val="16"/>
        </w:rPr>
        <w:t>If withdrawal signs and symptoms are absent, administer 25 mg oral naltrexone and observe for 2 hours. If the patient develops opioid withdrawal, treat symptomatically. If no withdrawal signs or symptoms are present following the 25 mg naltrexone dose and oral naltrexone is the desired treatment course, give the patient one tablet of 25 mg naltrexone to take the next day and 50 mg naltrexone tablets to take daily starting the day</w:t>
      </w:r>
      <w:r>
        <w:rPr>
          <w:rFonts w:ascii="Calibri"/>
          <w:color w:val="4D4D4F"/>
          <w:spacing w:val="37"/>
          <w:w w:val="120"/>
          <w:sz w:val="16"/>
        </w:rPr>
        <w:t> </w:t>
      </w:r>
      <w:r>
        <w:rPr>
          <w:rFonts w:ascii="Calibri"/>
          <w:color w:val="4D4D4F"/>
          <w:w w:val="120"/>
          <w:sz w:val="16"/>
        </w:rPr>
        <w:t>after.</w:t>
      </w:r>
    </w:p>
    <w:p>
      <w:pPr>
        <w:spacing w:line="271" w:lineRule="auto" w:before="71"/>
        <w:ind w:left="420" w:right="668" w:firstLine="0"/>
        <w:jc w:val="left"/>
        <w:rPr>
          <w:rFonts w:ascii="Calibri"/>
          <w:sz w:val="16"/>
        </w:rPr>
      </w:pPr>
      <w:r>
        <w:rPr>
          <w:rFonts w:ascii="Calibri"/>
          <w:color w:val="4D4D4F"/>
          <w:w w:val="105"/>
          <w:sz w:val="16"/>
        </w:rPr>
        <w:t>** </w:t>
      </w:r>
      <w:r>
        <w:rPr>
          <w:rFonts w:ascii="Arial"/>
          <w:b/>
          <w:color w:val="4D4D4F"/>
          <w:w w:val="125"/>
          <w:sz w:val="16"/>
        </w:rPr>
        <w:t>Optional: </w:t>
      </w:r>
      <w:r>
        <w:rPr>
          <w:rFonts w:ascii="Calibri"/>
          <w:color w:val="4D4D4F"/>
          <w:w w:val="125"/>
          <w:sz w:val="16"/>
        </w:rPr>
        <w:t>If withdrawal signs and symptoms are absent, administer 25 mg oral naltrexone and observe for 2 hours. If the patient develops opioid withdrawal, treat symptomatically and do not administer XR-NTX. This step is </w:t>
      </w:r>
      <w:r>
        <w:rPr>
          <w:rFonts w:ascii="Calibri"/>
          <w:color w:val="4D4D4F"/>
          <w:spacing w:val="-3"/>
          <w:w w:val="125"/>
          <w:sz w:val="16"/>
        </w:rPr>
        <w:t>recommended</w:t>
      </w:r>
      <w:r>
        <w:rPr>
          <w:rFonts w:ascii="Calibri"/>
          <w:color w:val="4D4D4F"/>
          <w:spacing w:val="-10"/>
          <w:w w:val="125"/>
          <w:sz w:val="16"/>
        </w:rPr>
        <w:t> </w:t>
      </w:r>
      <w:r>
        <w:rPr>
          <w:rFonts w:ascii="Calibri"/>
          <w:color w:val="4D4D4F"/>
          <w:spacing w:val="-3"/>
          <w:w w:val="125"/>
          <w:sz w:val="16"/>
        </w:rPr>
        <w:t>to</w:t>
      </w:r>
      <w:r>
        <w:rPr>
          <w:rFonts w:ascii="Calibri"/>
          <w:color w:val="4D4D4F"/>
          <w:spacing w:val="-10"/>
          <w:w w:val="125"/>
          <w:sz w:val="16"/>
        </w:rPr>
        <w:t> </w:t>
      </w:r>
      <w:r>
        <w:rPr>
          <w:rFonts w:ascii="Calibri"/>
          <w:color w:val="4D4D4F"/>
          <w:w w:val="125"/>
          <w:sz w:val="16"/>
        </w:rPr>
        <w:t>minimize</w:t>
      </w:r>
      <w:r>
        <w:rPr>
          <w:rFonts w:ascii="Calibri"/>
          <w:color w:val="4D4D4F"/>
          <w:spacing w:val="-10"/>
          <w:w w:val="125"/>
          <w:sz w:val="16"/>
        </w:rPr>
        <w:t> </w:t>
      </w:r>
      <w:r>
        <w:rPr>
          <w:rFonts w:ascii="Calibri"/>
          <w:color w:val="4D4D4F"/>
          <w:w w:val="125"/>
          <w:sz w:val="16"/>
        </w:rPr>
        <w:t>the</w:t>
      </w:r>
      <w:r>
        <w:rPr>
          <w:rFonts w:ascii="Calibri"/>
          <w:color w:val="4D4D4F"/>
          <w:spacing w:val="-10"/>
          <w:w w:val="125"/>
          <w:sz w:val="16"/>
        </w:rPr>
        <w:t> </w:t>
      </w:r>
      <w:r>
        <w:rPr>
          <w:rFonts w:ascii="Calibri"/>
          <w:color w:val="4D4D4F"/>
          <w:spacing w:val="-3"/>
          <w:w w:val="125"/>
          <w:sz w:val="16"/>
        </w:rPr>
        <w:t>likelihood</w:t>
      </w:r>
      <w:r>
        <w:rPr>
          <w:rFonts w:ascii="Calibri"/>
          <w:color w:val="4D4D4F"/>
          <w:spacing w:val="-10"/>
          <w:w w:val="125"/>
          <w:sz w:val="16"/>
        </w:rPr>
        <w:t> </w:t>
      </w:r>
      <w:r>
        <w:rPr>
          <w:rFonts w:ascii="Calibri"/>
          <w:color w:val="4D4D4F"/>
          <w:w w:val="125"/>
          <w:sz w:val="16"/>
        </w:rPr>
        <w:t>of</w:t>
      </w:r>
      <w:r>
        <w:rPr>
          <w:rFonts w:ascii="Calibri"/>
          <w:color w:val="4D4D4F"/>
          <w:spacing w:val="-10"/>
          <w:w w:val="125"/>
          <w:sz w:val="16"/>
        </w:rPr>
        <w:t> </w:t>
      </w:r>
      <w:r>
        <w:rPr>
          <w:rFonts w:ascii="Calibri"/>
          <w:color w:val="4D4D4F"/>
          <w:w w:val="125"/>
          <w:sz w:val="16"/>
        </w:rPr>
        <w:t>longer</w:t>
      </w:r>
      <w:r>
        <w:rPr>
          <w:rFonts w:ascii="Calibri"/>
          <w:color w:val="4D4D4F"/>
          <w:spacing w:val="-10"/>
          <w:w w:val="125"/>
          <w:sz w:val="16"/>
        </w:rPr>
        <w:t> </w:t>
      </w:r>
      <w:r>
        <w:rPr>
          <w:rFonts w:ascii="Calibri"/>
          <w:color w:val="4D4D4F"/>
          <w:w w:val="125"/>
          <w:sz w:val="16"/>
        </w:rPr>
        <w:t>lasting</w:t>
      </w:r>
      <w:r>
        <w:rPr>
          <w:rFonts w:ascii="Calibri"/>
          <w:color w:val="4D4D4F"/>
          <w:spacing w:val="-10"/>
          <w:w w:val="125"/>
          <w:sz w:val="16"/>
        </w:rPr>
        <w:t> </w:t>
      </w:r>
      <w:r>
        <w:rPr>
          <w:rFonts w:ascii="Calibri"/>
          <w:color w:val="4D4D4F"/>
          <w:spacing w:val="-3"/>
          <w:w w:val="125"/>
          <w:sz w:val="16"/>
        </w:rPr>
        <w:t>precipitated</w:t>
      </w:r>
      <w:r>
        <w:rPr>
          <w:rFonts w:ascii="Calibri"/>
          <w:color w:val="4D4D4F"/>
          <w:spacing w:val="-10"/>
          <w:w w:val="125"/>
          <w:sz w:val="16"/>
        </w:rPr>
        <w:t> </w:t>
      </w:r>
      <w:r>
        <w:rPr>
          <w:rFonts w:ascii="Calibri"/>
          <w:color w:val="4D4D4F"/>
          <w:spacing w:val="-3"/>
          <w:w w:val="125"/>
          <w:sz w:val="16"/>
        </w:rPr>
        <w:t>withdrawal</w:t>
      </w:r>
      <w:r>
        <w:rPr>
          <w:rFonts w:ascii="Calibri"/>
          <w:color w:val="4D4D4F"/>
          <w:spacing w:val="-10"/>
          <w:w w:val="125"/>
          <w:sz w:val="16"/>
        </w:rPr>
        <w:t> </w:t>
      </w:r>
      <w:r>
        <w:rPr>
          <w:rFonts w:ascii="Calibri"/>
          <w:color w:val="4D4D4F"/>
          <w:w w:val="125"/>
          <w:sz w:val="16"/>
        </w:rPr>
        <w:t>in</w:t>
      </w:r>
      <w:r>
        <w:rPr>
          <w:rFonts w:ascii="Calibri"/>
          <w:color w:val="4D4D4F"/>
          <w:spacing w:val="-10"/>
          <w:w w:val="125"/>
          <w:sz w:val="16"/>
        </w:rPr>
        <w:t> </w:t>
      </w:r>
      <w:r>
        <w:rPr>
          <w:rFonts w:ascii="Calibri"/>
          <w:color w:val="4D4D4F"/>
          <w:w w:val="125"/>
          <w:sz w:val="16"/>
        </w:rPr>
        <w:t>patients</w:t>
      </w:r>
      <w:r>
        <w:rPr>
          <w:rFonts w:ascii="Calibri"/>
          <w:color w:val="4D4D4F"/>
          <w:spacing w:val="-10"/>
          <w:w w:val="125"/>
          <w:sz w:val="16"/>
        </w:rPr>
        <w:t> </w:t>
      </w:r>
      <w:r>
        <w:rPr>
          <w:rFonts w:ascii="Calibri"/>
          <w:color w:val="4D4D4F"/>
          <w:w w:val="125"/>
          <w:sz w:val="16"/>
        </w:rPr>
        <w:t>given</w:t>
      </w:r>
      <w:r>
        <w:rPr>
          <w:rFonts w:ascii="Calibri"/>
          <w:color w:val="4D4D4F"/>
          <w:spacing w:val="-10"/>
          <w:w w:val="125"/>
          <w:sz w:val="16"/>
        </w:rPr>
        <w:t> </w:t>
      </w:r>
      <w:r>
        <w:rPr>
          <w:rFonts w:ascii="Calibri"/>
          <w:color w:val="4D4D4F"/>
          <w:spacing w:val="-4"/>
          <w:w w:val="125"/>
          <w:sz w:val="16"/>
        </w:rPr>
        <w:t>XR-NTX</w:t>
      </w:r>
      <w:r>
        <w:rPr>
          <w:rFonts w:ascii="Calibri"/>
          <w:color w:val="4D4D4F"/>
          <w:spacing w:val="-10"/>
          <w:w w:val="125"/>
          <w:sz w:val="16"/>
        </w:rPr>
        <w:t> </w:t>
      </w:r>
      <w:r>
        <w:rPr>
          <w:rFonts w:ascii="Calibri"/>
          <w:color w:val="4D4D4F"/>
          <w:w w:val="125"/>
          <w:sz w:val="16"/>
        </w:rPr>
        <w:t>who</w:t>
      </w:r>
      <w:r>
        <w:rPr>
          <w:rFonts w:ascii="Calibri"/>
          <w:color w:val="4D4D4F"/>
          <w:spacing w:val="-10"/>
          <w:w w:val="125"/>
          <w:sz w:val="16"/>
        </w:rPr>
        <w:t> </w:t>
      </w:r>
      <w:r>
        <w:rPr>
          <w:rFonts w:ascii="Calibri"/>
          <w:color w:val="4D4D4F"/>
          <w:spacing w:val="-3"/>
          <w:w w:val="125"/>
          <w:sz w:val="16"/>
        </w:rPr>
        <w:t>took</w:t>
      </w:r>
    </w:p>
    <w:p>
      <w:pPr>
        <w:spacing w:line="271" w:lineRule="auto" w:before="0"/>
        <w:ind w:left="420" w:right="624" w:firstLine="0"/>
        <w:jc w:val="left"/>
        <w:rPr>
          <w:rFonts w:ascii="Calibri"/>
          <w:sz w:val="16"/>
        </w:rPr>
      </w:pPr>
      <w:r>
        <w:rPr>
          <w:rFonts w:ascii="Calibri"/>
          <w:color w:val="4D4D4F"/>
          <w:w w:val="125"/>
          <w:sz w:val="16"/>
        </w:rPr>
        <w:t>buprenorphine</w:t>
      </w:r>
      <w:r>
        <w:rPr>
          <w:rFonts w:ascii="Calibri"/>
          <w:color w:val="4D4D4F"/>
          <w:spacing w:val="-14"/>
          <w:w w:val="125"/>
          <w:sz w:val="16"/>
        </w:rPr>
        <w:t> </w:t>
      </w:r>
      <w:r>
        <w:rPr>
          <w:rFonts w:ascii="Calibri"/>
          <w:color w:val="4D4D4F"/>
          <w:w w:val="125"/>
          <w:sz w:val="16"/>
        </w:rPr>
        <w:t>recently</w:t>
      </w:r>
      <w:r>
        <w:rPr>
          <w:rFonts w:ascii="Calibri"/>
          <w:color w:val="4D4D4F"/>
          <w:spacing w:val="-14"/>
          <w:w w:val="125"/>
          <w:sz w:val="16"/>
        </w:rPr>
        <w:t> </w:t>
      </w:r>
      <w:r>
        <w:rPr>
          <w:rFonts w:ascii="Calibri"/>
          <w:color w:val="4D4D4F"/>
          <w:w w:val="125"/>
          <w:sz w:val="16"/>
        </w:rPr>
        <w:t>(naloxone</w:t>
      </w:r>
      <w:r>
        <w:rPr>
          <w:rFonts w:ascii="Calibri"/>
          <w:color w:val="4D4D4F"/>
          <w:spacing w:val="-14"/>
          <w:w w:val="125"/>
          <w:sz w:val="16"/>
        </w:rPr>
        <w:t> </w:t>
      </w:r>
      <w:r>
        <w:rPr>
          <w:rFonts w:ascii="Calibri"/>
          <w:color w:val="4D4D4F"/>
          <w:w w:val="125"/>
          <w:sz w:val="16"/>
        </w:rPr>
        <w:t>may</w:t>
      </w:r>
      <w:r>
        <w:rPr>
          <w:rFonts w:ascii="Calibri"/>
          <w:color w:val="4D4D4F"/>
          <w:spacing w:val="-14"/>
          <w:w w:val="125"/>
          <w:sz w:val="16"/>
        </w:rPr>
        <w:t> </w:t>
      </w:r>
      <w:r>
        <w:rPr>
          <w:rFonts w:ascii="Calibri"/>
          <w:color w:val="4D4D4F"/>
          <w:w w:val="125"/>
          <w:sz w:val="16"/>
        </w:rPr>
        <w:t>not</w:t>
      </w:r>
      <w:r>
        <w:rPr>
          <w:rFonts w:ascii="Calibri"/>
          <w:color w:val="4D4D4F"/>
          <w:spacing w:val="-14"/>
          <w:w w:val="125"/>
          <w:sz w:val="16"/>
        </w:rPr>
        <w:t> </w:t>
      </w:r>
      <w:r>
        <w:rPr>
          <w:rFonts w:ascii="Calibri"/>
          <w:color w:val="4D4D4F"/>
          <w:w w:val="125"/>
          <w:sz w:val="16"/>
        </w:rPr>
        <w:t>displace</w:t>
      </w:r>
      <w:r>
        <w:rPr>
          <w:rFonts w:ascii="Calibri"/>
          <w:color w:val="4D4D4F"/>
          <w:spacing w:val="-14"/>
          <w:w w:val="125"/>
          <w:sz w:val="16"/>
        </w:rPr>
        <w:t> </w:t>
      </w:r>
      <w:r>
        <w:rPr>
          <w:rFonts w:ascii="Calibri"/>
          <w:color w:val="4D4D4F"/>
          <w:w w:val="125"/>
          <w:sz w:val="16"/>
        </w:rPr>
        <w:t>it</w:t>
      </w:r>
      <w:r>
        <w:rPr>
          <w:rFonts w:ascii="Calibri"/>
          <w:color w:val="4D4D4F"/>
          <w:spacing w:val="-14"/>
          <w:w w:val="125"/>
          <w:sz w:val="16"/>
        </w:rPr>
        <w:t> </w:t>
      </w:r>
      <w:r>
        <w:rPr>
          <w:rFonts w:ascii="Calibri"/>
          <w:color w:val="4D4D4F"/>
          <w:spacing w:val="2"/>
          <w:w w:val="125"/>
          <w:sz w:val="16"/>
        </w:rPr>
        <w:t>from</w:t>
      </w:r>
      <w:r>
        <w:rPr>
          <w:rFonts w:ascii="Calibri"/>
          <w:color w:val="4D4D4F"/>
          <w:spacing w:val="-14"/>
          <w:w w:val="125"/>
          <w:sz w:val="16"/>
        </w:rPr>
        <w:t> </w:t>
      </w:r>
      <w:r>
        <w:rPr>
          <w:rFonts w:ascii="Calibri"/>
          <w:color w:val="4D4D4F"/>
          <w:w w:val="125"/>
          <w:sz w:val="16"/>
        </w:rPr>
        <w:t>opioid</w:t>
      </w:r>
      <w:r>
        <w:rPr>
          <w:rFonts w:ascii="Calibri"/>
          <w:color w:val="4D4D4F"/>
          <w:spacing w:val="-14"/>
          <w:w w:val="125"/>
          <w:sz w:val="16"/>
        </w:rPr>
        <w:t> </w:t>
      </w:r>
      <w:r>
        <w:rPr>
          <w:rFonts w:ascii="Calibri"/>
          <w:color w:val="4D4D4F"/>
          <w:w w:val="125"/>
          <w:sz w:val="16"/>
        </w:rPr>
        <w:t>receptors).</w:t>
      </w:r>
      <w:r>
        <w:rPr>
          <w:rFonts w:ascii="Calibri"/>
          <w:color w:val="4D4D4F"/>
          <w:spacing w:val="-14"/>
          <w:w w:val="125"/>
          <w:sz w:val="16"/>
        </w:rPr>
        <w:t> </w:t>
      </w:r>
      <w:r>
        <w:rPr>
          <w:rFonts w:ascii="Calibri"/>
          <w:color w:val="4D4D4F"/>
          <w:w w:val="125"/>
          <w:sz w:val="16"/>
        </w:rPr>
        <w:t>This</w:t>
      </w:r>
      <w:r>
        <w:rPr>
          <w:rFonts w:ascii="Calibri"/>
          <w:color w:val="4D4D4F"/>
          <w:spacing w:val="-14"/>
          <w:w w:val="125"/>
          <w:sz w:val="16"/>
        </w:rPr>
        <w:t> </w:t>
      </w:r>
      <w:r>
        <w:rPr>
          <w:rFonts w:ascii="Calibri"/>
          <w:color w:val="4D4D4F"/>
          <w:w w:val="125"/>
          <w:sz w:val="16"/>
        </w:rPr>
        <w:t>step</w:t>
      </w:r>
      <w:r>
        <w:rPr>
          <w:rFonts w:ascii="Calibri"/>
          <w:color w:val="4D4D4F"/>
          <w:spacing w:val="-14"/>
          <w:w w:val="125"/>
          <w:sz w:val="16"/>
        </w:rPr>
        <w:t> </w:t>
      </w:r>
      <w:r>
        <w:rPr>
          <w:rFonts w:ascii="Calibri"/>
          <w:color w:val="4D4D4F"/>
          <w:w w:val="125"/>
          <w:sz w:val="16"/>
        </w:rPr>
        <w:t>can</w:t>
      </w:r>
      <w:r>
        <w:rPr>
          <w:rFonts w:ascii="Calibri"/>
          <w:color w:val="4D4D4F"/>
          <w:spacing w:val="-14"/>
          <w:w w:val="125"/>
          <w:sz w:val="16"/>
        </w:rPr>
        <w:t> </w:t>
      </w:r>
      <w:r>
        <w:rPr>
          <w:rFonts w:ascii="Calibri"/>
          <w:color w:val="4D4D4F"/>
          <w:w w:val="125"/>
          <w:sz w:val="16"/>
        </w:rPr>
        <w:t>help</w:t>
      </w:r>
      <w:r>
        <w:rPr>
          <w:rFonts w:ascii="Calibri"/>
          <w:color w:val="4D4D4F"/>
          <w:spacing w:val="-14"/>
          <w:w w:val="125"/>
          <w:sz w:val="16"/>
        </w:rPr>
        <w:t> </w:t>
      </w:r>
      <w:r>
        <w:rPr>
          <w:rFonts w:ascii="Calibri"/>
          <w:color w:val="4D4D4F"/>
          <w:w w:val="125"/>
          <w:sz w:val="16"/>
        </w:rPr>
        <w:t>identify</w:t>
      </w:r>
      <w:r>
        <w:rPr>
          <w:rFonts w:ascii="Calibri"/>
          <w:color w:val="4D4D4F"/>
          <w:spacing w:val="-14"/>
          <w:w w:val="125"/>
          <w:sz w:val="16"/>
        </w:rPr>
        <w:t> </w:t>
      </w:r>
      <w:r>
        <w:rPr>
          <w:rFonts w:ascii="Calibri"/>
          <w:color w:val="4D4D4F"/>
          <w:w w:val="125"/>
          <w:sz w:val="16"/>
        </w:rPr>
        <w:t>a</w:t>
      </w:r>
      <w:r>
        <w:rPr>
          <w:rFonts w:ascii="Calibri"/>
          <w:color w:val="4D4D4F"/>
          <w:spacing w:val="-14"/>
          <w:w w:val="125"/>
          <w:sz w:val="16"/>
        </w:rPr>
        <w:t> </w:t>
      </w:r>
      <w:r>
        <w:rPr>
          <w:rFonts w:ascii="Calibri"/>
          <w:color w:val="4D4D4F"/>
          <w:w w:val="125"/>
          <w:sz w:val="16"/>
        </w:rPr>
        <w:t>naltrexone allergy before providing XR-NTX. If no withdrawal symptoms are present following the 25 mg naltrexone dose and XR-NTX</w:t>
      </w:r>
      <w:r>
        <w:rPr>
          <w:rFonts w:ascii="Calibri"/>
          <w:color w:val="4D4D4F"/>
          <w:spacing w:val="-5"/>
          <w:w w:val="125"/>
          <w:sz w:val="16"/>
        </w:rPr>
        <w:t> </w:t>
      </w:r>
      <w:r>
        <w:rPr>
          <w:rFonts w:ascii="Calibri"/>
          <w:color w:val="4D4D4F"/>
          <w:w w:val="125"/>
          <w:sz w:val="16"/>
        </w:rPr>
        <w:t>is</w:t>
      </w:r>
      <w:r>
        <w:rPr>
          <w:rFonts w:ascii="Calibri"/>
          <w:color w:val="4D4D4F"/>
          <w:spacing w:val="-5"/>
          <w:w w:val="125"/>
          <w:sz w:val="16"/>
        </w:rPr>
        <w:t> </w:t>
      </w:r>
      <w:r>
        <w:rPr>
          <w:rFonts w:ascii="Calibri"/>
          <w:color w:val="4D4D4F"/>
          <w:w w:val="125"/>
          <w:sz w:val="16"/>
        </w:rPr>
        <w:t>the</w:t>
      </w:r>
      <w:r>
        <w:rPr>
          <w:rFonts w:ascii="Calibri"/>
          <w:color w:val="4D4D4F"/>
          <w:spacing w:val="-5"/>
          <w:w w:val="125"/>
          <w:sz w:val="16"/>
        </w:rPr>
        <w:t> </w:t>
      </w:r>
      <w:r>
        <w:rPr>
          <w:rFonts w:ascii="Calibri"/>
          <w:color w:val="4D4D4F"/>
          <w:w w:val="125"/>
          <w:sz w:val="16"/>
        </w:rPr>
        <w:t>desired</w:t>
      </w:r>
      <w:r>
        <w:rPr>
          <w:rFonts w:ascii="Calibri"/>
          <w:color w:val="4D4D4F"/>
          <w:spacing w:val="-5"/>
          <w:w w:val="125"/>
          <w:sz w:val="16"/>
        </w:rPr>
        <w:t> </w:t>
      </w:r>
      <w:r>
        <w:rPr>
          <w:rFonts w:ascii="Calibri"/>
          <w:color w:val="4D4D4F"/>
          <w:w w:val="125"/>
          <w:sz w:val="16"/>
        </w:rPr>
        <w:t>course,</w:t>
      </w:r>
      <w:r>
        <w:rPr>
          <w:rFonts w:ascii="Calibri"/>
          <w:color w:val="4D4D4F"/>
          <w:spacing w:val="-5"/>
          <w:w w:val="125"/>
          <w:sz w:val="16"/>
        </w:rPr>
        <w:t> </w:t>
      </w:r>
      <w:r>
        <w:rPr>
          <w:rFonts w:ascii="Calibri"/>
          <w:color w:val="4D4D4F"/>
          <w:w w:val="125"/>
          <w:sz w:val="16"/>
        </w:rPr>
        <w:t>administer</w:t>
      </w:r>
      <w:r>
        <w:rPr>
          <w:rFonts w:ascii="Calibri"/>
          <w:color w:val="4D4D4F"/>
          <w:spacing w:val="-5"/>
          <w:w w:val="125"/>
          <w:sz w:val="16"/>
        </w:rPr>
        <w:t> </w:t>
      </w:r>
      <w:r>
        <w:rPr>
          <w:rFonts w:ascii="Calibri"/>
          <w:color w:val="4D4D4F"/>
          <w:w w:val="125"/>
          <w:sz w:val="16"/>
        </w:rPr>
        <w:t>XR-NTX</w:t>
      </w:r>
      <w:r>
        <w:rPr>
          <w:rFonts w:ascii="Calibri"/>
          <w:color w:val="4D4D4F"/>
          <w:spacing w:val="-5"/>
          <w:w w:val="125"/>
          <w:sz w:val="16"/>
        </w:rPr>
        <w:t> </w:t>
      </w:r>
      <w:r>
        <w:rPr>
          <w:rFonts w:ascii="Calibri"/>
          <w:color w:val="4D4D4F"/>
          <w:w w:val="125"/>
          <w:sz w:val="16"/>
        </w:rPr>
        <w:t>as</w:t>
      </w:r>
      <w:r>
        <w:rPr>
          <w:rFonts w:ascii="Calibri"/>
          <w:color w:val="4D4D4F"/>
          <w:spacing w:val="-5"/>
          <w:w w:val="125"/>
          <w:sz w:val="16"/>
        </w:rPr>
        <w:t> </w:t>
      </w:r>
      <w:r>
        <w:rPr>
          <w:rFonts w:ascii="Calibri"/>
          <w:color w:val="4D4D4F"/>
          <w:w w:val="125"/>
          <w:sz w:val="16"/>
        </w:rPr>
        <w:t>described</w:t>
      </w:r>
      <w:r>
        <w:rPr>
          <w:rFonts w:ascii="Calibri"/>
          <w:color w:val="4D4D4F"/>
          <w:spacing w:val="-5"/>
          <w:w w:val="125"/>
          <w:sz w:val="16"/>
        </w:rPr>
        <w:t> </w:t>
      </w:r>
      <w:r>
        <w:rPr>
          <w:rFonts w:ascii="Calibri"/>
          <w:color w:val="4D4D4F"/>
          <w:w w:val="125"/>
          <w:sz w:val="16"/>
        </w:rPr>
        <w:t>above.</w:t>
      </w:r>
    </w:p>
    <w:p>
      <w:pPr>
        <w:spacing w:before="101"/>
        <w:ind w:left="420" w:right="0" w:firstLine="0"/>
        <w:jc w:val="left"/>
        <w:rPr>
          <w:rFonts w:ascii="Calibri"/>
          <w:i/>
          <w:sz w:val="9"/>
        </w:rPr>
      </w:pPr>
      <w:r>
        <w:rPr>
          <w:rFonts w:ascii="Calibri"/>
          <w:i/>
          <w:color w:val="4D4D4F"/>
          <w:w w:val="125"/>
          <w:sz w:val="16"/>
        </w:rPr>
        <w:t>Adapted from material in the public domain.</w:t>
      </w:r>
      <w:r>
        <w:rPr>
          <w:rFonts w:ascii="Calibri"/>
          <w:i/>
          <w:color w:val="4D4D4F"/>
          <w:w w:val="125"/>
          <w:position w:val="5"/>
          <w:sz w:val="9"/>
        </w:rPr>
        <w:t>185</w:t>
      </w:r>
    </w:p>
    <w:p>
      <w:pPr>
        <w:spacing w:after="0"/>
        <w:jc w:val="left"/>
        <w:rPr>
          <w:rFonts w:ascii="Calibri"/>
          <w:sz w:val="9"/>
        </w:rPr>
        <w:sectPr>
          <w:pgSz w:w="12240" w:h="15840"/>
          <w:pgMar w:header="576" w:footer="677" w:top="1340" w:bottom="860" w:left="940" w:right="920"/>
        </w:sectPr>
      </w:pPr>
    </w:p>
    <w:p>
      <w:pPr>
        <w:pStyle w:val="BodyText"/>
        <w:rPr>
          <w:rFonts w:ascii="Calibri"/>
          <w:i/>
          <w:sz w:val="26"/>
        </w:rPr>
      </w:pPr>
    </w:p>
    <w:p>
      <w:pPr>
        <w:spacing w:after="0"/>
        <w:rPr>
          <w:rFonts w:ascii="Calibri"/>
          <w:sz w:val="26"/>
        </w:rPr>
        <w:sectPr>
          <w:pgSz w:w="12240" w:h="15840"/>
          <w:pgMar w:header="576" w:footer="677" w:top="1340" w:bottom="860" w:left="940" w:right="920"/>
        </w:sectPr>
      </w:pPr>
    </w:p>
    <w:p>
      <w:pPr>
        <w:pStyle w:val="Heading5"/>
        <w:spacing w:before="97"/>
        <w:rPr>
          <w:i/>
        </w:rPr>
      </w:pPr>
      <w:r>
        <w:rPr>
          <w:i/>
          <w:color w:val="137692"/>
          <w:w w:val="105"/>
        </w:rPr>
        <w:t>Side effects</w:t>
      </w:r>
    </w:p>
    <w:p>
      <w:pPr>
        <w:pStyle w:val="BodyText"/>
        <w:spacing w:line="247" w:lineRule="auto" w:before="47"/>
        <w:ind w:left="140" w:right="168"/>
      </w:pPr>
      <w:r>
        <w:rPr>
          <w:color w:val="4D4D4F"/>
          <w:w w:val="115"/>
        </w:rPr>
        <w:t>Possible</w:t>
      </w:r>
      <w:r>
        <w:rPr>
          <w:color w:val="4D4D4F"/>
          <w:spacing w:val="-40"/>
          <w:w w:val="115"/>
        </w:rPr>
        <w:t> </w:t>
      </w:r>
      <w:r>
        <w:rPr>
          <w:color w:val="4D4D4F"/>
          <w:w w:val="115"/>
        </w:rPr>
        <w:t>side</w:t>
      </w:r>
      <w:r>
        <w:rPr>
          <w:color w:val="4D4D4F"/>
          <w:spacing w:val="-39"/>
          <w:w w:val="115"/>
        </w:rPr>
        <w:t> </w:t>
      </w:r>
      <w:r>
        <w:rPr>
          <w:color w:val="4D4D4F"/>
          <w:w w:val="115"/>
        </w:rPr>
        <w:t>effects</w:t>
      </w:r>
      <w:r>
        <w:rPr>
          <w:color w:val="4D4D4F"/>
          <w:spacing w:val="-40"/>
          <w:w w:val="115"/>
        </w:rPr>
        <w:t> </w:t>
      </w:r>
      <w:r>
        <w:rPr>
          <w:color w:val="4D4D4F"/>
          <w:w w:val="115"/>
        </w:rPr>
        <w:t>of</w:t>
      </w:r>
      <w:r>
        <w:rPr>
          <w:color w:val="4D4D4F"/>
          <w:spacing w:val="-39"/>
          <w:w w:val="115"/>
        </w:rPr>
        <w:t> </w:t>
      </w:r>
      <w:r>
        <w:rPr>
          <w:color w:val="4D4D4F"/>
          <w:w w:val="115"/>
        </w:rPr>
        <w:t>XR-NTX</w:t>
      </w:r>
      <w:r>
        <w:rPr>
          <w:color w:val="4D4D4F"/>
          <w:spacing w:val="-40"/>
          <w:w w:val="115"/>
        </w:rPr>
        <w:t> </w:t>
      </w:r>
      <w:r>
        <w:rPr>
          <w:color w:val="4D4D4F"/>
          <w:w w:val="115"/>
        </w:rPr>
        <w:t>include</w:t>
      </w:r>
      <w:r>
        <w:rPr>
          <w:color w:val="4D4D4F"/>
          <w:spacing w:val="-39"/>
          <w:w w:val="115"/>
        </w:rPr>
        <w:t> </w:t>
      </w:r>
      <w:r>
        <w:rPr>
          <w:color w:val="4D4D4F"/>
          <w:w w:val="115"/>
        </w:rPr>
        <w:t>(see</w:t>
      </w:r>
      <w:r>
        <w:rPr>
          <w:color w:val="4D4D4F"/>
          <w:spacing w:val="-40"/>
          <w:w w:val="115"/>
        </w:rPr>
        <w:t> </w:t>
      </w:r>
      <w:r>
        <w:rPr>
          <w:color w:val="4D4D4F"/>
          <w:spacing w:val="-6"/>
          <w:w w:val="115"/>
        </w:rPr>
        <w:t>the </w:t>
      </w:r>
      <w:r>
        <w:rPr>
          <w:color w:val="4D4D4F"/>
          <w:w w:val="115"/>
        </w:rPr>
        <w:t>FDA</w:t>
      </w:r>
      <w:r>
        <w:rPr>
          <w:color w:val="4D4D4F"/>
          <w:spacing w:val="-17"/>
          <w:w w:val="115"/>
        </w:rPr>
        <w:t> </w:t>
      </w:r>
      <w:r>
        <w:rPr>
          <w:color w:val="4D4D4F"/>
          <w:w w:val="115"/>
        </w:rPr>
        <w:t>label</w:t>
      </w:r>
      <w:r>
        <w:rPr>
          <w:color w:val="4D4D4F"/>
          <w:spacing w:val="-17"/>
          <w:w w:val="115"/>
        </w:rPr>
        <w:t> </w:t>
      </w:r>
      <w:r>
        <w:rPr>
          <w:color w:val="4D4D4F"/>
          <w:w w:val="115"/>
        </w:rPr>
        <w:t>for</w:t>
      </w:r>
      <w:r>
        <w:rPr>
          <w:color w:val="4D4D4F"/>
          <w:spacing w:val="-16"/>
          <w:w w:val="115"/>
        </w:rPr>
        <w:t> </w:t>
      </w:r>
      <w:r>
        <w:rPr>
          <w:color w:val="4D4D4F"/>
          <w:w w:val="115"/>
        </w:rPr>
        <w:t>a</w:t>
      </w:r>
      <w:r>
        <w:rPr>
          <w:color w:val="4D4D4F"/>
          <w:spacing w:val="-17"/>
          <w:w w:val="115"/>
        </w:rPr>
        <w:t> </w:t>
      </w:r>
      <w:r>
        <w:rPr>
          <w:color w:val="4D4D4F"/>
          <w:w w:val="115"/>
        </w:rPr>
        <w:t>complete</w:t>
      </w:r>
      <w:r>
        <w:rPr>
          <w:color w:val="4D4D4F"/>
          <w:spacing w:val="-17"/>
          <w:w w:val="115"/>
        </w:rPr>
        <w:t> </w:t>
      </w:r>
      <w:r>
        <w:rPr>
          <w:color w:val="4D4D4F"/>
          <w:w w:val="115"/>
        </w:rPr>
        <w:t>list</w:t>
      </w:r>
      <w:r>
        <w:rPr>
          <w:color w:val="4D4D4F"/>
          <w:spacing w:val="-16"/>
          <w:w w:val="115"/>
        </w:rPr>
        <w:t> </w:t>
      </w:r>
      <w:r>
        <w:rPr>
          <w:color w:val="205E9F"/>
          <w:w w:val="115"/>
          <w:u w:val="single" w:color="205E9F"/>
        </w:rPr>
        <w:t>https://dailymed</w:t>
      </w:r>
    </w:p>
    <w:p>
      <w:pPr>
        <w:pStyle w:val="BodyText"/>
        <w:spacing w:line="247" w:lineRule="auto" w:before="3"/>
        <w:ind w:left="140" w:right="365"/>
        <w:rPr>
          <w:sz w:val="13"/>
        </w:rPr>
      </w:pPr>
      <w:r>
        <w:rPr>
          <w:color w:val="205E9F"/>
          <w:w w:val="115"/>
          <w:u w:val="single" w:color="205E9F"/>
        </w:rPr>
        <w:t>.nlm.nih.gov/dailymed/drugInfo.cfm?setid=cd</w:t>
      </w:r>
      <w:r>
        <w:rPr>
          <w:color w:val="205E9F"/>
          <w:w w:val="115"/>
        </w:rPr>
        <w:t> </w:t>
      </w:r>
      <w:r>
        <w:rPr>
          <w:color w:val="205E9F"/>
          <w:w w:val="115"/>
          <w:u w:val="single" w:color="205E9F"/>
        </w:rPr>
        <w:t>11c435-b0f0-4bb9-ae78-60f101f3703f</w:t>
      </w:r>
      <w:r>
        <w:rPr>
          <w:color w:val="4D4D4F"/>
          <w:w w:val="115"/>
        </w:rPr>
        <w:t>):</w:t>
      </w:r>
      <w:r>
        <w:rPr>
          <w:color w:val="4D4D4F"/>
          <w:w w:val="115"/>
          <w:position w:val="7"/>
          <w:sz w:val="13"/>
        </w:rPr>
        <w:t>186</w:t>
      </w:r>
    </w:p>
    <w:p>
      <w:pPr>
        <w:pStyle w:val="ListParagraph"/>
        <w:numPr>
          <w:ilvl w:val="0"/>
          <w:numId w:val="4"/>
        </w:numPr>
        <w:tabs>
          <w:tab w:pos="410" w:val="left" w:leader="none"/>
        </w:tabs>
        <w:spacing w:line="315" w:lineRule="exact" w:before="99" w:after="0"/>
        <w:ind w:left="410" w:right="0" w:hanging="270"/>
        <w:jc w:val="left"/>
        <w:rPr>
          <w:rFonts w:ascii="Arial" w:hAnsi="Arial"/>
          <w:color w:val="137692"/>
          <w:sz w:val="28"/>
        </w:rPr>
      </w:pPr>
      <w:r>
        <w:rPr>
          <w:color w:val="4D4D4F"/>
          <w:w w:val="110"/>
          <w:sz w:val="22"/>
        </w:rPr>
        <w:t>Insomnia.</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Injection site</w:t>
      </w:r>
      <w:r>
        <w:rPr>
          <w:color w:val="4D4D4F"/>
          <w:spacing w:val="-11"/>
          <w:w w:val="110"/>
          <w:sz w:val="22"/>
        </w:rPr>
        <w:t> </w:t>
      </w:r>
      <w:r>
        <w:rPr>
          <w:color w:val="4D4D4F"/>
          <w:w w:val="110"/>
          <w:sz w:val="22"/>
        </w:rPr>
        <w:t>pain.</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Hepatic enzyme</w:t>
      </w:r>
      <w:r>
        <w:rPr>
          <w:color w:val="4D4D4F"/>
          <w:spacing w:val="-9"/>
          <w:w w:val="110"/>
          <w:sz w:val="22"/>
        </w:rPr>
        <w:t> </w:t>
      </w:r>
      <w:r>
        <w:rPr>
          <w:color w:val="4D4D4F"/>
          <w:w w:val="110"/>
          <w:sz w:val="22"/>
        </w:rPr>
        <w:t>abnormalities.</w:t>
      </w:r>
    </w:p>
    <w:p>
      <w:pPr>
        <w:pStyle w:val="ListParagraph"/>
        <w:numPr>
          <w:ilvl w:val="0"/>
          <w:numId w:val="4"/>
        </w:numPr>
        <w:tabs>
          <w:tab w:pos="410" w:val="left" w:leader="none"/>
        </w:tabs>
        <w:spacing w:line="315" w:lineRule="exact" w:before="0" w:after="0"/>
        <w:ind w:left="410" w:right="0" w:hanging="270"/>
        <w:jc w:val="left"/>
        <w:rPr>
          <w:rFonts w:ascii="Arial" w:hAnsi="Arial"/>
          <w:color w:val="137692"/>
          <w:sz w:val="28"/>
        </w:rPr>
      </w:pPr>
      <w:r>
        <w:rPr>
          <w:color w:val="4D4D4F"/>
          <w:w w:val="110"/>
          <w:sz w:val="22"/>
        </w:rPr>
        <w:t>Nasopharyngitis.</w:t>
      </w:r>
    </w:p>
    <w:p>
      <w:pPr>
        <w:pStyle w:val="Heading5"/>
        <w:spacing w:before="175"/>
        <w:rPr>
          <w:i/>
        </w:rPr>
      </w:pPr>
      <w:r>
        <w:rPr>
          <w:i/>
          <w:color w:val="137692"/>
          <w:w w:val="110"/>
        </w:rPr>
        <w:t>Assessment</w:t>
      </w:r>
    </w:p>
    <w:p>
      <w:pPr>
        <w:pStyle w:val="BodyText"/>
        <w:spacing w:line="247" w:lineRule="auto" w:before="47"/>
        <w:ind w:left="140" w:right="19"/>
      </w:pPr>
      <w:r>
        <w:rPr>
          <w:color w:val="4D4D4F"/>
          <w:w w:val="110"/>
        </w:rPr>
        <w:t>Thorough assessment helps determine whether naltrexone treatment is appropriate for a patient. (Part 2 of this Treatment Improvement Protocol [TIP] covers screening and assessment in more detail.)</w:t>
      </w:r>
    </w:p>
    <w:p>
      <w:pPr>
        <w:pStyle w:val="Heading7"/>
        <w:spacing w:line="235" w:lineRule="auto" w:before="185"/>
        <w:ind w:right="241"/>
      </w:pPr>
      <w:r>
        <w:rPr>
          <w:color w:val="4D4D4F"/>
          <w:w w:val="115"/>
        </w:rPr>
        <w:t>Patients who have been abstinent from short-acting opioids (including tramadol) for 7 to 10 days or long-acting opioids (e.g.,</w:t>
      </w:r>
    </w:p>
    <w:p>
      <w:pPr>
        <w:spacing w:line="237" w:lineRule="auto" w:before="1"/>
        <w:ind w:left="140" w:right="0" w:firstLine="0"/>
        <w:jc w:val="left"/>
        <w:rPr>
          <w:sz w:val="22"/>
        </w:rPr>
      </w:pPr>
      <w:r>
        <w:rPr>
          <w:rFonts w:ascii="Calibri"/>
          <w:b/>
          <w:color w:val="4D4D4F"/>
          <w:w w:val="115"/>
          <w:sz w:val="22"/>
        </w:rPr>
        <w:t>methadone, buprenorphine) for 10 to 14 days can initiate naltrexone following assessment </w:t>
      </w:r>
      <w:r>
        <w:rPr>
          <w:color w:val="4D4D4F"/>
          <w:w w:val="115"/>
          <w:sz w:val="22"/>
        </w:rPr>
        <w:t>that includes:</w:t>
      </w:r>
    </w:p>
    <w:p>
      <w:pPr>
        <w:pStyle w:val="Heading7"/>
        <w:numPr>
          <w:ilvl w:val="0"/>
          <w:numId w:val="4"/>
        </w:numPr>
        <w:tabs>
          <w:tab w:pos="410" w:val="left" w:leader="none"/>
        </w:tabs>
        <w:spacing w:line="204" w:lineRule="auto" w:before="141" w:after="0"/>
        <w:ind w:left="410" w:right="158" w:hanging="270"/>
        <w:jc w:val="left"/>
        <w:rPr>
          <w:rFonts w:ascii="Arial" w:hAnsi="Arial"/>
          <w:color w:val="137692"/>
          <w:sz w:val="28"/>
        </w:rPr>
      </w:pPr>
      <w:r>
        <w:rPr>
          <w:color w:val="4D4D4F"/>
          <w:w w:val="115"/>
        </w:rPr>
        <w:t>Checking the state prescription drug </w:t>
      </w:r>
      <w:r>
        <w:rPr>
          <w:color w:val="4D4D4F"/>
          <w:spacing w:val="-4"/>
          <w:w w:val="115"/>
        </w:rPr>
        <w:t>moni- </w:t>
      </w:r>
      <w:r>
        <w:rPr>
          <w:color w:val="4D4D4F"/>
          <w:w w:val="115"/>
        </w:rPr>
        <w:t>toring program</w:t>
      </w:r>
      <w:r>
        <w:rPr>
          <w:color w:val="4D4D4F"/>
          <w:spacing w:val="13"/>
          <w:w w:val="115"/>
        </w:rPr>
        <w:t> </w:t>
      </w:r>
      <w:r>
        <w:rPr>
          <w:color w:val="4D4D4F"/>
          <w:w w:val="115"/>
        </w:rPr>
        <w:t>database.</w:t>
      </w:r>
    </w:p>
    <w:p>
      <w:pPr>
        <w:pStyle w:val="ListParagraph"/>
        <w:numPr>
          <w:ilvl w:val="0"/>
          <w:numId w:val="4"/>
        </w:numPr>
        <w:tabs>
          <w:tab w:pos="410" w:val="left" w:leader="none"/>
        </w:tabs>
        <w:spacing w:line="313" w:lineRule="exact" w:before="35" w:after="0"/>
        <w:ind w:left="410" w:right="0" w:hanging="270"/>
        <w:jc w:val="left"/>
        <w:rPr>
          <w:rFonts w:ascii="Arial" w:hAnsi="Arial"/>
          <w:b/>
          <w:color w:val="137692"/>
          <w:sz w:val="28"/>
        </w:rPr>
      </w:pPr>
      <w:r>
        <w:rPr>
          <w:rFonts w:ascii="Calibri" w:hAnsi="Calibri"/>
          <w:b/>
          <w:color w:val="4D4D4F"/>
          <w:spacing w:val="-4"/>
          <w:w w:val="115"/>
          <w:sz w:val="22"/>
        </w:rPr>
        <w:t>Taking </w:t>
      </w:r>
      <w:r>
        <w:rPr>
          <w:rFonts w:ascii="Calibri" w:hAnsi="Calibri"/>
          <w:b/>
          <w:color w:val="4D4D4F"/>
          <w:w w:val="115"/>
          <w:sz w:val="22"/>
        </w:rPr>
        <w:t>the patient’s</w:t>
      </w:r>
      <w:r>
        <w:rPr>
          <w:rFonts w:ascii="Calibri" w:hAnsi="Calibri"/>
          <w:b/>
          <w:color w:val="4D4D4F"/>
          <w:spacing w:val="-24"/>
          <w:w w:val="115"/>
          <w:sz w:val="22"/>
        </w:rPr>
        <w:t> </w:t>
      </w:r>
      <w:r>
        <w:rPr>
          <w:rFonts w:ascii="Calibri" w:hAnsi="Calibri"/>
          <w:b/>
          <w:color w:val="4D4D4F"/>
          <w:spacing w:val="-3"/>
          <w:w w:val="115"/>
          <w:sz w:val="22"/>
        </w:rPr>
        <w:t>history.</w:t>
      </w:r>
    </w:p>
    <w:p>
      <w:pPr>
        <w:pStyle w:val="ListParagraph"/>
        <w:numPr>
          <w:ilvl w:val="0"/>
          <w:numId w:val="21"/>
        </w:numPr>
        <w:tabs>
          <w:tab w:pos="716" w:val="left" w:leader="none"/>
        </w:tabs>
        <w:spacing w:line="247" w:lineRule="auto" w:before="0" w:after="0"/>
        <w:ind w:left="716" w:right="188" w:hanging="270"/>
        <w:jc w:val="left"/>
        <w:rPr>
          <w:sz w:val="22"/>
        </w:rPr>
      </w:pPr>
      <w:r>
        <w:rPr>
          <w:color w:val="4D4D4F"/>
          <w:w w:val="110"/>
          <w:sz w:val="22"/>
        </w:rPr>
        <w:t>Conduct a medical, psychiatric, substance use, and substance use treatment</w:t>
      </w:r>
      <w:r>
        <w:rPr>
          <w:color w:val="4D4D4F"/>
          <w:spacing w:val="25"/>
          <w:w w:val="110"/>
          <w:sz w:val="22"/>
        </w:rPr>
        <w:t> </w:t>
      </w:r>
      <w:r>
        <w:rPr>
          <w:color w:val="4D4D4F"/>
          <w:spacing w:val="-3"/>
          <w:w w:val="110"/>
          <w:sz w:val="22"/>
        </w:rPr>
        <w:t>history.</w:t>
      </w:r>
    </w:p>
    <w:p>
      <w:pPr>
        <w:pStyle w:val="ListParagraph"/>
        <w:numPr>
          <w:ilvl w:val="0"/>
          <w:numId w:val="21"/>
        </w:numPr>
        <w:tabs>
          <w:tab w:pos="716" w:val="left" w:leader="none"/>
        </w:tabs>
        <w:spacing w:line="244" w:lineRule="auto" w:before="16" w:after="0"/>
        <w:ind w:left="716" w:right="338" w:hanging="270"/>
        <w:jc w:val="left"/>
        <w:rPr>
          <w:sz w:val="22"/>
        </w:rPr>
      </w:pPr>
      <w:r>
        <w:rPr>
          <w:rFonts w:ascii="Calibri" w:hAnsi="Calibri"/>
          <w:b/>
          <w:color w:val="4D4D4F"/>
          <w:w w:val="115"/>
          <w:sz w:val="22"/>
        </w:rPr>
        <w:t>Assess recent opioid use, </w:t>
      </w:r>
      <w:r>
        <w:rPr>
          <w:color w:val="4D4D4F"/>
          <w:w w:val="115"/>
          <w:sz w:val="22"/>
        </w:rPr>
        <w:t>including </w:t>
      </w:r>
      <w:r>
        <w:rPr>
          <w:color w:val="4D4D4F"/>
          <w:spacing w:val="-3"/>
          <w:w w:val="115"/>
          <w:sz w:val="22"/>
        </w:rPr>
        <w:t>frequency,</w:t>
      </w:r>
      <w:r>
        <w:rPr>
          <w:color w:val="4D4D4F"/>
          <w:spacing w:val="-22"/>
          <w:w w:val="115"/>
          <w:sz w:val="22"/>
        </w:rPr>
        <w:t> </w:t>
      </w:r>
      <w:r>
        <w:rPr>
          <w:color w:val="4D4D4F"/>
          <w:w w:val="115"/>
          <w:sz w:val="22"/>
        </w:rPr>
        <w:t>quantity,</w:t>
      </w:r>
      <w:r>
        <w:rPr>
          <w:color w:val="4D4D4F"/>
          <w:spacing w:val="-22"/>
          <w:w w:val="115"/>
          <w:sz w:val="22"/>
        </w:rPr>
        <w:t> </w:t>
      </w:r>
      <w:r>
        <w:rPr>
          <w:color w:val="4D4D4F"/>
          <w:w w:val="115"/>
          <w:sz w:val="22"/>
        </w:rPr>
        <w:t>type,</w:t>
      </w:r>
      <w:r>
        <w:rPr>
          <w:color w:val="4D4D4F"/>
          <w:spacing w:val="-22"/>
          <w:w w:val="115"/>
          <w:sz w:val="22"/>
        </w:rPr>
        <w:t> </w:t>
      </w:r>
      <w:r>
        <w:rPr>
          <w:color w:val="4D4D4F"/>
          <w:w w:val="115"/>
          <w:sz w:val="22"/>
        </w:rPr>
        <w:t>route,</w:t>
      </w:r>
      <w:r>
        <w:rPr>
          <w:color w:val="4D4D4F"/>
          <w:spacing w:val="-22"/>
          <w:w w:val="115"/>
          <w:sz w:val="22"/>
        </w:rPr>
        <w:t> </w:t>
      </w:r>
      <w:r>
        <w:rPr>
          <w:color w:val="4D4D4F"/>
          <w:w w:val="115"/>
          <w:sz w:val="22"/>
        </w:rPr>
        <w:t>and</w:t>
      </w:r>
      <w:r>
        <w:rPr>
          <w:color w:val="4D4D4F"/>
          <w:spacing w:val="-22"/>
          <w:w w:val="115"/>
          <w:sz w:val="22"/>
        </w:rPr>
        <w:t> </w:t>
      </w:r>
      <w:r>
        <w:rPr>
          <w:color w:val="4D4D4F"/>
          <w:spacing w:val="-5"/>
          <w:w w:val="115"/>
          <w:sz w:val="22"/>
        </w:rPr>
        <w:t>last </w:t>
      </w:r>
      <w:r>
        <w:rPr>
          <w:color w:val="4D4D4F"/>
          <w:w w:val="115"/>
          <w:sz w:val="22"/>
        </w:rPr>
        <w:t>day</w:t>
      </w:r>
      <w:r>
        <w:rPr>
          <w:color w:val="4D4D4F"/>
          <w:spacing w:val="-19"/>
          <w:w w:val="115"/>
          <w:sz w:val="22"/>
        </w:rPr>
        <w:t> </w:t>
      </w:r>
      <w:r>
        <w:rPr>
          <w:color w:val="4D4D4F"/>
          <w:w w:val="115"/>
          <w:sz w:val="22"/>
        </w:rPr>
        <w:t>of</w:t>
      </w:r>
      <w:r>
        <w:rPr>
          <w:color w:val="4D4D4F"/>
          <w:spacing w:val="-18"/>
          <w:w w:val="115"/>
          <w:sz w:val="22"/>
        </w:rPr>
        <w:t> </w:t>
      </w:r>
      <w:r>
        <w:rPr>
          <w:color w:val="4D4D4F"/>
          <w:w w:val="115"/>
          <w:sz w:val="22"/>
        </w:rPr>
        <w:t>use.</w:t>
      </w:r>
      <w:r>
        <w:rPr>
          <w:color w:val="4D4D4F"/>
          <w:spacing w:val="-19"/>
          <w:w w:val="115"/>
          <w:sz w:val="22"/>
        </w:rPr>
        <w:t> </w:t>
      </w:r>
      <w:r>
        <w:rPr>
          <w:color w:val="4D4D4F"/>
          <w:w w:val="115"/>
          <w:sz w:val="22"/>
        </w:rPr>
        <w:t>Conﬁrm</w:t>
      </w:r>
      <w:r>
        <w:rPr>
          <w:color w:val="4D4D4F"/>
          <w:spacing w:val="-18"/>
          <w:w w:val="115"/>
          <w:sz w:val="22"/>
        </w:rPr>
        <w:t> </w:t>
      </w:r>
      <w:r>
        <w:rPr>
          <w:color w:val="4D4D4F"/>
          <w:w w:val="115"/>
          <w:sz w:val="22"/>
        </w:rPr>
        <w:t>an</w:t>
      </w:r>
      <w:r>
        <w:rPr>
          <w:color w:val="4D4D4F"/>
          <w:spacing w:val="-18"/>
          <w:w w:val="115"/>
          <w:sz w:val="22"/>
        </w:rPr>
        <w:t> </w:t>
      </w:r>
      <w:r>
        <w:rPr>
          <w:color w:val="4D4D4F"/>
          <w:w w:val="115"/>
          <w:sz w:val="22"/>
        </w:rPr>
        <w:t>adequate</w:t>
      </w:r>
      <w:r>
        <w:rPr>
          <w:color w:val="4D4D4F"/>
          <w:spacing w:val="-19"/>
          <w:w w:val="115"/>
          <w:sz w:val="22"/>
        </w:rPr>
        <w:t> </w:t>
      </w:r>
      <w:r>
        <w:rPr>
          <w:color w:val="4D4D4F"/>
          <w:w w:val="115"/>
          <w:sz w:val="22"/>
        </w:rPr>
        <w:t>opioid abstinence</w:t>
      </w:r>
      <w:r>
        <w:rPr>
          <w:color w:val="4D4D4F"/>
          <w:spacing w:val="-10"/>
          <w:w w:val="115"/>
          <w:sz w:val="22"/>
        </w:rPr>
        <w:t> </w:t>
      </w:r>
      <w:r>
        <w:rPr>
          <w:color w:val="4D4D4F"/>
          <w:w w:val="115"/>
          <w:sz w:val="22"/>
        </w:rPr>
        <w:t>period.</w:t>
      </w:r>
    </w:p>
    <w:p>
      <w:pPr>
        <w:pStyle w:val="ListParagraph"/>
        <w:numPr>
          <w:ilvl w:val="0"/>
          <w:numId w:val="21"/>
        </w:numPr>
        <w:tabs>
          <w:tab w:pos="716" w:val="left" w:leader="none"/>
        </w:tabs>
        <w:spacing w:line="240" w:lineRule="auto" w:before="29" w:after="0"/>
        <w:ind w:left="716" w:right="0" w:hanging="271"/>
        <w:jc w:val="left"/>
        <w:rPr>
          <w:sz w:val="22"/>
        </w:rPr>
      </w:pPr>
      <w:r>
        <w:rPr>
          <w:color w:val="4D4D4F"/>
          <w:w w:val="110"/>
          <w:sz w:val="22"/>
        </w:rPr>
        <w:t>Establish OUD</w:t>
      </w:r>
      <w:r>
        <w:rPr>
          <w:color w:val="4D4D4F"/>
          <w:spacing w:val="-10"/>
          <w:w w:val="110"/>
          <w:sz w:val="22"/>
        </w:rPr>
        <w:t> </w:t>
      </w:r>
      <w:r>
        <w:rPr>
          <w:color w:val="4D4D4F"/>
          <w:w w:val="110"/>
          <w:sz w:val="22"/>
        </w:rPr>
        <w:t>diagnosis.</w:t>
      </w:r>
    </w:p>
    <w:p>
      <w:pPr>
        <w:pStyle w:val="ListParagraph"/>
        <w:numPr>
          <w:ilvl w:val="0"/>
          <w:numId w:val="21"/>
        </w:numPr>
        <w:tabs>
          <w:tab w:pos="716" w:val="left" w:leader="none"/>
        </w:tabs>
        <w:spacing w:line="247" w:lineRule="auto" w:before="31" w:after="0"/>
        <w:ind w:left="716" w:right="293" w:hanging="270"/>
        <w:jc w:val="left"/>
        <w:rPr>
          <w:sz w:val="22"/>
        </w:rPr>
      </w:pPr>
      <w:r>
        <w:rPr>
          <w:color w:val="4D4D4F"/>
          <w:w w:val="115"/>
          <w:sz w:val="22"/>
        </w:rPr>
        <w:t>Assess for other SUDs, including those that</w:t>
      </w:r>
      <w:r>
        <w:rPr>
          <w:color w:val="4D4D4F"/>
          <w:spacing w:val="-31"/>
          <w:w w:val="115"/>
          <w:sz w:val="22"/>
        </w:rPr>
        <w:t> </w:t>
      </w:r>
      <w:r>
        <w:rPr>
          <w:color w:val="4D4D4F"/>
          <w:w w:val="115"/>
          <w:sz w:val="22"/>
        </w:rPr>
        <w:t>involve</w:t>
      </w:r>
      <w:r>
        <w:rPr>
          <w:color w:val="4D4D4F"/>
          <w:spacing w:val="-31"/>
          <w:w w:val="115"/>
          <w:sz w:val="22"/>
        </w:rPr>
        <w:t> </w:t>
      </w:r>
      <w:r>
        <w:rPr>
          <w:color w:val="4D4D4F"/>
          <w:w w:val="115"/>
          <w:sz w:val="22"/>
        </w:rPr>
        <w:t>alcohol,</w:t>
      </w:r>
      <w:r>
        <w:rPr>
          <w:color w:val="4D4D4F"/>
          <w:spacing w:val="-31"/>
          <w:w w:val="115"/>
          <w:sz w:val="22"/>
        </w:rPr>
        <w:t> </w:t>
      </w:r>
      <w:r>
        <w:rPr>
          <w:color w:val="4D4D4F"/>
          <w:w w:val="115"/>
          <w:sz w:val="22"/>
        </w:rPr>
        <w:t>benzodiazepines,</w:t>
      </w:r>
      <w:r>
        <w:rPr>
          <w:color w:val="4D4D4F"/>
          <w:spacing w:val="-31"/>
          <w:w w:val="115"/>
          <w:sz w:val="22"/>
        </w:rPr>
        <w:t> </w:t>
      </w:r>
      <w:r>
        <w:rPr>
          <w:color w:val="4D4D4F"/>
          <w:spacing w:val="-9"/>
          <w:w w:val="115"/>
          <w:sz w:val="22"/>
        </w:rPr>
        <w:t>or </w:t>
      </w:r>
      <w:r>
        <w:rPr>
          <w:color w:val="4D4D4F"/>
          <w:w w:val="115"/>
          <w:sz w:val="22"/>
        </w:rPr>
        <w:t>stimulants.</w:t>
      </w:r>
    </w:p>
    <w:p>
      <w:pPr>
        <w:pStyle w:val="Heading7"/>
        <w:numPr>
          <w:ilvl w:val="0"/>
          <w:numId w:val="4"/>
        </w:numPr>
        <w:tabs>
          <w:tab w:pos="410" w:val="left" w:leader="none"/>
        </w:tabs>
        <w:spacing w:line="313" w:lineRule="exact" w:before="165" w:after="0"/>
        <w:ind w:left="410" w:right="0" w:hanging="270"/>
        <w:jc w:val="left"/>
        <w:rPr>
          <w:rFonts w:ascii="Arial" w:hAnsi="Arial"/>
          <w:color w:val="137692"/>
          <w:sz w:val="28"/>
        </w:rPr>
      </w:pPr>
      <w:r>
        <w:rPr>
          <w:color w:val="4D4D4F"/>
          <w:w w:val="110"/>
        </w:rPr>
        <w:t>Conducting  a  physical</w:t>
      </w:r>
      <w:r>
        <w:rPr>
          <w:color w:val="4D4D4F"/>
          <w:spacing w:val="2"/>
          <w:w w:val="110"/>
        </w:rPr>
        <w:t> </w:t>
      </w:r>
      <w:r>
        <w:rPr>
          <w:color w:val="4D4D4F"/>
          <w:w w:val="110"/>
        </w:rPr>
        <w:t>exam.</w:t>
      </w:r>
    </w:p>
    <w:p>
      <w:pPr>
        <w:pStyle w:val="ListParagraph"/>
        <w:numPr>
          <w:ilvl w:val="0"/>
          <w:numId w:val="22"/>
        </w:numPr>
        <w:tabs>
          <w:tab w:pos="716" w:val="left" w:leader="none"/>
        </w:tabs>
        <w:spacing w:line="242" w:lineRule="auto" w:before="0" w:after="0"/>
        <w:ind w:left="716" w:right="41" w:hanging="270"/>
        <w:jc w:val="left"/>
        <w:rPr>
          <w:sz w:val="22"/>
        </w:rPr>
      </w:pPr>
      <w:r>
        <w:rPr>
          <w:rFonts w:ascii="Calibri" w:hAnsi="Calibri"/>
          <w:b/>
          <w:color w:val="4D4D4F"/>
          <w:w w:val="115"/>
          <w:sz w:val="22"/>
        </w:rPr>
        <w:t>Assess for signs and symptoms of intoxi- cation.</w:t>
      </w:r>
      <w:r>
        <w:rPr>
          <w:rFonts w:ascii="Calibri" w:hAnsi="Calibri"/>
          <w:b/>
          <w:color w:val="4D4D4F"/>
          <w:spacing w:val="-5"/>
          <w:w w:val="115"/>
          <w:sz w:val="22"/>
        </w:rPr>
        <w:t> </w:t>
      </w:r>
      <w:r>
        <w:rPr>
          <w:color w:val="4D4D4F"/>
          <w:w w:val="115"/>
          <w:sz w:val="22"/>
        </w:rPr>
        <w:t>Do</w:t>
      </w:r>
      <w:r>
        <w:rPr>
          <w:color w:val="4D4D4F"/>
          <w:spacing w:val="-21"/>
          <w:w w:val="115"/>
          <w:sz w:val="22"/>
        </w:rPr>
        <w:t> </w:t>
      </w:r>
      <w:r>
        <w:rPr>
          <w:color w:val="4D4D4F"/>
          <w:w w:val="115"/>
          <w:sz w:val="22"/>
        </w:rPr>
        <w:t>not</w:t>
      </w:r>
      <w:r>
        <w:rPr>
          <w:color w:val="4D4D4F"/>
          <w:spacing w:val="-21"/>
          <w:w w:val="115"/>
          <w:sz w:val="22"/>
        </w:rPr>
        <w:t> </w:t>
      </w:r>
      <w:r>
        <w:rPr>
          <w:color w:val="4D4D4F"/>
          <w:w w:val="115"/>
          <w:sz w:val="22"/>
        </w:rPr>
        <w:t>give</w:t>
      </w:r>
      <w:r>
        <w:rPr>
          <w:color w:val="4D4D4F"/>
          <w:spacing w:val="-21"/>
          <w:w w:val="115"/>
          <w:sz w:val="22"/>
        </w:rPr>
        <w:t> </w:t>
      </w:r>
      <w:r>
        <w:rPr>
          <w:color w:val="4D4D4F"/>
          <w:w w:val="115"/>
          <w:sz w:val="22"/>
        </w:rPr>
        <w:t>a</w:t>
      </w:r>
      <w:r>
        <w:rPr>
          <w:color w:val="4D4D4F"/>
          <w:spacing w:val="-21"/>
          <w:w w:val="115"/>
          <w:sz w:val="22"/>
        </w:rPr>
        <w:t> </w:t>
      </w:r>
      <w:r>
        <w:rPr>
          <w:color w:val="4D4D4F"/>
          <w:w w:val="115"/>
          <w:sz w:val="22"/>
        </w:rPr>
        <w:t>ﬁrst</w:t>
      </w:r>
      <w:r>
        <w:rPr>
          <w:color w:val="4D4D4F"/>
          <w:spacing w:val="-21"/>
          <w:w w:val="115"/>
          <w:sz w:val="22"/>
        </w:rPr>
        <w:t> </w:t>
      </w:r>
      <w:r>
        <w:rPr>
          <w:color w:val="4D4D4F"/>
          <w:w w:val="115"/>
          <w:sz w:val="22"/>
        </w:rPr>
        <w:t>dose</w:t>
      </w:r>
      <w:r>
        <w:rPr>
          <w:color w:val="4D4D4F"/>
          <w:spacing w:val="-21"/>
          <w:w w:val="115"/>
          <w:sz w:val="22"/>
        </w:rPr>
        <w:t> </w:t>
      </w:r>
      <w:r>
        <w:rPr>
          <w:color w:val="4D4D4F"/>
          <w:w w:val="115"/>
          <w:sz w:val="22"/>
        </w:rPr>
        <w:t>to</w:t>
      </w:r>
      <w:r>
        <w:rPr>
          <w:color w:val="4D4D4F"/>
          <w:spacing w:val="-21"/>
          <w:w w:val="115"/>
          <w:sz w:val="22"/>
        </w:rPr>
        <w:t> </w:t>
      </w:r>
      <w:r>
        <w:rPr>
          <w:color w:val="4D4D4F"/>
          <w:w w:val="115"/>
          <w:sz w:val="22"/>
        </w:rPr>
        <w:t>a</w:t>
      </w:r>
      <w:r>
        <w:rPr>
          <w:color w:val="4D4D4F"/>
          <w:spacing w:val="-21"/>
          <w:w w:val="115"/>
          <w:sz w:val="22"/>
        </w:rPr>
        <w:t> </w:t>
      </w:r>
      <w:r>
        <w:rPr>
          <w:color w:val="4D4D4F"/>
          <w:spacing w:val="-3"/>
          <w:w w:val="115"/>
          <w:sz w:val="22"/>
        </w:rPr>
        <w:t>patient </w:t>
      </w:r>
      <w:r>
        <w:rPr>
          <w:color w:val="4D4D4F"/>
          <w:w w:val="115"/>
          <w:sz w:val="22"/>
        </w:rPr>
        <w:t>who</w:t>
      </w:r>
      <w:r>
        <w:rPr>
          <w:color w:val="4D4D4F"/>
          <w:spacing w:val="-23"/>
          <w:w w:val="115"/>
          <w:sz w:val="22"/>
        </w:rPr>
        <w:t> </w:t>
      </w:r>
      <w:r>
        <w:rPr>
          <w:color w:val="4D4D4F"/>
          <w:w w:val="115"/>
          <w:sz w:val="22"/>
        </w:rPr>
        <w:t>is</w:t>
      </w:r>
      <w:r>
        <w:rPr>
          <w:color w:val="4D4D4F"/>
          <w:spacing w:val="-23"/>
          <w:w w:val="115"/>
          <w:sz w:val="22"/>
        </w:rPr>
        <w:t> </w:t>
      </w:r>
      <w:r>
        <w:rPr>
          <w:color w:val="4D4D4F"/>
          <w:w w:val="115"/>
          <w:sz w:val="22"/>
        </w:rPr>
        <w:t>sedated</w:t>
      </w:r>
      <w:r>
        <w:rPr>
          <w:color w:val="4D4D4F"/>
          <w:spacing w:val="-22"/>
          <w:w w:val="115"/>
          <w:sz w:val="22"/>
        </w:rPr>
        <w:t> </w:t>
      </w:r>
      <w:r>
        <w:rPr>
          <w:color w:val="4D4D4F"/>
          <w:w w:val="115"/>
          <w:sz w:val="22"/>
        </w:rPr>
        <w:t>or</w:t>
      </w:r>
      <w:r>
        <w:rPr>
          <w:color w:val="4D4D4F"/>
          <w:spacing w:val="-23"/>
          <w:w w:val="115"/>
          <w:sz w:val="22"/>
        </w:rPr>
        <w:t> </w:t>
      </w:r>
      <w:r>
        <w:rPr>
          <w:color w:val="4D4D4F"/>
          <w:w w:val="115"/>
          <w:sz w:val="22"/>
        </w:rPr>
        <w:t>intoxicated.</w:t>
      </w:r>
      <w:r>
        <w:rPr>
          <w:color w:val="4D4D4F"/>
          <w:spacing w:val="-23"/>
          <w:w w:val="115"/>
          <w:sz w:val="22"/>
        </w:rPr>
        <w:t> </w:t>
      </w:r>
      <w:r>
        <w:rPr>
          <w:color w:val="4D4D4F"/>
          <w:w w:val="115"/>
          <w:sz w:val="22"/>
        </w:rPr>
        <w:t>Assess</w:t>
      </w:r>
      <w:r>
        <w:rPr>
          <w:color w:val="4D4D4F"/>
          <w:spacing w:val="-22"/>
          <w:w w:val="115"/>
          <w:sz w:val="22"/>
        </w:rPr>
        <w:t> </w:t>
      </w:r>
      <w:r>
        <w:rPr>
          <w:color w:val="4D4D4F"/>
          <w:w w:val="115"/>
          <w:sz w:val="22"/>
        </w:rPr>
        <w:t>and treat</w:t>
      </w:r>
      <w:r>
        <w:rPr>
          <w:color w:val="4D4D4F"/>
          <w:spacing w:val="-16"/>
          <w:w w:val="115"/>
          <w:sz w:val="22"/>
        </w:rPr>
        <w:t> </w:t>
      </w:r>
      <w:r>
        <w:rPr>
          <w:color w:val="4D4D4F"/>
          <w:w w:val="115"/>
          <w:sz w:val="22"/>
        </w:rPr>
        <w:t>him</w:t>
      </w:r>
      <w:r>
        <w:rPr>
          <w:color w:val="4D4D4F"/>
          <w:spacing w:val="-15"/>
          <w:w w:val="115"/>
          <w:sz w:val="22"/>
        </w:rPr>
        <w:t> </w:t>
      </w:r>
      <w:r>
        <w:rPr>
          <w:color w:val="4D4D4F"/>
          <w:w w:val="115"/>
          <w:sz w:val="22"/>
        </w:rPr>
        <w:t>or</w:t>
      </w:r>
      <w:r>
        <w:rPr>
          <w:color w:val="4D4D4F"/>
          <w:spacing w:val="-15"/>
          <w:w w:val="115"/>
          <w:sz w:val="22"/>
        </w:rPr>
        <w:t> </w:t>
      </w:r>
      <w:r>
        <w:rPr>
          <w:color w:val="4D4D4F"/>
          <w:w w:val="115"/>
          <w:sz w:val="22"/>
        </w:rPr>
        <w:t>her</w:t>
      </w:r>
      <w:r>
        <w:rPr>
          <w:color w:val="4D4D4F"/>
          <w:spacing w:val="-15"/>
          <w:w w:val="115"/>
          <w:sz w:val="22"/>
        </w:rPr>
        <w:t> </w:t>
      </w:r>
      <w:r>
        <w:rPr>
          <w:color w:val="4D4D4F"/>
          <w:w w:val="115"/>
          <w:sz w:val="22"/>
        </w:rPr>
        <w:t>appropriately.</w:t>
      </w:r>
    </w:p>
    <w:p>
      <w:pPr>
        <w:pStyle w:val="ListParagraph"/>
        <w:numPr>
          <w:ilvl w:val="0"/>
          <w:numId w:val="22"/>
        </w:numPr>
        <w:tabs>
          <w:tab w:pos="716" w:val="left" w:leader="none"/>
        </w:tabs>
        <w:spacing w:line="237" w:lineRule="auto" w:before="19" w:after="0"/>
        <w:ind w:left="716" w:right="111" w:hanging="270"/>
        <w:jc w:val="left"/>
        <w:rPr>
          <w:sz w:val="22"/>
        </w:rPr>
      </w:pPr>
      <w:r>
        <w:rPr>
          <w:rFonts w:ascii="Calibri" w:hAnsi="Calibri"/>
          <w:b/>
          <w:color w:val="4D4D4F"/>
          <w:spacing w:val="-3"/>
          <w:w w:val="115"/>
          <w:sz w:val="22"/>
        </w:rPr>
        <w:t>Assess </w:t>
      </w:r>
      <w:r>
        <w:rPr>
          <w:rFonts w:ascii="Calibri" w:hAnsi="Calibri"/>
          <w:b/>
          <w:color w:val="4D4D4F"/>
          <w:w w:val="115"/>
          <w:sz w:val="22"/>
        </w:rPr>
        <w:t>for </w:t>
      </w:r>
      <w:r>
        <w:rPr>
          <w:rFonts w:ascii="Calibri" w:hAnsi="Calibri"/>
          <w:b/>
          <w:color w:val="4D4D4F"/>
          <w:spacing w:val="-3"/>
          <w:w w:val="115"/>
          <w:sz w:val="22"/>
        </w:rPr>
        <w:t>evidence </w:t>
      </w:r>
      <w:r>
        <w:rPr>
          <w:rFonts w:ascii="Calibri" w:hAnsi="Calibri"/>
          <w:b/>
          <w:color w:val="4D4D4F"/>
          <w:w w:val="115"/>
          <w:sz w:val="22"/>
        </w:rPr>
        <w:t>of </w:t>
      </w:r>
      <w:r>
        <w:rPr>
          <w:rFonts w:ascii="Calibri" w:hAnsi="Calibri"/>
          <w:b/>
          <w:color w:val="4D4D4F"/>
          <w:spacing w:val="-3"/>
          <w:w w:val="115"/>
          <w:sz w:val="22"/>
        </w:rPr>
        <w:t>opioid withdrawal </w:t>
      </w:r>
      <w:r>
        <w:rPr>
          <w:rFonts w:ascii="Calibri" w:hAnsi="Calibri"/>
          <w:b/>
          <w:color w:val="4D4D4F"/>
          <w:w w:val="115"/>
          <w:sz w:val="22"/>
        </w:rPr>
        <w:t>and physiological dependence. </w:t>
      </w:r>
      <w:r>
        <w:rPr>
          <w:color w:val="4D4D4F"/>
          <w:w w:val="115"/>
          <w:sz w:val="22"/>
        </w:rPr>
        <w:t>The </w:t>
      </w:r>
      <w:r>
        <w:rPr>
          <w:color w:val="4D4D4F"/>
          <w:w w:val="110"/>
          <w:sz w:val="22"/>
        </w:rPr>
        <w:t>Clinical</w:t>
      </w:r>
      <w:r>
        <w:rPr>
          <w:color w:val="4D4D4F"/>
          <w:spacing w:val="-24"/>
          <w:w w:val="110"/>
          <w:sz w:val="22"/>
        </w:rPr>
        <w:t> </w:t>
      </w:r>
      <w:r>
        <w:rPr>
          <w:color w:val="4D4D4F"/>
          <w:w w:val="110"/>
          <w:sz w:val="22"/>
        </w:rPr>
        <w:t>Opioid</w:t>
      </w:r>
      <w:r>
        <w:rPr>
          <w:color w:val="4D4D4F"/>
          <w:spacing w:val="-23"/>
          <w:w w:val="110"/>
          <w:sz w:val="22"/>
        </w:rPr>
        <w:t> </w:t>
      </w:r>
      <w:r>
        <w:rPr>
          <w:color w:val="4D4D4F"/>
          <w:w w:val="110"/>
          <w:sz w:val="22"/>
        </w:rPr>
        <w:t>Withdrawal</w:t>
      </w:r>
      <w:r>
        <w:rPr>
          <w:color w:val="4D4D4F"/>
          <w:spacing w:val="-23"/>
          <w:w w:val="110"/>
          <w:sz w:val="22"/>
        </w:rPr>
        <w:t> </w:t>
      </w:r>
      <w:r>
        <w:rPr>
          <w:color w:val="4D4D4F"/>
          <w:w w:val="110"/>
          <w:sz w:val="22"/>
        </w:rPr>
        <w:t>Scale</w:t>
      </w:r>
      <w:r>
        <w:rPr>
          <w:color w:val="4D4D4F"/>
          <w:spacing w:val="-23"/>
          <w:w w:val="110"/>
          <w:sz w:val="22"/>
        </w:rPr>
        <w:t> </w:t>
      </w:r>
      <w:r>
        <w:rPr>
          <w:color w:val="4D4D4F"/>
          <w:w w:val="110"/>
          <w:sz w:val="22"/>
        </w:rPr>
        <w:t>(COWS)</w:t>
      </w:r>
    </w:p>
    <w:p>
      <w:pPr>
        <w:pStyle w:val="BodyText"/>
        <w:spacing w:line="247" w:lineRule="auto" w:before="100"/>
        <w:ind w:left="715" w:right="253"/>
      </w:pPr>
      <w:r>
        <w:rPr/>
        <w:br w:type="column"/>
      </w:r>
      <w:r>
        <w:rPr>
          <w:color w:val="4D4D4F"/>
          <w:w w:val="110"/>
        </w:rPr>
        <w:t>or the Clinical Institute Narcotic Assessment (CINA) Scale for Withdrawal Symptoms can be used to assess with- drawal signs (see “Resource Alert: Opioid Withdrawal Scales”). The patient should not exhibit any signs of opioid withdrawal before taking the ﬁrst dose of naltrexone, to avoid precipitated withdrawal.</w:t>
      </w:r>
    </w:p>
    <w:p>
      <w:pPr>
        <w:pStyle w:val="Heading7"/>
        <w:numPr>
          <w:ilvl w:val="0"/>
          <w:numId w:val="4"/>
        </w:numPr>
        <w:tabs>
          <w:tab w:pos="410" w:val="left" w:leader="none"/>
        </w:tabs>
        <w:spacing w:line="313" w:lineRule="exact" w:before="171" w:after="0"/>
        <w:ind w:left="409" w:right="0" w:hanging="270"/>
        <w:jc w:val="left"/>
        <w:rPr>
          <w:rFonts w:ascii="Arial" w:hAnsi="Arial"/>
          <w:color w:val="137692"/>
          <w:sz w:val="28"/>
        </w:rPr>
      </w:pPr>
      <w:r>
        <w:rPr>
          <w:color w:val="4D4D4F"/>
          <w:w w:val="115"/>
        </w:rPr>
        <w:t>Obtaining laboratory</w:t>
      </w:r>
      <w:r>
        <w:rPr>
          <w:color w:val="4D4D4F"/>
          <w:spacing w:val="14"/>
          <w:w w:val="115"/>
        </w:rPr>
        <w:t> </w:t>
      </w:r>
      <w:r>
        <w:rPr>
          <w:color w:val="4D4D4F"/>
          <w:w w:val="115"/>
        </w:rPr>
        <w:t>tests.</w:t>
      </w:r>
    </w:p>
    <w:p>
      <w:pPr>
        <w:pStyle w:val="ListParagraph"/>
        <w:numPr>
          <w:ilvl w:val="0"/>
          <w:numId w:val="23"/>
        </w:numPr>
        <w:tabs>
          <w:tab w:pos="716" w:val="left" w:leader="none"/>
        </w:tabs>
        <w:spacing w:line="247" w:lineRule="auto" w:before="0" w:after="0"/>
        <w:ind w:left="715" w:right="275" w:hanging="270"/>
        <w:jc w:val="left"/>
        <w:rPr>
          <w:rFonts w:ascii="Arial" w:hAnsi="Arial"/>
          <w:color w:val="137692"/>
          <w:sz w:val="24"/>
        </w:rPr>
      </w:pPr>
      <w:r>
        <w:rPr>
          <w:rFonts w:ascii="Calibri" w:hAnsi="Calibri"/>
          <w:b/>
          <w:color w:val="4D4D4F"/>
          <w:w w:val="115"/>
          <w:sz w:val="22"/>
        </w:rPr>
        <w:t>Conduct drug and alcohol tests. </w:t>
      </w:r>
      <w:r>
        <w:rPr>
          <w:color w:val="4D4D4F"/>
          <w:w w:val="115"/>
          <w:sz w:val="22"/>
        </w:rPr>
        <w:t>Use reliable urine tests for opioids (including morphine, methadone, buprenorphine, and oxycodone), benzodiazepines, cocaine,</w:t>
      </w:r>
      <w:r>
        <w:rPr>
          <w:color w:val="4D4D4F"/>
          <w:spacing w:val="-24"/>
          <w:w w:val="115"/>
          <w:sz w:val="22"/>
        </w:rPr>
        <w:t> </w:t>
      </w:r>
      <w:r>
        <w:rPr>
          <w:color w:val="4D4D4F"/>
          <w:w w:val="115"/>
          <w:sz w:val="22"/>
        </w:rPr>
        <w:t>and</w:t>
      </w:r>
      <w:r>
        <w:rPr>
          <w:color w:val="4D4D4F"/>
          <w:spacing w:val="-24"/>
          <w:w w:val="115"/>
          <w:sz w:val="22"/>
        </w:rPr>
        <w:t> </w:t>
      </w:r>
      <w:r>
        <w:rPr>
          <w:color w:val="4D4D4F"/>
          <w:w w:val="115"/>
          <w:sz w:val="22"/>
        </w:rPr>
        <w:t>other</w:t>
      </w:r>
      <w:r>
        <w:rPr>
          <w:color w:val="4D4D4F"/>
          <w:spacing w:val="-24"/>
          <w:w w:val="115"/>
          <w:sz w:val="22"/>
        </w:rPr>
        <w:t> </w:t>
      </w:r>
      <w:r>
        <w:rPr>
          <w:color w:val="4D4D4F"/>
          <w:w w:val="115"/>
          <w:sz w:val="22"/>
        </w:rPr>
        <w:t>drugs</w:t>
      </w:r>
      <w:r>
        <w:rPr>
          <w:color w:val="4D4D4F"/>
          <w:spacing w:val="-24"/>
          <w:w w:val="115"/>
          <w:sz w:val="22"/>
        </w:rPr>
        <w:t> </w:t>
      </w:r>
      <w:r>
        <w:rPr>
          <w:color w:val="4D4D4F"/>
          <w:w w:val="115"/>
          <w:sz w:val="22"/>
        </w:rPr>
        <w:t>commonly</w:t>
      </w:r>
      <w:r>
        <w:rPr>
          <w:color w:val="4D4D4F"/>
          <w:spacing w:val="-24"/>
          <w:w w:val="115"/>
          <w:sz w:val="22"/>
        </w:rPr>
        <w:t> </w:t>
      </w:r>
      <w:r>
        <w:rPr>
          <w:color w:val="4D4D4F"/>
          <w:w w:val="115"/>
          <w:sz w:val="22"/>
        </w:rPr>
        <w:t>used in</w:t>
      </w:r>
      <w:r>
        <w:rPr>
          <w:color w:val="4D4D4F"/>
          <w:spacing w:val="-30"/>
          <w:w w:val="115"/>
          <w:sz w:val="22"/>
        </w:rPr>
        <w:t> </w:t>
      </w:r>
      <w:r>
        <w:rPr>
          <w:color w:val="4D4D4F"/>
          <w:w w:val="115"/>
          <w:sz w:val="22"/>
        </w:rPr>
        <w:t>the</w:t>
      </w:r>
      <w:r>
        <w:rPr>
          <w:color w:val="4D4D4F"/>
          <w:spacing w:val="-29"/>
          <w:w w:val="115"/>
          <w:sz w:val="22"/>
        </w:rPr>
        <w:t> </w:t>
      </w:r>
      <w:r>
        <w:rPr>
          <w:color w:val="4D4D4F"/>
          <w:w w:val="115"/>
          <w:sz w:val="22"/>
        </w:rPr>
        <w:t>area.</w:t>
      </w:r>
      <w:r>
        <w:rPr>
          <w:color w:val="4D4D4F"/>
          <w:spacing w:val="-30"/>
          <w:w w:val="115"/>
          <w:sz w:val="22"/>
        </w:rPr>
        <w:t> </w:t>
      </w:r>
      <w:r>
        <w:rPr>
          <w:color w:val="4D4D4F"/>
          <w:w w:val="115"/>
          <w:sz w:val="22"/>
        </w:rPr>
        <w:t>Use</w:t>
      </w:r>
      <w:r>
        <w:rPr>
          <w:color w:val="4D4D4F"/>
          <w:spacing w:val="-29"/>
          <w:w w:val="115"/>
          <w:sz w:val="22"/>
        </w:rPr>
        <w:t> </w:t>
      </w:r>
      <w:r>
        <w:rPr>
          <w:color w:val="4D4D4F"/>
          <w:w w:val="115"/>
          <w:sz w:val="22"/>
        </w:rPr>
        <w:t>a</w:t>
      </w:r>
      <w:r>
        <w:rPr>
          <w:color w:val="4D4D4F"/>
          <w:spacing w:val="-30"/>
          <w:w w:val="115"/>
          <w:sz w:val="22"/>
        </w:rPr>
        <w:t> </w:t>
      </w:r>
      <w:r>
        <w:rPr>
          <w:color w:val="4D4D4F"/>
          <w:w w:val="115"/>
          <w:sz w:val="22"/>
        </w:rPr>
        <w:t>breathalyzer</w:t>
      </w:r>
      <w:r>
        <w:rPr>
          <w:color w:val="4D4D4F"/>
          <w:spacing w:val="-29"/>
          <w:w w:val="115"/>
          <w:sz w:val="22"/>
        </w:rPr>
        <w:t> </w:t>
      </w:r>
      <w:r>
        <w:rPr>
          <w:color w:val="4D4D4F"/>
          <w:w w:val="115"/>
          <w:sz w:val="22"/>
        </w:rPr>
        <w:t>to</w:t>
      </w:r>
      <w:r>
        <w:rPr>
          <w:color w:val="4D4D4F"/>
          <w:spacing w:val="-30"/>
          <w:w w:val="115"/>
          <w:sz w:val="22"/>
        </w:rPr>
        <w:t> </w:t>
      </w:r>
      <w:r>
        <w:rPr>
          <w:color w:val="4D4D4F"/>
          <w:w w:val="115"/>
          <w:sz w:val="22"/>
        </w:rPr>
        <w:t>estimate the</w:t>
      </w:r>
      <w:r>
        <w:rPr>
          <w:color w:val="4D4D4F"/>
          <w:spacing w:val="-16"/>
          <w:w w:val="115"/>
          <w:sz w:val="22"/>
        </w:rPr>
        <w:t> </w:t>
      </w:r>
      <w:r>
        <w:rPr>
          <w:color w:val="4D4D4F"/>
          <w:w w:val="115"/>
          <w:sz w:val="22"/>
        </w:rPr>
        <w:t>patient’s</w:t>
      </w:r>
      <w:r>
        <w:rPr>
          <w:color w:val="4D4D4F"/>
          <w:spacing w:val="-15"/>
          <w:w w:val="115"/>
          <w:sz w:val="22"/>
        </w:rPr>
        <w:t> </w:t>
      </w:r>
      <w:r>
        <w:rPr>
          <w:color w:val="4D4D4F"/>
          <w:w w:val="115"/>
          <w:sz w:val="22"/>
        </w:rPr>
        <w:t>blood</w:t>
      </w:r>
      <w:r>
        <w:rPr>
          <w:color w:val="4D4D4F"/>
          <w:spacing w:val="-16"/>
          <w:w w:val="115"/>
          <w:sz w:val="22"/>
        </w:rPr>
        <w:t> </w:t>
      </w:r>
      <w:r>
        <w:rPr>
          <w:color w:val="4D4D4F"/>
          <w:w w:val="115"/>
          <w:sz w:val="22"/>
        </w:rPr>
        <w:t>alcohol</w:t>
      </w:r>
      <w:r>
        <w:rPr>
          <w:color w:val="4D4D4F"/>
          <w:spacing w:val="-15"/>
          <w:w w:val="115"/>
          <w:sz w:val="22"/>
        </w:rPr>
        <w:t> </w:t>
      </w:r>
      <w:r>
        <w:rPr>
          <w:color w:val="4D4D4F"/>
          <w:w w:val="115"/>
          <w:sz w:val="22"/>
        </w:rPr>
        <w:t>content.</w:t>
      </w:r>
    </w:p>
    <w:p>
      <w:pPr>
        <w:pStyle w:val="ListParagraph"/>
        <w:numPr>
          <w:ilvl w:val="0"/>
          <w:numId w:val="23"/>
        </w:numPr>
        <w:tabs>
          <w:tab w:pos="716" w:val="left" w:leader="none"/>
        </w:tabs>
        <w:spacing w:line="244" w:lineRule="auto" w:before="14" w:after="0"/>
        <w:ind w:left="715" w:right="451" w:hanging="270"/>
        <w:jc w:val="left"/>
        <w:rPr>
          <w:rFonts w:ascii="Arial" w:hAnsi="Arial"/>
          <w:color w:val="137692"/>
          <w:sz w:val="24"/>
        </w:rPr>
      </w:pPr>
      <w:r>
        <w:rPr>
          <w:rFonts w:ascii="Calibri" w:hAnsi="Calibri"/>
          <w:b/>
          <w:color w:val="4D4D4F"/>
          <w:w w:val="110"/>
          <w:sz w:val="22"/>
        </w:rPr>
        <w:t>Conduct a pregnancy test. </w:t>
      </w:r>
      <w:r>
        <w:rPr>
          <w:color w:val="4D4D4F"/>
          <w:w w:val="110"/>
          <w:sz w:val="22"/>
        </w:rPr>
        <w:t>Naltrexone is</w:t>
      </w:r>
      <w:r>
        <w:rPr>
          <w:color w:val="4D4D4F"/>
          <w:spacing w:val="-17"/>
          <w:w w:val="110"/>
          <w:sz w:val="22"/>
        </w:rPr>
        <w:t> </w:t>
      </w:r>
      <w:r>
        <w:rPr>
          <w:color w:val="4D4D4F"/>
          <w:w w:val="110"/>
          <w:sz w:val="22"/>
        </w:rPr>
        <w:t>not</w:t>
      </w:r>
      <w:r>
        <w:rPr>
          <w:color w:val="4D4D4F"/>
          <w:spacing w:val="-16"/>
          <w:w w:val="110"/>
          <w:sz w:val="22"/>
        </w:rPr>
        <w:t> </w:t>
      </w:r>
      <w:r>
        <w:rPr>
          <w:color w:val="4D4D4F"/>
          <w:w w:val="110"/>
          <w:sz w:val="22"/>
        </w:rPr>
        <w:t>recommended</w:t>
      </w:r>
      <w:r>
        <w:rPr>
          <w:color w:val="4D4D4F"/>
          <w:spacing w:val="-17"/>
          <w:w w:val="110"/>
          <w:sz w:val="22"/>
        </w:rPr>
        <w:t> </w:t>
      </w:r>
      <w:r>
        <w:rPr>
          <w:color w:val="4D4D4F"/>
          <w:w w:val="110"/>
          <w:sz w:val="22"/>
        </w:rPr>
        <w:t>for</w:t>
      </w:r>
      <w:r>
        <w:rPr>
          <w:color w:val="4D4D4F"/>
          <w:spacing w:val="-16"/>
          <w:w w:val="110"/>
          <w:sz w:val="22"/>
        </w:rPr>
        <w:t> </w:t>
      </w:r>
      <w:r>
        <w:rPr>
          <w:color w:val="4D4D4F"/>
          <w:w w:val="110"/>
          <w:sz w:val="22"/>
        </w:rPr>
        <w:t>OUD</w:t>
      </w:r>
      <w:r>
        <w:rPr>
          <w:color w:val="4D4D4F"/>
          <w:spacing w:val="-17"/>
          <w:w w:val="110"/>
          <w:sz w:val="22"/>
        </w:rPr>
        <w:t> </w:t>
      </w:r>
      <w:r>
        <w:rPr>
          <w:color w:val="4D4D4F"/>
          <w:w w:val="110"/>
          <w:sz w:val="22"/>
        </w:rPr>
        <w:t>treatment in </w:t>
      </w:r>
      <w:r>
        <w:rPr>
          <w:color w:val="4D4D4F"/>
          <w:spacing w:val="-3"/>
          <w:w w:val="110"/>
          <w:sz w:val="22"/>
        </w:rPr>
        <w:t>pregnancy. </w:t>
      </w:r>
      <w:r>
        <w:rPr>
          <w:color w:val="4D4D4F"/>
          <w:w w:val="110"/>
          <w:sz w:val="22"/>
        </w:rPr>
        <w:t>Refer pregnant patients </w:t>
      </w:r>
      <w:r>
        <w:rPr>
          <w:color w:val="4D4D4F"/>
          <w:spacing w:val="-8"/>
          <w:w w:val="110"/>
          <w:sz w:val="22"/>
        </w:rPr>
        <w:t>to </w:t>
      </w:r>
      <w:r>
        <w:rPr>
          <w:color w:val="4D4D4F"/>
          <w:w w:val="110"/>
          <w:sz w:val="22"/>
        </w:rPr>
        <w:t>prenatal</w:t>
      </w:r>
      <w:r>
        <w:rPr>
          <w:color w:val="4D4D4F"/>
          <w:spacing w:val="-6"/>
          <w:w w:val="110"/>
          <w:sz w:val="22"/>
        </w:rPr>
        <w:t> </w:t>
      </w:r>
      <w:r>
        <w:rPr>
          <w:color w:val="4D4D4F"/>
          <w:w w:val="110"/>
          <w:sz w:val="22"/>
        </w:rPr>
        <w:t>care.</w:t>
      </w:r>
      <w:r>
        <w:rPr>
          <w:color w:val="4D4D4F"/>
          <w:w w:val="110"/>
          <w:position w:val="7"/>
          <w:sz w:val="13"/>
        </w:rPr>
        <w:t>187</w:t>
      </w:r>
    </w:p>
    <w:p>
      <w:pPr>
        <w:pStyle w:val="ListParagraph"/>
        <w:numPr>
          <w:ilvl w:val="0"/>
          <w:numId w:val="23"/>
        </w:numPr>
        <w:tabs>
          <w:tab w:pos="716" w:val="left" w:leader="none"/>
        </w:tabs>
        <w:spacing w:line="244" w:lineRule="auto" w:before="28" w:after="0"/>
        <w:ind w:left="715" w:right="163" w:hanging="270"/>
        <w:jc w:val="left"/>
        <w:rPr>
          <w:rFonts w:ascii="Arial" w:hAnsi="Arial"/>
          <w:color w:val="137692"/>
          <w:sz w:val="24"/>
        </w:rPr>
      </w:pPr>
      <w:r>
        <w:rPr>
          <w:rFonts w:ascii="Calibri" w:hAnsi="Calibri"/>
          <w:b/>
          <w:color w:val="4D4D4F"/>
          <w:w w:val="110"/>
          <w:sz w:val="22"/>
        </w:rPr>
        <w:t>Assess liver function. </w:t>
      </w:r>
      <w:r>
        <w:rPr>
          <w:color w:val="4D4D4F"/>
          <w:w w:val="110"/>
          <w:sz w:val="22"/>
        </w:rPr>
        <w:t>Obtain liver function tests followed by periodic monitoring at 6- or 12-month intervals during</w:t>
      </w:r>
      <w:r>
        <w:rPr>
          <w:color w:val="4D4D4F"/>
          <w:spacing w:val="-26"/>
          <w:w w:val="110"/>
          <w:sz w:val="22"/>
        </w:rPr>
        <w:t> </w:t>
      </w:r>
      <w:r>
        <w:rPr>
          <w:color w:val="4D4D4F"/>
          <w:w w:val="110"/>
          <w:sz w:val="22"/>
        </w:rPr>
        <w:t>treatment.</w:t>
      </w:r>
      <w:r>
        <w:rPr>
          <w:color w:val="4D4D4F"/>
          <w:w w:val="110"/>
          <w:position w:val="7"/>
          <w:sz w:val="13"/>
        </w:rPr>
        <w:t>188</w:t>
      </w:r>
    </w:p>
    <w:p>
      <w:pPr>
        <w:pStyle w:val="ListParagraph"/>
        <w:numPr>
          <w:ilvl w:val="0"/>
          <w:numId w:val="23"/>
        </w:numPr>
        <w:tabs>
          <w:tab w:pos="716" w:val="left" w:leader="none"/>
        </w:tabs>
        <w:spacing w:line="240" w:lineRule="auto" w:before="26" w:after="0"/>
        <w:ind w:left="715" w:right="383" w:hanging="270"/>
        <w:jc w:val="left"/>
        <w:rPr>
          <w:rFonts w:ascii="Arial" w:hAnsi="Arial"/>
          <w:color w:val="137692"/>
          <w:sz w:val="24"/>
        </w:rPr>
      </w:pPr>
      <w:r>
        <w:rPr/>
        <w:pict>
          <v:group style="position:absolute;margin-left:314.501007pt;margin-top:49.379066pt;width:243.5pt;height:264.2pt;mso-position-horizontal-relative:page;mso-position-vertical-relative:paragraph;z-index:15753728" coordorigin="6290,988" coordsize="4870,5284">
            <v:rect style="position:absolute;left:6295;top:992;width:4860;height:5274" filled="false" stroked="true" strokeweight=".5pt" strokecolor="#88aabd">
              <v:stroke dashstyle="solid"/>
            </v:rect>
            <v:shape style="position:absolute;left:6300;top:1584;width:4850;height:4677" type="#_x0000_t202" filled="false" stroked="false">
              <v:textbox inset="0,0,0,0">
                <w:txbxContent>
                  <w:p>
                    <w:pPr>
                      <w:spacing w:before="59"/>
                      <w:ind w:left="230" w:right="0" w:firstLine="0"/>
                      <w:jc w:val="left"/>
                      <w:rPr>
                        <w:rFonts w:ascii="Arial"/>
                        <w:b/>
                        <w:sz w:val="24"/>
                      </w:rPr>
                    </w:pPr>
                    <w:r>
                      <w:rPr>
                        <w:rFonts w:ascii="Arial"/>
                        <w:b/>
                        <w:color w:val="137692"/>
                        <w:w w:val="110"/>
                        <w:sz w:val="24"/>
                      </w:rPr>
                      <w:t>Opioid Withdrawal Scales</w:t>
                    </w:r>
                  </w:p>
                  <w:p>
                    <w:pPr>
                      <w:spacing w:line="348" w:lineRule="auto" w:before="198"/>
                      <w:ind w:left="230" w:right="780" w:firstLine="0"/>
                      <w:jc w:val="left"/>
                      <w:rPr>
                        <w:rFonts w:ascii="Arial"/>
                        <w:sz w:val="18"/>
                      </w:rPr>
                    </w:pPr>
                    <w:r>
                      <w:rPr>
                        <w:rFonts w:ascii="Arial"/>
                        <w:color w:val="414142"/>
                        <w:w w:val="115"/>
                        <w:sz w:val="18"/>
                      </w:rPr>
                      <w:t>The COWS and other opioid withdrawal scales from Annex 10 of the World Health</w:t>
                    </w:r>
                  </w:p>
                  <w:p>
                    <w:pPr>
                      <w:spacing w:line="348" w:lineRule="auto" w:before="0"/>
                      <w:ind w:left="230" w:right="181" w:firstLine="0"/>
                      <w:jc w:val="left"/>
                      <w:rPr>
                        <w:rFonts w:ascii="Arial" w:hAnsi="Arial"/>
                        <w:sz w:val="18"/>
                      </w:rPr>
                    </w:pPr>
                    <w:r>
                      <w:rPr>
                        <w:rFonts w:ascii="Arial" w:hAnsi="Arial"/>
                        <w:color w:val="414142"/>
                        <w:w w:val="115"/>
                        <w:sz w:val="18"/>
                      </w:rPr>
                      <w:t>Organization’s </w:t>
                    </w:r>
                    <w:r>
                      <w:rPr>
                        <w:rFonts w:ascii="Arial" w:hAnsi="Arial"/>
                        <w:i/>
                        <w:color w:val="414142"/>
                        <w:w w:val="115"/>
                        <w:sz w:val="18"/>
                      </w:rPr>
                      <w:t>Guidelines for the Psychosocially </w:t>
                    </w:r>
                    <w:r>
                      <w:rPr>
                        <w:rFonts w:ascii="Arial" w:hAnsi="Arial"/>
                        <w:i/>
                        <w:color w:val="414142"/>
                        <w:w w:val="115"/>
                        <w:sz w:val="18"/>
                      </w:rPr>
                      <w:t>Assisted Pharmacological Treatment of Opioid Dependence </w:t>
                    </w:r>
                    <w:r>
                      <w:rPr>
                        <w:rFonts w:ascii="Arial" w:hAnsi="Arial"/>
                        <w:color w:val="414142"/>
                        <w:w w:val="115"/>
                        <w:sz w:val="18"/>
                      </w:rPr>
                      <w:t>can be downloaded from the National Center for Biotechnology Information website (</w:t>
                    </w:r>
                    <w:hyperlink r:id="rId49">
                      <w:r>
                        <w:rPr>
                          <w:rFonts w:ascii="Arial" w:hAnsi="Arial"/>
                          <w:color w:val="3B68A6"/>
                          <w:w w:val="115"/>
                          <w:sz w:val="18"/>
                          <w:u w:val="single" w:color="3B68A6"/>
                        </w:rPr>
                        <w:t>www.ncbi.nlm.nih.gov/books</w:t>
                      </w:r>
                    </w:hyperlink>
                  </w:p>
                  <w:p>
                    <w:pPr>
                      <w:spacing w:line="207" w:lineRule="exact" w:before="0"/>
                      <w:ind w:left="230" w:right="0" w:firstLine="0"/>
                      <w:jc w:val="left"/>
                      <w:rPr>
                        <w:rFonts w:ascii="Arial"/>
                        <w:sz w:val="18"/>
                      </w:rPr>
                    </w:pPr>
                    <w:r>
                      <w:rPr>
                        <w:rFonts w:ascii="Arial"/>
                        <w:color w:val="3B68A6"/>
                        <w:sz w:val="18"/>
                        <w:u w:val="single" w:color="3B68A6"/>
                      </w:rPr>
                      <w:t>/NBK143183</w:t>
                    </w:r>
                    <w:r>
                      <w:rPr>
                        <w:rFonts w:ascii="Arial"/>
                        <w:color w:val="414142"/>
                        <w:sz w:val="18"/>
                      </w:rPr>
                      <w:t>).</w:t>
                    </w:r>
                  </w:p>
                  <w:p>
                    <w:pPr>
                      <w:spacing w:line="240" w:lineRule="auto" w:before="7"/>
                      <w:rPr>
                        <w:rFonts w:ascii="Arial"/>
                        <w:sz w:val="20"/>
                      </w:rPr>
                    </w:pPr>
                  </w:p>
                  <w:p>
                    <w:pPr>
                      <w:spacing w:line="348" w:lineRule="auto" w:before="0"/>
                      <w:ind w:left="230" w:right="584" w:firstLine="0"/>
                      <w:jc w:val="left"/>
                      <w:rPr>
                        <w:rFonts w:ascii="Arial"/>
                        <w:sz w:val="18"/>
                      </w:rPr>
                    </w:pPr>
                    <w:r>
                      <w:rPr>
                        <w:rFonts w:ascii="Arial"/>
                        <w:color w:val="414142"/>
                        <w:w w:val="115"/>
                        <w:sz w:val="18"/>
                      </w:rPr>
                      <w:t>The</w:t>
                    </w:r>
                    <w:r>
                      <w:rPr>
                        <w:rFonts w:ascii="Arial"/>
                        <w:color w:val="414142"/>
                        <w:spacing w:val="-16"/>
                        <w:w w:val="115"/>
                        <w:sz w:val="18"/>
                      </w:rPr>
                      <w:t> </w:t>
                    </w:r>
                    <w:r>
                      <w:rPr>
                        <w:rFonts w:ascii="Arial"/>
                        <w:color w:val="414142"/>
                        <w:w w:val="115"/>
                        <w:sz w:val="18"/>
                      </w:rPr>
                      <w:t>CINA</w:t>
                    </w:r>
                    <w:r>
                      <w:rPr>
                        <w:rFonts w:ascii="Arial"/>
                        <w:color w:val="414142"/>
                        <w:spacing w:val="-15"/>
                        <w:w w:val="115"/>
                        <w:sz w:val="18"/>
                      </w:rPr>
                      <w:t> </w:t>
                    </w:r>
                    <w:r>
                      <w:rPr>
                        <w:rFonts w:ascii="Arial"/>
                        <w:color w:val="414142"/>
                        <w:w w:val="115"/>
                        <w:sz w:val="18"/>
                      </w:rPr>
                      <w:t>Scale</w:t>
                    </w:r>
                    <w:r>
                      <w:rPr>
                        <w:rFonts w:ascii="Arial"/>
                        <w:color w:val="414142"/>
                        <w:spacing w:val="-15"/>
                        <w:w w:val="115"/>
                        <w:sz w:val="18"/>
                      </w:rPr>
                      <w:t> </w:t>
                    </w:r>
                    <w:r>
                      <w:rPr>
                        <w:rFonts w:ascii="Arial"/>
                        <w:color w:val="414142"/>
                        <w:w w:val="115"/>
                        <w:sz w:val="18"/>
                      </w:rPr>
                      <w:t>for</w:t>
                    </w:r>
                    <w:r>
                      <w:rPr>
                        <w:rFonts w:ascii="Arial"/>
                        <w:color w:val="414142"/>
                        <w:spacing w:val="-15"/>
                        <w:w w:val="115"/>
                        <w:sz w:val="18"/>
                      </w:rPr>
                      <w:t> </w:t>
                    </w:r>
                    <w:r>
                      <w:rPr>
                        <w:rFonts w:ascii="Arial"/>
                        <w:color w:val="414142"/>
                        <w:w w:val="115"/>
                        <w:sz w:val="18"/>
                      </w:rPr>
                      <w:t>Withdrawal</w:t>
                    </w:r>
                    <w:r>
                      <w:rPr>
                        <w:rFonts w:ascii="Arial"/>
                        <w:color w:val="414142"/>
                        <w:spacing w:val="-15"/>
                        <w:w w:val="115"/>
                        <w:sz w:val="18"/>
                      </w:rPr>
                      <w:t> </w:t>
                    </w:r>
                    <w:r>
                      <w:rPr>
                        <w:rFonts w:ascii="Arial"/>
                        <w:color w:val="414142"/>
                        <w:w w:val="115"/>
                        <w:sz w:val="18"/>
                      </w:rPr>
                      <w:t>Symptoms</w:t>
                    </w:r>
                    <w:r>
                      <w:rPr>
                        <w:rFonts w:ascii="Arial"/>
                        <w:color w:val="414142"/>
                        <w:spacing w:val="-15"/>
                        <w:w w:val="115"/>
                        <w:sz w:val="18"/>
                      </w:rPr>
                      <w:t> </w:t>
                    </w:r>
                    <w:r>
                      <w:rPr>
                        <w:rFonts w:ascii="Arial"/>
                        <w:color w:val="414142"/>
                        <w:w w:val="115"/>
                        <w:sz w:val="18"/>
                      </w:rPr>
                      <w:t>is also available online</w:t>
                    </w:r>
                    <w:r>
                      <w:rPr>
                        <w:rFonts w:ascii="Arial"/>
                        <w:color w:val="414142"/>
                        <w:spacing w:val="-25"/>
                        <w:w w:val="115"/>
                        <w:sz w:val="18"/>
                      </w:rPr>
                      <w:t> </w:t>
                    </w:r>
                    <w:r>
                      <w:rPr>
                        <w:rFonts w:ascii="Arial"/>
                        <w:color w:val="414142"/>
                        <w:w w:val="115"/>
                        <w:sz w:val="18"/>
                      </w:rPr>
                      <w:t>(</w:t>
                    </w:r>
                    <w:hyperlink r:id="rId52">
                      <w:r>
                        <w:rPr>
                          <w:rFonts w:ascii="Arial"/>
                          <w:color w:val="3B68A6"/>
                          <w:w w:val="115"/>
                          <w:sz w:val="18"/>
                          <w:u w:val="single" w:color="3B68A6"/>
                        </w:rPr>
                        <w:t>www.ncpoep.org/wp</w:t>
                      </w:r>
                    </w:hyperlink>
                  </w:p>
                  <w:p>
                    <w:pPr>
                      <w:spacing w:before="0"/>
                      <w:ind w:left="230" w:right="0" w:firstLine="0"/>
                      <w:jc w:val="left"/>
                      <w:rPr>
                        <w:rFonts w:ascii="Arial"/>
                        <w:sz w:val="18"/>
                      </w:rPr>
                    </w:pPr>
                    <w:r>
                      <w:rPr>
                        <w:rFonts w:ascii="Arial"/>
                        <w:color w:val="3B68A6"/>
                        <w:w w:val="115"/>
                        <w:sz w:val="18"/>
                        <w:u w:val="single" w:color="3B68A6"/>
                      </w:rPr>
                      <w:t>-content/uploads/2015/02/Appendix_7_Clinical</w:t>
                    </w:r>
                  </w:p>
                  <w:p>
                    <w:pPr>
                      <w:spacing w:before="93"/>
                      <w:ind w:left="230" w:right="0" w:firstLine="0"/>
                      <w:jc w:val="left"/>
                      <w:rPr>
                        <w:rFonts w:ascii="Arial"/>
                        <w:sz w:val="18"/>
                      </w:rPr>
                    </w:pPr>
                    <w:r>
                      <w:rPr>
                        <w:rFonts w:ascii="Arial"/>
                        <w:color w:val="3B68A6"/>
                        <w:w w:val="110"/>
                        <w:sz w:val="18"/>
                        <w:u w:val="single" w:color="3B68A6"/>
                      </w:rPr>
                      <w:t>_Institute_Narcotic_Assessment_CINA_Scale</w:t>
                    </w:r>
                  </w:p>
                  <w:p>
                    <w:pPr>
                      <w:spacing w:before="93"/>
                      <w:ind w:left="230" w:right="0" w:firstLine="0"/>
                      <w:jc w:val="left"/>
                      <w:rPr>
                        <w:rFonts w:ascii="Arial"/>
                        <w:sz w:val="18"/>
                      </w:rPr>
                    </w:pPr>
                    <w:r>
                      <w:rPr>
                        <w:rFonts w:ascii="Arial"/>
                        <w:color w:val="3B68A6"/>
                        <w:w w:val="115"/>
                        <w:sz w:val="18"/>
                        <w:u w:val="single" w:color="3B68A6"/>
                      </w:rPr>
                      <w:t>_for_Withdrawal_Symptoms.pdf</w:t>
                    </w:r>
                    <w:r>
                      <w:rPr>
                        <w:rFonts w:ascii="Arial"/>
                        <w:color w:val="414142"/>
                        <w:w w:val="115"/>
                        <w:sz w:val="18"/>
                      </w:rPr>
                      <w:t>).</w:t>
                    </w:r>
                  </w:p>
                </w:txbxContent>
              </v:textbox>
              <w10:wrap type="none"/>
            </v:shape>
            <v:shape style="position:absolute;left:6300;top:997;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none"/>
          </v:group>
        </w:pict>
      </w:r>
      <w:r>
        <w:rPr>
          <w:rFonts w:ascii="Calibri" w:hAnsi="Calibri"/>
          <w:b/>
          <w:color w:val="4D4D4F"/>
          <w:spacing w:val="-4"/>
          <w:w w:val="115"/>
          <w:sz w:val="22"/>
        </w:rPr>
        <w:t>Obtain kidney function tests </w:t>
      </w:r>
      <w:r>
        <w:rPr>
          <w:color w:val="4D4D4F"/>
          <w:spacing w:val="-4"/>
          <w:w w:val="115"/>
          <w:sz w:val="22"/>
        </w:rPr>
        <w:t>(e.g.,</w:t>
      </w:r>
      <w:r>
        <w:rPr>
          <w:color w:val="4D4D4F"/>
          <w:spacing w:val="-32"/>
          <w:w w:val="115"/>
          <w:sz w:val="22"/>
        </w:rPr>
        <w:t> </w:t>
      </w:r>
      <w:r>
        <w:rPr>
          <w:color w:val="4D4D4F"/>
          <w:spacing w:val="-5"/>
          <w:w w:val="115"/>
          <w:sz w:val="22"/>
        </w:rPr>
        <w:t>creati- </w:t>
      </w:r>
      <w:r>
        <w:rPr>
          <w:color w:val="4D4D4F"/>
          <w:spacing w:val="-4"/>
          <w:w w:val="115"/>
          <w:sz w:val="22"/>
        </w:rPr>
        <w:t>nine)</w:t>
      </w:r>
      <w:r>
        <w:rPr>
          <w:color w:val="4D4D4F"/>
          <w:spacing w:val="-21"/>
          <w:w w:val="115"/>
          <w:sz w:val="22"/>
        </w:rPr>
        <w:t> </w:t>
      </w:r>
      <w:r>
        <w:rPr>
          <w:color w:val="4D4D4F"/>
          <w:w w:val="115"/>
          <w:sz w:val="22"/>
        </w:rPr>
        <w:t>for</w:t>
      </w:r>
      <w:r>
        <w:rPr>
          <w:color w:val="4D4D4F"/>
          <w:spacing w:val="-15"/>
          <w:w w:val="115"/>
          <w:sz w:val="22"/>
        </w:rPr>
        <w:t> </w:t>
      </w:r>
      <w:r>
        <w:rPr>
          <w:color w:val="4D4D4F"/>
          <w:w w:val="115"/>
          <w:sz w:val="22"/>
        </w:rPr>
        <w:t>people</w:t>
      </w:r>
      <w:r>
        <w:rPr>
          <w:color w:val="4D4D4F"/>
          <w:spacing w:val="-14"/>
          <w:w w:val="115"/>
          <w:sz w:val="22"/>
        </w:rPr>
        <w:t> </w:t>
      </w:r>
      <w:r>
        <w:rPr>
          <w:color w:val="4D4D4F"/>
          <w:w w:val="115"/>
          <w:sz w:val="22"/>
        </w:rPr>
        <w:t>who</w:t>
      </w:r>
      <w:r>
        <w:rPr>
          <w:color w:val="4D4D4F"/>
          <w:spacing w:val="-15"/>
          <w:w w:val="115"/>
          <w:sz w:val="22"/>
        </w:rPr>
        <w:t> </w:t>
      </w:r>
      <w:r>
        <w:rPr>
          <w:color w:val="4D4D4F"/>
          <w:w w:val="115"/>
          <w:sz w:val="22"/>
        </w:rPr>
        <w:t>inject</w:t>
      </w:r>
      <w:r>
        <w:rPr>
          <w:color w:val="4D4D4F"/>
          <w:spacing w:val="-14"/>
          <w:w w:val="115"/>
          <w:sz w:val="22"/>
        </w:rPr>
        <w:t> </w:t>
      </w:r>
      <w:r>
        <w:rPr>
          <w:color w:val="4D4D4F"/>
          <w:w w:val="115"/>
          <w:sz w:val="22"/>
        </w:rPr>
        <w:t>drugs.</w:t>
      </w:r>
    </w:p>
    <w:p>
      <w:pPr>
        <w:spacing w:after="0" w:line="240" w:lineRule="auto"/>
        <w:jc w:val="left"/>
        <w:rPr>
          <w:rFonts w:ascii="Arial" w:hAnsi="Arial"/>
          <w:sz w:val="24"/>
        </w:rPr>
        <w:sectPr>
          <w:type w:val="continuous"/>
          <w:pgSz w:w="12240" w:h="15840"/>
          <w:pgMar w:top="540" w:bottom="280" w:left="940" w:right="920"/>
          <w:cols w:num="2" w:equalWidth="0">
            <w:col w:w="5036" w:space="184"/>
            <w:col w:w="5160"/>
          </w:cols>
        </w:sectPr>
      </w:pPr>
    </w:p>
    <w:p>
      <w:pPr>
        <w:pStyle w:val="BodyText"/>
        <w:spacing w:before="3"/>
        <w:rPr>
          <w:sz w:val="26"/>
        </w:rPr>
      </w:pPr>
    </w:p>
    <w:p>
      <w:pPr>
        <w:spacing w:after="0"/>
        <w:rPr>
          <w:sz w:val="26"/>
        </w:rPr>
        <w:sectPr>
          <w:pgSz w:w="12240" w:h="15840"/>
          <w:pgMar w:header="576" w:footer="677" w:top="1340" w:bottom="860" w:left="940" w:right="920"/>
        </w:sectPr>
      </w:pPr>
    </w:p>
    <w:p>
      <w:pPr>
        <w:pStyle w:val="ListParagraph"/>
        <w:numPr>
          <w:ilvl w:val="0"/>
          <w:numId w:val="23"/>
        </w:numPr>
        <w:tabs>
          <w:tab w:pos="716" w:val="left" w:leader="none"/>
        </w:tabs>
        <w:spacing w:line="247" w:lineRule="auto" w:before="92" w:after="0"/>
        <w:ind w:left="716" w:right="50" w:hanging="270"/>
        <w:jc w:val="left"/>
        <w:rPr>
          <w:rFonts w:ascii="Arial" w:hAnsi="Arial"/>
          <w:color w:val="147592"/>
          <w:sz w:val="24"/>
        </w:rPr>
      </w:pPr>
      <w:r>
        <w:rPr>
          <w:rFonts w:ascii="Calibri" w:hAnsi="Calibri"/>
          <w:b/>
          <w:color w:val="4C4D4F"/>
          <w:w w:val="115"/>
          <w:sz w:val="22"/>
        </w:rPr>
        <w:t>Conduct hepatitis and HIV tests. </w:t>
      </w:r>
      <w:r>
        <w:rPr>
          <w:color w:val="4C4D4F"/>
          <w:w w:val="115"/>
          <w:sz w:val="22"/>
        </w:rPr>
        <w:t>Hepatitis B and C are common among patients entering naltrexone treatment. HIV infection is also prevalent. Everyone ages 15 to 65 should be tested at least once for </w:t>
      </w:r>
      <w:r>
        <w:rPr>
          <w:color w:val="4C4D4F"/>
          <w:spacing w:val="-8"/>
          <w:w w:val="115"/>
          <w:sz w:val="22"/>
        </w:rPr>
        <w:t>HIV. </w:t>
      </w:r>
      <w:r>
        <w:rPr>
          <w:color w:val="4C4D4F"/>
          <w:w w:val="115"/>
          <w:sz w:val="22"/>
        </w:rPr>
        <w:t>Persons at higher risk, such as people who use drugs by injection, should be tested annually.</w:t>
      </w:r>
      <w:r>
        <w:rPr>
          <w:color w:val="4C4D4F"/>
          <w:w w:val="115"/>
          <w:position w:val="7"/>
          <w:sz w:val="13"/>
        </w:rPr>
        <w:t>189 </w:t>
      </w:r>
      <w:r>
        <w:rPr>
          <w:color w:val="4C4D4F"/>
          <w:w w:val="115"/>
          <w:sz w:val="22"/>
        </w:rPr>
        <w:t>Anyone who is</w:t>
      </w:r>
      <w:r>
        <w:rPr>
          <w:color w:val="4C4D4F"/>
          <w:spacing w:val="-20"/>
          <w:w w:val="115"/>
          <w:sz w:val="22"/>
        </w:rPr>
        <w:t> </w:t>
      </w:r>
      <w:r>
        <w:rPr>
          <w:color w:val="4C4D4F"/>
          <w:w w:val="115"/>
          <w:sz w:val="22"/>
        </w:rPr>
        <w:t>injecting</w:t>
      </w:r>
      <w:r>
        <w:rPr>
          <w:color w:val="4C4D4F"/>
          <w:spacing w:val="-19"/>
          <w:w w:val="115"/>
          <w:sz w:val="22"/>
        </w:rPr>
        <w:t> </w:t>
      </w:r>
      <w:r>
        <w:rPr>
          <w:color w:val="4C4D4F"/>
          <w:w w:val="115"/>
          <w:sz w:val="22"/>
        </w:rPr>
        <w:t>or</w:t>
      </w:r>
      <w:r>
        <w:rPr>
          <w:color w:val="4C4D4F"/>
          <w:spacing w:val="-20"/>
          <w:w w:val="115"/>
          <w:sz w:val="22"/>
        </w:rPr>
        <w:t> </w:t>
      </w:r>
      <w:r>
        <w:rPr>
          <w:color w:val="4C4D4F"/>
          <w:w w:val="115"/>
          <w:sz w:val="22"/>
        </w:rPr>
        <w:t>has</w:t>
      </w:r>
      <w:r>
        <w:rPr>
          <w:color w:val="4C4D4F"/>
          <w:spacing w:val="-19"/>
          <w:w w:val="115"/>
          <w:sz w:val="22"/>
        </w:rPr>
        <w:t> </w:t>
      </w:r>
      <w:r>
        <w:rPr>
          <w:color w:val="4C4D4F"/>
          <w:w w:val="115"/>
          <w:sz w:val="22"/>
        </w:rPr>
        <w:t>ever</w:t>
      </w:r>
      <w:r>
        <w:rPr>
          <w:color w:val="4C4D4F"/>
          <w:spacing w:val="-20"/>
          <w:w w:val="115"/>
          <w:sz w:val="22"/>
        </w:rPr>
        <w:t> </w:t>
      </w:r>
      <w:r>
        <w:rPr>
          <w:color w:val="4C4D4F"/>
          <w:w w:val="115"/>
          <w:sz w:val="22"/>
        </w:rPr>
        <w:t>injected</w:t>
      </w:r>
      <w:r>
        <w:rPr>
          <w:color w:val="4C4D4F"/>
          <w:spacing w:val="-19"/>
          <w:w w:val="115"/>
          <w:sz w:val="22"/>
        </w:rPr>
        <w:t> </w:t>
      </w:r>
      <w:r>
        <w:rPr>
          <w:color w:val="4C4D4F"/>
          <w:w w:val="115"/>
          <w:sz w:val="22"/>
        </w:rPr>
        <w:t>drugs,</w:t>
      </w:r>
      <w:r>
        <w:rPr>
          <w:color w:val="4C4D4F"/>
          <w:spacing w:val="-20"/>
          <w:w w:val="115"/>
          <w:sz w:val="22"/>
        </w:rPr>
        <w:t> </w:t>
      </w:r>
      <w:r>
        <w:rPr>
          <w:color w:val="4C4D4F"/>
          <w:spacing w:val="-5"/>
          <w:w w:val="115"/>
          <w:sz w:val="22"/>
        </w:rPr>
        <w:t>even </w:t>
      </w:r>
      <w:r>
        <w:rPr>
          <w:color w:val="4C4D4F"/>
          <w:w w:val="115"/>
          <w:sz w:val="22"/>
        </w:rPr>
        <w:t>once, no matter how long ago, should be tested for hepatitis C, regardless of their intention</w:t>
      </w:r>
      <w:r>
        <w:rPr>
          <w:color w:val="4C4D4F"/>
          <w:spacing w:val="-44"/>
          <w:w w:val="115"/>
          <w:sz w:val="22"/>
        </w:rPr>
        <w:t> </w:t>
      </w:r>
      <w:r>
        <w:rPr>
          <w:color w:val="4C4D4F"/>
          <w:w w:val="115"/>
          <w:sz w:val="22"/>
        </w:rPr>
        <w:t>to</w:t>
      </w:r>
      <w:r>
        <w:rPr>
          <w:color w:val="4C4D4F"/>
          <w:spacing w:val="-43"/>
          <w:w w:val="115"/>
          <w:sz w:val="22"/>
        </w:rPr>
        <w:t> </w:t>
      </w:r>
      <w:r>
        <w:rPr>
          <w:color w:val="4C4D4F"/>
          <w:w w:val="115"/>
          <w:sz w:val="22"/>
        </w:rPr>
        <w:t>seek</w:t>
      </w:r>
      <w:r>
        <w:rPr>
          <w:color w:val="4C4D4F"/>
          <w:spacing w:val="-44"/>
          <w:w w:val="115"/>
          <w:sz w:val="22"/>
        </w:rPr>
        <w:t> </w:t>
      </w:r>
      <w:r>
        <w:rPr>
          <w:color w:val="4C4D4F"/>
          <w:w w:val="115"/>
          <w:sz w:val="22"/>
        </w:rPr>
        <w:t>treatment</w:t>
      </w:r>
      <w:r>
        <w:rPr>
          <w:color w:val="4C4D4F"/>
          <w:spacing w:val="-43"/>
          <w:w w:val="115"/>
          <w:sz w:val="22"/>
        </w:rPr>
        <w:t> </w:t>
      </w:r>
      <w:r>
        <w:rPr>
          <w:color w:val="4C4D4F"/>
          <w:w w:val="115"/>
          <w:sz w:val="22"/>
        </w:rPr>
        <w:t>for</w:t>
      </w:r>
      <w:r>
        <w:rPr>
          <w:color w:val="4C4D4F"/>
          <w:spacing w:val="-43"/>
          <w:w w:val="115"/>
          <w:sz w:val="22"/>
        </w:rPr>
        <w:t> </w:t>
      </w:r>
      <w:r>
        <w:rPr>
          <w:color w:val="4C4D4F"/>
          <w:w w:val="115"/>
          <w:sz w:val="22"/>
        </w:rPr>
        <w:t>SUD.</w:t>
      </w:r>
      <w:r>
        <w:rPr>
          <w:color w:val="4C4D4F"/>
          <w:w w:val="115"/>
          <w:position w:val="7"/>
          <w:sz w:val="13"/>
        </w:rPr>
        <w:t>190</w:t>
      </w:r>
      <w:r>
        <w:rPr>
          <w:color w:val="4C4D4F"/>
          <w:spacing w:val="-15"/>
          <w:w w:val="115"/>
          <w:position w:val="7"/>
          <w:sz w:val="13"/>
        </w:rPr>
        <w:t> </w:t>
      </w:r>
      <w:r>
        <w:rPr>
          <w:color w:val="4C4D4F"/>
          <w:w w:val="115"/>
          <w:sz w:val="22"/>
        </w:rPr>
        <w:t>The</w:t>
      </w:r>
    </w:p>
    <w:p>
      <w:pPr>
        <w:pStyle w:val="BodyText"/>
        <w:spacing w:line="247" w:lineRule="auto" w:before="6"/>
        <w:ind w:left="716" w:right="35"/>
        <w:rPr>
          <w:sz w:val="13"/>
        </w:rPr>
      </w:pPr>
      <w:r>
        <w:rPr>
          <w:color w:val="4C4D4F"/>
          <w:w w:val="110"/>
        </w:rPr>
        <w:t>Centers</w:t>
      </w:r>
      <w:r>
        <w:rPr>
          <w:color w:val="4C4D4F"/>
          <w:spacing w:val="-16"/>
          <w:w w:val="110"/>
        </w:rPr>
        <w:t> </w:t>
      </w:r>
      <w:r>
        <w:rPr>
          <w:color w:val="4C4D4F"/>
          <w:w w:val="110"/>
        </w:rPr>
        <w:t>for</w:t>
      </w:r>
      <w:r>
        <w:rPr>
          <w:color w:val="4C4D4F"/>
          <w:spacing w:val="-16"/>
          <w:w w:val="110"/>
        </w:rPr>
        <w:t> </w:t>
      </w:r>
      <w:r>
        <w:rPr>
          <w:color w:val="4C4D4F"/>
          <w:w w:val="110"/>
        </w:rPr>
        <w:t>Disease</w:t>
      </w:r>
      <w:r>
        <w:rPr>
          <w:color w:val="4C4D4F"/>
          <w:spacing w:val="-16"/>
          <w:w w:val="110"/>
        </w:rPr>
        <w:t> </w:t>
      </w:r>
      <w:r>
        <w:rPr>
          <w:color w:val="4C4D4F"/>
          <w:w w:val="110"/>
        </w:rPr>
        <w:t>Control</w:t>
      </w:r>
      <w:r>
        <w:rPr>
          <w:color w:val="4C4D4F"/>
          <w:spacing w:val="-16"/>
          <w:w w:val="110"/>
        </w:rPr>
        <w:t> </w:t>
      </w:r>
      <w:r>
        <w:rPr>
          <w:color w:val="4C4D4F"/>
          <w:w w:val="110"/>
        </w:rPr>
        <w:t>and</w:t>
      </w:r>
      <w:r>
        <w:rPr>
          <w:color w:val="4C4D4F"/>
          <w:spacing w:val="-16"/>
          <w:w w:val="110"/>
        </w:rPr>
        <w:t> </w:t>
      </w:r>
      <w:r>
        <w:rPr>
          <w:color w:val="4C4D4F"/>
          <w:spacing w:val="-3"/>
          <w:w w:val="110"/>
        </w:rPr>
        <w:t>Prevention </w:t>
      </w:r>
      <w:r>
        <w:rPr>
          <w:color w:val="4C4D4F"/>
          <w:w w:val="110"/>
        </w:rPr>
        <w:t>recommends hepatitis B vaccine for indi- viduals seeking treatment for</w:t>
      </w:r>
      <w:r>
        <w:rPr>
          <w:color w:val="4C4D4F"/>
          <w:spacing w:val="-16"/>
          <w:w w:val="110"/>
        </w:rPr>
        <w:t> </w:t>
      </w:r>
      <w:r>
        <w:rPr>
          <w:color w:val="4C4D4F"/>
          <w:w w:val="110"/>
        </w:rPr>
        <w:t>SUDs.</w:t>
      </w:r>
      <w:r>
        <w:rPr>
          <w:color w:val="4C4D4F"/>
          <w:w w:val="110"/>
          <w:position w:val="7"/>
          <w:sz w:val="13"/>
        </w:rPr>
        <w:t>191</w:t>
      </w:r>
    </w:p>
    <w:p>
      <w:pPr>
        <w:pStyle w:val="Heading7"/>
        <w:spacing w:line="237" w:lineRule="auto" w:before="180"/>
        <w:rPr>
          <w:rFonts w:ascii="Gill Sans MT" w:hAnsi="Gill Sans MT"/>
          <w:b w:val="0"/>
        </w:rPr>
      </w:pPr>
      <w:r>
        <w:rPr>
          <w:color w:val="4C4D4F"/>
          <w:w w:val="115"/>
        </w:rPr>
        <w:t>During assessment, discuss with patients the risks and beneﬁts of naltrexone and alterna- tive treatment approaches. Explore patients’ motivation to initiate medication treatment and to adhere to the dosing regimen. </w:t>
      </w:r>
      <w:r>
        <w:rPr>
          <w:rFonts w:ascii="Gill Sans MT" w:hAnsi="Gill Sans MT"/>
          <w:b w:val="0"/>
          <w:color w:val="4C4D4F"/>
          <w:w w:val="115"/>
        </w:rPr>
        <w:t>Start naltrexone if the patient:</w:t>
      </w:r>
    </w:p>
    <w:p>
      <w:pPr>
        <w:pStyle w:val="ListParagraph"/>
        <w:numPr>
          <w:ilvl w:val="0"/>
          <w:numId w:val="4"/>
        </w:numPr>
        <w:tabs>
          <w:tab w:pos="410" w:val="left" w:leader="none"/>
        </w:tabs>
        <w:spacing w:line="206" w:lineRule="auto" w:before="133" w:after="0"/>
        <w:ind w:left="410" w:right="62" w:hanging="270"/>
        <w:jc w:val="left"/>
        <w:rPr>
          <w:rFonts w:ascii="Arial" w:hAnsi="Arial"/>
          <w:color w:val="147592"/>
          <w:sz w:val="28"/>
        </w:rPr>
      </w:pPr>
      <w:r>
        <w:rPr>
          <w:color w:val="4C4D4F"/>
          <w:spacing w:val="-4"/>
          <w:w w:val="105"/>
          <w:sz w:val="22"/>
        </w:rPr>
        <w:t>Meets </w:t>
      </w:r>
      <w:r>
        <w:rPr>
          <w:rFonts w:ascii="Arial" w:hAnsi="Arial"/>
          <w:i/>
          <w:color w:val="4C4D4F"/>
          <w:spacing w:val="-5"/>
          <w:w w:val="105"/>
          <w:sz w:val="22"/>
        </w:rPr>
        <w:t>Diagnostic </w:t>
      </w:r>
      <w:r>
        <w:rPr>
          <w:rFonts w:ascii="Arial" w:hAnsi="Arial"/>
          <w:i/>
          <w:color w:val="4C4D4F"/>
          <w:spacing w:val="-4"/>
          <w:w w:val="105"/>
          <w:sz w:val="22"/>
        </w:rPr>
        <w:t>and </w:t>
      </w:r>
      <w:r>
        <w:rPr>
          <w:rFonts w:ascii="Arial" w:hAnsi="Arial"/>
          <w:i/>
          <w:color w:val="4C4D4F"/>
          <w:spacing w:val="-5"/>
          <w:w w:val="105"/>
          <w:sz w:val="22"/>
        </w:rPr>
        <w:t>Statistical Manual of </w:t>
      </w:r>
      <w:r>
        <w:rPr>
          <w:rFonts w:ascii="Arial" w:hAnsi="Arial"/>
          <w:i/>
          <w:color w:val="4C4D4F"/>
          <w:spacing w:val="-5"/>
          <w:w w:val="105"/>
          <w:sz w:val="22"/>
        </w:rPr>
        <w:t>Mental Disorders, </w:t>
      </w:r>
      <w:r>
        <w:rPr>
          <w:color w:val="4C4D4F"/>
          <w:spacing w:val="-4"/>
          <w:w w:val="105"/>
          <w:sz w:val="22"/>
        </w:rPr>
        <w:t>Fifth </w:t>
      </w:r>
      <w:r>
        <w:rPr>
          <w:color w:val="4C4D4F"/>
          <w:spacing w:val="-5"/>
          <w:w w:val="105"/>
          <w:sz w:val="22"/>
        </w:rPr>
        <w:t>Edition, criteria </w:t>
      </w:r>
      <w:r>
        <w:rPr>
          <w:color w:val="4C4D4F"/>
          <w:spacing w:val="-4"/>
          <w:w w:val="105"/>
          <w:sz w:val="22"/>
        </w:rPr>
        <w:t>for</w:t>
      </w:r>
      <w:r>
        <w:rPr>
          <w:color w:val="4C4D4F"/>
          <w:spacing w:val="1"/>
          <w:w w:val="105"/>
          <w:sz w:val="22"/>
        </w:rPr>
        <w:t> </w:t>
      </w:r>
      <w:r>
        <w:rPr>
          <w:color w:val="4C4D4F"/>
          <w:spacing w:val="-5"/>
          <w:w w:val="105"/>
          <w:sz w:val="22"/>
        </w:rPr>
        <w:t>OUD.</w:t>
      </w:r>
    </w:p>
    <w:p>
      <w:pPr>
        <w:pStyle w:val="ListParagraph"/>
        <w:numPr>
          <w:ilvl w:val="0"/>
          <w:numId w:val="4"/>
        </w:numPr>
        <w:tabs>
          <w:tab w:pos="410" w:val="left" w:leader="none"/>
        </w:tabs>
        <w:spacing w:line="315" w:lineRule="exact" w:before="42" w:after="0"/>
        <w:ind w:left="410" w:right="0" w:hanging="270"/>
        <w:jc w:val="left"/>
        <w:rPr>
          <w:rFonts w:ascii="Arial" w:hAnsi="Arial"/>
          <w:color w:val="147592"/>
          <w:sz w:val="28"/>
        </w:rPr>
      </w:pPr>
      <w:r>
        <w:rPr>
          <w:color w:val="4C4D4F"/>
          <w:w w:val="110"/>
          <w:sz w:val="22"/>
        </w:rPr>
        <w:t>Understands risks and</w:t>
      </w:r>
      <w:r>
        <w:rPr>
          <w:color w:val="4C4D4F"/>
          <w:spacing w:val="-15"/>
          <w:w w:val="110"/>
          <w:sz w:val="22"/>
        </w:rPr>
        <w:t> </w:t>
      </w:r>
      <w:r>
        <w:rPr>
          <w:color w:val="4C4D4F"/>
          <w:w w:val="110"/>
          <w:sz w:val="22"/>
        </w:rPr>
        <w:t>beneﬁts.</w:t>
      </w:r>
    </w:p>
    <w:p>
      <w:pPr>
        <w:pStyle w:val="ListParagraph"/>
        <w:numPr>
          <w:ilvl w:val="0"/>
          <w:numId w:val="4"/>
        </w:numPr>
        <w:tabs>
          <w:tab w:pos="410" w:val="left" w:leader="none"/>
        </w:tabs>
        <w:spacing w:line="208" w:lineRule="auto" w:before="22" w:after="0"/>
        <w:ind w:left="410" w:right="322" w:hanging="270"/>
        <w:jc w:val="left"/>
        <w:rPr>
          <w:rFonts w:ascii="Arial" w:hAnsi="Arial"/>
          <w:color w:val="147592"/>
          <w:sz w:val="28"/>
        </w:rPr>
      </w:pPr>
      <w:r>
        <w:rPr>
          <w:color w:val="4C4D4F"/>
          <w:w w:val="115"/>
          <w:sz w:val="22"/>
        </w:rPr>
        <w:t>Reports</w:t>
      </w:r>
      <w:r>
        <w:rPr>
          <w:color w:val="4C4D4F"/>
          <w:spacing w:val="-24"/>
          <w:w w:val="115"/>
          <w:sz w:val="22"/>
        </w:rPr>
        <w:t> </w:t>
      </w:r>
      <w:r>
        <w:rPr>
          <w:color w:val="4C4D4F"/>
          <w:w w:val="115"/>
          <w:sz w:val="22"/>
        </w:rPr>
        <w:t>opioid</w:t>
      </w:r>
      <w:r>
        <w:rPr>
          <w:color w:val="4C4D4F"/>
          <w:spacing w:val="-23"/>
          <w:w w:val="115"/>
          <w:sz w:val="22"/>
        </w:rPr>
        <w:t> </w:t>
      </w:r>
      <w:r>
        <w:rPr>
          <w:color w:val="4C4D4F"/>
          <w:w w:val="115"/>
          <w:sz w:val="22"/>
        </w:rPr>
        <w:t>abstinence</w:t>
      </w:r>
      <w:r>
        <w:rPr>
          <w:color w:val="4C4D4F"/>
          <w:spacing w:val="-23"/>
          <w:w w:val="115"/>
          <w:sz w:val="22"/>
        </w:rPr>
        <w:t> </w:t>
      </w:r>
      <w:r>
        <w:rPr>
          <w:color w:val="4C4D4F"/>
          <w:w w:val="115"/>
          <w:sz w:val="22"/>
        </w:rPr>
        <w:t>for</w:t>
      </w:r>
      <w:r>
        <w:rPr>
          <w:color w:val="4C4D4F"/>
          <w:spacing w:val="-23"/>
          <w:w w:val="115"/>
          <w:sz w:val="22"/>
        </w:rPr>
        <w:t> </w:t>
      </w:r>
      <w:r>
        <w:rPr>
          <w:color w:val="4C4D4F"/>
          <w:w w:val="115"/>
          <w:sz w:val="22"/>
        </w:rPr>
        <w:t>7</w:t>
      </w:r>
      <w:r>
        <w:rPr>
          <w:color w:val="4C4D4F"/>
          <w:spacing w:val="-23"/>
          <w:w w:val="115"/>
          <w:sz w:val="22"/>
        </w:rPr>
        <w:t> </w:t>
      </w:r>
      <w:r>
        <w:rPr>
          <w:color w:val="4C4D4F"/>
          <w:w w:val="115"/>
          <w:sz w:val="22"/>
        </w:rPr>
        <w:t>to</w:t>
      </w:r>
      <w:r>
        <w:rPr>
          <w:color w:val="4C4D4F"/>
          <w:spacing w:val="-23"/>
          <w:w w:val="115"/>
          <w:sz w:val="22"/>
        </w:rPr>
        <w:t> </w:t>
      </w:r>
      <w:r>
        <w:rPr>
          <w:color w:val="4C4D4F"/>
          <w:w w:val="115"/>
          <w:sz w:val="22"/>
        </w:rPr>
        <w:t>10</w:t>
      </w:r>
      <w:r>
        <w:rPr>
          <w:color w:val="4C4D4F"/>
          <w:spacing w:val="-23"/>
          <w:w w:val="115"/>
          <w:sz w:val="22"/>
        </w:rPr>
        <w:t> </w:t>
      </w:r>
      <w:r>
        <w:rPr>
          <w:color w:val="4C4D4F"/>
          <w:w w:val="115"/>
          <w:sz w:val="22"/>
        </w:rPr>
        <w:t>days (short</w:t>
      </w:r>
      <w:r>
        <w:rPr>
          <w:color w:val="4C4D4F"/>
          <w:spacing w:val="-26"/>
          <w:w w:val="115"/>
          <w:sz w:val="22"/>
        </w:rPr>
        <w:t> </w:t>
      </w:r>
      <w:r>
        <w:rPr>
          <w:color w:val="4C4D4F"/>
          <w:w w:val="115"/>
          <w:sz w:val="22"/>
        </w:rPr>
        <w:t>acting)</w:t>
      </w:r>
      <w:r>
        <w:rPr>
          <w:color w:val="4C4D4F"/>
          <w:spacing w:val="-26"/>
          <w:w w:val="115"/>
          <w:sz w:val="22"/>
        </w:rPr>
        <w:t> </w:t>
      </w:r>
      <w:r>
        <w:rPr>
          <w:color w:val="4C4D4F"/>
          <w:w w:val="115"/>
          <w:sz w:val="22"/>
        </w:rPr>
        <w:t>or</w:t>
      </w:r>
      <w:r>
        <w:rPr>
          <w:color w:val="4C4D4F"/>
          <w:spacing w:val="-26"/>
          <w:w w:val="115"/>
          <w:sz w:val="22"/>
        </w:rPr>
        <w:t> </w:t>
      </w:r>
      <w:r>
        <w:rPr>
          <w:color w:val="4C4D4F"/>
          <w:w w:val="115"/>
          <w:sz w:val="22"/>
        </w:rPr>
        <w:t>10</w:t>
      </w:r>
      <w:r>
        <w:rPr>
          <w:color w:val="4C4D4F"/>
          <w:spacing w:val="-25"/>
          <w:w w:val="115"/>
          <w:sz w:val="22"/>
        </w:rPr>
        <w:t> </w:t>
      </w:r>
      <w:r>
        <w:rPr>
          <w:color w:val="4C4D4F"/>
          <w:w w:val="115"/>
          <w:sz w:val="22"/>
        </w:rPr>
        <w:t>to</w:t>
      </w:r>
      <w:r>
        <w:rPr>
          <w:color w:val="4C4D4F"/>
          <w:spacing w:val="-26"/>
          <w:w w:val="115"/>
          <w:sz w:val="22"/>
        </w:rPr>
        <w:t> </w:t>
      </w:r>
      <w:r>
        <w:rPr>
          <w:color w:val="4C4D4F"/>
          <w:w w:val="115"/>
          <w:sz w:val="22"/>
        </w:rPr>
        <w:t>14</w:t>
      </w:r>
      <w:r>
        <w:rPr>
          <w:color w:val="4C4D4F"/>
          <w:spacing w:val="-26"/>
          <w:w w:val="115"/>
          <w:sz w:val="22"/>
        </w:rPr>
        <w:t> </w:t>
      </w:r>
      <w:r>
        <w:rPr>
          <w:color w:val="4C4D4F"/>
          <w:w w:val="115"/>
          <w:sz w:val="22"/>
        </w:rPr>
        <w:t>days</w:t>
      </w:r>
      <w:r>
        <w:rPr>
          <w:color w:val="4C4D4F"/>
          <w:spacing w:val="-26"/>
          <w:w w:val="115"/>
          <w:sz w:val="22"/>
        </w:rPr>
        <w:t> </w:t>
      </w:r>
      <w:r>
        <w:rPr>
          <w:color w:val="4C4D4F"/>
          <w:w w:val="115"/>
          <w:sz w:val="22"/>
        </w:rPr>
        <w:t>(long</w:t>
      </w:r>
      <w:r>
        <w:rPr>
          <w:color w:val="4C4D4F"/>
          <w:spacing w:val="-25"/>
          <w:w w:val="115"/>
          <w:sz w:val="22"/>
        </w:rPr>
        <w:t> </w:t>
      </w:r>
      <w:r>
        <w:rPr>
          <w:color w:val="4C4D4F"/>
          <w:spacing w:val="-3"/>
          <w:w w:val="115"/>
          <w:sz w:val="22"/>
        </w:rPr>
        <w:t>acting).</w:t>
      </w:r>
    </w:p>
    <w:p>
      <w:pPr>
        <w:pStyle w:val="ListParagraph"/>
        <w:numPr>
          <w:ilvl w:val="0"/>
          <w:numId w:val="4"/>
        </w:numPr>
        <w:tabs>
          <w:tab w:pos="410" w:val="left" w:leader="none"/>
        </w:tabs>
        <w:spacing w:line="208" w:lineRule="auto" w:before="69" w:after="0"/>
        <w:ind w:left="410" w:right="632" w:hanging="270"/>
        <w:jc w:val="left"/>
        <w:rPr>
          <w:rFonts w:ascii="Arial" w:hAnsi="Arial"/>
          <w:color w:val="147592"/>
          <w:sz w:val="28"/>
        </w:rPr>
      </w:pPr>
      <w:r>
        <w:rPr>
          <w:color w:val="4C4D4F"/>
          <w:w w:val="110"/>
          <w:sz w:val="22"/>
        </w:rPr>
        <w:t>Reports</w:t>
      </w:r>
      <w:r>
        <w:rPr>
          <w:color w:val="4C4D4F"/>
          <w:spacing w:val="-10"/>
          <w:w w:val="110"/>
          <w:sz w:val="22"/>
        </w:rPr>
        <w:t> </w:t>
      </w:r>
      <w:r>
        <w:rPr>
          <w:color w:val="4C4D4F"/>
          <w:w w:val="110"/>
          <w:sz w:val="22"/>
        </w:rPr>
        <w:t>no</w:t>
      </w:r>
      <w:r>
        <w:rPr>
          <w:color w:val="4C4D4F"/>
          <w:spacing w:val="-9"/>
          <w:w w:val="110"/>
          <w:sz w:val="22"/>
        </w:rPr>
        <w:t> </w:t>
      </w:r>
      <w:r>
        <w:rPr>
          <w:color w:val="4C4D4F"/>
          <w:w w:val="110"/>
          <w:sz w:val="22"/>
        </w:rPr>
        <w:t>allergies</w:t>
      </w:r>
      <w:r>
        <w:rPr>
          <w:color w:val="4C4D4F"/>
          <w:spacing w:val="-9"/>
          <w:w w:val="110"/>
          <w:sz w:val="22"/>
        </w:rPr>
        <w:t> </w:t>
      </w:r>
      <w:r>
        <w:rPr>
          <w:color w:val="4C4D4F"/>
          <w:w w:val="110"/>
          <w:sz w:val="22"/>
        </w:rPr>
        <w:t>to</w:t>
      </w:r>
      <w:r>
        <w:rPr>
          <w:color w:val="4C4D4F"/>
          <w:spacing w:val="-10"/>
          <w:w w:val="110"/>
          <w:sz w:val="22"/>
        </w:rPr>
        <w:t> </w:t>
      </w:r>
      <w:r>
        <w:rPr>
          <w:color w:val="4C4D4F"/>
          <w:w w:val="110"/>
          <w:sz w:val="22"/>
        </w:rPr>
        <w:t>naltrexone</w:t>
      </w:r>
      <w:r>
        <w:rPr>
          <w:color w:val="4C4D4F"/>
          <w:spacing w:val="-9"/>
          <w:w w:val="110"/>
          <w:sz w:val="22"/>
        </w:rPr>
        <w:t> </w:t>
      </w:r>
      <w:r>
        <w:rPr>
          <w:color w:val="4C4D4F"/>
          <w:w w:val="110"/>
          <w:sz w:val="22"/>
        </w:rPr>
        <w:t>or</w:t>
      </w:r>
      <w:r>
        <w:rPr>
          <w:color w:val="4C4D4F"/>
          <w:spacing w:val="-9"/>
          <w:w w:val="110"/>
          <w:sz w:val="22"/>
        </w:rPr>
        <w:t> </w:t>
      </w:r>
      <w:r>
        <w:rPr>
          <w:color w:val="4C4D4F"/>
          <w:spacing w:val="-6"/>
          <w:w w:val="110"/>
          <w:sz w:val="22"/>
        </w:rPr>
        <w:t>the </w:t>
      </w:r>
      <w:r>
        <w:rPr>
          <w:color w:val="4C4D4F"/>
          <w:w w:val="110"/>
          <w:sz w:val="22"/>
        </w:rPr>
        <w:t>components</w:t>
      </w:r>
      <w:r>
        <w:rPr>
          <w:color w:val="4C4D4F"/>
          <w:spacing w:val="-19"/>
          <w:w w:val="110"/>
          <w:sz w:val="22"/>
        </w:rPr>
        <w:t> </w:t>
      </w:r>
      <w:r>
        <w:rPr>
          <w:color w:val="4C4D4F"/>
          <w:w w:val="110"/>
          <w:sz w:val="22"/>
        </w:rPr>
        <w:t>of</w:t>
      </w:r>
      <w:r>
        <w:rPr>
          <w:color w:val="4C4D4F"/>
          <w:spacing w:val="-19"/>
          <w:w w:val="110"/>
          <w:sz w:val="22"/>
        </w:rPr>
        <w:t> </w:t>
      </w:r>
      <w:r>
        <w:rPr>
          <w:color w:val="4C4D4F"/>
          <w:w w:val="110"/>
          <w:sz w:val="22"/>
        </w:rPr>
        <w:t>the</w:t>
      </w:r>
      <w:r>
        <w:rPr>
          <w:color w:val="4C4D4F"/>
          <w:spacing w:val="-18"/>
          <w:w w:val="110"/>
          <w:sz w:val="22"/>
        </w:rPr>
        <w:t> </w:t>
      </w:r>
      <w:r>
        <w:rPr>
          <w:color w:val="4C4D4F"/>
          <w:w w:val="110"/>
          <w:sz w:val="22"/>
        </w:rPr>
        <w:t>XR-NTX</w:t>
      </w:r>
      <w:r>
        <w:rPr>
          <w:color w:val="4C4D4F"/>
          <w:spacing w:val="-19"/>
          <w:w w:val="110"/>
          <w:sz w:val="22"/>
        </w:rPr>
        <w:t> </w:t>
      </w:r>
      <w:r>
        <w:rPr>
          <w:color w:val="4C4D4F"/>
          <w:spacing w:val="-3"/>
          <w:w w:val="110"/>
          <w:sz w:val="22"/>
        </w:rPr>
        <w:t>preparation.</w:t>
      </w:r>
    </w:p>
    <w:p>
      <w:pPr>
        <w:pStyle w:val="ListParagraph"/>
        <w:numPr>
          <w:ilvl w:val="0"/>
          <w:numId w:val="4"/>
        </w:numPr>
        <w:tabs>
          <w:tab w:pos="410" w:val="left" w:leader="none"/>
        </w:tabs>
        <w:spacing w:line="315" w:lineRule="exact" w:before="40" w:after="0"/>
        <w:ind w:left="410" w:right="0" w:hanging="270"/>
        <w:jc w:val="left"/>
        <w:rPr>
          <w:rFonts w:ascii="Arial" w:hAnsi="Arial"/>
          <w:color w:val="147592"/>
          <w:sz w:val="28"/>
        </w:rPr>
      </w:pPr>
      <w:r>
        <w:rPr>
          <w:color w:val="4C4D4F"/>
          <w:w w:val="115"/>
          <w:sz w:val="22"/>
        </w:rPr>
        <w:t>Does</w:t>
      </w:r>
      <w:r>
        <w:rPr>
          <w:color w:val="4C4D4F"/>
          <w:spacing w:val="-15"/>
          <w:w w:val="115"/>
          <w:sz w:val="22"/>
        </w:rPr>
        <w:t> </w:t>
      </w:r>
      <w:r>
        <w:rPr>
          <w:color w:val="4C4D4F"/>
          <w:w w:val="115"/>
          <w:sz w:val="22"/>
        </w:rPr>
        <w:t>not</w:t>
      </w:r>
      <w:r>
        <w:rPr>
          <w:color w:val="4C4D4F"/>
          <w:spacing w:val="-14"/>
          <w:w w:val="115"/>
          <w:sz w:val="22"/>
        </w:rPr>
        <w:t> </w:t>
      </w:r>
      <w:r>
        <w:rPr>
          <w:color w:val="4C4D4F"/>
          <w:w w:val="115"/>
          <w:sz w:val="22"/>
        </w:rPr>
        <w:t>have</w:t>
      </w:r>
      <w:r>
        <w:rPr>
          <w:color w:val="4C4D4F"/>
          <w:spacing w:val="-14"/>
          <w:w w:val="115"/>
          <w:sz w:val="22"/>
        </w:rPr>
        <w:t> </w:t>
      </w:r>
      <w:r>
        <w:rPr>
          <w:color w:val="4C4D4F"/>
          <w:w w:val="115"/>
          <w:sz w:val="22"/>
        </w:rPr>
        <w:t>a</w:t>
      </w:r>
      <w:r>
        <w:rPr>
          <w:color w:val="4C4D4F"/>
          <w:spacing w:val="-14"/>
          <w:w w:val="115"/>
          <w:sz w:val="22"/>
        </w:rPr>
        <w:t> </w:t>
      </w:r>
      <w:r>
        <w:rPr>
          <w:color w:val="4C4D4F"/>
          <w:w w:val="115"/>
          <w:sz w:val="22"/>
        </w:rPr>
        <w:t>coagulation</w:t>
      </w:r>
      <w:r>
        <w:rPr>
          <w:color w:val="4C4D4F"/>
          <w:spacing w:val="-15"/>
          <w:w w:val="115"/>
          <w:sz w:val="22"/>
        </w:rPr>
        <w:t> </w:t>
      </w:r>
      <w:r>
        <w:rPr>
          <w:color w:val="4C4D4F"/>
          <w:spacing w:val="-3"/>
          <w:w w:val="115"/>
          <w:sz w:val="22"/>
        </w:rPr>
        <w:t>disorder.</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Will not soon require opioid</w:t>
      </w:r>
      <w:r>
        <w:rPr>
          <w:color w:val="4C4D4F"/>
          <w:spacing w:val="-23"/>
          <w:w w:val="110"/>
          <w:sz w:val="22"/>
        </w:rPr>
        <w:t> </w:t>
      </w:r>
      <w:r>
        <w:rPr>
          <w:color w:val="4C4D4F"/>
          <w:w w:val="110"/>
          <w:sz w:val="22"/>
        </w:rPr>
        <w:t>analgesia.</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5"/>
          <w:sz w:val="22"/>
        </w:rPr>
        <w:t>Has a negative pregnancy</w:t>
      </w:r>
      <w:r>
        <w:rPr>
          <w:color w:val="4C4D4F"/>
          <w:spacing w:val="-39"/>
          <w:w w:val="115"/>
          <w:sz w:val="22"/>
        </w:rPr>
        <w:t> </w:t>
      </w:r>
      <w:r>
        <w:rPr>
          <w:color w:val="4C4D4F"/>
          <w:w w:val="115"/>
          <w:sz w:val="22"/>
        </w:rPr>
        <w:t>test.</w:t>
      </w:r>
    </w:p>
    <w:p>
      <w:pPr>
        <w:pStyle w:val="ListParagraph"/>
        <w:numPr>
          <w:ilvl w:val="0"/>
          <w:numId w:val="4"/>
        </w:numPr>
        <w:tabs>
          <w:tab w:pos="410" w:val="left" w:leader="none"/>
        </w:tabs>
        <w:spacing w:line="225" w:lineRule="auto" w:before="6" w:after="0"/>
        <w:ind w:left="410" w:right="767" w:hanging="270"/>
        <w:jc w:val="left"/>
        <w:rPr>
          <w:rFonts w:ascii="Arial" w:hAnsi="Arial"/>
          <w:color w:val="147592"/>
          <w:sz w:val="28"/>
        </w:rPr>
      </w:pPr>
      <w:r>
        <w:rPr>
          <w:color w:val="4C4D4F"/>
          <w:w w:val="110"/>
          <w:sz w:val="22"/>
        </w:rPr>
        <w:t>Has a negative urine opioid screen for morphine, methadone, </w:t>
      </w:r>
      <w:r>
        <w:rPr>
          <w:color w:val="4C4D4F"/>
          <w:spacing w:val="-3"/>
          <w:w w:val="110"/>
          <w:sz w:val="22"/>
        </w:rPr>
        <w:t>buprenorphine, </w:t>
      </w:r>
      <w:r>
        <w:rPr>
          <w:color w:val="4C4D4F"/>
          <w:w w:val="110"/>
          <w:sz w:val="22"/>
        </w:rPr>
        <w:t>oxycodone, and other</w:t>
      </w:r>
      <w:r>
        <w:rPr>
          <w:color w:val="4C4D4F"/>
          <w:spacing w:val="-11"/>
          <w:w w:val="110"/>
          <w:sz w:val="22"/>
        </w:rPr>
        <w:t> </w:t>
      </w:r>
      <w:r>
        <w:rPr>
          <w:color w:val="4C4D4F"/>
          <w:w w:val="110"/>
          <w:sz w:val="22"/>
        </w:rPr>
        <w:t>opioids.</w:t>
      </w:r>
    </w:p>
    <w:p>
      <w:pPr>
        <w:pStyle w:val="ListParagraph"/>
        <w:numPr>
          <w:ilvl w:val="0"/>
          <w:numId w:val="4"/>
        </w:numPr>
        <w:tabs>
          <w:tab w:pos="410" w:val="left" w:leader="none"/>
        </w:tabs>
        <w:spacing w:line="208" w:lineRule="auto" w:before="69" w:after="0"/>
        <w:ind w:left="410" w:right="524" w:hanging="270"/>
        <w:jc w:val="left"/>
        <w:rPr>
          <w:rFonts w:ascii="Arial" w:hAnsi="Arial"/>
          <w:color w:val="147592"/>
          <w:sz w:val="28"/>
        </w:rPr>
      </w:pPr>
      <w:r>
        <w:rPr>
          <w:color w:val="4C4D4F"/>
          <w:w w:val="110"/>
          <w:sz w:val="22"/>
        </w:rPr>
        <w:t>Is free of current opioid withdrawal signs and symptoms (Exhibit</w:t>
      </w:r>
      <w:r>
        <w:rPr>
          <w:color w:val="4C4D4F"/>
          <w:spacing w:val="-15"/>
          <w:w w:val="110"/>
          <w:sz w:val="22"/>
        </w:rPr>
        <w:t> </w:t>
      </w:r>
      <w:r>
        <w:rPr>
          <w:color w:val="4C4D4F"/>
          <w:w w:val="110"/>
          <w:sz w:val="22"/>
        </w:rPr>
        <w:t>3C.2).</w:t>
      </w:r>
    </w:p>
    <w:p>
      <w:pPr>
        <w:pStyle w:val="ListParagraph"/>
        <w:numPr>
          <w:ilvl w:val="0"/>
          <w:numId w:val="4"/>
        </w:numPr>
        <w:tabs>
          <w:tab w:pos="410" w:val="left" w:leader="none"/>
        </w:tabs>
        <w:spacing w:line="208" w:lineRule="auto" w:before="69" w:after="0"/>
        <w:ind w:left="410" w:right="624" w:hanging="270"/>
        <w:jc w:val="left"/>
        <w:rPr>
          <w:rFonts w:ascii="Arial" w:hAnsi="Arial"/>
          <w:color w:val="147592"/>
          <w:sz w:val="28"/>
        </w:rPr>
      </w:pPr>
      <w:r>
        <w:rPr>
          <w:color w:val="4C4D4F"/>
          <w:w w:val="110"/>
          <w:sz w:val="22"/>
        </w:rPr>
        <w:t>Has</w:t>
      </w:r>
      <w:r>
        <w:rPr>
          <w:color w:val="4C4D4F"/>
          <w:spacing w:val="-9"/>
          <w:w w:val="110"/>
          <w:sz w:val="22"/>
        </w:rPr>
        <w:t> </w:t>
      </w:r>
      <w:r>
        <w:rPr>
          <w:color w:val="4C4D4F"/>
          <w:w w:val="110"/>
          <w:sz w:val="22"/>
        </w:rPr>
        <w:t>liver</w:t>
      </w:r>
      <w:r>
        <w:rPr>
          <w:color w:val="4C4D4F"/>
          <w:spacing w:val="-8"/>
          <w:w w:val="110"/>
          <w:sz w:val="22"/>
        </w:rPr>
        <w:t> </w:t>
      </w:r>
      <w:r>
        <w:rPr>
          <w:color w:val="4C4D4F"/>
          <w:w w:val="110"/>
          <w:sz w:val="22"/>
        </w:rPr>
        <w:t>function</w:t>
      </w:r>
      <w:r>
        <w:rPr>
          <w:color w:val="4C4D4F"/>
          <w:spacing w:val="-9"/>
          <w:w w:val="110"/>
          <w:sz w:val="22"/>
        </w:rPr>
        <w:t> </w:t>
      </w:r>
      <w:r>
        <w:rPr>
          <w:color w:val="4C4D4F"/>
          <w:w w:val="110"/>
          <w:sz w:val="22"/>
        </w:rPr>
        <w:t>test</w:t>
      </w:r>
      <w:r>
        <w:rPr>
          <w:color w:val="4C4D4F"/>
          <w:spacing w:val="-8"/>
          <w:w w:val="110"/>
          <w:sz w:val="22"/>
        </w:rPr>
        <w:t> </w:t>
      </w:r>
      <w:r>
        <w:rPr>
          <w:color w:val="4C4D4F"/>
          <w:w w:val="110"/>
          <w:sz w:val="22"/>
        </w:rPr>
        <w:t>results</w:t>
      </w:r>
      <w:r>
        <w:rPr>
          <w:color w:val="4C4D4F"/>
          <w:spacing w:val="-9"/>
          <w:w w:val="110"/>
          <w:sz w:val="22"/>
        </w:rPr>
        <w:t> </w:t>
      </w:r>
      <w:r>
        <w:rPr>
          <w:color w:val="4C4D4F"/>
          <w:w w:val="110"/>
          <w:sz w:val="22"/>
        </w:rPr>
        <w:t>that</w:t>
      </w:r>
      <w:r>
        <w:rPr>
          <w:color w:val="4C4D4F"/>
          <w:spacing w:val="-8"/>
          <w:w w:val="110"/>
          <w:sz w:val="22"/>
        </w:rPr>
        <w:t> </w:t>
      </w:r>
      <w:r>
        <w:rPr>
          <w:color w:val="4C4D4F"/>
          <w:w w:val="110"/>
          <w:sz w:val="22"/>
        </w:rPr>
        <w:t>do</w:t>
      </w:r>
      <w:r>
        <w:rPr>
          <w:color w:val="4C4D4F"/>
          <w:spacing w:val="-9"/>
          <w:w w:val="110"/>
          <w:sz w:val="22"/>
        </w:rPr>
        <w:t> </w:t>
      </w:r>
      <w:r>
        <w:rPr>
          <w:color w:val="4C4D4F"/>
          <w:spacing w:val="-6"/>
          <w:w w:val="110"/>
          <w:sz w:val="22"/>
        </w:rPr>
        <w:t>not </w:t>
      </w:r>
      <w:r>
        <w:rPr>
          <w:color w:val="4C4D4F"/>
          <w:w w:val="110"/>
          <w:sz w:val="22"/>
        </w:rPr>
        <w:t>indicate acute hepatitis or liver</w:t>
      </w:r>
      <w:r>
        <w:rPr>
          <w:color w:val="4C4D4F"/>
          <w:spacing w:val="-5"/>
          <w:w w:val="110"/>
          <w:sz w:val="22"/>
        </w:rPr>
        <w:t> </w:t>
      </w:r>
      <w:r>
        <w:rPr>
          <w:color w:val="4C4D4F"/>
          <w:w w:val="110"/>
          <w:sz w:val="22"/>
        </w:rPr>
        <w:t>failure.</w:t>
      </w:r>
    </w:p>
    <w:p>
      <w:pPr>
        <w:pStyle w:val="ListParagraph"/>
        <w:numPr>
          <w:ilvl w:val="0"/>
          <w:numId w:val="4"/>
        </w:numPr>
        <w:tabs>
          <w:tab w:pos="410" w:val="left" w:leader="none"/>
        </w:tabs>
        <w:spacing w:line="208" w:lineRule="auto" w:before="69" w:after="0"/>
        <w:ind w:left="410" w:right="724" w:hanging="270"/>
        <w:jc w:val="left"/>
        <w:rPr>
          <w:rFonts w:ascii="Arial" w:hAnsi="Arial"/>
          <w:color w:val="147592"/>
          <w:sz w:val="28"/>
        </w:rPr>
      </w:pPr>
      <w:r>
        <w:rPr>
          <w:color w:val="4C4D4F"/>
          <w:spacing w:val="-3"/>
          <w:w w:val="110"/>
          <w:sz w:val="22"/>
        </w:rPr>
        <w:t>Has </w:t>
      </w:r>
      <w:r>
        <w:rPr>
          <w:color w:val="4C4D4F"/>
          <w:w w:val="110"/>
          <w:sz w:val="22"/>
        </w:rPr>
        <w:t>a </w:t>
      </w:r>
      <w:r>
        <w:rPr>
          <w:color w:val="4C4D4F"/>
          <w:spacing w:val="-4"/>
          <w:w w:val="110"/>
          <w:sz w:val="22"/>
        </w:rPr>
        <w:t>negative naloxone challenge </w:t>
      </w:r>
      <w:r>
        <w:rPr>
          <w:color w:val="4C4D4F"/>
          <w:spacing w:val="-5"/>
          <w:w w:val="110"/>
          <w:sz w:val="22"/>
        </w:rPr>
        <w:t>result </w:t>
      </w:r>
      <w:r>
        <w:rPr>
          <w:color w:val="4C4D4F"/>
          <w:spacing w:val="-4"/>
          <w:w w:val="110"/>
          <w:sz w:val="22"/>
        </w:rPr>
        <w:t>(Exhibit</w:t>
      </w:r>
      <w:r>
        <w:rPr>
          <w:color w:val="4C4D4F"/>
          <w:spacing w:val="-14"/>
          <w:w w:val="110"/>
          <w:sz w:val="22"/>
        </w:rPr>
        <w:t> </w:t>
      </w:r>
      <w:r>
        <w:rPr>
          <w:color w:val="4C4D4F"/>
          <w:spacing w:val="-4"/>
          <w:w w:val="110"/>
          <w:sz w:val="22"/>
        </w:rPr>
        <w:t>3C.1).</w:t>
      </w:r>
    </w:p>
    <w:p>
      <w:pPr>
        <w:pStyle w:val="Heading5"/>
        <w:spacing w:before="229"/>
        <w:rPr>
          <w:i/>
        </w:rPr>
      </w:pPr>
      <w:r>
        <w:rPr>
          <w:i/>
          <w:color w:val="147592"/>
          <w:w w:val="105"/>
        </w:rPr>
        <w:t>Patient selection</w:t>
      </w:r>
    </w:p>
    <w:p>
      <w:pPr>
        <w:spacing w:line="242" w:lineRule="auto" w:before="43"/>
        <w:ind w:left="140" w:right="295" w:firstLine="0"/>
        <w:jc w:val="left"/>
        <w:rPr>
          <w:sz w:val="22"/>
        </w:rPr>
      </w:pPr>
      <w:r>
        <w:rPr>
          <w:rFonts w:ascii="Calibri"/>
          <w:b/>
          <w:color w:val="4C4D4F"/>
          <w:w w:val="115"/>
          <w:sz w:val="22"/>
        </w:rPr>
        <w:t>No evidence clearly predicts which patients are best treated with XR-NTX </w:t>
      </w:r>
      <w:r>
        <w:rPr>
          <w:color w:val="4C4D4F"/>
          <w:w w:val="115"/>
          <w:sz w:val="22"/>
        </w:rPr>
        <w:t>versus other OUD</w:t>
      </w:r>
      <w:r>
        <w:rPr>
          <w:color w:val="4C4D4F"/>
          <w:spacing w:val="-36"/>
          <w:w w:val="115"/>
          <w:sz w:val="22"/>
        </w:rPr>
        <w:t> </w:t>
      </w:r>
      <w:r>
        <w:rPr>
          <w:color w:val="4C4D4F"/>
          <w:w w:val="115"/>
          <w:sz w:val="22"/>
        </w:rPr>
        <w:t>medications.</w:t>
      </w:r>
      <w:r>
        <w:rPr>
          <w:color w:val="4C4D4F"/>
          <w:spacing w:val="-35"/>
          <w:w w:val="115"/>
          <w:sz w:val="22"/>
        </w:rPr>
        <w:t> </w:t>
      </w:r>
      <w:r>
        <w:rPr>
          <w:color w:val="4C4D4F"/>
          <w:w w:val="115"/>
          <w:sz w:val="22"/>
        </w:rPr>
        <w:t>A</w:t>
      </w:r>
      <w:r>
        <w:rPr>
          <w:color w:val="4C4D4F"/>
          <w:spacing w:val="-35"/>
          <w:w w:val="115"/>
          <w:sz w:val="22"/>
        </w:rPr>
        <w:t> </w:t>
      </w:r>
      <w:r>
        <w:rPr>
          <w:color w:val="4C4D4F"/>
          <w:w w:val="115"/>
          <w:sz w:val="22"/>
        </w:rPr>
        <w:t>secondary</w:t>
      </w:r>
      <w:r>
        <w:rPr>
          <w:color w:val="4C4D4F"/>
          <w:spacing w:val="-35"/>
          <w:w w:val="115"/>
          <w:sz w:val="22"/>
        </w:rPr>
        <w:t> </w:t>
      </w:r>
      <w:r>
        <w:rPr>
          <w:color w:val="4C4D4F"/>
          <w:w w:val="115"/>
          <w:sz w:val="22"/>
        </w:rPr>
        <w:t>analysis</w:t>
      </w:r>
      <w:r>
        <w:rPr>
          <w:color w:val="4C4D4F"/>
          <w:spacing w:val="-35"/>
          <w:w w:val="115"/>
          <w:sz w:val="22"/>
        </w:rPr>
        <w:t> </w:t>
      </w:r>
      <w:r>
        <w:rPr>
          <w:color w:val="4C4D4F"/>
          <w:w w:val="115"/>
          <w:sz w:val="22"/>
        </w:rPr>
        <w:t>of</w:t>
      </w:r>
      <w:r>
        <w:rPr>
          <w:color w:val="4C4D4F"/>
          <w:spacing w:val="-35"/>
          <w:w w:val="115"/>
          <w:sz w:val="22"/>
        </w:rPr>
        <w:t> </w:t>
      </w:r>
      <w:r>
        <w:rPr>
          <w:color w:val="4C4D4F"/>
          <w:w w:val="115"/>
          <w:sz w:val="22"/>
        </w:rPr>
        <w:t>the data</w:t>
      </w:r>
      <w:r>
        <w:rPr>
          <w:color w:val="4C4D4F"/>
          <w:spacing w:val="-49"/>
          <w:w w:val="115"/>
          <w:sz w:val="22"/>
        </w:rPr>
        <w:t> </w:t>
      </w:r>
      <w:r>
        <w:rPr>
          <w:color w:val="4C4D4F"/>
          <w:w w:val="115"/>
          <w:sz w:val="22"/>
        </w:rPr>
        <w:t>from</w:t>
      </w:r>
      <w:r>
        <w:rPr>
          <w:color w:val="4C4D4F"/>
          <w:spacing w:val="-48"/>
          <w:w w:val="115"/>
          <w:sz w:val="22"/>
        </w:rPr>
        <w:t> </w:t>
      </w:r>
      <w:r>
        <w:rPr>
          <w:color w:val="4C4D4F"/>
          <w:w w:val="115"/>
          <w:sz w:val="22"/>
        </w:rPr>
        <w:t>a</w:t>
      </w:r>
      <w:r>
        <w:rPr>
          <w:color w:val="4C4D4F"/>
          <w:spacing w:val="-48"/>
          <w:w w:val="115"/>
          <w:sz w:val="22"/>
        </w:rPr>
        <w:t> </w:t>
      </w:r>
      <w:r>
        <w:rPr>
          <w:color w:val="4C4D4F"/>
          <w:w w:val="115"/>
          <w:sz w:val="22"/>
        </w:rPr>
        <w:t>randomized</w:t>
      </w:r>
      <w:r>
        <w:rPr>
          <w:color w:val="4C4D4F"/>
          <w:spacing w:val="-48"/>
          <w:w w:val="115"/>
          <w:sz w:val="22"/>
        </w:rPr>
        <w:t> </w:t>
      </w:r>
      <w:r>
        <w:rPr>
          <w:color w:val="4C4D4F"/>
          <w:w w:val="115"/>
          <w:sz w:val="22"/>
        </w:rPr>
        <w:t>trial</w:t>
      </w:r>
      <w:r>
        <w:rPr>
          <w:color w:val="4C4D4F"/>
          <w:spacing w:val="-48"/>
          <w:w w:val="115"/>
          <w:sz w:val="22"/>
        </w:rPr>
        <w:t> </w:t>
      </w:r>
      <w:r>
        <w:rPr>
          <w:color w:val="4C4D4F"/>
          <w:w w:val="115"/>
          <w:sz w:val="22"/>
        </w:rPr>
        <w:t>of</w:t>
      </w:r>
      <w:r>
        <w:rPr>
          <w:color w:val="4C4D4F"/>
          <w:spacing w:val="-48"/>
          <w:w w:val="115"/>
          <w:sz w:val="22"/>
        </w:rPr>
        <w:t> </w:t>
      </w:r>
      <w:r>
        <w:rPr>
          <w:color w:val="4C4D4F"/>
          <w:w w:val="115"/>
          <w:sz w:val="22"/>
        </w:rPr>
        <w:t>XR-NTX</w:t>
      </w:r>
      <w:r>
        <w:rPr>
          <w:color w:val="4C4D4F"/>
          <w:spacing w:val="-48"/>
          <w:w w:val="115"/>
          <w:sz w:val="22"/>
        </w:rPr>
        <w:t> </w:t>
      </w:r>
      <w:r>
        <w:rPr>
          <w:color w:val="4C4D4F"/>
          <w:spacing w:val="-3"/>
          <w:w w:val="115"/>
          <w:sz w:val="22"/>
        </w:rPr>
        <w:t>versus</w:t>
      </w:r>
    </w:p>
    <w:p>
      <w:pPr>
        <w:pStyle w:val="BodyText"/>
        <w:spacing w:line="247" w:lineRule="auto" w:before="113"/>
        <w:ind w:left="140" w:right="253"/>
        <w:rPr>
          <w:sz w:val="13"/>
        </w:rPr>
      </w:pPr>
      <w:r>
        <w:rPr/>
        <w:br w:type="column"/>
      </w:r>
      <w:r>
        <w:rPr>
          <w:color w:val="4C4D4F"/>
          <w:spacing w:val="-3"/>
          <w:w w:val="115"/>
        </w:rPr>
        <w:t>placebo</w:t>
      </w:r>
      <w:r>
        <w:rPr>
          <w:color w:val="4C4D4F"/>
          <w:spacing w:val="-25"/>
          <w:w w:val="115"/>
        </w:rPr>
        <w:t> </w:t>
      </w:r>
      <w:r>
        <w:rPr>
          <w:color w:val="4C4D4F"/>
          <w:spacing w:val="-3"/>
          <w:w w:val="115"/>
        </w:rPr>
        <w:t>conducted</w:t>
      </w:r>
      <w:r>
        <w:rPr>
          <w:color w:val="4C4D4F"/>
          <w:spacing w:val="-24"/>
          <w:w w:val="115"/>
        </w:rPr>
        <w:t> </w:t>
      </w:r>
      <w:r>
        <w:rPr>
          <w:color w:val="4C4D4F"/>
          <w:w w:val="115"/>
        </w:rPr>
        <w:t>in</w:t>
      </w:r>
      <w:r>
        <w:rPr>
          <w:color w:val="4C4D4F"/>
          <w:spacing w:val="-24"/>
          <w:w w:val="115"/>
        </w:rPr>
        <w:t> </w:t>
      </w:r>
      <w:r>
        <w:rPr>
          <w:color w:val="4C4D4F"/>
          <w:spacing w:val="-3"/>
          <w:w w:val="115"/>
        </w:rPr>
        <w:t>Russia</w:t>
      </w:r>
      <w:r>
        <w:rPr>
          <w:color w:val="4C4D4F"/>
          <w:spacing w:val="-24"/>
          <w:w w:val="115"/>
        </w:rPr>
        <w:t> </w:t>
      </w:r>
      <w:r>
        <w:rPr>
          <w:color w:val="4C4D4F"/>
          <w:spacing w:val="-3"/>
          <w:w w:val="115"/>
        </w:rPr>
        <w:t>found</w:t>
      </w:r>
      <w:r>
        <w:rPr>
          <w:color w:val="4C4D4F"/>
          <w:spacing w:val="-24"/>
          <w:w w:val="115"/>
        </w:rPr>
        <w:t> </w:t>
      </w:r>
      <w:r>
        <w:rPr>
          <w:color w:val="4C4D4F"/>
          <w:w w:val="115"/>
        </w:rPr>
        <w:t>no</w:t>
      </w:r>
      <w:r>
        <w:rPr>
          <w:color w:val="4C4D4F"/>
          <w:spacing w:val="-24"/>
          <w:w w:val="115"/>
        </w:rPr>
        <w:t> </w:t>
      </w:r>
      <w:r>
        <w:rPr>
          <w:color w:val="4C4D4F"/>
          <w:spacing w:val="-3"/>
          <w:w w:val="115"/>
        </w:rPr>
        <w:t>signiﬁcant </w:t>
      </w:r>
      <w:r>
        <w:rPr>
          <w:color w:val="4C4D4F"/>
          <w:w w:val="115"/>
        </w:rPr>
        <w:t>baseline</w:t>
      </w:r>
      <w:r>
        <w:rPr>
          <w:color w:val="4C4D4F"/>
          <w:spacing w:val="-21"/>
          <w:w w:val="115"/>
        </w:rPr>
        <w:t> </w:t>
      </w:r>
      <w:r>
        <w:rPr>
          <w:color w:val="4C4D4F"/>
          <w:w w:val="115"/>
        </w:rPr>
        <w:t>predictors</w:t>
      </w:r>
      <w:r>
        <w:rPr>
          <w:color w:val="4C4D4F"/>
          <w:spacing w:val="-21"/>
          <w:w w:val="115"/>
        </w:rPr>
        <w:t> </w:t>
      </w:r>
      <w:r>
        <w:rPr>
          <w:color w:val="4C4D4F"/>
          <w:w w:val="115"/>
        </w:rPr>
        <w:t>of</w:t>
      </w:r>
      <w:r>
        <w:rPr>
          <w:color w:val="4C4D4F"/>
          <w:spacing w:val="-20"/>
          <w:w w:val="115"/>
        </w:rPr>
        <w:t> </w:t>
      </w:r>
      <w:r>
        <w:rPr>
          <w:color w:val="4C4D4F"/>
          <w:w w:val="115"/>
        </w:rPr>
        <w:t>successes</w:t>
      </w:r>
      <w:r>
        <w:rPr>
          <w:color w:val="4C4D4F"/>
          <w:spacing w:val="-21"/>
          <w:w w:val="115"/>
        </w:rPr>
        <w:t> </w:t>
      </w:r>
      <w:r>
        <w:rPr>
          <w:color w:val="4C4D4F"/>
          <w:w w:val="115"/>
        </w:rPr>
        <w:t>among</w:t>
      </w:r>
      <w:r>
        <w:rPr>
          <w:color w:val="4C4D4F"/>
          <w:spacing w:val="-20"/>
          <w:w w:val="115"/>
        </w:rPr>
        <w:t> </w:t>
      </w:r>
      <w:r>
        <w:rPr>
          <w:color w:val="4C4D4F"/>
          <w:w w:val="115"/>
        </w:rPr>
        <w:t>the</w:t>
      </w:r>
      <w:r>
        <w:rPr>
          <w:color w:val="4C4D4F"/>
          <w:spacing w:val="-21"/>
          <w:w w:val="115"/>
        </w:rPr>
        <w:t> </w:t>
      </w:r>
      <w:r>
        <w:rPr>
          <w:color w:val="4C4D4F"/>
          <w:w w:val="115"/>
        </w:rPr>
        <w:t>25 variables examined, including demographics, clinical severity, level of functioning, craving, and HIV</w:t>
      </w:r>
      <w:r>
        <w:rPr>
          <w:color w:val="4C4D4F"/>
          <w:spacing w:val="-23"/>
          <w:w w:val="115"/>
        </w:rPr>
        <w:t> </w:t>
      </w:r>
      <w:r>
        <w:rPr>
          <w:color w:val="4C4D4F"/>
          <w:w w:val="115"/>
        </w:rPr>
        <w:t>serostatus.</w:t>
      </w:r>
      <w:r>
        <w:rPr>
          <w:color w:val="4C4D4F"/>
          <w:w w:val="115"/>
          <w:position w:val="7"/>
          <w:sz w:val="13"/>
        </w:rPr>
        <w:t>192</w:t>
      </w:r>
    </w:p>
    <w:p>
      <w:pPr>
        <w:spacing w:line="244" w:lineRule="auto" w:before="181"/>
        <w:ind w:left="140" w:right="220" w:firstLine="0"/>
        <w:jc w:val="left"/>
        <w:rPr>
          <w:sz w:val="22"/>
        </w:rPr>
      </w:pPr>
      <w:r>
        <w:rPr>
          <w:rFonts w:ascii="Calibri" w:hAnsi="Calibri"/>
          <w:b/>
          <w:color w:val="4C4D4F"/>
          <w:w w:val="110"/>
          <w:sz w:val="22"/>
        </w:rPr>
        <w:t>Inform patients of all their treatment options and the settings in which they are available. </w:t>
      </w:r>
      <w:r>
        <w:rPr>
          <w:color w:val="4C4D4F"/>
          <w:w w:val="110"/>
          <w:sz w:val="22"/>
        </w:rPr>
        <w:t>OTPs may be best for patients needing more structure. Tailor decisions about which medica- tion to use to patients’ medical and substance use histories, patient preferences, and treatment availability.</w:t>
      </w:r>
    </w:p>
    <w:p>
      <w:pPr>
        <w:pStyle w:val="Heading7"/>
        <w:spacing w:line="235" w:lineRule="auto" w:before="183"/>
        <w:ind w:right="594"/>
      </w:pPr>
      <w:r>
        <w:rPr>
          <w:color w:val="4C4D4F"/>
          <w:w w:val="115"/>
        </w:rPr>
        <w:t>Pregnant women are not appropriate candidates for XR-NTX treatment.</w:t>
      </w:r>
    </w:p>
    <w:p>
      <w:pPr>
        <w:spacing w:line="235" w:lineRule="auto" w:before="181"/>
        <w:ind w:left="140" w:right="594" w:firstLine="0"/>
        <w:jc w:val="left"/>
        <w:rPr>
          <w:rFonts w:ascii="Calibri"/>
          <w:b/>
          <w:sz w:val="13"/>
        </w:rPr>
      </w:pPr>
      <w:r>
        <w:rPr>
          <w:rFonts w:ascii="Calibri"/>
          <w:b/>
          <w:color w:val="4C4D4F"/>
          <w:w w:val="115"/>
          <w:sz w:val="22"/>
        </w:rPr>
        <w:t>Consider for XR-NTX treatment patients who:</w:t>
      </w:r>
      <w:r>
        <w:rPr>
          <w:rFonts w:ascii="Calibri"/>
          <w:b/>
          <w:color w:val="4C4D4F"/>
          <w:w w:val="115"/>
          <w:position w:val="7"/>
          <w:sz w:val="13"/>
        </w:rPr>
        <w:t>193</w:t>
      </w:r>
    </w:p>
    <w:p>
      <w:pPr>
        <w:pStyle w:val="Heading7"/>
        <w:numPr>
          <w:ilvl w:val="0"/>
          <w:numId w:val="4"/>
        </w:numPr>
        <w:tabs>
          <w:tab w:pos="411" w:val="left" w:leader="none"/>
        </w:tabs>
        <w:spacing w:line="315" w:lineRule="exact" w:before="100" w:after="0"/>
        <w:ind w:left="410" w:right="0" w:hanging="271"/>
        <w:jc w:val="left"/>
        <w:rPr>
          <w:rFonts w:ascii="Arial" w:hAnsi="Arial"/>
          <w:color w:val="147592"/>
          <w:sz w:val="28"/>
        </w:rPr>
      </w:pPr>
      <w:r>
        <w:rPr>
          <w:color w:val="4C4D4F"/>
          <w:w w:val="115"/>
        </w:rPr>
        <w:t>Do not wish to take opioid</w:t>
      </w:r>
      <w:r>
        <w:rPr>
          <w:color w:val="4C4D4F"/>
          <w:spacing w:val="34"/>
          <w:w w:val="115"/>
        </w:rPr>
        <w:t> </w:t>
      </w:r>
      <w:r>
        <w:rPr>
          <w:color w:val="4C4D4F"/>
          <w:w w:val="115"/>
        </w:rPr>
        <w:t>agonists.</w:t>
      </w:r>
    </w:p>
    <w:p>
      <w:pPr>
        <w:pStyle w:val="ListParagraph"/>
        <w:numPr>
          <w:ilvl w:val="0"/>
          <w:numId w:val="4"/>
        </w:numPr>
        <w:tabs>
          <w:tab w:pos="411" w:val="left" w:leader="none"/>
        </w:tabs>
        <w:spacing w:line="204" w:lineRule="auto" w:before="26" w:after="0"/>
        <w:ind w:left="410" w:right="488" w:hanging="270"/>
        <w:jc w:val="left"/>
        <w:rPr>
          <w:rFonts w:ascii="Arial" w:hAnsi="Arial"/>
          <w:color w:val="147592"/>
          <w:sz w:val="28"/>
        </w:rPr>
      </w:pPr>
      <w:r>
        <w:rPr>
          <w:rFonts w:ascii="Calibri" w:hAnsi="Calibri"/>
          <w:b/>
          <w:color w:val="4C4D4F"/>
          <w:w w:val="110"/>
          <w:sz w:val="22"/>
        </w:rPr>
        <w:t>Have been opioid  abstinent  for  at  least 1 week, </w:t>
      </w:r>
      <w:r>
        <w:rPr>
          <w:color w:val="4C4D4F"/>
          <w:w w:val="110"/>
          <w:sz w:val="22"/>
        </w:rPr>
        <w:t>have recently been or will soon</w:t>
      </w:r>
      <w:r>
        <w:rPr>
          <w:color w:val="4C4D4F"/>
          <w:spacing w:val="25"/>
          <w:w w:val="110"/>
          <w:sz w:val="22"/>
        </w:rPr>
        <w:t> </w:t>
      </w:r>
      <w:r>
        <w:rPr>
          <w:color w:val="4C4D4F"/>
          <w:spacing w:val="-9"/>
          <w:w w:val="110"/>
          <w:sz w:val="22"/>
        </w:rPr>
        <w:t>be</w:t>
      </w:r>
    </w:p>
    <w:p>
      <w:pPr>
        <w:pStyle w:val="BodyText"/>
        <w:spacing w:line="247" w:lineRule="auto" w:before="11"/>
        <w:ind w:left="410"/>
      </w:pPr>
      <w:r>
        <w:rPr>
          <w:color w:val="4C4D4F"/>
          <w:w w:val="110"/>
        </w:rPr>
        <w:t>released from controlled environments (e.g., incarceration, residential addiction treatment), and do not wish to initiate (or are not able</w:t>
      </w:r>
    </w:p>
    <w:p>
      <w:pPr>
        <w:pStyle w:val="BodyText"/>
        <w:spacing w:line="247" w:lineRule="auto" w:before="4"/>
        <w:ind w:left="410" w:right="192"/>
      </w:pPr>
      <w:r>
        <w:rPr/>
        <w:pict>
          <v:group style="position:absolute;margin-left:309.851013pt;margin-top:113.7855pt;width:243.5pt;height:213.5pt;mso-position-horizontal-relative:page;mso-position-vertical-relative:paragraph;z-index:15754240" coordorigin="6197,2276" coordsize="4870,4270">
            <v:rect style="position:absolute;left:6202;top:2280;width:4860;height:4260" filled="true" fillcolor="#fff7f2" stroked="false">
              <v:fill type="solid"/>
            </v:rect>
            <v:rect style="position:absolute;left:6202;top:2280;width:4860;height:4260" filled="false" stroked="true" strokeweight=".5pt" strokecolor="#89aabe">
              <v:stroke dashstyle="solid"/>
            </v:rect>
            <v:line style="position:absolute" from="6477,3557" to="10787,3557" stroked="true" strokeweight="2pt" strokecolor="#588da6">
              <v:stroke dashstyle="solid"/>
            </v:line>
            <v:shape style="position:absolute;left:6477;top:2467;width:3242;height:990" type="#_x0000_t202" filled="false" stroked="false">
              <v:textbox inset="0,0,0,0">
                <w:txbxContent>
                  <w:p>
                    <w:pPr>
                      <w:spacing w:line="256" w:lineRule="auto" w:before="36"/>
                      <w:ind w:left="0" w:right="10" w:firstLine="0"/>
                      <w:jc w:val="left"/>
                      <w:rPr>
                        <w:rFonts w:ascii="Arial"/>
                        <w:b/>
                        <w:sz w:val="26"/>
                      </w:rPr>
                    </w:pPr>
                    <w:r>
                      <w:rPr>
                        <w:rFonts w:ascii="Arial"/>
                        <w:b/>
                        <w:color w:val="147592"/>
                        <w:w w:val="110"/>
                        <w:sz w:val="26"/>
                      </w:rPr>
                      <w:t>EXHIBIT</w:t>
                    </w:r>
                    <w:r>
                      <w:rPr>
                        <w:rFonts w:ascii="Arial"/>
                        <w:b/>
                        <w:color w:val="147592"/>
                        <w:spacing w:val="-37"/>
                        <w:w w:val="110"/>
                        <w:sz w:val="26"/>
                      </w:rPr>
                      <w:t> </w:t>
                    </w:r>
                    <w:r>
                      <w:rPr>
                        <w:rFonts w:ascii="Arial"/>
                        <w:b/>
                        <w:color w:val="147592"/>
                        <w:w w:val="110"/>
                        <w:sz w:val="26"/>
                      </w:rPr>
                      <w:t>3C.2.</w:t>
                    </w:r>
                    <w:r>
                      <w:rPr>
                        <w:rFonts w:ascii="Arial"/>
                        <w:b/>
                        <w:color w:val="147592"/>
                        <w:spacing w:val="-37"/>
                        <w:w w:val="110"/>
                        <w:sz w:val="26"/>
                      </w:rPr>
                      <w:t> </w:t>
                    </w:r>
                    <w:r>
                      <w:rPr>
                        <w:rFonts w:ascii="Arial"/>
                        <w:b/>
                        <w:color w:val="147592"/>
                        <w:w w:val="110"/>
                        <w:sz w:val="26"/>
                      </w:rPr>
                      <w:t>Signs</w:t>
                    </w:r>
                    <w:r>
                      <w:rPr>
                        <w:rFonts w:ascii="Arial"/>
                        <w:b/>
                        <w:color w:val="147592"/>
                        <w:spacing w:val="-37"/>
                        <w:w w:val="110"/>
                        <w:sz w:val="26"/>
                      </w:rPr>
                      <w:t> </w:t>
                    </w:r>
                    <w:r>
                      <w:rPr>
                        <w:rFonts w:ascii="Arial"/>
                        <w:b/>
                        <w:color w:val="147592"/>
                        <w:spacing w:val="-5"/>
                        <w:w w:val="110"/>
                        <w:sz w:val="26"/>
                      </w:rPr>
                      <w:t>and </w:t>
                    </w:r>
                    <w:r>
                      <w:rPr>
                        <w:rFonts w:ascii="Arial"/>
                        <w:b/>
                        <w:color w:val="147592"/>
                        <w:w w:val="110"/>
                        <w:sz w:val="26"/>
                      </w:rPr>
                      <w:t>Symptoms of Opioid Withdrawal</w:t>
                    </w:r>
                  </w:p>
                </w:txbxContent>
              </v:textbox>
              <w10:wrap type="none"/>
            </v:shape>
            <v:shape style="position:absolute;left:6462;top:3769;width:1545;height:2283" type="#_x0000_t202" filled="false" stroked="false">
              <v:textbox inset="0,0,0,0">
                <w:txbxContent>
                  <w:p>
                    <w:pPr>
                      <w:spacing w:before="33"/>
                      <w:ind w:left="0" w:right="0" w:firstLine="0"/>
                      <w:jc w:val="left"/>
                      <w:rPr>
                        <w:rFonts w:ascii="Arial"/>
                        <w:b/>
                        <w:sz w:val="24"/>
                      </w:rPr>
                    </w:pPr>
                    <w:r>
                      <w:rPr>
                        <w:rFonts w:ascii="Arial"/>
                        <w:b/>
                        <w:color w:val="147592"/>
                        <w:w w:val="105"/>
                        <w:sz w:val="24"/>
                      </w:rPr>
                      <w:t>Signs</w:t>
                    </w:r>
                  </w:p>
                  <w:p>
                    <w:pPr>
                      <w:spacing w:line="261" w:lineRule="auto" w:before="75"/>
                      <w:ind w:left="0" w:right="458" w:firstLine="0"/>
                      <w:jc w:val="left"/>
                      <w:rPr>
                        <w:rFonts w:ascii="Calibri"/>
                        <w:sz w:val="18"/>
                      </w:rPr>
                    </w:pPr>
                    <w:r>
                      <w:rPr>
                        <w:rFonts w:ascii="Calibri"/>
                        <w:color w:val="414042"/>
                        <w:w w:val="125"/>
                        <w:sz w:val="18"/>
                      </w:rPr>
                      <w:t>Runny nose Tearing Yawning Sweating Tremor Vomiting </w:t>
                    </w:r>
                    <w:r>
                      <w:rPr>
                        <w:rFonts w:ascii="Calibri"/>
                        <w:color w:val="414042"/>
                        <w:w w:val="120"/>
                        <w:sz w:val="18"/>
                      </w:rPr>
                      <w:t>Piloerection</w:t>
                    </w:r>
                  </w:p>
                  <w:p>
                    <w:pPr>
                      <w:spacing w:line="219" w:lineRule="exact" w:before="3"/>
                      <w:ind w:left="0" w:right="0" w:firstLine="0"/>
                      <w:jc w:val="left"/>
                      <w:rPr>
                        <w:rFonts w:ascii="Calibri"/>
                        <w:sz w:val="18"/>
                      </w:rPr>
                    </w:pPr>
                    <w:r>
                      <w:rPr>
                        <w:rFonts w:ascii="Calibri"/>
                        <w:color w:val="414042"/>
                        <w:w w:val="125"/>
                        <w:sz w:val="18"/>
                      </w:rPr>
                      <w:t>Pupillary dilation</w:t>
                    </w:r>
                  </w:p>
                </w:txbxContent>
              </v:textbox>
              <w10:wrap type="none"/>
            </v:shape>
            <v:shape style="position:absolute;left:8537;top:3769;width:2011;height:2523" type="#_x0000_t202" filled="false" stroked="false">
              <v:textbox inset="0,0,0,0">
                <w:txbxContent>
                  <w:p>
                    <w:pPr>
                      <w:spacing w:before="33"/>
                      <w:ind w:left="0" w:right="0" w:firstLine="0"/>
                      <w:jc w:val="left"/>
                      <w:rPr>
                        <w:rFonts w:ascii="Arial"/>
                        <w:b/>
                        <w:sz w:val="24"/>
                      </w:rPr>
                    </w:pPr>
                    <w:r>
                      <w:rPr>
                        <w:rFonts w:ascii="Arial"/>
                        <w:b/>
                        <w:color w:val="147592"/>
                        <w:w w:val="110"/>
                        <w:sz w:val="24"/>
                      </w:rPr>
                      <w:t>Symptoms</w:t>
                    </w:r>
                  </w:p>
                  <w:p>
                    <w:pPr>
                      <w:spacing w:line="261" w:lineRule="auto" w:before="75"/>
                      <w:ind w:left="0" w:right="-7" w:firstLine="0"/>
                      <w:jc w:val="left"/>
                      <w:rPr>
                        <w:rFonts w:ascii="Calibri"/>
                        <w:sz w:val="18"/>
                      </w:rPr>
                    </w:pPr>
                    <w:r>
                      <w:rPr>
                        <w:rFonts w:ascii="Calibri"/>
                        <w:color w:val="414042"/>
                        <w:w w:val="125"/>
                        <w:sz w:val="18"/>
                      </w:rPr>
                      <w:t>Skin crawling Abdominal cramps Temperature changes Nausea</w:t>
                    </w:r>
                  </w:p>
                  <w:p>
                    <w:pPr>
                      <w:spacing w:line="261" w:lineRule="auto" w:before="2"/>
                      <w:ind w:left="0" w:right="1162" w:firstLine="0"/>
                      <w:jc w:val="left"/>
                      <w:rPr>
                        <w:rFonts w:ascii="Calibri"/>
                        <w:sz w:val="18"/>
                      </w:rPr>
                    </w:pPr>
                    <w:r>
                      <w:rPr>
                        <w:rFonts w:ascii="Calibri"/>
                        <w:color w:val="414042"/>
                        <w:w w:val="125"/>
                        <w:sz w:val="18"/>
                      </w:rPr>
                      <w:t>Vomiting Diarrhea</w:t>
                    </w:r>
                  </w:p>
                  <w:p>
                    <w:pPr>
                      <w:spacing w:line="261" w:lineRule="auto" w:before="1"/>
                      <w:ind w:left="0" w:right="129" w:firstLine="0"/>
                      <w:jc w:val="left"/>
                      <w:rPr>
                        <w:rFonts w:ascii="Calibri"/>
                        <w:sz w:val="18"/>
                      </w:rPr>
                    </w:pPr>
                    <w:r>
                      <w:rPr>
                        <w:rFonts w:ascii="Calibri"/>
                        <w:color w:val="414042"/>
                        <w:w w:val="125"/>
                        <w:sz w:val="18"/>
                      </w:rPr>
                      <w:t>Bone or muscle pain Dysphoria</w:t>
                    </w:r>
                  </w:p>
                  <w:p>
                    <w:pPr>
                      <w:spacing w:line="219" w:lineRule="exact" w:before="1"/>
                      <w:ind w:left="0" w:right="0" w:firstLine="0"/>
                      <w:jc w:val="left"/>
                      <w:rPr>
                        <w:rFonts w:ascii="Calibri"/>
                        <w:sz w:val="18"/>
                      </w:rPr>
                    </w:pPr>
                    <w:r>
                      <w:rPr>
                        <w:rFonts w:ascii="Calibri"/>
                        <w:color w:val="414042"/>
                        <w:w w:val="120"/>
                        <w:sz w:val="18"/>
                      </w:rPr>
                      <w:t>Craving for opioids</w:t>
                    </w:r>
                  </w:p>
                </w:txbxContent>
              </v:textbox>
              <w10:wrap type="none"/>
            </v:shape>
            <w10:wrap type="none"/>
          </v:group>
        </w:pict>
      </w:r>
      <w:r>
        <w:rPr>
          <w:color w:val="4C4D4F"/>
          <w:w w:val="110"/>
        </w:rPr>
        <w:t>to access) opioid agonist treatment. For patients requesting opioid agonist treatment, methadone or buprenorphine must be started at much lower doses and increased much more slowly than for opioid-tolerant patients (see sections on methadone and buprenor- phine dosing).</w:t>
      </w:r>
    </w:p>
    <w:p>
      <w:pPr>
        <w:spacing w:after="0" w:line="247" w:lineRule="auto"/>
        <w:sectPr>
          <w:type w:val="continuous"/>
          <w:pgSz w:w="12240" w:h="15840"/>
          <w:pgMar w:top="540" w:bottom="280" w:left="940" w:right="920"/>
          <w:cols w:num="2" w:equalWidth="0">
            <w:col w:w="5040" w:space="180"/>
            <w:col w:w="516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ListParagraph"/>
        <w:numPr>
          <w:ilvl w:val="0"/>
          <w:numId w:val="4"/>
        </w:numPr>
        <w:tabs>
          <w:tab w:pos="410" w:val="left" w:leader="none"/>
        </w:tabs>
        <w:spacing w:line="204" w:lineRule="auto" w:before="125" w:after="0"/>
        <w:ind w:left="410" w:right="99" w:hanging="270"/>
        <w:jc w:val="left"/>
        <w:rPr>
          <w:rFonts w:ascii="Arial" w:hAnsi="Arial"/>
          <w:color w:val="137692"/>
          <w:sz w:val="28"/>
        </w:rPr>
      </w:pPr>
      <w:r>
        <w:rPr>
          <w:rFonts w:ascii="Calibri" w:hAnsi="Calibri"/>
          <w:b/>
          <w:color w:val="4D4D4F"/>
          <w:w w:val="115"/>
          <w:sz w:val="22"/>
        </w:rPr>
        <w:t>Have not responded well to prior</w:t>
      </w:r>
      <w:r>
        <w:rPr>
          <w:rFonts w:ascii="Calibri" w:hAnsi="Calibri"/>
          <w:b/>
          <w:color w:val="4D4D4F"/>
          <w:spacing w:val="-21"/>
          <w:w w:val="115"/>
          <w:sz w:val="22"/>
        </w:rPr>
        <w:t> </w:t>
      </w:r>
      <w:r>
        <w:rPr>
          <w:rFonts w:ascii="Calibri" w:hAnsi="Calibri"/>
          <w:b/>
          <w:color w:val="4D4D4F"/>
          <w:w w:val="115"/>
          <w:sz w:val="22"/>
        </w:rPr>
        <w:t>adequate treatment</w:t>
      </w:r>
      <w:r>
        <w:rPr>
          <w:rFonts w:ascii="Calibri" w:hAnsi="Calibri"/>
          <w:b/>
          <w:color w:val="4D4D4F"/>
          <w:spacing w:val="-7"/>
          <w:w w:val="115"/>
          <w:sz w:val="22"/>
        </w:rPr>
        <w:t> </w:t>
      </w:r>
      <w:r>
        <w:rPr>
          <w:color w:val="4D4D4F"/>
          <w:w w:val="115"/>
          <w:sz w:val="22"/>
        </w:rPr>
        <w:t>with</w:t>
      </w:r>
      <w:r>
        <w:rPr>
          <w:color w:val="4D4D4F"/>
          <w:spacing w:val="-19"/>
          <w:w w:val="115"/>
          <w:sz w:val="22"/>
        </w:rPr>
        <w:t> </w:t>
      </w:r>
      <w:r>
        <w:rPr>
          <w:color w:val="4D4D4F"/>
          <w:w w:val="115"/>
          <w:sz w:val="22"/>
        </w:rPr>
        <w:t>opioid</w:t>
      </w:r>
      <w:r>
        <w:rPr>
          <w:color w:val="4D4D4F"/>
          <w:spacing w:val="-19"/>
          <w:w w:val="115"/>
          <w:sz w:val="22"/>
        </w:rPr>
        <w:t> </w:t>
      </w:r>
      <w:r>
        <w:rPr>
          <w:color w:val="4D4D4F"/>
          <w:w w:val="115"/>
          <w:sz w:val="22"/>
        </w:rPr>
        <w:t>agonist</w:t>
      </w:r>
      <w:r>
        <w:rPr>
          <w:color w:val="4D4D4F"/>
          <w:spacing w:val="-19"/>
          <w:w w:val="115"/>
          <w:sz w:val="22"/>
        </w:rPr>
        <w:t> </w:t>
      </w:r>
      <w:r>
        <w:rPr>
          <w:color w:val="4D4D4F"/>
          <w:w w:val="115"/>
          <w:sz w:val="22"/>
        </w:rPr>
        <w:t>therapy.</w:t>
      </w:r>
      <w:r>
        <w:rPr>
          <w:color w:val="4D4D4F"/>
          <w:w w:val="115"/>
          <w:position w:val="7"/>
          <w:sz w:val="13"/>
        </w:rPr>
        <w:t>194</w:t>
      </w:r>
    </w:p>
    <w:p>
      <w:pPr>
        <w:pStyle w:val="ListParagraph"/>
        <w:numPr>
          <w:ilvl w:val="0"/>
          <w:numId w:val="4"/>
        </w:numPr>
        <w:tabs>
          <w:tab w:pos="410" w:val="left" w:leader="none"/>
        </w:tabs>
        <w:spacing w:line="264" w:lineRule="exact" w:before="47" w:after="0"/>
        <w:ind w:left="410" w:right="266" w:hanging="270"/>
        <w:jc w:val="left"/>
        <w:rPr>
          <w:rFonts w:ascii="Arial" w:hAnsi="Arial"/>
          <w:color w:val="137692"/>
          <w:sz w:val="28"/>
        </w:rPr>
      </w:pPr>
      <w:r>
        <w:rPr>
          <w:rFonts w:ascii="Calibri" w:hAnsi="Calibri"/>
          <w:b/>
          <w:color w:val="4D4D4F"/>
          <w:w w:val="110"/>
          <w:sz w:val="22"/>
        </w:rPr>
        <w:t>Are part of an overall program with external monitoring </w:t>
      </w:r>
      <w:r>
        <w:rPr>
          <w:color w:val="4D4D4F"/>
          <w:w w:val="110"/>
          <w:sz w:val="22"/>
        </w:rPr>
        <w:t>and signiﬁcant, </w:t>
      </w:r>
      <w:r>
        <w:rPr>
          <w:color w:val="4D4D4F"/>
          <w:spacing w:val="-3"/>
          <w:w w:val="110"/>
          <w:sz w:val="22"/>
        </w:rPr>
        <w:t>immediate external consequences </w:t>
      </w:r>
      <w:r>
        <w:rPr>
          <w:color w:val="4D4D4F"/>
          <w:w w:val="110"/>
          <w:sz w:val="22"/>
        </w:rPr>
        <w:t>for </w:t>
      </w:r>
      <w:r>
        <w:rPr>
          <w:color w:val="4D4D4F"/>
          <w:spacing w:val="-3"/>
          <w:w w:val="110"/>
          <w:sz w:val="22"/>
        </w:rPr>
        <w:t>lack of </w:t>
      </w:r>
      <w:r>
        <w:rPr>
          <w:color w:val="4D4D4F"/>
          <w:spacing w:val="-4"/>
          <w:w w:val="110"/>
          <w:sz w:val="22"/>
        </w:rPr>
        <w:t>adherence. </w:t>
      </w:r>
      <w:r>
        <w:rPr>
          <w:color w:val="4D4D4F"/>
          <w:spacing w:val="-3"/>
          <w:w w:val="110"/>
          <w:sz w:val="22"/>
        </w:rPr>
        <w:t>These patients (e.g., </w:t>
      </w:r>
      <w:r>
        <w:rPr>
          <w:color w:val="4D4D4F"/>
          <w:spacing w:val="-4"/>
          <w:w w:val="110"/>
          <w:sz w:val="22"/>
        </w:rPr>
        <w:t>healthcare </w:t>
      </w:r>
      <w:r>
        <w:rPr>
          <w:color w:val="4D4D4F"/>
          <w:w w:val="110"/>
          <w:sz w:val="22"/>
        </w:rPr>
        <w:t>professionals, pilots, probationers, </w:t>
      </w:r>
      <w:r>
        <w:rPr>
          <w:color w:val="4D4D4F"/>
          <w:spacing w:val="-3"/>
          <w:w w:val="110"/>
          <w:sz w:val="22"/>
        </w:rPr>
        <w:t>parolees) </w:t>
      </w:r>
      <w:r>
        <w:rPr>
          <w:color w:val="4D4D4F"/>
          <w:w w:val="110"/>
          <w:sz w:val="22"/>
        </w:rPr>
        <w:t>may show higher rates of retention</w:t>
      </w:r>
      <w:r>
        <w:rPr>
          <w:color w:val="4D4D4F"/>
          <w:spacing w:val="-40"/>
          <w:w w:val="110"/>
          <w:sz w:val="22"/>
        </w:rPr>
        <w:t> </w:t>
      </w:r>
      <w:r>
        <w:rPr>
          <w:color w:val="4D4D4F"/>
          <w:w w:val="110"/>
          <w:sz w:val="22"/>
        </w:rPr>
        <w:t>with</w:t>
      </w:r>
    </w:p>
    <w:p>
      <w:pPr>
        <w:pStyle w:val="BodyText"/>
        <w:spacing w:line="247" w:lineRule="auto" w:before="7"/>
        <w:ind w:left="410" w:right="946"/>
        <w:rPr>
          <w:sz w:val="13"/>
        </w:rPr>
      </w:pPr>
      <w:r>
        <w:rPr>
          <w:color w:val="4D4D4F"/>
          <w:w w:val="110"/>
        </w:rPr>
        <w:t>XR-NTX</w:t>
      </w:r>
      <w:r>
        <w:rPr>
          <w:color w:val="4D4D4F"/>
          <w:spacing w:val="-26"/>
          <w:w w:val="110"/>
        </w:rPr>
        <w:t> </w:t>
      </w:r>
      <w:r>
        <w:rPr>
          <w:color w:val="4D4D4F"/>
          <w:w w:val="110"/>
        </w:rPr>
        <w:t>because</w:t>
      </w:r>
      <w:r>
        <w:rPr>
          <w:color w:val="4D4D4F"/>
          <w:spacing w:val="-25"/>
          <w:w w:val="110"/>
        </w:rPr>
        <w:t> </w:t>
      </w:r>
      <w:r>
        <w:rPr>
          <w:color w:val="4D4D4F"/>
          <w:w w:val="110"/>
        </w:rPr>
        <w:t>of</w:t>
      </w:r>
      <w:r>
        <w:rPr>
          <w:color w:val="4D4D4F"/>
          <w:spacing w:val="-25"/>
          <w:w w:val="110"/>
        </w:rPr>
        <w:t> </w:t>
      </w:r>
      <w:r>
        <w:rPr>
          <w:color w:val="4D4D4F"/>
          <w:w w:val="110"/>
        </w:rPr>
        <w:t>required</w:t>
      </w:r>
      <w:r>
        <w:rPr>
          <w:color w:val="4D4D4F"/>
          <w:spacing w:val="-25"/>
          <w:w w:val="110"/>
        </w:rPr>
        <w:t> </w:t>
      </w:r>
      <w:r>
        <w:rPr>
          <w:color w:val="4D4D4F"/>
          <w:spacing w:val="-3"/>
          <w:w w:val="110"/>
        </w:rPr>
        <w:t>external </w:t>
      </w:r>
      <w:r>
        <w:rPr>
          <w:color w:val="4D4D4F"/>
          <w:w w:val="110"/>
        </w:rPr>
        <w:t>monitoring.</w:t>
      </w:r>
      <w:r>
        <w:rPr>
          <w:color w:val="4D4D4F"/>
          <w:w w:val="110"/>
          <w:position w:val="7"/>
          <w:sz w:val="13"/>
        </w:rPr>
        <w:t>195</w:t>
      </w:r>
    </w:p>
    <w:p>
      <w:pPr>
        <w:pStyle w:val="ListParagraph"/>
        <w:numPr>
          <w:ilvl w:val="0"/>
          <w:numId w:val="4"/>
        </w:numPr>
        <w:tabs>
          <w:tab w:pos="410" w:val="left" w:leader="none"/>
        </w:tabs>
        <w:spacing w:line="218" w:lineRule="auto" w:before="47" w:after="0"/>
        <w:ind w:left="410" w:right="502" w:hanging="270"/>
        <w:jc w:val="left"/>
        <w:rPr>
          <w:rFonts w:ascii="Arial" w:hAnsi="Arial"/>
          <w:b/>
          <w:color w:val="137692"/>
          <w:sz w:val="28"/>
        </w:rPr>
      </w:pPr>
      <w:r>
        <w:rPr>
          <w:rFonts w:ascii="Calibri" w:hAnsi="Calibri"/>
          <w:b/>
          <w:color w:val="4D4D4F"/>
          <w:w w:val="110"/>
          <w:sz w:val="22"/>
        </w:rPr>
        <w:t>Have home locations or work schedules making daily or almost-daily OTP visits impossible or risky (e.g., job</w:t>
      </w:r>
      <w:r>
        <w:rPr>
          <w:rFonts w:ascii="Calibri" w:hAnsi="Calibri"/>
          <w:b/>
          <w:color w:val="4D4D4F"/>
          <w:spacing w:val="28"/>
          <w:w w:val="110"/>
          <w:sz w:val="22"/>
        </w:rPr>
        <w:t> </w:t>
      </w:r>
      <w:r>
        <w:rPr>
          <w:rFonts w:ascii="Calibri" w:hAnsi="Calibri"/>
          <w:b/>
          <w:color w:val="4D4D4F"/>
          <w:w w:val="110"/>
          <w:sz w:val="22"/>
        </w:rPr>
        <w:t>loss).</w:t>
      </w:r>
    </w:p>
    <w:p>
      <w:pPr>
        <w:pStyle w:val="Heading5"/>
        <w:spacing w:before="223"/>
        <w:rPr>
          <w:i/>
        </w:rPr>
      </w:pPr>
      <w:r>
        <w:rPr>
          <w:i/>
          <w:color w:val="137692"/>
          <w:w w:val="105"/>
        </w:rPr>
        <w:t>Informed consent</w:t>
      </w:r>
    </w:p>
    <w:p>
      <w:pPr>
        <w:pStyle w:val="BodyText"/>
        <w:spacing w:line="247" w:lineRule="auto" w:before="47"/>
        <w:ind w:left="140" w:right="38"/>
      </w:pPr>
      <w:r>
        <w:rPr>
          <w:color w:val="4D4D4F"/>
          <w:w w:val="110"/>
        </w:rPr>
        <w:t>Inform all patients of the following basic information:</w:t>
      </w:r>
    </w:p>
    <w:p>
      <w:pPr>
        <w:pStyle w:val="ListParagraph"/>
        <w:numPr>
          <w:ilvl w:val="0"/>
          <w:numId w:val="4"/>
        </w:numPr>
        <w:tabs>
          <w:tab w:pos="410" w:val="left" w:leader="none"/>
        </w:tabs>
        <w:spacing w:line="208" w:lineRule="auto" w:before="129" w:after="0"/>
        <w:ind w:left="410" w:right="421" w:hanging="270"/>
        <w:jc w:val="left"/>
        <w:rPr>
          <w:rFonts w:ascii="Arial" w:hAnsi="Arial"/>
          <w:color w:val="137692"/>
          <w:sz w:val="28"/>
        </w:rPr>
      </w:pPr>
      <w:r>
        <w:rPr>
          <w:color w:val="4D4D4F"/>
          <w:w w:val="110"/>
          <w:sz w:val="22"/>
        </w:rPr>
        <w:t>Their OUD diagnosis and the nature of</w:t>
      </w:r>
      <w:r>
        <w:rPr>
          <w:color w:val="4D4D4F"/>
          <w:spacing w:val="-39"/>
          <w:w w:val="110"/>
          <w:sz w:val="22"/>
        </w:rPr>
        <w:t> </w:t>
      </w:r>
      <w:r>
        <w:rPr>
          <w:color w:val="4D4D4F"/>
          <w:spacing w:val="-6"/>
          <w:w w:val="110"/>
          <w:sz w:val="22"/>
        </w:rPr>
        <w:t>the </w:t>
      </w:r>
      <w:r>
        <w:rPr>
          <w:color w:val="4D4D4F"/>
          <w:w w:val="110"/>
          <w:sz w:val="22"/>
        </w:rPr>
        <w:t>disorder</w:t>
      </w:r>
    </w:p>
    <w:p>
      <w:pPr>
        <w:pStyle w:val="ListParagraph"/>
        <w:numPr>
          <w:ilvl w:val="0"/>
          <w:numId w:val="4"/>
        </w:numPr>
        <w:tabs>
          <w:tab w:pos="410" w:val="left" w:leader="none"/>
        </w:tabs>
        <w:spacing w:line="208" w:lineRule="auto" w:before="69" w:after="0"/>
        <w:ind w:left="410" w:right="169" w:hanging="270"/>
        <w:jc w:val="left"/>
        <w:rPr>
          <w:rFonts w:ascii="Arial" w:hAnsi="Arial"/>
          <w:color w:val="137692"/>
          <w:sz w:val="28"/>
        </w:rPr>
      </w:pPr>
      <w:r>
        <w:rPr>
          <w:color w:val="4D4D4F"/>
          <w:w w:val="105"/>
          <w:sz w:val="22"/>
        </w:rPr>
        <w:t>Risks and beneﬁts of XR-NTX and other </w:t>
      </w:r>
      <w:r>
        <w:rPr>
          <w:color w:val="4D4D4F"/>
          <w:spacing w:val="-6"/>
          <w:w w:val="105"/>
          <w:sz w:val="22"/>
        </w:rPr>
        <w:t>OUD </w:t>
      </w:r>
      <w:r>
        <w:rPr>
          <w:color w:val="4D4D4F"/>
          <w:w w:val="105"/>
          <w:sz w:val="22"/>
        </w:rPr>
        <w:t>medications</w:t>
      </w:r>
    </w:p>
    <w:p>
      <w:pPr>
        <w:pStyle w:val="ListParagraph"/>
        <w:numPr>
          <w:ilvl w:val="0"/>
          <w:numId w:val="4"/>
        </w:numPr>
        <w:tabs>
          <w:tab w:pos="410" w:val="left" w:leader="none"/>
        </w:tabs>
        <w:spacing w:line="208" w:lineRule="auto" w:before="69" w:after="0"/>
        <w:ind w:left="410" w:right="1061" w:hanging="270"/>
        <w:jc w:val="left"/>
        <w:rPr>
          <w:rFonts w:ascii="Arial" w:hAnsi="Arial"/>
          <w:color w:val="137692"/>
          <w:sz w:val="28"/>
        </w:rPr>
      </w:pPr>
      <w:r>
        <w:rPr>
          <w:color w:val="4D4D4F"/>
          <w:w w:val="110"/>
          <w:sz w:val="22"/>
        </w:rPr>
        <w:t>Risks and beneﬁts of </w:t>
      </w:r>
      <w:r>
        <w:rPr>
          <w:color w:val="4D4D4F"/>
          <w:spacing w:val="-2"/>
          <w:w w:val="110"/>
          <w:sz w:val="22"/>
        </w:rPr>
        <w:t>nonmedication </w:t>
      </w:r>
      <w:r>
        <w:rPr>
          <w:color w:val="4D4D4F"/>
          <w:w w:val="110"/>
          <w:sz w:val="22"/>
        </w:rPr>
        <w:t>treatments</w:t>
      </w:r>
    </w:p>
    <w:p>
      <w:pPr>
        <w:spacing w:line="242" w:lineRule="auto" w:before="190"/>
        <w:ind w:left="140" w:right="62" w:firstLine="0"/>
        <w:jc w:val="left"/>
        <w:rPr>
          <w:sz w:val="22"/>
        </w:rPr>
      </w:pPr>
      <w:r>
        <w:rPr>
          <w:rFonts w:ascii="Calibri"/>
          <w:b/>
          <w:color w:val="4D4D4F"/>
          <w:w w:val="115"/>
          <w:sz w:val="22"/>
        </w:rPr>
        <w:t>Consider asking patients to sign a treatment agreement form before starting treatment. </w:t>
      </w:r>
      <w:r>
        <w:rPr>
          <w:color w:val="4D4D4F"/>
          <w:w w:val="115"/>
          <w:sz w:val="22"/>
        </w:rPr>
        <w:t>(See Appendix 3C for a sample treatment agreement.)</w:t>
      </w:r>
      <w:r>
        <w:rPr>
          <w:color w:val="4D4D4F"/>
          <w:spacing w:val="-49"/>
          <w:w w:val="115"/>
          <w:sz w:val="22"/>
        </w:rPr>
        <w:t> </w:t>
      </w:r>
      <w:r>
        <w:rPr>
          <w:color w:val="4D4D4F"/>
          <w:w w:val="115"/>
          <w:sz w:val="22"/>
        </w:rPr>
        <w:t>Document</w:t>
      </w:r>
      <w:r>
        <w:rPr>
          <w:color w:val="4D4D4F"/>
          <w:spacing w:val="-48"/>
          <w:w w:val="115"/>
          <w:sz w:val="22"/>
        </w:rPr>
        <w:t> </w:t>
      </w:r>
      <w:r>
        <w:rPr>
          <w:color w:val="4D4D4F"/>
          <w:w w:val="115"/>
          <w:sz w:val="22"/>
        </w:rPr>
        <w:t>informed</w:t>
      </w:r>
      <w:r>
        <w:rPr>
          <w:color w:val="4D4D4F"/>
          <w:spacing w:val="-48"/>
          <w:w w:val="115"/>
          <w:sz w:val="22"/>
        </w:rPr>
        <w:t> </w:t>
      </w:r>
      <w:r>
        <w:rPr>
          <w:color w:val="4D4D4F"/>
          <w:w w:val="115"/>
          <w:sz w:val="22"/>
        </w:rPr>
        <w:t>consent</w:t>
      </w:r>
      <w:r>
        <w:rPr>
          <w:color w:val="4D4D4F"/>
          <w:spacing w:val="-48"/>
          <w:w w:val="115"/>
          <w:sz w:val="22"/>
        </w:rPr>
        <w:t> </w:t>
      </w:r>
      <w:r>
        <w:rPr>
          <w:color w:val="4D4D4F"/>
          <w:spacing w:val="-3"/>
          <w:w w:val="115"/>
          <w:sz w:val="22"/>
        </w:rPr>
        <w:t>discus- </w:t>
      </w:r>
      <w:r>
        <w:rPr>
          <w:color w:val="4D4D4F"/>
          <w:w w:val="115"/>
          <w:sz w:val="22"/>
        </w:rPr>
        <w:t>sions in the medical</w:t>
      </w:r>
      <w:r>
        <w:rPr>
          <w:color w:val="4D4D4F"/>
          <w:spacing w:val="-47"/>
          <w:w w:val="115"/>
          <w:sz w:val="22"/>
        </w:rPr>
        <w:t> </w:t>
      </w:r>
      <w:r>
        <w:rPr>
          <w:color w:val="4D4D4F"/>
          <w:w w:val="115"/>
          <w:sz w:val="22"/>
        </w:rPr>
        <w:t>record.</w:t>
      </w:r>
    </w:p>
    <w:p>
      <w:pPr>
        <w:spacing w:line="237" w:lineRule="auto" w:before="187"/>
        <w:ind w:left="140" w:right="38" w:firstLine="0"/>
        <w:jc w:val="left"/>
        <w:rPr>
          <w:sz w:val="22"/>
        </w:rPr>
      </w:pPr>
      <w:r>
        <w:rPr>
          <w:rFonts w:ascii="Calibri"/>
          <w:b/>
          <w:color w:val="4D4D4F"/>
          <w:w w:val="110"/>
          <w:sz w:val="22"/>
        </w:rPr>
        <w:t>Educate patients and their families about what to expect from naltrexone treatment </w:t>
      </w:r>
      <w:r>
        <w:rPr>
          <w:color w:val="4D4D4F"/>
          <w:w w:val="110"/>
          <w:sz w:val="22"/>
        </w:rPr>
        <w:t>(Exhibit 3C.3). A naltrexone medication guide should</w:t>
      </w:r>
    </w:p>
    <w:p>
      <w:pPr>
        <w:pStyle w:val="BodyText"/>
        <w:spacing w:line="247" w:lineRule="auto" w:before="10"/>
        <w:ind w:left="140" w:right="140"/>
      </w:pPr>
      <w:r>
        <w:rPr>
          <w:color w:val="4D4D4F"/>
          <w:w w:val="110"/>
        </w:rPr>
        <w:t>be dispensed to patients with each injection. Caution them about increased risk of overdose if they stop treatment and return to illicit opioid</w:t>
      </w:r>
    </w:p>
    <w:p>
      <w:pPr>
        <w:pStyle w:val="BodyText"/>
        <w:spacing w:line="247" w:lineRule="auto" w:before="4"/>
        <w:ind w:left="140" w:right="38"/>
      </w:pPr>
      <w:r>
        <w:rPr>
          <w:color w:val="4D4D4F"/>
          <w:w w:val="110"/>
        </w:rPr>
        <w:t>use</w:t>
      </w:r>
      <w:r>
        <w:rPr>
          <w:color w:val="4D4D4F"/>
          <w:spacing w:val="-10"/>
          <w:w w:val="110"/>
        </w:rPr>
        <w:t> </w:t>
      </w:r>
      <w:r>
        <w:rPr>
          <w:color w:val="4D4D4F"/>
          <w:w w:val="110"/>
        </w:rPr>
        <w:t>or</w:t>
      </w:r>
      <w:r>
        <w:rPr>
          <w:color w:val="4D4D4F"/>
          <w:spacing w:val="-9"/>
          <w:w w:val="110"/>
        </w:rPr>
        <w:t> </w:t>
      </w:r>
      <w:r>
        <w:rPr>
          <w:color w:val="4D4D4F"/>
          <w:w w:val="110"/>
        </w:rPr>
        <w:t>attempt</w:t>
      </w:r>
      <w:r>
        <w:rPr>
          <w:color w:val="4D4D4F"/>
          <w:spacing w:val="-9"/>
          <w:w w:val="110"/>
        </w:rPr>
        <w:t> </w:t>
      </w:r>
      <w:r>
        <w:rPr>
          <w:color w:val="4D4D4F"/>
          <w:w w:val="110"/>
        </w:rPr>
        <w:t>to</w:t>
      </w:r>
      <w:r>
        <w:rPr>
          <w:color w:val="4D4D4F"/>
          <w:spacing w:val="-9"/>
          <w:w w:val="110"/>
        </w:rPr>
        <w:t> </w:t>
      </w:r>
      <w:r>
        <w:rPr>
          <w:color w:val="4D4D4F"/>
          <w:w w:val="110"/>
        </w:rPr>
        <w:t>override</w:t>
      </w:r>
      <w:r>
        <w:rPr>
          <w:color w:val="4D4D4F"/>
          <w:spacing w:val="-9"/>
          <w:w w:val="110"/>
        </w:rPr>
        <w:t> </w:t>
      </w:r>
      <w:r>
        <w:rPr>
          <w:color w:val="4D4D4F"/>
          <w:w w:val="110"/>
        </w:rPr>
        <w:t>the</w:t>
      </w:r>
      <w:r>
        <w:rPr>
          <w:color w:val="4D4D4F"/>
          <w:spacing w:val="-9"/>
          <w:w w:val="110"/>
        </w:rPr>
        <w:t> </w:t>
      </w:r>
      <w:r>
        <w:rPr>
          <w:color w:val="4D4D4F"/>
          <w:w w:val="110"/>
        </w:rPr>
        <w:t>receptor</w:t>
      </w:r>
      <w:r>
        <w:rPr>
          <w:color w:val="4D4D4F"/>
          <w:spacing w:val="-9"/>
          <w:w w:val="110"/>
        </w:rPr>
        <w:t> </w:t>
      </w:r>
      <w:r>
        <w:rPr>
          <w:color w:val="4D4D4F"/>
          <w:w w:val="110"/>
        </w:rPr>
        <w:t>blockade of XR-NTX. Document education in the medical record. Chapter 3C Appendix has a patient education counseling tool for</w:t>
      </w:r>
      <w:r>
        <w:rPr>
          <w:color w:val="4D4D4F"/>
          <w:spacing w:val="-38"/>
          <w:w w:val="110"/>
        </w:rPr>
        <w:t> </w:t>
      </w:r>
      <w:r>
        <w:rPr>
          <w:color w:val="4D4D4F"/>
          <w:w w:val="110"/>
        </w:rPr>
        <w:t>XR-NTX.</w:t>
      </w:r>
    </w:p>
    <w:p>
      <w:pPr>
        <w:pStyle w:val="BodyText"/>
        <w:rPr>
          <w:sz w:val="26"/>
        </w:rPr>
      </w:pPr>
    </w:p>
    <w:p>
      <w:pPr>
        <w:spacing w:line="304" w:lineRule="auto" w:before="154"/>
        <w:ind w:left="437" w:right="-15" w:firstLine="0"/>
        <w:jc w:val="left"/>
        <w:rPr>
          <w:rFonts w:ascii="Arial" w:hAnsi="Arial"/>
          <w:b/>
          <w:sz w:val="22"/>
        </w:rPr>
      </w:pPr>
      <w:r>
        <w:rPr/>
        <w:pict>
          <v:line style="position:absolute;mso-position-horizontal-relative:page;mso-position-vertical-relative:paragraph;z-index:15754752" from="54.5pt,82.017073pt" to="54.5pt,7.369073pt" stroked="true" strokeweight="1pt" strokecolor="#759eb4">
            <v:stroke dashstyle="solid"/>
            <w10:wrap type="none"/>
          </v:line>
        </w:pict>
      </w:r>
      <w:r>
        <w:rPr>
          <w:rFonts w:ascii="Arial" w:hAnsi="Arial"/>
          <w:b/>
          <w:color w:val="B15651"/>
          <w:w w:val="110"/>
          <w:sz w:val="22"/>
        </w:rPr>
        <w:t>Use language and written materials appropriate to each patient’s comprehension level to ensure that he or she understands the options and can make informed decisions.</w:t>
      </w:r>
    </w:p>
    <w:p>
      <w:pPr>
        <w:pStyle w:val="Heading5"/>
        <w:spacing w:before="107"/>
        <w:rPr>
          <w:i/>
        </w:rPr>
      </w:pPr>
      <w:r>
        <w:rPr>
          <w:b w:val="0"/>
          <w:i w:val="0"/>
        </w:rPr>
        <w:br w:type="column"/>
      </w:r>
      <w:r>
        <w:rPr>
          <w:i/>
          <w:color w:val="137692"/>
        </w:rPr>
        <w:t>Initiating XR-NTX treatment</w:t>
      </w:r>
    </w:p>
    <w:p>
      <w:pPr>
        <w:pStyle w:val="Heading6"/>
        <w:spacing w:before="81"/>
      </w:pPr>
      <w:r>
        <w:rPr>
          <w:color w:val="137692"/>
        </w:rPr>
        <w:t>Storage and preparation</w:t>
      </w:r>
    </w:p>
    <w:p>
      <w:pPr>
        <w:pStyle w:val="BodyText"/>
        <w:spacing w:line="247" w:lineRule="auto" w:before="68"/>
        <w:ind w:left="140" w:right="204"/>
      </w:pPr>
      <w:r>
        <w:rPr>
          <w:color w:val="4D4D4F"/>
          <w:w w:val="110"/>
        </w:rPr>
        <w:t>A</w:t>
      </w:r>
      <w:r>
        <w:rPr>
          <w:color w:val="4D4D4F"/>
          <w:spacing w:val="-12"/>
          <w:w w:val="110"/>
        </w:rPr>
        <w:t> </w:t>
      </w:r>
      <w:r>
        <w:rPr>
          <w:color w:val="4D4D4F"/>
          <w:w w:val="110"/>
        </w:rPr>
        <w:t>pharmacy</w:t>
      </w:r>
      <w:r>
        <w:rPr>
          <w:color w:val="4D4D4F"/>
          <w:spacing w:val="-11"/>
          <w:w w:val="110"/>
        </w:rPr>
        <w:t> </w:t>
      </w:r>
      <w:r>
        <w:rPr>
          <w:color w:val="4D4D4F"/>
          <w:w w:val="110"/>
        </w:rPr>
        <w:t>will</w:t>
      </w:r>
      <w:r>
        <w:rPr>
          <w:color w:val="4D4D4F"/>
          <w:spacing w:val="-12"/>
          <w:w w:val="110"/>
        </w:rPr>
        <w:t> </w:t>
      </w:r>
      <w:r>
        <w:rPr>
          <w:color w:val="4D4D4F"/>
          <w:w w:val="110"/>
        </w:rPr>
        <w:t>send</w:t>
      </w:r>
      <w:r>
        <w:rPr>
          <w:color w:val="4D4D4F"/>
          <w:spacing w:val="-11"/>
          <w:w w:val="110"/>
        </w:rPr>
        <w:t> </w:t>
      </w:r>
      <w:r>
        <w:rPr>
          <w:color w:val="4D4D4F"/>
          <w:w w:val="110"/>
        </w:rPr>
        <w:t>XR-NTX</w:t>
      </w:r>
      <w:r>
        <w:rPr>
          <w:color w:val="4D4D4F"/>
          <w:spacing w:val="-12"/>
          <w:w w:val="110"/>
        </w:rPr>
        <w:t> </w:t>
      </w:r>
      <w:r>
        <w:rPr>
          <w:color w:val="4D4D4F"/>
          <w:w w:val="110"/>
        </w:rPr>
        <w:t>and</w:t>
      </w:r>
      <w:r>
        <w:rPr>
          <w:color w:val="4D4D4F"/>
          <w:spacing w:val="-11"/>
          <w:w w:val="110"/>
        </w:rPr>
        <w:t> </w:t>
      </w:r>
      <w:r>
        <w:rPr>
          <w:color w:val="4D4D4F"/>
          <w:w w:val="110"/>
        </w:rPr>
        <w:t>its</w:t>
      </w:r>
      <w:r>
        <w:rPr>
          <w:color w:val="4D4D4F"/>
          <w:spacing w:val="-12"/>
          <w:w w:val="110"/>
        </w:rPr>
        <w:t> </w:t>
      </w:r>
      <w:r>
        <w:rPr>
          <w:color w:val="4D4D4F"/>
          <w:w w:val="110"/>
        </w:rPr>
        <w:t>diluent</w:t>
      </w:r>
      <w:r>
        <w:rPr>
          <w:color w:val="4D4D4F"/>
          <w:spacing w:val="-11"/>
          <w:w w:val="110"/>
        </w:rPr>
        <w:t> </w:t>
      </w:r>
      <w:r>
        <w:rPr>
          <w:color w:val="4D4D4F"/>
          <w:w w:val="110"/>
        </w:rPr>
        <w:t>in</w:t>
      </w:r>
      <w:r>
        <w:rPr>
          <w:color w:val="4D4D4F"/>
          <w:spacing w:val="-12"/>
          <w:w w:val="110"/>
        </w:rPr>
        <w:t> </w:t>
      </w:r>
      <w:r>
        <w:rPr>
          <w:color w:val="4D4D4F"/>
          <w:spacing w:val="-18"/>
          <w:w w:val="110"/>
        </w:rPr>
        <w:t>a </w:t>
      </w:r>
      <w:r>
        <w:rPr>
          <w:color w:val="4D4D4F"/>
          <w:spacing w:val="-4"/>
          <w:w w:val="110"/>
        </w:rPr>
        <w:t>refrigerated </w:t>
      </w:r>
      <w:r>
        <w:rPr>
          <w:color w:val="4D4D4F"/>
          <w:spacing w:val="-3"/>
          <w:w w:val="110"/>
        </w:rPr>
        <w:t>package with </w:t>
      </w:r>
      <w:r>
        <w:rPr>
          <w:color w:val="4D4D4F"/>
          <w:w w:val="110"/>
        </w:rPr>
        <w:t>two </w:t>
      </w:r>
      <w:r>
        <w:rPr>
          <w:color w:val="4D4D4F"/>
          <w:spacing w:val="-3"/>
          <w:w w:val="110"/>
        </w:rPr>
        <w:t>sets </w:t>
      </w:r>
      <w:r>
        <w:rPr>
          <w:color w:val="4D4D4F"/>
          <w:w w:val="110"/>
        </w:rPr>
        <w:t>of </w:t>
      </w:r>
      <w:r>
        <w:rPr>
          <w:color w:val="4D4D4F"/>
          <w:spacing w:val="-3"/>
          <w:w w:val="110"/>
        </w:rPr>
        <w:t>administra- tion needles (1.5 </w:t>
      </w:r>
      <w:r>
        <w:rPr>
          <w:color w:val="4D4D4F"/>
          <w:w w:val="110"/>
        </w:rPr>
        <w:t>and 2 </w:t>
      </w:r>
      <w:r>
        <w:rPr>
          <w:color w:val="4D4D4F"/>
          <w:spacing w:val="-3"/>
          <w:w w:val="110"/>
        </w:rPr>
        <w:t>inches), </w:t>
      </w:r>
      <w:r>
        <w:rPr>
          <w:color w:val="4D4D4F"/>
          <w:w w:val="110"/>
        </w:rPr>
        <w:t>a </w:t>
      </w:r>
      <w:r>
        <w:rPr>
          <w:color w:val="4D4D4F"/>
          <w:spacing w:val="-3"/>
          <w:w w:val="110"/>
        </w:rPr>
        <w:t>1-inch </w:t>
      </w:r>
      <w:r>
        <w:rPr>
          <w:color w:val="4D4D4F"/>
          <w:spacing w:val="-4"/>
          <w:w w:val="110"/>
        </w:rPr>
        <w:t>prepara- </w:t>
      </w:r>
      <w:r>
        <w:rPr>
          <w:color w:val="4D4D4F"/>
          <w:spacing w:val="-3"/>
          <w:w w:val="110"/>
        </w:rPr>
        <w:t>tion </w:t>
      </w:r>
      <w:r>
        <w:rPr>
          <w:color w:val="4D4D4F"/>
          <w:w w:val="110"/>
        </w:rPr>
        <w:t>needle, and a needle protection</w:t>
      </w:r>
      <w:r>
        <w:rPr>
          <w:color w:val="4D4D4F"/>
          <w:spacing w:val="17"/>
          <w:w w:val="110"/>
        </w:rPr>
        <w:t> </w:t>
      </w:r>
      <w:r>
        <w:rPr>
          <w:color w:val="4D4D4F"/>
          <w:w w:val="110"/>
        </w:rPr>
        <w:t>device.</w:t>
      </w:r>
    </w:p>
    <w:p>
      <w:pPr>
        <w:pStyle w:val="BodyText"/>
        <w:spacing w:line="244" w:lineRule="auto" w:before="180"/>
        <w:ind w:left="140"/>
      </w:pPr>
      <w:r>
        <w:rPr>
          <w:rFonts w:ascii="Calibri"/>
          <w:b/>
          <w:color w:val="4D4D4F"/>
          <w:w w:val="110"/>
        </w:rPr>
        <w:t>The XR-NTX microspheres are temperature sensitive. </w:t>
      </w:r>
      <w:r>
        <w:rPr>
          <w:color w:val="4D4D4F"/>
          <w:w w:val="110"/>
        </w:rPr>
        <w:t>When the carton arrives from the pharmacy, store it in a refrigerator at 36 to 46 degrees Fahrenheit (2 to 8 degrees Celsius). The refrigerator should have a working thermometer; check the temperature regularly.</w:t>
      </w:r>
    </w:p>
    <w:p>
      <w:pPr>
        <w:spacing w:line="242" w:lineRule="auto" w:before="175"/>
        <w:ind w:left="140" w:right="72" w:firstLine="0"/>
        <w:jc w:val="left"/>
        <w:rPr>
          <w:sz w:val="22"/>
        </w:rPr>
      </w:pPr>
      <w:r>
        <w:rPr>
          <w:rFonts w:ascii="Calibri"/>
          <w:b/>
          <w:color w:val="4D4D4F"/>
          <w:w w:val="110"/>
          <w:sz w:val="22"/>
        </w:rPr>
        <w:t>Do not freeze the carton or expose it to tem- peratures above 77 degrees Fahrenheit </w:t>
      </w:r>
      <w:r>
        <w:rPr>
          <w:color w:val="4D4D4F"/>
          <w:w w:val="110"/>
          <w:sz w:val="22"/>
        </w:rPr>
        <w:t>(25 degrees Celsius). XR-NTX can be stored </w:t>
      </w:r>
      <w:r>
        <w:rPr>
          <w:color w:val="4D4D4F"/>
          <w:spacing w:val="-3"/>
          <w:w w:val="110"/>
          <w:sz w:val="22"/>
        </w:rPr>
        <w:t>unrefrig- </w:t>
      </w:r>
      <w:r>
        <w:rPr>
          <w:color w:val="4D4D4F"/>
          <w:w w:val="110"/>
          <w:sz w:val="22"/>
        </w:rPr>
        <w:t>erated for up to 7 days before administration.</w:t>
      </w:r>
    </w:p>
    <w:p>
      <w:pPr>
        <w:spacing w:line="244" w:lineRule="auto" w:before="178"/>
        <w:ind w:left="140" w:right="217" w:firstLine="0"/>
        <w:jc w:val="left"/>
        <w:rPr>
          <w:sz w:val="22"/>
        </w:rPr>
      </w:pPr>
      <w:r>
        <w:rPr>
          <w:rFonts w:ascii="Calibri"/>
          <w:b/>
          <w:color w:val="4D4D4F"/>
          <w:w w:val="110"/>
          <w:sz w:val="22"/>
        </w:rPr>
        <w:t>Before preparing XR-NTX for administration, keep it at room temperature for about 45 minutes. </w:t>
      </w:r>
      <w:r>
        <w:rPr>
          <w:color w:val="4D4D4F"/>
          <w:w w:val="110"/>
          <w:sz w:val="22"/>
        </w:rPr>
        <w:t>Examine the microspheres and diluent to ensure that no particulate matter or discolor- ation are present. Mix following FDA-approved package insert directions, using the 1-inch preparation needle. Resulting suspension should be milky white, without clumps, and able to move freely down the wall of the vial.</w:t>
      </w:r>
    </w:p>
    <w:p>
      <w:pPr>
        <w:spacing w:line="242" w:lineRule="auto" w:before="178"/>
        <w:ind w:left="140" w:right="341" w:firstLine="0"/>
        <w:jc w:val="left"/>
        <w:rPr>
          <w:sz w:val="22"/>
        </w:rPr>
      </w:pPr>
      <w:r>
        <w:rPr>
          <w:color w:val="4D4D4F"/>
          <w:spacing w:val="-9"/>
          <w:w w:val="110"/>
          <w:sz w:val="22"/>
        </w:rPr>
        <w:t>Two </w:t>
      </w:r>
      <w:r>
        <w:rPr>
          <w:color w:val="4D4D4F"/>
          <w:w w:val="110"/>
          <w:sz w:val="22"/>
        </w:rPr>
        <w:t>sets of needles of two different lengths </w:t>
      </w:r>
      <w:r>
        <w:rPr>
          <w:color w:val="4D4D4F"/>
          <w:spacing w:val="-8"/>
          <w:w w:val="110"/>
          <w:sz w:val="22"/>
        </w:rPr>
        <w:t>are </w:t>
      </w:r>
      <w:r>
        <w:rPr>
          <w:color w:val="4D4D4F"/>
          <w:w w:val="110"/>
          <w:sz w:val="22"/>
        </w:rPr>
        <w:t>shipped with the medication in case the ﬁrst needle clogs before injection. </w:t>
      </w:r>
      <w:r>
        <w:rPr>
          <w:rFonts w:ascii="Calibri" w:hAnsi="Calibri"/>
          <w:b/>
          <w:color w:val="4D4D4F"/>
          <w:w w:val="110"/>
          <w:sz w:val="22"/>
        </w:rPr>
        <w:t>Use the 1.5-inch needle for lean patients and the  </w:t>
      </w:r>
      <w:r>
        <w:rPr>
          <w:rFonts w:ascii="Calibri" w:hAnsi="Calibri"/>
          <w:b/>
          <w:color w:val="4D4D4F"/>
          <w:spacing w:val="2"/>
          <w:w w:val="110"/>
          <w:sz w:val="22"/>
        </w:rPr>
        <w:t>2-inch </w:t>
      </w:r>
      <w:r>
        <w:rPr>
          <w:rFonts w:ascii="Calibri" w:hAnsi="Calibri"/>
          <w:b/>
          <w:color w:val="4D4D4F"/>
          <w:w w:val="110"/>
          <w:sz w:val="22"/>
        </w:rPr>
        <w:t>needle for patients with more subcutaneous tissue </w:t>
      </w:r>
      <w:r>
        <w:rPr>
          <w:color w:val="4D4D4F"/>
          <w:w w:val="110"/>
          <w:sz w:val="22"/>
        </w:rPr>
        <w:t>overlying the gluteal muscle. The longer needle helps ensure that the injection reaches the muscle. Inject patients with average body habitus with either</w:t>
      </w:r>
      <w:r>
        <w:rPr>
          <w:color w:val="4D4D4F"/>
          <w:spacing w:val="-15"/>
          <w:w w:val="110"/>
          <w:sz w:val="22"/>
        </w:rPr>
        <w:t> </w:t>
      </w:r>
      <w:r>
        <w:rPr>
          <w:color w:val="4D4D4F"/>
          <w:w w:val="110"/>
          <w:sz w:val="22"/>
        </w:rPr>
        <w:t>needle.</w:t>
      </w:r>
    </w:p>
    <w:p>
      <w:pPr>
        <w:pStyle w:val="Heading6"/>
        <w:spacing w:before="216"/>
      </w:pPr>
      <w:r>
        <w:rPr>
          <w:color w:val="137692"/>
          <w:w w:val="105"/>
        </w:rPr>
        <w:t>Administration</w:t>
      </w:r>
    </w:p>
    <w:p>
      <w:pPr>
        <w:spacing w:line="244" w:lineRule="auto" w:before="64"/>
        <w:ind w:left="140" w:right="379" w:firstLine="0"/>
        <w:jc w:val="left"/>
        <w:rPr>
          <w:sz w:val="22"/>
        </w:rPr>
      </w:pPr>
      <w:r>
        <w:rPr>
          <w:rFonts w:ascii="Calibri"/>
          <w:b/>
          <w:color w:val="4D4D4F"/>
          <w:w w:val="110"/>
          <w:sz w:val="22"/>
        </w:rPr>
        <w:t>Administer XR-NTX  every  4  weeks  or  once a month as a 380 mg IM gluteal injection. </w:t>
      </w:r>
      <w:r>
        <w:rPr>
          <w:color w:val="4D4D4F"/>
          <w:w w:val="110"/>
          <w:sz w:val="22"/>
        </w:rPr>
        <w:t>Alternate buttocks for each 4-week injection. Given the risk of severe injection site</w:t>
      </w:r>
      <w:r>
        <w:rPr>
          <w:color w:val="4D4D4F"/>
          <w:spacing w:val="-43"/>
          <w:w w:val="110"/>
          <w:sz w:val="22"/>
        </w:rPr>
        <w:t> </w:t>
      </w:r>
      <w:r>
        <w:rPr>
          <w:color w:val="4D4D4F"/>
          <w:spacing w:val="-3"/>
          <w:w w:val="110"/>
          <w:sz w:val="22"/>
        </w:rPr>
        <w:t>reactions, </w:t>
      </w:r>
      <w:r>
        <w:rPr>
          <w:color w:val="4D4D4F"/>
          <w:w w:val="110"/>
          <w:sz w:val="22"/>
        </w:rPr>
        <w:t>FDA requires a risk evaluation and mitigation strategy (</w:t>
      </w:r>
      <w:r>
        <w:rPr>
          <w:color w:val="205E9F"/>
          <w:w w:val="110"/>
          <w:sz w:val="22"/>
          <w:u w:val="single" w:color="205E9F"/>
        </w:rPr>
        <w:t>www.vivitrolrems.com</w:t>
      </w:r>
      <w:r>
        <w:rPr>
          <w:color w:val="4D4D4F"/>
          <w:w w:val="110"/>
          <w:sz w:val="22"/>
        </w:rPr>
        <w:t>) for XR-NTX including a patient counseling tool, a patient medication guide, and a visual aid to reinforce proper XR-NTX injection</w:t>
      </w:r>
      <w:r>
        <w:rPr>
          <w:color w:val="4D4D4F"/>
          <w:spacing w:val="-32"/>
          <w:w w:val="110"/>
          <w:sz w:val="22"/>
        </w:rPr>
        <w:t> </w:t>
      </w:r>
      <w:r>
        <w:rPr>
          <w:color w:val="4D4D4F"/>
          <w:w w:val="110"/>
          <w:sz w:val="22"/>
        </w:rPr>
        <w:t>technique.</w:t>
      </w:r>
    </w:p>
    <w:p>
      <w:pPr>
        <w:spacing w:after="0" w:line="244" w:lineRule="auto"/>
        <w:jc w:val="left"/>
        <w:rPr>
          <w:sz w:val="22"/>
        </w:rPr>
        <w:sectPr>
          <w:type w:val="continuous"/>
          <w:pgSz w:w="12240" w:h="15840"/>
          <w:pgMar w:top="540" w:bottom="280" w:left="940" w:right="920"/>
          <w:cols w:num="2" w:equalWidth="0">
            <w:col w:w="5041" w:space="179"/>
            <w:col w:w="5160"/>
          </w:cols>
        </w:sectPr>
      </w:pPr>
    </w:p>
    <w:p>
      <w:pPr>
        <w:pStyle w:val="BodyText"/>
        <w:rPr>
          <w:sz w:val="20"/>
        </w:rPr>
      </w:pPr>
    </w:p>
    <w:p>
      <w:pPr>
        <w:pStyle w:val="BodyText"/>
        <w:spacing w:before="2"/>
        <w:rPr>
          <w:sz w:val="27"/>
        </w:rPr>
      </w:pPr>
    </w:p>
    <w:p>
      <w:pPr>
        <w:pStyle w:val="Heading3"/>
        <w:spacing w:before="136"/>
        <w:ind w:left="421"/>
        <w:rPr>
          <w:rFonts w:ascii="Arial"/>
        </w:rPr>
      </w:pPr>
      <w:r>
        <w:rPr/>
        <w:pict>
          <v:group style="position:absolute;margin-left:54.095001pt;margin-top:-4.590381pt;width:503.95pt;height:442.85pt;mso-position-horizontal-relative:page;mso-position-vertical-relative:paragraph;z-index:-19560960" coordorigin="1082,-92" coordsize="10079,8857">
            <v:rect style="position:absolute;left:1086;top:-87;width:10069;height:8847" filled="true" fillcolor="#fff7f2" stroked="false">
              <v:fill type="solid"/>
            </v:rect>
            <v:rect style="position:absolute;left:1086;top:-87;width:10069;height:8847" filled="false" stroked="true" strokeweight=".5pt" strokecolor="#88aabd">
              <v:stroke dashstyle="solid"/>
            </v:rect>
            <v:line style="position:absolute" from="1362,550" to="10880,550" stroked="true" strokeweight="2pt" strokecolor="#598ea7">
              <v:stroke dashstyle="solid"/>
            </v:line>
            <w10:wrap type="none"/>
          </v:group>
        </w:pict>
      </w:r>
      <w:r>
        <w:rPr>
          <w:rFonts w:ascii="Arial"/>
          <w:color w:val="137692"/>
          <w:w w:val="110"/>
        </w:rPr>
        <w:t>EXHIBIT 3C.3. Key Points of Patient Education for Naltrexone</w:t>
      </w:r>
    </w:p>
    <w:p>
      <w:pPr>
        <w:pStyle w:val="BodyText"/>
        <w:spacing w:before="11"/>
        <w:rPr>
          <w:rFonts w:ascii="Arial"/>
          <w:b/>
        </w:rPr>
      </w:pPr>
    </w:p>
    <w:p>
      <w:pPr>
        <w:spacing w:after="0"/>
        <w:rPr>
          <w:rFonts w:ascii="Arial"/>
        </w:rPr>
        <w:sectPr>
          <w:pgSz w:w="12240" w:h="15840"/>
          <w:pgMar w:header="576" w:footer="677" w:top="1340" w:bottom="860" w:left="940" w:right="920"/>
        </w:sectPr>
      </w:pPr>
    </w:p>
    <w:p>
      <w:pPr>
        <w:pStyle w:val="ListParagraph"/>
        <w:numPr>
          <w:ilvl w:val="1"/>
          <w:numId w:val="4"/>
        </w:numPr>
        <w:tabs>
          <w:tab w:pos="620" w:val="left" w:leader="none"/>
        </w:tabs>
        <w:spacing w:line="235" w:lineRule="auto" w:before="118" w:after="0"/>
        <w:ind w:left="620" w:right="274" w:hanging="180"/>
        <w:jc w:val="both"/>
        <w:rPr>
          <w:rFonts w:ascii="Arial" w:hAnsi="Arial"/>
          <w:color w:val="137692"/>
          <w:sz w:val="28"/>
        </w:rPr>
      </w:pPr>
      <w:r>
        <w:rPr>
          <w:rFonts w:ascii="Calibri" w:hAnsi="Calibri"/>
          <w:color w:val="4D4D4F"/>
          <w:w w:val="120"/>
          <w:sz w:val="18"/>
        </w:rPr>
        <w:t>Do not use any opioids in the 7 to 10 days (for short acting) or 10 to 14 days (for long acting) before starting XR-NTX, to avoid</w:t>
      </w:r>
      <w:r>
        <w:rPr>
          <w:rFonts w:ascii="Calibri" w:hAnsi="Calibri"/>
          <w:color w:val="4D4D4F"/>
          <w:spacing w:val="16"/>
          <w:w w:val="120"/>
          <w:sz w:val="18"/>
        </w:rPr>
        <w:t> </w:t>
      </w:r>
      <w:r>
        <w:rPr>
          <w:rFonts w:ascii="Calibri" w:hAnsi="Calibri"/>
          <w:color w:val="4D4D4F"/>
          <w:w w:val="120"/>
          <w:sz w:val="18"/>
        </w:rPr>
        <w:t>potentially</w:t>
      </w:r>
    </w:p>
    <w:p>
      <w:pPr>
        <w:spacing w:line="261" w:lineRule="auto" w:before="21"/>
        <w:ind w:left="620" w:right="228" w:firstLine="0"/>
        <w:jc w:val="both"/>
        <w:rPr>
          <w:rFonts w:ascii="Calibri"/>
          <w:sz w:val="18"/>
        </w:rPr>
      </w:pPr>
      <w:r>
        <w:rPr>
          <w:rFonts w:ascii="Calibri"/>
          <w:color w:val="4D4D4F"/>
          <w:w w:val="125"/>
          <w:sz w:val="18"/>
        </w:rPr>
        <w:t>serious</w:t>
      </w:r>
      <w:r>
        <w:rPr>
          <w:rFonts w:ascii="Calibri"/>
          <w:color w:val="4D4D4F"/>
          <w:spacing w:val="-22"/>
          <w:w w:val="125"/>
          <w:sz w:val="18"/>
        </w:rPr>
        <w:t> </w:t>
      </w:r>
      <w:r>
        <w:rPr>
          <w:rFonts w:ascii="Calibri"/>
          <w:color w:val="4D4D4F"/>
          <w:w w:val="125"/>
          <w:sz w:val="18"/>
        </w:rPr>
        <w:t>opioid</w:t>
      </w:r>
      <w:r>
        <w:rPr>
          <w:rFonts w:ascii="Calibri"/>
          <w:color w:val="4D4D4F"/>
          <w:spacing w:val="-21"/>
          <w:w w:val="125"/>
          <w:sz w:val="18"/>
        </w:rPr>
        <w:t> </w:t>
      </w:r>
      <w:r>
        <w:rPr>
          <w:rFonts w:ascii="Calibri"/>
          <w:color w:val="4D4D4F"/>
          <w:w w:val="125"/>
          <w:sz w:val="18"/>
        </w:rPr>
        <w:t>withdrawal</w:t>
      </w:r>
      <w:r>
        <w:rPr>
          <w:rFonts w:ascii="Calibri"/>
          <w:color w:val="4D4D4F"/>
          <w:spacing w:val="-22"/>
          <w:w w:val="125"/>
          <w:sz w:val="18"/>
        </w:rPr>
        <w:t> </w:t>
      </w:r>
      <w:r>
        <w:rPr>
          <w:rFonts w:ascii="Calibri"/>
          <w:color w:val="4D4D4F"/>
          <w:w w:val="125"/>
          <w:sz w:val="18"/>
        </w:rPr>
        <w:t>symptoms.</w:t>
      </w:r>
      <w:r>
        <w:rPr>
          <w:rFonts w:ascii="Calibri"/>
          <w:color w:val="4D4D4F"/>
          <w:spacing w:val="-21"/>
          <w:w w:val="125"/>
          <w:sz w:val="18"/>
        </w:rPr>
        <w:t> </w:t>
      </w:r>
      <w:r>
        <w:rPr>
          <w:rFonts w:ascii="Calibri"/>
          <w:color w:val="4D4D4F"/>
          <w:w w:val="125"/>
          <w:sz w:val="18"/>
        </w:rPr>
        <w:t>Opioids include:</w:t>
      </w:r>
    </w:p>
    <w:p>
      <w:pPr>
        <w:pStyle w:val="ListParagraph"/>
        <w:numPr>
          <w:ilvl w:val="2"/>
          <w:numId w:val="4"/>
        </w:numPr>
        <w:tabs>
          <w:tab w:pos="800" w:val="left" w:leader="none"/>
        </w:tabs>
        <w:spacing w:line="274" w:lineRule="exact" w:before="0" w:after="0"/>
        <w:ind w:left="800" w:right="0" w:hanging="180"/>
        <w:jc w:val="left"/>
        <w:rPr>
          <w:rFonts w:ascii="Calibri" w:hAnsi="Calibri"/>
          <w:sz w:val="18"/>
        </w:rPr>
      </w:pPr>
      <w:r>
        <w:rPr>
          <w:rFonts w:ascii="Calibri" w:hAnsi="Calibri"/>
          <w:color w:val="4D4D4F"/>
          <w:w w:val="120"/>
          <w:sz w:val="18"/>
        </w:rPr>
        <w:t>Heroin.</w:t>
      </w:r>
    </w:p>
    <w:p>
      <w:pPr>
        <w:pStyle w:val="ListParagraph"/>
        <w:numPr>
          <w:ilvl w:val="2"/>
          <w:numId w:val="4"/>
        </w:numPr>
        <w:tabs>
          <w:tab w:pos="800" w:val="left" w:leader="none"/>
        </w:tabs>
        <w:spacing w:line="213" w:lineRule="auto" w:before="0" w:after="0"/>
        <w:ind w:left="800" w:right="485" w:hanging="180"/>
        <w:jc w:val="left"/>
        <w:rPr>
          <w:rFonts w:ascii="Calibri" w:hAnsi="Calibri"/>
          <w:sz w:val="18"/>
        </w:rPr>
      </w:pPr>
      <w:r>
        <w:rPr>
          <w:rFonts w:ascii="Calibri" w:hAnsi="Calibri"/>
          <w:color w:val="4D4D4F"/>
          <w:w w:val="125"/>
          <w:sz w:val="18"/>
        </w:rPr>
        <w:t>Prescription opioid analgesics </w:t>
      </w:r>
      <w:r>
        <w:rPr>
          <w:rFonts w:ascii="Calibri" w:hAnsi="Calibri"/>
          <w:color w:val="4D4D4F"/>
          <w:spacing w:val="-3"/>
          <w:w w:val="125"/>
          <w:sz w:val="18"/>
        </w:rPr>
        <w:t>(including </w:t>
      </w:r>
      <w:r>
        <w:rPr>
          <w:rFonts w:ascii="Calibri" w:hAnsi="Calibri"/>
          <w:color w:val="4D4D4F"/>
          <w:w w:val="125"/>
          <w:sz w:val="18"/>
        </w:rPr>
        <w:t>tramadol).</w:t>
      </w:r>
    </w:p>
    <w:p>
      <w:pPr>
        <w:pStyle w:val="ListParagraph"/>
        <w:numPr>
          <w:ilvl w:val="2"/>
          <w:numId w:val="4"/>
        </w:numPr>
        <w:tabs>
          <w:tab w:pos="800" w:val="left" w:leader="none"/>
        </w:tabs>
        <w:spacing w:line="213" w:lineRule="auto" w:before="24" w:after="0"/>
        <w:ind w:left="800" w:right="300" w:hanging="180"/>
        <w:jc w:val="left"/>
        <w:rPr>
          <w:rFonts w:ascii="Calibri" w:hAnsi="Calibri"/>
          <w:sz w:val="18"/>
        </w:rPr>
      </w:pPr>
      <w:r>
        <w:rPr>
          <w:rFonts w:ascii="Calibri" w:hAnsi="Calibri"/>
          <w:color w:val="4D4D4F"/>
          <w:w w:val="125"/>
          <w:sz w:val="18"/>
        </w:rPr>
        <w:t>Cough,</w:t>
      </w:r>
      <w:r>
        <w:rPr>
          <w:rFonts w:ascii="Calibri" w:hAnsi="Calibri"/>
          <w:color w:val="4D4D4F"/>
          <w:spacing w:val="-15"/>
          <w:w w:val="125"/>
          <w:sz w:val="18"/>
        </w:rPr>
        <w:t> </w:t>
      </w:r>
      <w:r>
        <w:rPr>
          <w:rFonts w:ascii="Calibri" w:hAnsi="Calibri"/>
          <w:color w:val="4D4D4F"/>
          <w:w w:val="125"/>
          <w:sz w:val="18"/>
        </w:rPr>
        <w:t>diarrhea,</w:t>
      </w:r>
      <w:r>
        <w:rPr>
          <w:rFonts w:ascii="Calibri" w:hAnsi="Calibri"/>
          <w:color w:val="4D4D4F"/>
          <w:spacing w:val="-15"/>
          <w:w w:val="125"/>
          <w:sz w:val="18"/>
        </w:rPr>
        <w:t> </w:t>
      </w:r>
      <w:r>
        <w:rPr>
          <w:rFonts w:ascii="Calibri" w:hAnsi="Calibri"/>
          <w:color w:val="4D4D4F"/>
          <w:w w:val="125"/>
          <w:sz w:val="18"/>
        </w:rPr>
        <w:t>or</w:t>
      </w:r>
      <w:r>
        <w:rPr>
          <w:rFonts w:ascii="Calibri" w:hAnsi="Calibri"/>
          <w:color w:val="4D4D4F"/>
          <w:spacing w:val="-14"/>
          <w:w w:val="125"/>
          <w:sz w:val="18"/>
        </w:rPr>
        <w:t> </w:t>
      </w:r>
      <w:r>
        <w:rPr>
          <w:rFonts w:ascii="Calibri" w:hAnsi="Calibri"/>
          <w:color w:val="4D4D4F"/>
          <w:w w:val="125"/>
          <w:sz w:val="18"/>
        </w:rPr>
        <w:t>other</w:t>
      </w:r>
      <w:r>
        <w:rPr>
          <w:rFonts w:ascii="Calibri" w:hAnsi="Calibri"/>
          <w:color w:val="4D4D4F"/>
          <w:spacing w:val="-15"/>
          <w:w w:val="125"/>
          <w:sz w:val="18"/>
        </w:rPr>
        <w:t> </w:t>
      </w:r>
      <w:r>
        <w:rPr>
          <w:rFonts w:ascii="Calibri" w:hAnsi="Calibri"/>
          <w:color w:val="4D4D4F"/>
          <w:w w:val="125"/>
          <w:sz w:val="18"/>
        </w:rPr>
        <w:t>medications</w:t>
      </w:r>
      <w:r>
        <w:rPr>
          <w:rFonts w:ascii="Calibri" w:hAnsi="Calibri"/>
          <w:color w:val="4D4D4F"/>
          <w:spacing w:val="-14"/>
          <w:w w:val="125"/>
          <w:sz w:val="18"/>
        </w:rPr>
        <w:t> </w:t>
      </w:r>
      <w:r>
        <w:rPr>
          <w:rFonts w:ascii="Calibri" w:hAnsi="Calibri"/>
          <w:color w:val="4D4D4F"/>
          <w:spacing w:val="-3"/>
          <w:w w:val="125"/>
          <w:sz w:val="18"/>
        </w:rPr>
        <w:t>that </w:t>
      </w:r>
      <w:r>
        <w:rPr>
          <w:rFonts w:ascii="Calibri" w:hAnsi="Calibri"/>
          <w:color w:val="4D4D4F"/>
          <w:w w:val="125"/>
          <w:sz w:val="18"/>
        </w:rPr>
        <w:t>contain codeine or other</w:t>
      </w:r>
      <w:r>
        <w:rPr>
          <w:rFonts w:ascii="Calibri" w:hAnsi="Calibri"/>
          <w:color w:val="4D4D4F"/>
          <w:spacing w:val="-28"/>
          <w:w w:val="125"/>
          <w:sz w:val="18"/>
        </w:rPr>
        <w:t> </w:t>
      </w:r>
      <w:r>
        <w:rPr>
          <w:rFonts w:ascii="Calibri" w:hAnsi="Calibri"/>
          <w:color w:val="4D4D4F"/>
          <w:w w:val="125"/>
          <w:sz w:val="18"/>
        </w:rPr>
        <w:t>opioids.</w:t>
      </w:r>
    </w:p>
    <w:p>
      <w:pPr>
        <w:pStyle w:val="ListParagraph"/>
        <w:numPr>
          <w:ilvl w:val="2"/>
          <w:numId w:val="4"/>
        </w:numPr>
        <w:tabs>
          <w:tab w:pos="800" w:val="left" w:leader="none"/>
        </w:tabs>
        <w:spacing w:line="295" w:lineRule="exact" w:before="2" w:after="0"/>
        <w:ind w:left="800" w:right="0" w:hanging="180"/>
        <w:jc w:val="left"/>
        <w:rPr>
          <w:rFonts w:ascii="Calibri" w:hAnsi="Calibri"/>
          <w:sz w:val="18"/>
        </w:rPr>
      </w:pPr>
      <w:r>
        <w:rPr>
          <w:rFonts w:ascii="Calibri" w:hAnsi="Calibri"/>
          <w:color w:val="4D4D4F"/>
          <w:w w:val="120"/>
          <w:sz w:val="18"/>
        </w:rPr>
        <w:t>Methadone.</w:t>
      </w:r>
    </w:p>
    <w:p>
      <w:pPr>
        <w:pStyle w:val="ListParagraph"/>
        <w:numPr>
          <w:ilvl w:val="2"/>
          <w:numId w:val="4"/>
        </w:numPr>
        <w:tabs>
          <w:tab w:pos="800" w:val="left" w:leader="none"/>
        </w:tabs>
        <w:spacing w:line="295" w:lineRule="exact" w:before="0" w:after="0"/>
        <w:ind w:left="800" w:right="0" w:hanging="180"/>
        <w:jc w:val="left"/>
        <w:rPr>
          <w:rFonts w:ascii="Calibri" w:hAnsi="Calibri"/>
          <w:sz w:val="18"/>
        </w:rPr>
      </w:pPr>
      <w:r>
        <w:rPr>
          <w:rFonts w:ascii="Calibri" w:hAnsi="Calibri"/>
          <w:color w:val="4D4D4F"/>
          <w:w w:val="125"/>
          <w:sz w:val="18"/>
        </w:rPr>
        <w:t>Buprenorphine.</w:t>
      </w:r>
    </w:p>
    <w:p>
      <w:pPr>
        <w:pStyle w:val="ListParagraph"/>
        <w:numPr>
          <w:ilvl w:val="1"/>
          <w:numId w:val="4"/>
        </w:numPr>
        <w:tabs>
          <w:tab w:pos="620" w:val="left" w:leader="none"/>
        </w:tabs>
        <w:spacing w:line="213" w:lineRule="auto" w:before="33" w:after="0"/>
        <w:ind w:left="620" w:right="188" w:hanging="180"/>
        <w:jc w:val="left"/>
        <w:rPr>
          <w:rFonts w:ascii="Arial" w:hAnsi="Arial"/>
          <w:color w:val="137692"/>
          <w:sz w:val="28"/>
        </w:rPr>
      </w:pPr>
      <w:r>
        <w:rPr>
          <w:rFonts w:ascii="Calibri" w:hAnsi="Calibri"/>
          <w:color w:val="4D4D4F"/>
          <w:w w:val="125"/>
          <w:sz w:val="18"/>
        </w:rPr>
        <w:t>Seek immediate medical help if symptoms of allergic</w:t>
      </w:r>
      <w:r>
        <w:rPr>
          <w:rFonts w:ascii="Calibri" w:hAnsi="Calibri"/>
          <w:color w:val="4D4D4F"/>
          <w:spacing w:val="-15"/>
          <w:w w:val="125"/>
          <w:sz w:val="18"/>
        </w:rPr>
        <w:t> </w:t>
      </w:r>
      <w:r>
        <w:rPr>
          <w:rFonts w:ascii="Calibri" w:hAnsi="Calibri"/>
          <w:color w:val="4D4D4F"/>
          <w:w w:val="125"/>
          <w:sz w:val="18"/>
        </w:rPr>
        <w:t>reaction</w:t>
      </w:r>
      <w:r>
        <w:rPr>
          <w:rFonts w:ascii="Calibri" w:hAnsi="Calibri"/>
          <w:color w:val="4D4D4F"/>
          <w:spacing w:val="-15"/>
          <w:w w:val="125"/>
          <w:sz w:val="18"/>
        </w:rPr>
        <w:t> </w:t>
      </w:r>
      <w:r>
        <w:rPr>
          <w:rFonts w:ascii="Calibri" w:hAnsi="Calibri"/>
          <w:color w:val="4D4D4F"/>
          <w:w w:val="125"/>
          <w:sz w:val="18"/>
        </w:rPr>
        <w:t>or</w:t>
      </w:r>
      <w:r>
        <w:rPr>
          <w:rFonts w:ascii="Calibri" w:hAnsi="Calibri"/>
          <w:color w:val="4D4D4F"/>
          <w:spacing w:val="-15"/>
          <w:w w:val="125"/>
          <w:sz w:val="18"/>
        </w:rPr>
        <w:t> </w:t>
      </w:r>
      <w:r>
        <w:rPr>
          <w:rFonts w:ascii="Calibri" w:hAnsi="Calibri"/>
          <w:color w:val="4D4D4F"/>
          <w:w w:val="125"/>
          <w:sz w:val="18"/>
        </w:rPr>
        <w:t>anaphylaxis</w:t>
      </w:r>
      <w:r>
        <w:rPr>
          <w:rFonts w:ascii="Calibri" w:hAnsi="Calibri"/>
          <w:color w:val="4D4D4F"/>
          <w:spacing w:val="-14"/>
          <w:w w:val="125"/>
          <w:sz w:val="18"/>
        </w:rPr>
        <w:t> </w:t>
      </w:r>
      <w:r>
        <w:rPr>
          <w:rFonts w:ascii="Calibri" w:hAnsi="Calibri"/>
          <w:color w:val="4D4D4F"/>
          <w:w w:val="125"/>
          <w:sz w:val="18"/>
        </w:rPr>
        <w:t>occur,</w:t>
      </w:r>
      <w:r>
        <w:rPr>
          <w:rFonts w:ascii="Calibri" w:hAnsi="Calibri"/>
          <w:color w:val="4D4D4F"/>
          <w:spacing w:val="-15"/>
          <w:w w:val="125"/>
          <w:sz w:val="18"/>
        </w:rPr>
        <w:t> </w:t>
      </w:r>
      <w:r>
        <w:rPr>
          <w:rFonts w:ascii="Calibri" w:hAnsi="Calibri"/>
          <w:color w:val="4D4D4F"/>
          <w:w w:val="125"/>
          <w:sz w:val="18"/>
        </w:rPr>
        <w:t>such</w:t>
      </w:r>
      <w:r>
        <w:rPr>
          <w:rFonts w:ascii="Calibri" w:hAnsi="Calibri"/>
          <w:color w:val="4D4D4F"/>
          <w:spacing w:val="-15"/>
          <w:w w:val="125"/>
          <w:sz w:val="18"/>
        </w:rPr>
        <w:t> </w:t>
      </w:r>
      <w:r>
        <w:rPr>
          <w:rFonts w:ascii="Calibri" w:hAnsi="Calibri"/>
          <w:color w:val="4D4D4F"/>
          <w:spacing w:val="-4"/>
          <w:w w:val="125"/>
          <w:sz w:val="18"/>
        </w:rPr>
        <w:t>as:</w:t>
      </w:r>
    </w:p>
    <w:p>
      <w:pPr>
        <w:pStyle w:val="ListParagraph"/>
        <w:numPr>
          <w:ilvl w:val="2"/>
          <w:numId w:val="4"/>
        </w:numPr>
        <w:tabs>
          <w:tab w:pos="800" w:val="left" w:leader="none"/>
        </w:tabs>
        <w:spacing w:line="295" w:lineRule="exact" w:before="2" w:after="0"/>
        <w:ind w:left="800" w:right="0" w:hanging="180"/>
        <w:jc w:val="left"/>
        <w:rPr>
          <w:rFonts w:ascii="Calibri" w:hAnsi="Calibri"/>
          <w:sz w:val="18"/>
        </w:rPr>
      </w:pPr>
      <w:r>
        <w:rPr>
          <w:rFonts w:ascii="Calibri" w:hAnsi="Calibri"/>
          <w:color w:val="4D4D4F"/>
          <w:w w:val="125"/>
          <w:sz w:val="18"/>
        </w:rPr>
        <w:t>Itching.</w:t>
      </w:r>
    </w:p>
    <w:p>
      <w:pPr>
        <w:pStyle w:val="ListParagraph"/>
        <w:numPr>
          <w:ilvl w:val="2"/>
          <w:numId w:val="4"/>
        </w:numPr>
        <w:tabs>
          <w:tab w:pos="800" w:val="left" w:leader="none"/>
        </w:tabs>
        <w:spacing w:line="269" w:lineRule="exact" w:before="0" w:after="0"/>
        <w:ind w:left="800" w:right="0" w:hanging="180"/>
        <w:jc w:val="left"/>
        <w:rPr>
          <w:rFonts w:ascii="Calibri" w:hAnsi="Calibri"/>
          <w:sz w:val="18"/>
        </w:rPr>
      </w:pPr>
      <w:r>
        <w:rPr>
          <w:rFonts w:ascii="Calibri" w:hAnsi="Calibri"/>
          <w:color w:val="4D4D4F"/>
          <w:w w:val="125"/>
          <w:sz w:val="18"/>
        </w:rPr>
        <w:t>Swelling.</w:t>
      </w:r>
    </w:p>
    <w:p>
      <w:pPr>
        <w:pStyle w:val="ListParagraph"/>
        <w:numPr>
          <w:ilvl w:val="2"/>
          <w:numId w:val="4"/>
        </w:numPr>
        <w:tabs>
          <w:tab w:pos="800" w:val="left" w:leader="none"/>
        </w:tabs>
        <w:spacing w:line="269" w:lineRule="exact" w:before="0" w:after="0"/>
        <w:ind w:left="800" w:right="0" w:hanging="180"/>
        <w:jc w:val="left"/>
        <w:rPr>
          <w:rFonts w:ascii="Calibri" w:hAnsi="Calibri"/>
          <w:sz w:val="18"/>
        </w:rPr>
      </w:pPr>
      <w:r>
        <w:rPr>
          <w:rFonts w:ascii="Calibri" w:hAnsi="Calibri"/>
          <w:color w:val="4D4D4F"/>
          <w:w w:val="120"/>
          <w:sz w:val="18"/>
        </w:rPr>
        <w:t>Hives.</w:t>
      </w:r>
    </w:p>
    <w:p>
      <w:pPr>
        <w:pStyle w:val="ListParagraph"/>
        <w:numPr>
          <w:ilvl w:val="2"/>
          <w:numId w:val="4"/>
        </w:numPr>
        <w:tabs>
          <w:tab w:pos="800" w:val="left" w:leader="none"/>
        </w:tabs>
        <w:spacing w:line="269" w:lineRule="exact" w:before="0" w:after="0"/>
        <w:ind w:left="800" w:right="0" w:hanging="180"/>
        <w:jc w:val="left"/>
        <w:rPr>
          <w:rFonts w:ascii="Calibri" w:hAnsi="Calibri"/>
          <w:sz w:val="18"/>
        </w:rPr>
      </w:pPr>
      <w:r>
        <w:rPr>
          <w:rFonts w:ascii="Calibri" w:hAnsi="Calibri"/>
          <w:color w:val="4D4D4F"/>
          <w:w w:val="120"/>
          <w:sz w:val="18"/>
        </w:rPr>
        <w:t>Shortness of</w:t>
      </w:r>
      <w:r>
        <w:rPr>
          <w:rFonts w:ascii="Calibri" w:hAnsi="Calibri"/>
          <w:color w:val="4D4D4F"/>
          <w:spacing w:val="-4"/>
          <w:w w:val="120"/>
          <w:sz w:val="18"/>
        </w:rPr>
        <w:t> </w:t>
      </w:r>
      <w:r>
        <w:rPr>
          <w:rFonts w:ascii="Calibri" w:hAnsi="Calibri"/>
          <w:color w:val="4D4D4F"/>
          <w:w w:val="120"/>
          <w:sz w:val="18"/>
        </w:rPr>
        <w:t>breath.</w:t>
      </w:r>
    </w:p>
    <w:p>
      <w:pPr>
        <w:pStyle w:val="ListParagraph"/>
        <w:numPr>
          <w:ilvl w:val="2"/>
          <w:numId w:val="4"/>
        </w:numPr>
        <w:tabs>
          <w:tab w:pos="800" w:val="left" w:leader="none"/>
        </w:tabs>
        <w:spacing w:line="295" w:lineRule="exact" w:before="0" w:after="0"/>
        <w:ind w:left="800" w:right="0" w:hanging="180"/>
        <w:jc w:val="left"/>
        <w:rPr>
          <w:rFonts w:ascii="Calibri" w:hAnsi="Calibri"/>
          <w:sz w:val="18"/>
        </w:rPr>
      </w:pPr>
      <w:r>
        <w:rPr>
          <w:rFonts w:ascii="Calibri" w:hAnsi="Calibri"/>
          <w:color w:val="4D4D4F"/>
          <w:w w:val="125"/>
          <w:sz w:val="18"/>
        </w:rPr>
        <w:t>Throat</w:t>
      </w:r>
      <w:r>
        <w:rPr>
          <w:rFonts w:ascii="Calibri" w:hAnsi="Calibri"/>
          <w:color w:val="4D4D4F"/>
          <w:spacing w:val="-5"/>
          <w:w w:val="125"/>
          <w:sz w:val="18"/>
        </w:rPr>
        <w:t> </w:t>
      </w:r>
      <w:r>
        <w:rPr>
          <w:rFonts w:ascii="Calibri" w:hAnsi="Calibri"/>
          <w:color w:val="4D4D4F"/>
          <w:w w:val="125"/>
          <w:sz w:val="18"/>
        </w:rPr>
        <w:t>tightness.</w:t>
      </w:r>
    </w:p>
    <w:p>
      <w:pPr>
        <w:pStyle w:val="ListParagraph"/>
        <w:numPr>
          <w:ilvl w:val="1"/>
          <w:numId w:val="4"/>
        </w:numPr>
        <w:tabs>
          <w:tab w:pos="620" w:val="left" w:leader="none"/>
        </w:tabs>
        <w:spacing w:line="235" w:lineRule="auto" w:before="13" w:after="0"/>
        <w:ind w:left="620" w:right="112" w:hanging="180"/>
        <w:jc w:val="both"/>
        <w:rPr>
          <w:rFonts w:ascii="Arial" w:hAnsi="Arial"/>
          <w:color w:val="137692"/>
          <w:sz w:val="28"/>
        </w:rPr>
      </w:pPr>
      <w:r>
        <w:rPr>
          <w:rFonts w:ascii="Calibri" w:hAnsi="Calibri"/>
          <w:color w:val="4D4D4F"/>
          <w:w w:val="120"/>
          <w:sz w:val="18"/>
        </w:rPr>
        <w:t>Do not try to override the opioid blockade with large amounts of opioids, which could result in overdose.</w:t>
      </w:r>
    </w:p>
    <w:p>
      <w:pPr>
        <w:pStyle w:val="ListParagraph"/>
        <w:numPr>
          <w:ilvl w:val="1"/>
          <w:numId w:val="4"/>
        </w:numPr>
        <w:tabs>
          <w:tab w:pos="620" w:val="left" w:leader="none"/>
        </w:tabs>
        <w:spacing w:line="235" w:lineRule="auto" w:before="2" w:after="0"/>
        <w:ind w:left="620" w:right="38" w:hanging="180"/>
        <w:jc w:val="left"/>
        <w:rPr>
          <w:rFonts w:ascii="Arial" w:hAnsi="Arial"/>
          <w:color w:val="137692"/>
          <w:sz w:val="28"/>
        </w:rPr>
      </w:pPr>
      <w:r>
        <w:rPr>
          <w:rFonts w:ascii="Calibri" w:hAnsi="Calibri"/>
          <w:color w:val="4D4D4F"/>
          <w:w w:val="125"/>
          <w:sz w:val="18"/>
        </w:rPr>
        <w:t>Understand the risk of overdose </w:t>
      </w:r>
      <w:r>
        <w:rPr>
          <w:rFonts w:ascii="Calibri" w:hAnsi="Calibri"/>
          <w:color w:val="4D4D4F"/>
          <w:spacing w:val="2"/>
          <w:w w:val="125"/>
          <w:sz w:val="18"/>
        </w:rPr>
        <w:t>from </w:t>
      </w:r>
      <w:r>
        <w:rPr>
          <w:rFonts w:ascii="Calibri" w:hAnsi="Calibri"/>
          <w:color w:val="4D4D4F"/>
          <w:w w:val="125"/>
          <w:sz w:val="18"/>
        </w:rPr>
        <w:t>using opioids</w:t>
      </w:r>
      <w:r>
        <w:rPr>
          <w:rFonts w:ascii="Calibri" w:hAnsi="Calibri"/>
          <w:color w:val="4D4D4F"/>
          <w:spacing w:val="-15"/>
          <w:w w:val="125"/>
          <w:sz w:val="18"/>
        </w:rPr>
        <w:t> </w:t>
      </w:r>
      <w:r>
        <w:rPr>
          <w:rFonts w:ascii="Calibri" w:hAnsi="Calibri"/>
          <w:color w:val="4D4D4F"/>
          <w:w w:val="125"/>
          <w:sz w:val="18"/>
        </w:rPr>
        <w:t>near</w:t>
      </w:r>
      <w:r>
        <w:rPr>
          <w:rFonts w:ascii="Calibri" w:hAnsi="Calibri"/>
          <w:color w:val="4D4D4F"/>
          <w:spacing w:val="-14"/>
          <w:w w:val="125"/>
          <w:sz w:val="18"/>
        </w:rPr>
        <w:t> </w:t>
      </w:r>
      <w:r>
        <w:rPr>
          <w:rFonts w:ascii="Calibri" w:hAnsi="Calibri"/>
          <w:color w:val="4D4D4F"/>
          <w:w w:val="125"/>
          <w:sz w:val="18"/>
        </w:rPr>
        <w:t>the</w:t>
      </w:r>
      <w:r>
        <w:rPr>
          <w:rFonts w:ascii="Calibri" w:hAnsi="Calibri"/>
          <w:color w:val="4D4D4F"/>
          <w:spacing w:val="-14"/>
          <w:w w:val="125"/>
          <w:sz w:val="18"/>
        </w:rPr>
        <w:t> </w:t>
      </w:r>
      <w:r>
        <w:rPr>
          <w:rFonts w:ascii="Calibri" w:hAnsi="Calibri"/>
          <w:color w:val="4D4D4F"/>
          <w:w w:val="125"/>
          <w:sz w:val="18"/>
        </w:rPr>
        <w:t>time</w:t>
      </w:r>
      <w:r>
        <w:rPr>
          <w:rFonts w:ascii="Calibri" w:hAnsi="Calibri"/>
          <w:color w:val="4D4D4F"/>
          <w:spacing w:val="-14"/>
          <w:w w:val="125"/>
          <w:sz w:val="18"/>
        </w:rPr>
        <w:t> </w:t>
      </w:r>
      <w:r>
        <w:rPr>
          <w:rFonts w:ascii="Calibri" w:hAnsi="Calibri"/>
          <w:color w:val="4D4D4F"/>
          <w:w w:val="125"/>
          <w:sz w:val="18"/>
        </w:rPr>
        <w:t>of</w:t>
      </w:r>
      <w:r>
        <w:rPr>
          <w:rFonts w:ascii="Calibri" w:hAnsi="Calibri"/>
          <w:color w:val="4D4D4F"/>
          <w:spacing w:val="-14"/>
          <w:w w:val="125"/>
          <w:sz w:val="18"/>
        </w:rPr>
        <w:t> </w:t>
      </w:r>
      <w:r>
        <w:rPr>
          <w:rFonts w:ascii="Calibri" w:hAnsi="Calibri"/>
          <w:color w:val="4D4D4F"/>
          <w:w w:val="125"/>
          <w:sz w:val="18"/>
        </w:rPr>
        <w:t>the</w:t>
      </w:r>
      <w:r>
        <w:rPr>
          <w:rFonts w:ascii="Calibri" w:hAnsi="Calibri"/>
          <w:color w:val="4D4D4F"/>
          <w:spacing w:val="-14"/>
          <w:w w:val="125"/>
          <w:sz w:val="18"/>
        </w:rPr>
        <w:t> </w:t>
      </w:r>
      <w:r>
        <w:rPr>
          <w:rFonts w:ascii="Calibri" w:hAnsi="Calibri"/>
          <w:color w:val="4D4D4F"/>
          <w:w w:val="125"/>
          <w:sz w:val="18"/>
        </w:rPr>
        <w:t>next</w:t>
      </w:r>
      <w:r>
        <w:rPr>
          <w:rFonts w:ascii="Calibri" w:hAnsi="Calibri"/>
          <w:color w:val="4D4D4F"/>
          <w:spacing w:val="-14"/>
          <w:w w:val="125"/>
          <w:sz w:val="18"/>
        </w:rPr>
        <w:t> </w:t>
      </w:r>
      <w:r>
        <w:rPr>
          <w:rFonts w:ascii="Calibri" w:hAnsi="Calibri"/>
          <w:color w:val="4D4D4F"/>
          <w:w w:val="125"/>
          <w:sz w:val="18"/>
        </w:rPr>
        <w:t>injection,</w:t>
      </w:r>
      <w:r>
        <w:rPr>
          <w:rFonts w:ascii="Calibri" w:hAnsi="Calibri"/>
          <w:color w:val="4D4D4F"/>
          <w:spacing w:val="-14"/>
          <w:w w:val="125"/>
          <w:sz w:val="18"/>
        </w:rPr>
        <w:t> </w:t>
      </w:r>
      <w:r>
        <w:rPr>
          <w:rFonts w:ascii="Calibri" w:hAnsi="Calibri"/>
          <w:color w:val="4D4D4F"/>
          <w:spacing w:val="-4"/>
          <w:w w:val="125"/>
          <w:sz w:val="18"/>
        </w:rPr>
        <w:t>after </w:t>
      </w:r>
      <w:r>
        <w:rPr>
          <w:rFonts w:ascii="Calibri" w:hAnsi="Calibri"/>
          <w:color w:val="4D4D4F"/>
          <w:w w:val="125"/>
          <w:sz w:val="18"/>
        </w:rPr>
        <w:t>missing</w:t>
      </w:r>
      <w:r>
        <w:rPr>
          <w:rFonts w:ascii="Calibri" w:hAnsi="Calibri"/>
          <w:color w:val="4D4D4F"/>
          <w:spacing w:val="-8"/>
          <w:w w:val="125"/>
          <w:sz w:val="18"/>
        </w:rPr>
        <w:t> </w:t>
      </w:r>
      <w:r>
        <w:rPr>
          <w:rFonts w:ascii="Calibri" w:hAnsi="Calibri"/>
          <w:color w:val="4D4D4F"/>
          <w:w w:val="125"/>
          <w:sz w:val="18"/>
        </w:rPr>
        <w:t>a</w:t>
      </w:r>
      <w:r>
        <w:rPr>
          <w:rFonts w:ascii="Calibri" w:hAnsi="Calibri"/>
          <w:color w:val="4D4D4F"/>
          <w:spacing w:val="-8"/>
          <w:w w:val="125"/>
          <w:sz w:val="18"/>
        </w:rPr>
        <w:t> </w:t>
      </w:r>
      <w:r>
        <w:rPr>
          <w:rFonts w:ascii="Calibri" w:hAnsi="Calibri"/>
          <w:color w:val="4D4D4F"/>
          <w:w w:val="125"/>
          <w:sz w:val="18"/>
        </w:rPr>
        <w:t>dose,</w:t>
      </w:r>
      <w:r>
        <w:rPr>
          <w:rFonts w:ascii="Calibri" w:hAnsi="Calibri"/>
          <w:color w:val="4D4D4F"/>
          <w:spacing w:val="-8"/>
          <w:w w:val="125"/>
          <w:sz w:val="18"/>
        </w:rPr>
        <w:t> </w:t>
      </w:r>
      <w:r>
        <w:rPr>
          <w:rFonts w:ascii="Calibri" w:hAnsi="Calibri"/>
          <w:color w:val="4D4D4F"/>
          <w:w w:val="125"/>
          <w:sz w:val="18"/>
        </w:rPr>
        <w:t>or</w:t>
      </w:r>
      <w:r>
        <w:rPr>
          <w:rFonts w:ascii="Calibri" w:hAnsi="Calibri"/>
          <w:color w:val="4D4D4F"/>
          <w:spacing w:val="-8"/>
          <w:w w:val="125"/>
          <w:sz w:val="18"/>
        </w:rPr>
        <w:t> </w:t>
      </w:r>
      <w:r>
        <w:rPr>
          <w:rFonts w:ascii="Calibri" w:hAnsi="Calibri"/>
          <w:color w:val="4D4D4F"/>
          <w:w w:val="125"/>
          <w:sz w:val="18"/>
        </w:rPr>
        <w:t>after</w:t>
      </w:r>
      <w:r>
        <w:rPr>
          <w:rFonts w:ascii="Calibri" w:hAnsi="Calibri"/>
          <w:color w:val="4D4D4F"/>
          <w:spacing w:val="-8"/>
          <w:w w:val="125"/>
          <w:sz w:val="18"/>
        </w:rPr>
        <w:t> </w:t>
      </w:r>
      <w:r>
        <w:rPr>
          <w:rFonts w:ascii="Calibri" w:hAnsi="Calibri"/>
          <w:color w:val="4D4D4F"/>
          <w:w w:val="125"/>
          <w:sz w:val="18"/>
        </w:rPr>
        <w:t>stopping</w:t>
      </w:r>
      <w:r>
        <w:rPr>
          <w:rFonts w:ascii="Calibri" w:hAnsi="Calibri"/>
          <w:color w:val="4D4D4F"/>
          <w:spacing w:val="-8"/>
          <w:w w:val="125"/>
          <w:sz w:val="18"/>
        </w:rPr>
        <w:t> </w:t>
      </w:r>
      <w:r>
        <w:rPr>
          <w:rFonts w:ascii="Calibri" w:hAnsi="Calibri"/>
          <w:color w:val="4D4D4F"/>
          <w:w w:val="125"/>
          <w:sz w:val="18"/>
        </w:rPr>
        <w:t>medications.</w:t>
      </w:r>
    </w:p>
    <w:p>
      <w:pPr>
        <w:pStyle w:val="ListParagraph"/>
        <w:numPr>
          <w:ilvl w:val="1"/>
          <w:numId w:val="4"/>
        </w:numPr>
        <w:tabs>
          <w:tab w:pos="620" w:val="left" w:leader="none"/>
        </w:tabs>
        <w:spacing w:line="294" w:lineRule="exact" w:before="0" w:after="0"/>
        <w:ind w:left="620" w:right="0" w:hanging="180"/>
        <w:jc w:val="left"/>
        <w:rPr>
          <w:rFonts w:ascii="Arial" w:hAnsi="Arial"/>
          <w:color w:val="137692"/>
          <w:sz w:val="28"/>
        </w:rPr>
      </w:pPr>
      <w:r>
        <w:rPr>
          <w:rFonts w:ascii="Calibri" w:hAnsi="Calibri"/>
          <w:color w:val="4D4D4F"/>
          <w:w w:val="125"/>
          <w:sz w:val="18"/>
        </w:rPr>
        <w:t>Report injection site reactions</w:t>
      </w:r>
      <w:r>
        <w:rPr>
          <w:rFonts w:ascii="Calibri" w:hAnsi="Calibri"/>
          <w:color w:val="4D4D4F"/>
          <w:spacing w:val="-25"/>
          <w:w w:val="125"/>
          <w:sz w:val="18"/>
        </w:rPr>
        <w:t> </w:t>
      </w:r>
      <w:r>
        <w:rPr>
          <w:rFonts w:ascii="Calibri" w:hAnsi="Calibri"/>
          <w:color w:val="4D4D4F"/>
          <w:w w:val="125"/>
          <w:sz w:val="18"/>
        </w:rPr>
        <w:t>including:</w:t>
      </w:r>
    </w:p>
    <w:p>
      <w:pPr>
        <w:pStyle w:val="ListParagraph"/>
        <w:numPr>
          <w:ilvl w:val="2"/>
          <w:numId w:val="4"/>
        </w:numPr>
        <w:tabs>
          <w:tab w:pos="800" w:val="left" w:leader="none"/>
        </w:tabs>
        <w:spacing w:line="269" w:lineRule="exact" w:before="0" w:after="0"/>
        <w:ind w:left="800" w:right="0" w:hanging="180"/>
        <w:jc w:val="left"/>
        <w:rPr>
          <w:sz w:val="20"/>
        </w:rPr>
      </w:pPr>
      <w:r>
        <w:rPr>
          <w:color w:val="4D4D4F"/>
          <w:w w:val="115"/>
          <w:sz w:val="20"/>
        </w:rPr>
        <w:t>Pain.</w:t>
      </w:r>
    </w:p>
    <w:p>
      <w:pPr>
        <w:pStyle w:val="ListParagraph"/>
        <w:numPr>
          <w:ilvl w:val="2"/>
          <w:numId w:val="4"/>
        </w:numPr>
        <w:tabs>
          <w:tab w:pos="800" w:val="left" w:leader="none"/>
        </w:tabs>
        <w:spacing w:line="269" w:lineRule="exact" w:before="0" w:after="0"/>
        <w:ind w:left="800" w:right="0" w:hanging="180"/>
        <w:jc w:val="left"/>
        <w:rPr>
          <w:sz w:val="20"/>
        </w:rPr>
      </w:pPr>
      <w:r>
        <w:rPr>
          <w:color w:val="4D4D4F"/>
          <w:w w:val="115"/>
          <w:sz w:val="20"/>
        </w:rPr>
        <w:t>Hardening.</w:t>
      </w:r>
    </w:p>
    <w:p>
      <w:pPr>
        <w:pStyle w:val="ListParagraph"/>
        <w:numPr>
          <w:ilvl w:val="2"/>
          <w:numId w:val="4"/>
        </w:numPr>
        <w:tabs>
          <w:tab w:pos="800" w:val="left" w:leader="none"/>
        </w:tabs>
        <w:spacing w:line="295" w:lineRule="exact" w:before="0" w:after="0"/>
        <w:ind w:left="800" w:right="0" w:hanging="180"/>
        <w:jc w:val="left"/>
        <w:rPr>
          <w:sz w:val="20"/>
        </w:rPr>
      </w:pPr>
      <w:r>
        <w:rPr>
          <w:color w:val="4D4D4F"/>
          <w:w w:val="110"/>
          <w:sz w:val="20"/>
        </w:rPr>
        <w:t>Lumps.</w:t>
      </w:r>
    </w:p>
    <w:p>
      <w:pPr>
        <w:pStyle w:val="BodyText"/>
        <w:spacing w:before="7"/>
        <w:rPr>
          <w:sz w:val="37"/>
        </w:rPr>
      </w:pPr>
    </w:p>
    <w:p>
      <w:pPr>
        <w:pStyle w:val="Heading6"/>
        <w:jc w:val="both"/>
      </w:pPr>
      <w:r>
        <w:rPr>
          <w:color w:val="137692"/>
        </w:rPr>
        <w:t>Follow-up care after first dose</w:t>
      </w:r>
    </w:p>
    <w:p>
      <w:pPr>
        <w:spacing w:line="242" w:lineRule="auto" w:before="64"/>
        <w:ind w:left="140" w:right="98" w:firstLine="0"/>
        <w:jc w:val="both"/>
        <w:rPr>
          <w:sz w:val="22"/>
        </w:rPr>
      </w:pPr>
      <w:r>
        <w:rPr>
          <w:rFonts w:ascii="Calibri" w:hAnsi="Calibri"/>
          <w:b/>
          <w:color w:val="4D4D4F"/>
          <w:spacing w:val="-3"/>
          <w:w w:val="110"/>
          <w:sz w:val="22"/>
        </w:rPr>
        <w:t>Examine patients within </w:t>
      </w:r>
      <w:r>
        <w:rPr>
          <w:rFonts w:ascii="Calibri" w:hAnsi="Calibri"/>
          <w:b/>
          <w:color w:val="4D4D4F"/>
          <w:w w:val="110"/>
          <w:sz w:val="22"/>
        </w:rPr>
        <w:t>a </w:t>
      </w:r>
      <w:r>
        <w:rPr>
          <w:rFonts w:ascii="Calibri" w:hAnsi="Calibri"/>
          <w:b/>
          <w:color w:val="4D4D4F"/>
          <w:spacing w:val="-3"/>
          <w:w w:val="110"/>
          <w:sz w:val="22"/>
        </w:rPr>
        <w:t>week </w:t>
      </w:r>
      <w:r>
        <w:rPr>
          <w:rFonts w:ascii="Calibri" w:hAnsi="Calibri"/>
          <w:b/>
          <w:color w:val="4D4D4F"/>
          <w:w w:val="110"/>
          <w:sz w:val="22"/>
        </w:rPr>
        <w:t>of </w:t>
      </w:r>
      <w:r>
        <w:rPr>
          <w:rFonts w:ascii="Calibri" w:hAnsi="Calibri"/>
          <w:b/>
          <w:color w:val="4D4D4F"/>
          <w:spacing w:val="-4"/>
          <w:w w:val="110"/>
          <w:sz w:val="22"/>
        </w:rPr>
        <w:t>administer- </w:t>
      </w:r>
      <w:r>
        <w:rPr>
          <w:rFonts w:ascii="Calibri" w:hAnsi="Calibri"/>
          <w:b/>
          <w:color w:val="4D4D4F"/>
          <w:w w:val="110"/>
          <w:sz w:val="22"/>
        </w:rPr>
        <w:t>ing their ﬁrst XR-NTX dose. </w:t>
      </w:r>
      <w:r>
        <w:rPr>
          <w:color w:val="4D4D4F"/>
          <w:w w:val="110"/>
          <w:sz w:val="22"/>
        </w:rPr>
        <w:t>It can be clinically beneﬁcial to maintain weekly contact in the </w:t>
      </w:r>
      <w:r>
        <w:rPr>
          <w:color w:val="4D4D4F"/>
          <w:spacing w:val="-4"/>
          <w:w w:val="110"/>
          <w:sz w:val="22"/>
        </w:rPr>
        <w:t>ﬁrst </w:t>
      </w:r>
      <w:r>
        <w:rPr>
          <w:color w:val="4D4D4F"/>
          <w:w w:val="110"/>
          <w:sz w:val="22"/>
        </w:rPr>
        <w:t>month to:</w:t>
      </w:r>
    </w:p>
    <w:p>
      <w:pPr>
        <w:pStyle w:val="ListParagraph"/>
        <w:numPr>
          <w:ilvl w:val="0"/>
          <w:numId w:val="4"/>
        </w:numPr>
        <w:tabs>
          <w:tab w:pos="410" w:val="left" w:leader="none"/>
        </w:tabs>
        <w:spacing w:line="315" w:lineRule="exact" w:before="100" w:after="0"/>
        <w:ind w:left="410" w:right="0" w:hanging="270"/>
        <w:jc w:val="left"/>
        <w:rPr>
          <w:rFonts w:ascii="Arial" w:hAnsi="Arial"/>
          <w:color w:val="137692"/>
          <w:sz w:val="28"/>
        </w:rPr>
      </w:pPr>
      <w:r>
        <w:rPr>
          <w:color w:val="4D4D4F"/>
          <w:w w:val="110"/>
          <w:sz w:val="22"/>
        </w:rPr>
        <w:t>Provide supportive</w:t>
      </w:r>
      <w:r>
        <w:rPr>
          <w:color w:val="4D4D4F"/>
          <w:spacing w:val="-8"/>
          <w:w w:val="110"/>
          <w:sz w:val="22"/>
        </w:rPr>
        <w:t> </w:t>
      </w:r>
      <w:r>
        <w:rPr>
          <w:color w:val="4D4D4F"/>
          <w:w w:val="110"/>
          <w:sz w:val="22"/>
        </w:rPr>
        <w:t>counseling.</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Assess ongoing drug or alcohol</w:t>
      </w:r>
      <w:r>
        <w:rPr>
          <w:color w:val="4D4D4F"/>
          <w:spacing w:val="-10"/>
          <w:w w:val="110"/>
          <w:sz w:val="22"/>
        </w:rPr>
        <w:t> </w:t>
      </w:r>
      <w:r>
        <w:rPr>
          <w:color w:val="4D4D4F"/>
          <w:w w:val="110"/>
          <w:sz w:val="22"/>
        </w:rPr>
        <w:t>use.</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Monitor</w:t>
      </w:r>
      <w:r>
        <w:rPr>
          <w:color w:val="4D4D4F"/>
          <w:spacing w:val="-35"/>
          <w:w w:val="115"/>
          <w:sz w:val="22"/>
        </w:rPr>
        <w:t> </w:t>
      </w:r>
      <w:r>
        <w:rPr>
          <w:color w:val="4D4D4F"/>
          <w:w w:val="115"/>
          <w:sz w:val="22"/>
        </w:rPr>
        <w:t>side</w:t>
      </w:r>
      <w:r>
        <w:rPr>
          <w:color w:val="4D4D4F"/>
          <w:spacing w:val="-35"/>
          <w:w w:val="115"/>
          <w:sz w:val="22"/>
        </w:rPr>
        <w:t> </w:t>
      </w:r>
      <w:r>
        <w:rPr>
          <w:color w:val="4D4D4F"/>
          <w:w w:val="115"/>
          <w:sz w:val="22"/>
        </w:rPr>
        <w:t>effects.</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Obtain drug</w:t>
      </w:r>
      <w:r>
        <w:rPr>
          <w:color w:val="4D4D4F"/>
          <w:spacing w:val="-29"/>
          <w:w w:val="115"/>
          <w:sz w:val="22"/>
        </w:rPr>
        <w:t> </w:t>
      </w:r>
      <w:r>
        <w:rPr>
          <w:color w:val="4D4D4F"/>
          <w:w w:val="115"/>
          <w:sz w:val="22"/>
        </w:rPr>
        <w:t>testing.</w:t>
      </w:r>
    </w:p>
    <w:p>
      <w:pPr>
        <w:pStyle w:val="ListParagraph"/>
        <w:numPr>
          <w:ilvl w:val="0"/>
          <w:numId w:val="4"/>
        </w:numPr>
        <w:tabs>
          <w:tab w:pos="410" w:val="left" w:leader="none"/>
        </w:tabs>
        <w:spacing w:line="208" w:lineRule="auto" w:before="21" w:after="0"/>
        <w:ind w:left="410" w:right="1211" w:hanging="270"/>
        <w:jc w:val="left"/>
        <w:rPr>
          <w:rFonts w:ascii="Arial" w:hAnsi="Arial"/>
          <w:color w:val="137692"/>
          <w:sz w:val="28"/>
        </w:rPr>
      </w:pPr>
      <w:r>
        <w:rPr>
          <w:color w:val="4D4D4F"/>
          <w:w w:val="110"/>
          <w:sz w:val="22"/>
        </w:rPr>
        <w:t>Follow up on status of referrals</w:t>
      </w:r>
      <w:r>
        <w:rPr>
          <w:color w:val="4D4D4F"/>
          <w:spacing w:val="-50"/>
          <w:w w:val="110"/>
          <w:sz w:val="22"/>
        </w:rPr>
        <w:t> </w:t>
      </w:r>
      <w:r>
        <w:rPr>
          <w:color w:val="4D4D4F"/>
          <w:spacing w:val="-9"/>
          <w:w w:val="110"/>
          <w:sz w:val="22"/>
        </w:rPr>
        <w:t>to </w:t>
      </w:r>
      <w:r>
        <w:rPr>
          <w:color w:val="4D4D4F"/>
          <w:w w:val="110"/>
          <w:sz w:val="22"/>
        </w:rPr>
        <w:t>counseling or other</w:t>
      </w:r>
      <w:r>
        <w:rPr>
          <w:color w:val="4D4D4F"/>
          <w:spacing w:val="-18"/>
          <w:w w:val="110"/>
          <w:sz w:val="22"/>
        </w:rPr>
        <w:t> </w:t>
      </w:r>
      <w:r>
        <w:rPr>
          <w:color w:val="4D4D4F"/>
          <w:w w:val="110"/>
          <w:sz w:val="22"/>
        </w:rPr>
        <w:t>services.</w:t>
      </w:r>
    </w:p>
    <w:p>
      <w:pPr>
        <w:pStyle w:val="ListParagraph"/>
        <w:numPr>
          <w:ilvl w:val="0"/>
          <w:numId w:val="24"/>
        </w:numPr>
        <w:tabs>
          <w:tab w:pos="510" w:val="left" w:leader="none"/>
        </w:tabs>
        <w:spacing w:line="295" w:lineRule="exact" w:before="91" w:after="0"/>
        <w:ind w:left="510" w:right="0" w:hanging="180"/>
        <w:jc w:val="left"/>
        <w:rPr>
          <w:sz w:val="20"/>
        </w:rPr>
      </w:pPr>
      <w:r>
        <w:rPr>
          <w:color w:val="4D4D4F"/>
          <w:w w:val="109"/>
          <w:sz w:val="20"/>
        </w:rPr>
        <w:br w:type="column"/>
      </w:r>
      <w:r>
        <w:rPr>
          <w:color w:val="4D4D4F"/>
          <w:w w:val="110"/>
          <w:sz w:val="20"/>
        </w:rPr>
        <w:t>Blisters.</w:t>
      </w:r>
    </w:p>
    <w:p>
      <w:pPr>
        <w:pStyle w:val="ListParagraph"/>
        <w:numPr>
          <w:ilvl w:val="0"/>
          <w:numId w:val="24"/>
        </w:numPr>
        <w:tabs>
          <w:tab w:pos="510" w:val="left" w:leader="none"/>
        </w:tabs>
        <w:spacing w:line="269" w:lineRule="exact" w:before="0" w:after="0"/>
        <w:ind w:left="510" w:right="0" w:hanging="180"/>
        <w:jc w:val="left"/>
        <w:rPr>
          <w:sz w:val="20"/>
        </w:rPr>
      </w:pPr>
      <w:r>
        <w:rPr>
          <w:color w:val="4D4D4F"/>
          <w:w w:val="115"/>
          <w:sz w:val="20"/>
        </w:rPr>
        <w:t>Blackening.</w:t>
      </w:r>
    </w:p>
    <w:p>
      <w:pPr>
        <w:pStyle w:val="ListParagraph"/>
        <w:numPr>
          <w:ilvl w:val="0"/>
          <w:numId w:val="24"/>
        </w:numPr>
        <w:tabs>
          <w:tab w:pos="510" w:val="left" w:leader="none"/>
        </w:tabs>
        <w:spacing w:line="269" w:lineRule="exact" w:before="0" w:after="0"/>
        <w:ind w:left="510" w:right="0" w:hanging="180"/>
        <w:jc w:val="left"/>
        <w:rPr>
          <w:sz w:val="20"/>
        </w:rPr>
      </w:pPr>
      <w:r>
        <w:rPr>
          <w:color w:val="4D4D4F"/>
          <w:w w:val="120"/>
          <w:sz w:val="20"/>
        </w:rPr>
        <w:t>Scabs.</w:t>
      </w:r>
    </w:p>
    <w:p>
      <w:pPr>
        <w:pStyle w:val="ListParagraph"/>
        <w:numPr>
          <w:ilvl w:val="0"/>
          <w:numId w:val="24"/>
        </w:numPr>
        <w:tabs>
          <w:tab w:pos="510" w:val="left" w:leader="none"/>
        </w:tabs>
        <w:spacing w:line="295" w:lineRule="exact" w:before="0" w:after="0"/>
        <w:ind w:left="510" w:right="0" w:hanging="180"/>
        <w:jc w:val="left"/>
        <w:rPr>
          <w:sz w:val="20"/>
        </w:rPr>
      </w:pPr>
      <w:r>
        <w:rPr>
          <w:color w:val="4D4D4F"/>
          <w:w w:val="110"/>
          <w:sz w:val="20"/>
        </w:rPr>
        <w:t>An open</w:t>
      </w:r>
      <w:r>
        <w:rPr>
          <w:color w:val="4D4D4F"/>
          <w:spacing w:val="-11"/>
          <w:w w:val="110"/>
          <w:sz w:val="20"/>
        </w:rPr>
        <w:t> </w:t>
      </w:r>
      <w:r>
        <w:rPr>
          <w:color w:val="4D4D4F"/>
          <w:w w:val="110"/>
          <w:sz w:val="20"/>
        </w:rPr>
        <w:t>wound.</w:t>
      </w:r>
    </w:p>
    <w:p>
      <w:pPr>
        <w:spacing w:line="261" w:lineRule="auto" w:before="59"/>
        <w:ind w:left="330" w:right="253" w:firstLine="0"/>
        <w:jc w:val="left"/>
        <w:rPr>
          <w:rFonts w:ascii="Calibri"/>
          <w:sz w:val="18"/>
        </w:rPr>
      </w:pPr>
      <w:r>
        <w:rPr>
          <w:rFonts w:ascii="Calibri"/>
          <w:color w:val="414142"/>
          <w:w w:val="120"/>
          <w:sz w:val="18"/>
        </w:rPr>
        <w:t>Some of these reactions could require surgery to repair (rarely).</w:t>
      </w:r>
    </w:p>
    <w:p>
      <w:pPr>
        <w:pStyle w:val="ListParagraph"/>
        <w:numPr>
          <w:ilvl w:val="0"/>
          <w:numId w:val="4"/>
        </w:numPr>
        <w:tabs>
          <w:tab w:pos="330" w:val="left" w:leader="none"/>
        </w:tabs>
        <w:spacing w:line="235" w:lineRule="auto" w:before="44" w:after="0"/>
        <w:ind w:left="330" w:right="601" w:hanging="180"/>
        <w:jc w:val="left"/>
        <w:rPr>
          <w:rFonts w:ascii="Arial" w:hAnsi="Arial"/>
          <w:color w:val="137692"/>
          <w:sz w:val="28"/>
        </w:rPr>
      </w:pPr>
      <w:r>
        <w:rPr>
          <w:rFonts w:ascii="Calibri" w:hAnsi="Calibri"/>
          <w:color w:val="4D4D4F"/>
          <w:w w:val="125"/>
          <w:sz w:val="18"/>
        </w:rPr>
        <w:t>Report signs and symptoms of hepatitis (e.g., fatigue,</w:t>
      </w:r>
      <w:r>
        <w:rPr>
          <w:rFonts w:ascii="Calibri" w:hAnsi="Calibri"/>
          <w:color w:val="4D4D4F"/>
          <w:spacing w:val="-16"/>
          <w:w w:val="125"/>
          <w:sz w:val="18"/>
        </w:rPr>
        <w:t> </w:t>
      </w:r>
      <w:r>
        <w:rPr>
          <w:rFonts w:ascii="Calibri" w:hAnsi="Calibri"/>
          <w:color w:val="4D4D4F"/>
          <w:w w:val="125"/>
          <w:sz w:val="18"/>
        </w:rPr>
        <w:t>abdominal</w:t>
      </w:r>
      <w:r>
        <w:rPr>
          <w:rFonts w:ascii="Calibri" w:hAnsi="Calibri"/>
          <w:color w:val="4D4D4F"/>
          <w:spacing w:val="-15"/>
          <w:w w:val="125"/>
          <w:sz w:val="18"/>
        </w:rPr>
        <w:t> </w:t>
      </w:r>
      <w:r>
        <w:rPr>
          <w:rFonts w:ascii="Calibri" w:hAnsi="Calibri"/>
          <w:color w:val="4D4D4F"/>
          <w:w w:val="125"/>
          <w:sz w:val="18"/>
        </w:rPr>
        <w:t>pain,</w:t>
      </w:r>
      <w:r>
        <w:rPr>
          <w:rFonts w:ascii="Calibri" w:hAnsi="Calibri"/>
          <w:color w:val="4D4D4F"/>
          <w:spacing w:val="-15"/>
          <w:w w:val="125"/>
          <w:sz w:val="18"/>
        </w:rPr>
        <w:t> </w:t>
      </w:r>
      <w:r>
        <w:rPr>
          <w:rFonts w:ascii="Calibri" w:hAnsi="Calibri"/>
          <w:color w:val="4D4D4F"/>
          <w:w w:val="125"/>
          <w:sz w:val="18"/>
        </w:rPr>
        <w:t>yellowing</w:t>
      </w:r>
      <w:r>
        <w:rPr>
          <w:rFonts w:ascii="Calibri" w:hAnsi="Calibri"/>
          <w:color w:val="4D4D4F"/>
          <w:spacing w:val="-15"/>
          <w:w w:val="125"/>
          <w:sz w:val="18"/>
        </w:rPr>
        <w:t> </w:t>
      </w:r>
      <w:r>
        <w:rPr>
          <w:rFonts w:ascii="Calibri" w:hAnsi="Calibri"/>
          <w:color w:val="4D4D4F"/>
          <w:w w:val="125"/>
          <w:sz w:val="18"/>
        </w:rPr>
        <w:t>skin</w:t>
      </w:r>
      <w:r>
        <w:rPr>
          <w:rFonts w:ascii="Calibri" w:hAnsi="Calibri"/>
          <w:color w:val="4D4D4F"/>
          <w:spacing w:val="-15"/>
          <w:w w:val="125"/>
          <w:sz w:val="18"/>
        </w:rPr>
        <w:t> </w:t>
      </w:r>
      <w:r>
        <w:rPr>
          <w:rFonts w:ascii="Calibri" w:hAnsi="Calibri"/>
          <w:color w:val="4D4D4F"/>
          <w:w w:val="125"/>
          <w:sz w:val="18"/>
        </w:rPr>
        <w:t>or</w:t>
      </w:r>
      <w:r>
        <w:rPr>
          <w:rFonts w:ascii="Calibri" w:hAnsi="Calibri"/>
          <w:color w:val="4D4D4F"/>
          <w:spacing w:val="-15"/>
          <w:w w:val="125"/>
          <w:sz w:val="18"/>
        </w:rPr>
        <w:t> </w:t>
      </w:r>
      <w:r>
        <w:rPr>
          <w:rFonts w:ascii="Calibri" w:hAnsi="Calibri"/>
          <w:color w:val="4D4D4F"/>
          <w:spacing w:val="-4"/>
          <w:w w:val="125"/>
          <w:sz w:val="18"/>
        </w:rPr>
        <w:t>eyes, </w:t>
      </w:r>
      <w:r>
        <w:rPr>
          <w:rFonts w:ascii="Calibri" w:hAnsi="Calibri"/>
          <w:color w:val="4D4D4F"/>
          <w:w w:val="125"/>
          <w:sz w:val="18"/>
        </w:rPr>
        <w:t>dark</w:t>
      </w:r>
      <w:r>
        <w:rPr>
          <w:rFonts w:ascii="Calibri" w:hAnsi="Calibri"/>
          <w:color w:val="4D4D4F"/>
          <w:spacing w:val="-5"/>
          <w:w w:val="125"/>
          <w:sz w:val="18"/>
        </w:rPr>
        <w:t> </w:t>
      </w:r>
      <w:r>
        <w:rPr>
          <w:rFonts w:ascii="Calibri" w:hAnsi="Calibri"/>
          <w:color w:val="4D4D4F"/>
          <w:w w:val="125"/>
          <w:sz w:val="18"/>
        </w:rPr>
        <w:t>urine).</w:t>
      </w:r>
    </w:p>
    <w:p>
      <w:pPr>
        <w:pStyle w:val="ListParagraph"/>
        <w:numPr>
          <w:ilvl w:val="0"/>
          <w:numId w:val="4"/>
        </w:numPr>
        <w:tabs>
          <w:tab w:pos="330" w:val="left" w:leader="none"/>
        </w:tabs>
        <w:spacing w:line="235" w:lineRule="auto" w:before="3" w:after="0"/>
        <w:ind w:left="330" w:right="469" w:hanging="180"/>
        <w:jc w:val="left"/>
        <w:rPr>
          <w:rFonts w:ascii="Arial" w:hAnsi="Arial"/>
          <w:color w:val="137692"/>
          <w:sz w:val="28"/>
        </w:rPr>
      </w:pPr>
      <w:r>
        <w:rPr>
          <w:rFonts w:ascii="Calibri" w:hAnsi="Calibri"/>
          <w:color w:val="4D4D4F"/>
          <w:w w:val="125"/>
          <w:sz w:val="18"/>
        </w:rPr>
        <w:t>Report depression or suicidal thoughts. Seek immediate medical attention if these</w:t>
      </w:r>
      <w:r>
        <w:rPr>
          <w:rFonts w:ascii="Calibri" w:hAnsi="Calibri"/>
          <w:color w:val="4D4D4F"/>
          <w:spacing w:val="-22"/>
          <w:w w:val="125"/>
          <w:sz w:val="18"/>
        </w:rPr>
        <w:t> </w:t>
      </w:r>
      <w:r>
        <w:rPr>
          <w:rFonts w:ascii="Calibri" w:hAnsi="Calibri"/>
          <w:color w:val="4D4D4F"/>
          <w:spacing w:val="-3"/>
          <w:w w:val="125"/>
          <w:sz w:val="18"/>
        </w:rPr>
        <w:t>symptoms </w:t>
      </w:r>
      <w:r>
        <w:rPr>
          <w:rFonts w:ascii="Calibri" w:hAnsi="Calibri"/>
          <w:color w:val="4D4D4F"/>
          <w:w w:val="125"/>
          <w:sz w:val="18"/>
        </w:rPr>
        <w:t>appear.</w:t>
      </w:r>
    </w:p>
    <w:p>
      <w:pPr>
        <w:pStyle w:val="ListParagraph"/>
        <w:numPr>
          <w:ilvl w:val="0"/>
          <w:numId w:val="4"/>
        </w:numPr>
        <w:tabs>
          <w:tab w:pos="330" w:val="left" w:leader="none"/>
        </w:tabs>
        <w:spacing w:line="213" w:lineRule="auto" w:before="22" w:after="0"/>
        <w:ind w:left="330" w:right="684" w:hanging="180"/>
        <w:jc w:val="left"/>
        <w:rPr>
          <w:rFonts w:ascii="Arial" w:hAnsi="Arial"/>
          <w:color w:val="137692"/>
          <w:sz w:val="28"/>
        </w:rPr>
      </w:pPr>
      <w:r>
        <w:rPr>
          <w:rFonts w:ascii="Calibri" w:hAnsi="Calibri"/>
          <w:color w:val="4D4D4F"/>
          <w:w w:val="120"/>
          <w:sz w:val="18"/>
        </w:rPr>
        <w:t>Seek medical help if symptoms of pneumonia appear (e.g., shortness of breath,</w:t>
      </w:r>
      <w:r>
        <w:rPr>
          <w:rFonts w:ascii="Calibri" w:hAnsi="Calibri"/>
          <w:color w:val="4D4D4F"/>
          <w:spacing w:val="-21"/>
          <w:w w:val="120"/>
          <w:sz w:val="18"/>
        </w:rPr>
        <w:t> </w:t>
      </w:r>
      <w:r>
        <w:rPr>
          <w:rFonts w:ascii="Calibri" w:hAnsi="Calibri"/>
          <w:color w:val="4D4D4F"/>
          <w:w w:val="120"/>
          <w:sz w:val="18"/>
        </w:rPr>
        <w:t>fever).</w:t>
      </w:r>
    </w:p>
    <w:p>
      <w:pPr>
        <w:pStyle w:val="ListParagraph"/>
        <w:numPr>
          <w:ilvl w:val="0"/>
          <w:numId w:val="4"/>
        </w:numPr>
        <w:tabs>
          <w:tab w:pos="330" w:val="left" w:leader="none"/>
        </w:tabs>
        <w:spacing w:line="235" w:lineRule="auto" w:before="7" w:after="0"/>
        <w:ind w:left="330" w:right="1091" w:hanging="180"/>
        <w:jc w:val="left"/>
        <w:rPr>
          <w:rFonts w:ascii="Arial" w:hAnsi="Arial"/>
          <w:color w:val="137692"/>
          <w:sz w:val="28"/>
        </w:rPr>
      </w:pPr>
      <w:r>
        <w:rPr>
          <w:rFonts w:ascii="Calibri" w:hAnsi="Calibri"/>
          <w:color w:val="4D4D4F"/>
          <w:w w:val="120"/>
          <w:sz w:val="18"/>
        </w:rPr>
        <w:t>Inform providers of naltrexone treatment, as treatment differs for various types of pneumonia.</w:t>
      </w:r>
    </w:p>
    <w:p>
      <w:pPr>
        <w:pStyle w:val="ListParagraph"/>
        <w:numPr>
          <w:ilvl w:val="0"/>
          <w:numId w:val="4"/>
        </w:numPr>
        <w:tabs>
          <w:tab w:pos="330" w:val="left" w:leader="none"/>
        </w:tabs>
        <w:spacing w:line="213" w:lineRule="auto" w:before="23" w:after="0"/>
        <w:ind w:left="330" w:right="790" w:hanging="180"/>
        <w:jc w:val="left"/>
        <w:rPr>
          <w:rFonts w:ascii="Arial" w:hAnsi="Arial"/>
          <w:color w:val="137692"/>
          <w:sz w:val="28"/>
        </w:rPr>
      </w:pPr>
      <w:r>
        <w:rPr>
          <w:rFonts w:ascii="Calibri" w:hAnsi="Calibri"/>
          <w:color w:val="4D4D4F"/>
          <w:w w:val="120"/>
          <w:sz w:val="18"/>
        </w:rPr>
        <w:t>Inform all healthcare professionals of XR-NTX treatment.</w:t>
      </w:r>
    </w:p>
    <w:p>
      <w:pPr>
        <w:pStyle w:val="ListParagraph"/>
        <w:numPr>
          <w:ilvl w:val="0"/>
          <w:numId w:val="4"/>
        </w:numPr>
        <w:tabs>
          <w:tab w:pos="330" w:val="left" w:leader="none"/>
        </w:tabs>
        <w:spacing w:line="295" w:lineRule="exact" w:before="2" w:after="0"/>
        <w:ind w:left="330" w:right="0" w:hanging="180"/>
        <w:jc w:val="left"/>
        <w:rPr>
          <w:rFonts w:ascii="Arial" w:hAnsi="Arial"/>
          <w:color w:val="137692"/>
          <w:sz w:val="28"/>
        </w:rPr>
      </w:pPr>
      <w:r>
        <w:rPr>
          <w:rFonts w:ascii="Calibri" w:hAnsi="Calibri"/>
          <w:color w:val="4D4D4F"/>
          <w:w w:val="125"/>
          <w:sz w:val="18"/>
        </w:rPr>
        <w:t>Report</w:t>
      </w:r>
      <w:r>
        <w:rPr>
          <w:rFonts w:ascii="Calibri" w:hAnsi="Calibri"/>
          <w:color w:val="4D4D4F"/>
          <w:spacing w:val="-5"/>
          <w:w w:val="125"/>
          <w:sz w:val="18"/>
        </w:rPr>
        <w:t> </w:t>
      </w:r>
      <w:r>
        <w:rPr>
          <w:rFonts w:ascii="Calibri" w:hAnsi="Calibri"/>
          <w:color w:val="4D4D4F"/>
          <w:w w:val="125"/>
          <w:sz w:val="18"/>
        </w:rPr>
        <w:t>pregnancy.</w:t>
      </w:r>
    </w:p>
    <w:p>
      <w:pPr>
        <w:pStyle w:val="ListParagraph"/>
        <w:numPr>
          <w:ilvl w:val="0"/>
          <w:numId w:val="4"/>
        </w:numPr>
        <w:tabs>
          <w:tab w:pos="330" w:val="left" w:leader="none"/>
        </w:tabs>
        <w:spacing w:line="213" w:lineRule="auto" w:before="0" w:after="0"/>
        <w:ind w:left="330" w:right="682" w:hanging="180"/>
        <w:jc w:val="both"/>
        <w:rPr>
          <w:rFonts w:ascii="Arial" w:hAnsi="Arial"/>
          <w:color w:val="137692"/>
          <w:sz w:val="28"/>
        </w:rPr>
      </w:pPr>
      <w:r>
        <w:rPr>
          <w:rFonts w:ascii="Calibri" w:hAnsi="Calibri"/>
          <w:color w:val="4D4D4F"/>
          <w:w w:val="125"/>
          <w:sz w:val="18"/>
        </w:rPr>
        <w:t>Inform providers of any upcoming medical procedures</w:t>
      </w:r>
      <w:r>
        <w:rPr>
          <w:rFonts w:ascii="Calibri" w:hAnsi="Calibri"/>
          <w:color w:val="4D4D4F"/>
          <w:spacing w:val="-15"/>
          <w:w w:val="125"/>
          <w:sz w:val="18"/>
        </w:rPr>
        <w:t> </w:t>
      </w:r>
      <w:r>
        <w:rPr>
          <w:rFonts w:ascii="Calibri" w:hAnsi="Calibri"/>
          <w:color w:val="4D4D4F"/>
          <w:w w:val="125"/>
          <w:sz w:val="18"/>
        </w:rPr>
        <w:t>that</w:t>
      </w:r>
      <w:r>
        <w:rPr>
          <w:rFonts w:ascii="Calibri" w:hAnsi="Calibri"/>
          <w:color w:val="4D4D4F"/>
          <w:spacing w:val="-15"/>
          <w:w w:val="125"/>
          <w:sz w:val="18"/>
        </w:rPr>
        <w:t> </w:t>
      </w:r>
      <w:r>
        <w:rPr>
          <w:rFonts w:ascii="Calibri" w:hAnsi="Calibri"/>
          <w:color w:val="4D4D4F"/>
          <w:w w:val="125"/>
          <w:sz w:val="18"/>
        </w:rPr>
        <w:t>may</w:t>
      </w:r>
      <w:r>
        <w:rPr>
          <w:rFonts w:ascii="Calibri" w:hAnsi="Calibri"/>
          <w:color w:val="4D4D4F"/>
          <w:spacing w:val="-15"/>
          <w:w w:val="125"/>
          <w:sz w:val="18"/>
        </w:rPr>
        <w:t> </w:t>
      </w:r>
      <w:r>
        <w:rPr>
          <w:rFonts w:ascii="Calibri" w:hAnsi="Calibri"/>
          <w:color w:val="4D4D4F"/>
          <w:w w:val="125"/>
          <w:sz w:val="18"/>
        </w:rPr>
        <w:t>require</w:t>
      </w:r>
      <w:r>
        <w:rPr>
          <w:rFonts w:ascii="Calibri" w:hAnsi="Calibri"/>
          <w:color w:val="4D4D4F"/>
          <w:spacing w:val="-15"/>
          <w:w w:val="125"/>
          <w:sz w:val="18"/>
        </w:rPr>
        <w:t> </w:t>
      </w:r>
      <w:r>
        <w:rPr>
          <w:rFonts w:ascii="Calibri" w:hAnsi="Calibri"/>
          <w:color w:val="4D4D4F"/>
          <w:w w:val="125"/>
          <w:sz w:val="18"/>
        </w:rPr>
        <w:t>pain</w:t>
      </w:r>
      <w:r>
        <w:rPr>
          <w:rFonts w:ascii="Calibri" w:hAnsi="Calibri"/>
          <w:color w:val="4D4D4F"/>
          <w:spacing w:val="-15"/>
          <w:w w:val="125"/>
          <w:sz w:val="18"/>
        </w:rPr>
        <w:t> </w:t>
      </w:r>
      <w:r>
        <w:rPr>
          <w:rFonts w:ascii="Calibri" w:hAnsi="Calibri"/>
          <w:color w:val="4D4D4F"/>
          <w:w w:val="125"/>
          <w:sz w:val="18"/>
        </w:rPr>
        <w:t>medication.</w:t>
      </w:r>
    </w:p>
    <w:p>
      <w:pPr>
        <w:pStyle w:val="ListParagraph"/>
        <w:numPr>
          <w:ilvl w:val="0"/>
          <w:numId w:val="4"/>
        </w:numPr>
        <w:tabs>
          <w:tab w:pos="330" w:val="left" w:leader="none"/>
        </w:tabs>
        <w:spacing w:line="235" w:lineRule="auto" w:before="5" w:after="0"/>
        <w:ind w:left="330" w:right="692" w:hanging="180"/>
        <w:jc w:val="both"/>
        <w:rPr>
          <w:rFonts w:ascii="Arial" w:hAnsi="Arial"/>
          <w:color w:val="137692"/>
          <w:sz w:val="28"/>
        </w:rPr>
      </w:pPr>
      <w:r>
        <w:rPr>
          <w:rFonts w:ascii="Calibri" w:hAnsi="Calibri"/>
          <w:color w:val="4D4D4F"/>
          <w:w w:val="125"/>
          <w:sz w:val="18"/>
        </w:rPr>
        <w:t>Understand</w:t>
      </w:r>
      <w:r>
        <w:rPr>
          <w:rFonts w:ascii="Calibri" w:hAnsi="Calibri"/>
          <w:color w:val="4D4D4F"/>
          <w:spacing w:val="-10"/>
          <w:w w:val="125"/>
          <w:sz w:val="18"/>
        </w:rPr>
        <w:t> </w:t>
      </w:r>
      <w:r>
        <w:rPr>
          <w:rFonts w:ascii="Calibri" w:hAnsi="Calibri"/>
          <w:color w:val="4D4D4F"/>
          <w:w w:val="125"/>
          <w:sz w:val="18"/>
        </w:rPr>
        <w:t>that</w:t>
      </w:r>
      <w:r>
        <w:rPr>
          <w:rFonts w:ascii="Calibri" w:hAnsi="Calibri"/>
          <w:color w:val="4D4D4F"/>
          <w:spacing w:val="-9"/>
          <w:w w:val="125"/>
          <w:sz w:val="18"/>
        </w:rPr>
        <w:t> </w:t>
      </w:r>
      <w:r>
        <w:rPr>
          <w:rFonts w:ascii="Calibri" w:hAnsi="Calibri"/>
          <w:color w:val="4D4D4F"/>
          <w:w w:val="125"/>
          <w:sz w:val="18"/>
        </w:rPr>
        <w:t>taking</w:t>
      </w:r>
      <w:r>
        <w:rPr>
          <w:rFonts w:ascii="Calibri" w:hAnsi="Calibri"/>
          <w:color w:val="4D4D4F"/>
          <w:spacing w:val="-9"/>
          <w:w w:val="125"/>
          <w:sz w:val="18"/>
        </w:rPr>
        <w:t> </w:t>
      </w:r>
      <w:r>
        <w:rPr>
          <w:rFonts w:ascii="Calibri" w:hAnsi="Calibri"/>
          <w:color w:val="4D4D4F"/>
          <w:w w:val="125"/>
          <w:sz w:val="18"/>
        </w:rPr>
        <w:t>naltrexone</w:t>
      </w:r>
      <w:r>
        <w:rPr>
          <w:rFonts w:ascii="Calibri" w:hAnsi="Calibri"/>
          <w:color w:val="4D4D4F"/>
          <w:spacing w:val="-9"/>
          <w:w w:val="125"/>
          <w:sz w:val="18"/>
        </w:rPr>
        <w:t> </w:t>
      </w:r>
      <w:r>
        <w:rPr>
          <w:rFonts w:ascii="Calibri" w:hAnsi="Calibri"/>
          <w:color w:val="4D4D4F"/>
          <w:w w:val="125"/>
          <w:sz w:val="18"/>
        </w:rPr>
        <w:t>may</w:t>
      </w:r>
      <w:r>
        <w:rPr>
          <w:rFonts w:ascii="Calibri" w:hAnsi="Calibri"/>
          <w:color w:val="4D4D4F"/>
          <w:spacing w:val="-9"/>
          <w:w w:val="125"/>
          <w:sz w:val="18"/>
        </w:rPr>
        <w:t> </w:t>
      </w:r>
      <w:r>
        <w:rPr>
          <w:rFonts w:ascii="Calibri" w:hAnsi="Calibri"/>
          <w:color w:val="4D4D4F"/>
          <w:w w:val="125"/>
          <w:sz w:val="18"/>
        </w:rPr>
        <w:t>result in</w:t>
      </w:r>
      <w:r>
        <w:rPr>
          <w:rFonts w:ascii="Calibri" w:hAnsi="Calibri"/>
          <w:color w:val="4D4D4F"/>
          <w:spacing w:val="-8"/>
          <w:w w:val="125"/>
          <w:sz w:val="18"/>
        </w:rPr>
        <w:t> </w:t>
      </w:r>
      <w:r>
        <w:rPr>
          <w:rFonts w:ascii="Calibri" w:hAnsi="Calibri"/>
          <w:color w:val="4D4D4F"/>
          <w:w w:val="125"/>
          <w:sz w:val="18"/>
        </w:rPr>
        <w:t>difﬁculty</w:t>
      </w:r>
      <w:r>
        <w:rPr>
          <w:rFonts w:ascii="Calibri" w:hAnsi="Calibri"/>
          <w:color w:val="4D4D4F"/>
          <w:spacing w:val="-8"/>
          <w:w w:val="125"/>
          <w:sz w:val="18"/>
        </w:rPr>
        <w:t> </w:t>
      </w:r>
      <w:r>
        <w:rPr>
          <w:rFonts w:ascii="Calibri" w:hAnsi="Calibri"/>
          <w:color w:val="4D4D4F"/>
          <w:w w:val="125"/>
          <w:sz w:val="18"/>
        </w:rPr>
        <w:t>achieving</w:t>
      </w:r>
      <w:r>
        <w:rPr>
          <w:rFonts w:ascii="Calibri" w:hAnsi="Calibri"/>
          <w:color w:val="4D4D4F"/>
          <w:spacing w:val="-8"/>
          <w:w w:val="125"/>
          <w:sz w:val="18"/>
        </w:rPr>
        <w:t> </w:t>
      </w:r>
      <w:r>
        <w:rPr>
          <w:rFonts w:ascii="Calibri" w:hAnsi="Calibri"/>
          <w:color w:val="4D4D4F"/>
          <w:w w:val="125"/>
          <w:sz w:val="18"/>
        </w:rPr>
        <w:t>adequate</w:t>
      </w:r>
      <w:r>
        <w:rPr>
          <w:rFonts w:ascii="Calibri" w:hAnsi="Calibri"/>
          <w:color w:val="4D4D4F"/>
          <w:spacing w:val="-8"/>
          <w:w w:val="125"/>
          <w:sz w:val="18"/>
        </w:rPr>
        <w:t> </w:t>
      </w:r>
      <w:r>
        <w:rPr>
          <w:rFonts w:ascii="Calibri" w:hAnsi="Calibri"/>
          <w:color w:val="4D4D4F"/>
          <w:w w:val="125"/>
          <w:sz w:val="18"/>
        </w:rPr>
        <w:t>pain</w:t>
      </w:r>
      <w:r>
        <w:rPr>
          <w:rFonts w:ascii="Calibri" w:hAnsi="Calibri"/>
          <w:color w:val="4D4D4F"/>
          <w:spacing w:val="-8"/>
          <w:w w:val="125"/>
          <w:sz w:val="18"/>
        </w:rPr>
        <w:t> </w:t>
      </w:r>
      <w:r>
        <w:rPr>
          <w:rFonts w:ascii="Calibri" w:hAnsi="Calibri"/>
          <w:color w:val="4D4D4F"/>
          <w:w w:val="125"/>
          <w:sz w:val="18"/>
        </w:rPr>
        <w:t>control</w:t>
      </w:r>
      <w:r>
        <w:rPr>
          <w:rFonts w:ascii="Calibri" w:hAnsi="Calibri"/>
          <w:color w:val="4D4D4F"/>
          <w:spacing w:val="-8"/>
          <w:w w:val="125"/>
          <w:sz w:val="18"/>
        </w:rPr>
        <w:t> </w:t>
      </w:r>
      <w:r>
        <w:rPr>
          <w:rFonts w:ascii="Calibri" w:hAnsi="Calibri"/>
          <w:color w:val="4D4D4F"/>
          <w:spacing w:val="-6"/>
          <w:w w:val="125"/>
          <w:sz w:val="18"/>
        </w:rPr>
        <w:t>if </w:t>
      </w:r>
      <w:r>
        <w:rPr>
          <w:rFonts w:ascii="Calibri" w:hAnsi="Calibri"/>
          <w:color w:val="4D4D4F"/>
          <w:w w:val="125"/>
          <w:sz w:val="18"/>
        </w:rPr>
        <w:t>acute</w:t>
      </w:r>
      <w:r>
        <w:rPr>
          <w:rFonts w:ascii="Calibri" w:hAnsi="Calibri"/>
          <w:color w:val="4D4D4F"/>
          <w:spacing w:val="-10"/>
          <w:w w:val="125"/>
          <w:sz w:val="18"/>
        </w:rPr>
        <w:t> </w:t>
      </w:r>
      <w:r>
        <w:rPr>
          <w:rFonts w:ascii="Calibri" w:hAnsi="Calibri"/>
          <w:color w:val="4D4D4F"/>
          <w:w w:val="125"/>
          <w:sz w:val="18"/>
        </w:rPr>
        <w:t>medical</w:t>
      </w:r>
      <w:r>
        <w:rPr>
          <w:rFonts w:ascii="Calibri" w:hAnsi="Calibri"/>
          <w:color w:val="4D4D4F"/>
          <w:spacing w:val="-10"/>
          <w:w w:val="125"/>
          <w:sz w:val="18"/>
        </w:rPr>
        <w:t> </w:t>
      </w:r>
      <w:r>
        <w:rPr>
          <w:rFonts w:ascii="Calibri" w:hAnsi="Calibri"/>
          <w:color w:val="4D4D4F"/>
          <w:w w:val="125"/>
          <w:sz w:val="18"/>
        </w:rPr>
        <w:t>illness</w:t>
      </w:r>
      <w:r>
        <w:rPr>
          <w:rFonts w:ascii="Calibri" w:hAnsi="Calibri"/>
          <w:color w:val="4D4D4F"/>
          <w:spacing w:val="-9"/>
          <w:w w:val="125"/>
          <w:sz w:val="18"/>
        </w:rPr>
        <w:t> </w:t>
      </w:r>
      <w:r>
        <w:rPr>
          <w:rFonts w:ascii="Calibri" w:hAnsi="Calibri"/>
          <w:color w:val="4D4D4F"/>
          <w:w w:val="125"/>
          <w:sz w:val="18"/>
        </w:rPr>
        <w:t>or</w:t>
      </w:r>
      <w:r>
        <w:rPr>
          <w:rFonts w:ascii="Calibri" w:hAnsi="Calibri"/>
          <w:color w:val="4D4D4F"/>
          <w:spacing w:val="-10"/>
          <w:w w:val="125"/>
          <w:sz w:val="18"/>
        </w:rPr>
        <w:t> </w:t>
      </w:r>
      <w:r>
        <w:rPr>
          <w:rFonts w:ascii="Calibri" w:hAnsi="Calibri"/>
          <w:color w:val="4D4D4F"/>
          <w:w w:val="125"/>
          <w:sz w:val="18"/>
        </w:rPr>
        <w:t>trauma</w:t>
      </w:r>
      <w:r>
        <w:rPr>
          <w:rFonts w:ascii="Calibri" w:hAnsi="Calibri"/>
          <w:color w:val="4D4D4F"/>
          <w:spacing w:val="-10"/>
          <w:w w:val="125"/>
          <w:sz w:val="18"/>
        </w:rPr>
        <w:t> </w:t>
      </w:r>
      <w:r>
        <w:rPr>
          <w:rFonts w:ascii="Calibri" w:hAnsi="Calibri"/>
          <w:color w:val="4D4D4F"/>
          <w:w w:val="125"/>
          <w:sz w:val="18"/>
        </w:rPr>
        <w:t>causes</w:t>
      </w:r>
      <w:r>
        <w:rPr>
          <w:rFonts w:ascii="Calibri" w:hAnsi="Calibri"/>
          <w:color w:val="4D4D4F"/>
          <w:spacing w:val="-9"/>
          <w:w w:val="125"/>
          <w:sz w:val="18"/>
        </w:rPr>
        <w:t> </w:t>
      </w:r>
      <w:r>
        <w:rPr>
          <w:rFonts w:ascii="Calibri" w:hAnsi="Calibri"/>
          <w:color w:val="4D4D4F"/>
          <w:w w:val="125"/>
          <w:sz w:val="18"/>
        </w:rPr>
        <w:t>severe</w:t>
      </w:r>
    </w:p>
    <w:p>
      <w:pPr>
        <w:spacing w:line="219" w:lineRule="exact" w:before="20"/>
        <w:ind w:left="330" w:right="0" w:firstLine="0"/>
        <w:jc w:val="both"/>
        <w:rPr>
          <w:rFonts w:ascii="Calibri"/>
          <w:sz w:val="18"/>
        </w:rPr>
      </w:pPr>
      <w:r>
        <w:rPr>
          <w:rFonts w:ascii="Calibri"/>
          <w:color w:val="4D4D4F"/>
          <w:w w:val="125"/>
          <w:sz w:val="18"/>
        </w:rPr>
        <w:t>acute pain.</w:t>
      </w:r>
    </w:p>
    <w:p>
      <w:pPr>
        <w:pStyle w:val="ListParagraph"/>
        <w:numPr>
          <w:ilvl w:val="0"/>
          <w:numId w:val="4"/>
        </w:numPr>
        <w:tabs>
          <w:tab w:pos="330" w:val="left" w:leader="none"/>
        </w:tabs>
        <w:spacing w:line="235" w:lineRule="auto" w:before="3" w:after="0"/>
        <w:ind w:left="330" w:right="514" w:hanging="180"/>
        <w:jc w:val="left"/>
        <w:rPr>
          <w:rFonts w:ascii="Arial" w:hAnsi="Arial"/>
          <w:color w:val="137692"/>
          <w:sz w:val="28"/>
        </w:rPr>
      </w:pPr>
      <w:r>
        <w:rPr>
          <w:rFonts w:ascii="Calibri" w:hAnsi="Calibri"/>
          <w:color w:val="4D4D4F"/>
          <w:spacing w:val="-4"/>
          <w:w w:val="125"/>
          <w:sz w:val="18"/>
        </w:rPr>
        <w:t>Wear </w:t>
      </w:r>
      <w:r>
        <w:rPr>
          <w:rFonts w:ascii="Calibri" w:hAnsi="Calibri"/>
          <w:color w:val="4D4D4F"/>
          <w:w w:val="125"/>
          <w:sz w:val="18"/>
        </w:rPr>
        <w:t>medical alert jewelry and carry a medical alert card indicating you are taking XR-NTX. A patient</w:t>
      </w:r>
      <w:r>
        <w:rPr>
          <w:rFonts w:ascii="Calibri" w:hAnsi="Calibri"/>
          <w:color w:val="4D4D4F"/>
          <w:spacing w:val="-11"/>
          <w:w w:val="125"/>
          <w:sz w:val="18"/>
        </w:rPr>
        <w:t> </w:t>
      </w:r>
      <w:r>
        <w:rPr>
          <w:rFonts w:ascii="Calibri" w:hAnsi="Calibri"/>
          <w:color w:val="4D4D4F"/>
          <w:w w:val="125"/>
          <w:sz w:val="18"/>
        </w:rPr>
        <w:t>wallet</w:t>
      </w:r>
      <w:r>
        <w:rPr>
          <w:rFonts w:ascii="Calibri" w:hAnsi="Calibri"/>
          <w:color w:val="4D4D4F"/>
          <w:spacing w:val="-10"/>
          <w:w w:val="125"/>
          <w:sz w:val="18"/>
        </w:rPr>
        <w:t> </w:t>
      </w:r>
      <w:r>
        <w:rPr>
          <w:rFonts w:ascii="Calibri" w:hAnsi="Calibri"/>
          <w:color w:val="4D4D4F"/>
          <w:w w:val="125"/>
          <w:sz w:val="18"/>
        </w:rPr>
        <w:t>card</w:t>
      </w:r>
      <w:r>
        <w:rPr>
          <w:rFonts w:ascii="Calibri" w:hAnsi="Calibri"/>
          <w:color w:val="4D4D4F"/>
          <w:spacing w:val="-11"/>
          <w:w w:val="125"/>
          <w:sz w:val="18"/>
        </w:rPr>
        <w:t> </w:t>
      </w:r>
      <w:r>
        <w:rPr>
          <w:rFonts w:ascii="Calibri" w:hAnsi="Calibri"/>
          <w:color w:val="4D4D4F"/>
          <w:w w:val="125"/>
          <w:sz w:val="18"/>
        </w:rPr>
        <w:t>or</w:t>
      </w:r>
      <w:r>
        <w:rPr>
          <w:rFonts w:ascii="Calibri" w:hAnsi="Calibri"/>
          <w:color w:val="4D4D4F"/>
          <w:spacing w:val="-10"/>
          <w:w w:val="125"/>
          <w:sz w:val="18"/>
        </w:rPr>
        <w:t> </w:t>
      </w:r>
      <w:r>
        <w:rPr>
          <w:rFonts w:ascii="Calibri" w:hAnsi="Calibri"/>
          <w:color w:val="4D4D4F"/>
          <w:w w:val="125"/>
          <w:sz w:val="18"/>
        </w:rPr>
        <w:t>medical</w:t>
      </w:r>
      <w:r>
        <w:rPr>
          <w:rFonts w:ascii="Calibri" w:hAnsi="Calibri"/>
          <w:color w:val="4D4D4F"/>
          <w:spacing w:val="-10"/>
          <w:w w:val="125"/>
          <w:sz w:val="18"/>
        </w:rPr>
        <w:t> </w:t>
      </w:r>
      <w:r>
        <w:rPr>
          <w:rFonts w:ascii="Calibri" w:hAnsi="Calibri"/>
          <w:color w:val="4D4D4F"/>
          <w:w w:val="125"/>
          <w:sz w:val="18"/>
        </w:rPr>
        <w:t>alert</w:t>
      </w:r>
      <w:r>
        <w:rPr>
          <w:rFonts w:ascii="Calibri" w:hAnsi="Calibri"/>
          <w:color w:val="4D4D4F"/>
          <w:spacing w:val="-11"/>
          <w:w w:val="125"/>
          <w:sz w:val="18"/>
        </w:rPr>
        <w:t> </w:t>
      </w:r>
      <w:r>
        <w:rPr>
          <w:rFonts w:ascii="Calibri" w:hAnsi="Calibri"/>
          <w:color w:val="4D4D4F"/>
          <w:w w:val="125"/>
          <w:sz w:val="18"/>
        </w:rPr>
        <w:t>bracelet</w:t>
      </w:r>
      <w:r>
        <w:rPr>
          <w:rFonts w:ascii="Calibri" w:hAnsi="Calibri"/>
          <w:color w:val="4D4D4F"/>
          <w:spacing w:val="-10"/>
          <w:w w:val="125"/>
          <w:sz w:val="18"/>
        </w:rPr>
        <w:t> </w:t>
      </w:r>
      <w:r>
        <w:rPr>
          <w:rFonts w:ascii="Calibri" w:hAnsi="Calibri"/>
          <w:color w:val="4D4D4F"/>
          <w:spacing w:val="-4"/>
          <w:w w:val="125"/>
          <w:sz w:val="18"/>
        </w:rPr>
        <w:t>can</w:t>
      </w:r>
    </w:p>
    <w:p>
      <w:pPr>
        <w:spacing w:before="21"/>
        <w:ind w:left="330" w:right="0" w:firstLine="0"/>
        <w:jc w:val="left"/>
        <w:rPr>
          <w:rFonts w:ascii="Calibri"/>
          <w:sz w:val="18"/>
        </w:rPr>
      </w:pPr>
      <w:r>
        <w:rPr>
          <w:rFonts w:ascii="Calibri"/>
          <w:color w:val="4D4D4F"/>
          <w:w w:val="120"/>
          <w:sz w:val="18"/>
        </w:rPr>
        <w:t>be ordered at 1-800-848-4876.</w:t>
      </w:r>
    </w:p>
    <w:p>
      <w:pPr>
        <w:pStyle w:val="BodyText"/>
        <w:rPr>
          <w:rFonts w:ascii="Calibri"/>
        </w:rPr>
      </w:pPr>
    </w:p>
    <w:p>
      <w:pPr>
        <w:pStyle w:val="BodyText"/>
        <w:spacing w:before="1"/>
        <w:rPr>
          <w:rFonts w:ascii="Calibri"/>
          <w:sz w:val="29"/>
        </w:rPr>
      </w:pPr>
    </w:p>
    <w:p>
      <w:pPr>
        <w:pStyle w:val="BodyText"/>
        <w:spacing w:line="247" w:lineRule="auto"/>
        <w:ind w:left="140" w:right="167"/>
      </w:pPr>
      <w:r>
        <w:rPr>
          <w:color w:val="4D4D4F"/>
          <w:w w:val="110"/>
        </w:rPr>
        <w:t>Patients</w:t>
      </w:r>
      <w:r>
        <w:rPr>
          <w:color w:val="4D4D4F"/>
          <w:spacing w:val="-13"/>
          <w:w w:val="110"/>
        </w:rPr>
        <w:t> </w:t>
      </w:r>
      <w:r>
        <w:rPr>
          <w:color w:val="4D4D4F"/>
          <w:w w:val="110"/>
        </w:rPr>
        <w:t>who</w:t>
      </w:r>
      <w:r>
        <w:rPr>
          <w:color w:val="4D4D4F"/>
          <w:spacing w:val="-13"/>
          <w:w w:val="110"/>
        </w:rPr>
        <w:t> </w:t>
      </w:r>
      <w:r>
        <w:rPr>
          <w:color w:val="4D4D4F"/>
          <w:w w:val="110"/>
        </w:rPr>
        <w:t>test</w:t>
      </w:r>
      <w:r>
        <w:rPr>
          <w:color w:val="4D4D4F"/>
          <w:spacing w:val="-13"/>
          <w:w w:val="110"/>
        </w:rPr>
        <w:t> </w:t>
      </w:r>
      <w:r>
        <w:rPr>
          <w:color w:val="4D4D4F"/>
          <w:w w:val="110"/>
        </w:rPr>
        <w:t>the</w:t>
      </w:r>
      <w:r>
        <w:rPr>
          <w:color w:val="4D4D4F"/>
          <w:spacing w:val="-13"/>
          <w:w w:val="110"/>
        </w:rPr>
        <w:t> </w:t>
      </w:r>
      <w:r>
        <w:rPr>
          <w:color w:val="4D4D4F"/>
          <w:w w:val="110"/>
        </w:rPr>
        <w:t>opioid</w:t>
      </w:r>
      <w:r>
        <w:rPr>
          <w:color w:val="4D4D4F"/>
          <w:spacing w:val="-13"/>
          <w:w w:val="110"/>
        </w:rPr>
        <w:t> </w:t>
      </w:r>
      <w:r>
        <w:rPr>
          <w:color w:val="4D4D4F"/>
          <w:w w:val="110"/>
        </w:rPr>
        <w:t>blockade</w:t>
      </w:r>
      <w:r>
        <w:rPr>
          <w:color w:val="4D4D4F"/>
          <w:spacing w:val="-13"/>
          <w:w w:val="110"/>
        </w:rPr>
        <w:t> </w:t>
      </w:r>
      <w:r>
        <w:rPr>
          <w:color w:val="4D4D4F"/>
          <w:w w:val="110"/>
        </w:rPr>
        <w:t>of</w:t>
      </w:r>
      <w:r>
        <w:rPr>
          <w:color w:val="4D4D4F"/>
          <w:spacing w:val="-13"/>
          <w:w w:val="110"/>
        </w:rPr>
        <w:t> </w:t>
      </w:r>
      <w:r>
        <w:rPr>
          <w:color w:val="4D4D4F"/>
          <w:spacing w:val="-3"/>
          <w:w w:val="110"/>
        </w:rPr>
        <w:t>XR-NTX </w:t>
      </w:r>
      <w:r>
        <w:rPr>
          <w:color w:val="4D4D4F"/>
          <w:w w:val="110"/>
        </w:rPr>
        <w:t>may discontinue use because of the blocking of the euphoric effects of illicit opioids.</w:t>
      </w:r>
      <w:r>
        <w:rPr>
          <w:color w:val="4D4D4F"/>
          <w:w w:val="110"/>
          <w:position w:val="7"/>
          <w:sz w:val="13"/>
        </w:rPr>
        <w:t>196 </w:t>
      </w:r>
      <w:r>
        <w:rPr>
          <w:color w:val="4D4D4F"/>
          <w:w w:val="110"/>
        </w:rPr>
        <w:t>Patients who miss a dose can restart medication (use procedures outlined earlier in this section) after an adequate period of opioid abstinence (7 to</w:t>
      </w:r>
      <w:r>
        <w:rPr>
          <w:color w:val="4D4D4F"/>
          <w:spacing w:val="67"/>
          <w:w w:val="110"/>
        </w:rPr>
        <w:t> </w:t>
      </w:r>
      <w:r>
        <w:rPr>
          <w:color w:val="4D4D4F"/>
          <w:w w:val="110"/>
        </w:rPr>
        <w:t>14</w:t>
      </w:r>
      <w:r>
        <w:rPr>
          <w:color w:val="4D4D4F"/>
          <w:spacing w:val="-6"/>
          <w:w w:val="110"/>
        </w:rPr>
        <w:t> </w:t>
      </w:r>
      <w:r>
        <w:rPr>
          <w:color w:val="4D4D4F"/>
          <w:w w:val="110"/>
        </w:rPr>
        <w:t>days).</w:t>
      </w:r>
    </w:p>
    <w:p>
      <w:pPr>
        <w:pStyle w:val="BodyText"/>
        <w:spacing w:before="9"/>
        <w:rPr>
          <w:sz w:val="32"/>
        </w:rPr>
      </w:pPr>
    </w:p>
    <w:p>
      <w:pPr>
        <w:pStyle w:val="Heading7"/>
        <w:spacing w:line="304" w:lineRule="auto" w:before="1"/>
        <w:ind w:left="437" w:right="253"/>
        <w:rPr>
          <w:rFonts w:ascii="Arial"/>
        </w:rPr>
      </w:pPr>
      <w:r>
        <w:rPr/>
        <w:pict>
          <v:line style="position:absolute;mso-position-horizontal-relative:page;mso-position-vertical-relative:paragraph;z-index:15755776" from="315.501007pt,42.370669pt" to="315.501007pt,-.277331pt" stroked="true" strokeweight="1pt" strokecolor="#759eb4">
            <v:stroke dashstyle="solid"/>
            <w10:wrap type="none"/>
          </v:line>
        </w:pict>
      </w:r>
      <w:r>
        <w:rPr>
          <w:rFonts w:ascii="Arial"/>
          <w:color w:val="B15651"/>
          <w:w w:val="110"/>
        </w:rPr>
        <w:t>The TIP expert panel cautions that, based on current data, arbitrary time limits on XR-NTX are inappropriate.</w:t>
      </w:r>
    </w:p>
    <w:p>
      <w:pPr>
        <w:spacing w:after="0" w:line="304" w:lineRule="auto"/>
        <w:rPr>
          <w:rFonts w:ascii="Arial"/>
        </w:rPr>
        <w:sectPr>
          <w:type w:val="continuous"/>
          <w:pgSz w:w="12240" w:h="15840"/>
          <w:pgMar w:top="540" w:bottom="280" w:left="940" w:right="920"/>
          <w:cols w:num="2" w:equalWidth="0">
            <w:col w:w="4943" w:space="277"/>
            <w:col w:w="5160"/>
          </w:cols>
        </w:sectPr>
      </w:pPr>
    </w:p>
    <w:p>
      <w:pPr>
        <w:pStyle w:val="BodyText"/>
        <w:spacing w:before="9"/>
        <w:rPr>
          <w:rFonts w:ascii="Arial"/>
          <w:b/>
          <w:sz w:val="26"/>
        </w:rPr>
      </w:pPr>
    </w:p>
    <w:p>
      <w:pPr>
        <w:spacing w:after="0"/>
        <w:rPr>
          <w:rFonts w:ascii="Arial"/>
          <w:sz w:val="26"/>
        </w:rPr>
        <w:sectPr>
          <w:pgSz w:w="12240" w:h="15840"/>
          <w:pgMar w:header="576" w:footer="677" w:top="1340" w:bottom="780" w:left="940" w:right="920"/>
        </w:sectPr>
      </w:pPr>
    </w:p>
    <w:p>
      <w:pPr>
        <w:pStyle w:val="BodyText"/>
        <w:spacing w:line="247" w:lineRule="auto" w:before="109"/>
        <w:ind w:left="140" w:right="199"/>
      </w:pPr>
      <w:r>
        <w:rPr>
          <w:color w:val="4C4D4F"/>
          <w:w w:val="110"/>
        </w:rPr>
        <w:t>See Chapter 3E for information on the manage- ment of patients taking naltrexone in ofﬁce- based treatment settings.</w:t>
      </w:r>
    </w:p>
    <w:p>
      <w:pPr>
        <w:spacing w:before="218"/>
        <w:ind w:left="140" w:right="0" w:firstLine="0"/>
        <w:jc w:val="left"/>
        <w:rPr>
          <w:b/>
          <w:i/>
          <w:sz w:val="24"/>
        </w:rPr>
      </w:pPr>
      <w:r>
        <w:rPr>
          <w:b/>
          <w:i/>
          <w:color w:val="147592"/>
          <w:w w:val="105"/>
          <w:sz w:val="24"/>
        </w:rPr>
        <w:t>Duration of treatment</w:t>
      </w:r>
    </w:p>
    <w:p>
      <w:pPr>
        <w:spacing w:line="240" w:lineRule="auto" w:before="42"/>
        <w:ind w:left="140" w:right="38" w:firstLine="0"/>
        <w:jc w:val="left"/>
        <w:rPr>
          <w:sz w:val="22"/>
        </w:rPr>
      </w:pPr>
      <w:r>
        <w:rPr>
          <w:rFonts w:ascii="Calibri" w:hAnsi="Calibri"/>
          <w:b/>
          <w:color w:val="4C4D4F"/>
          <w:w w:val="110"/>
          <w:sz w:val="22"/>
        </w:rPr>
        <w:t>Barring contraindications, patients should continue taking XR-NTX  as  long  as  they beneﬁt from it and want to continue. </w:t>
      </w:r>
      <w:r>
        <w:rPr>
          <w:color w:val="4C4D4F"/>
          <w:w w:val="110"/>
          <w:sz w:val="22"/>
        </w:rPr>
        <w:t>Data are limited</w:t>
      </w:r>
      <w:r>
        <w:rPr>
          <w:color w:val="4C4D4F"/>
          <w:spacing w:val="-14"/>
          <w:w w:val="110"/>
          <w:sz w:val="22"/>
        </w:rPr>
        <w:t> </w:t>
      </w:r>
      <w:r>
        <w:rPr>
          <w:color w:val="4C4D4F"/>
          <w:w w:val="110"/>
          <w:sz w:val="22"/>
        </w:rPr>
        <w:t>on</w:t>
      </w:r>
      <w:r>
        <w:rPr>
          <w:color w:val="4C4D4F"/>
          <w:spacing w:val="-14"/>
          <w:w w:val="110"/>
          <w:sz w:val="22"/>
        </w:rPr>
        <w:t> </w:t>
      </w:r>
      <w:r>
        <w:rPr>
          <w:color w:val="4C4D4F"/>
          <w:w w:val="110"/>
          <w:sz w:val="22"/>
        </w:rPr>
        <w:t>the</w:t>
      </w:r>
      <w:r>
        <w:rPr>
          <w:color w:val="4C4D4F"/>
          <w:spacing w:val="-13"/>
          <w:w w:val="110"/>
          <w:sz w:val="22"/>
        </w:rPr>
        <w:t> </w:t>
      </w:r>
      <w:r>
        <w:rPr>
          <w:color w:val="4C4D4F"/>
          <w:w w:val="110"/>
          <w:sz w:val="22"/>
        </w:rPr>
        <w:t>long-term</w:t>
      </w:r>
      <w:r>
        <w:rPr>
          <w:color w:val="4C4D4F"/>
          <w:spacing w:val="-14"/>
          <w:w w:val="110"/>
          <w:sz w:val="22"/>
        </w:rPr>
        <w:t> </w:t>
      </w:r>
      <w:r>
        <w:rPr>
          <w:color w:val="4C4D4F"/>
          <w:w w:val="110"/>
          <w:sz w:val="22"/>
        </w:rPr>
        <w:t>effectiveness</w:t>
      </w:r>
      <w:r>
        <w:rPr>
          <w:color w:val="4C4D4F"/>
          <w:spacing w:val="-14"/>
          <w:w w:val="110"/>
          <w:sz w:val="22"/>
        </w:rPr>
        <w:t> </w:t>
      </w:r>
      <w:r>
        <w:rPr>
          <w:color w:val="4C4D4F"/>
          <w:w w:val="110"/>
          <w:sz w:val="22"/>
        </w:rPr>
        <w:t>of</w:t>
      </w:r>
      <w:r>
        <w:rPr>
          <w:color w:val="4C4D4F"/>
          <w:spacing w:val="-13"/>
          <w:w w:val="110"/>
          <w:sz w:val="22"/>
        </w:rPr>
        <w:t> </w:t>
      </w:r>
      <w:r>
        <w:rPr>
          <w:color w:val="4C4D4F"/>
          <w:spacing w:val="-3"/>
          <w:w w:val="110"/>
          <w:sz w:val="22"/>
        </w:rPr>
        <w:t>XR-NTX </w:t>
      </w:r>
      <w:r>
        <w:rPr>
          <w:color w:val="4C4D4F"/>
          <w:w w:val="110"/>
          <w:sz w:val="22"/>
        </w:rPr>
        <w:t>compared with methadone or</w:t>
      </w:r>
      <w:r>
        <w:rPr>
          <w:color w:val="4C4D4F"/>
          <w:spacing w:val="-9"/>
          <w:w w:val="110"/>
          <w:sz w:val="22"/>
        </w:rPr>
        <w:t> </w:t>
      </w:r>
      <w:r>
        <w:rPr>
          <w:color w:val="4C4D4F"/>
          <w:w w:val="110"/>
          <w:sz w:val="22"/>
        </w:rPr>
        <w:t>buprenorphine.</w:t>
      </w:r>
    </w:p>
    <w:p>
      <w:pPr>
        <w:pStyle w:val="Heading6"/>
        <w:spacing w:before="203"/>
      </w:pPr>
      <w:r>
        <w:rPr>
          <w:color w:val="147592"/>
        </w:rPr>
        <w:t>Treatment discontinuation</w:t>
      </w:r>
    </w:p>
    <w:p>
      <w:pPr>
        <w:pStyle w:val="Heading7"/>
        <w:spacing w:line="235" w:lineRule="auto" w:before="68"/>
        <w:rPr>
          <w:rFonts w:ascii="Gill Sans MT"/>
          <w:b w:val="0"/>
        </w:rPr>
      </w:pPr>
      <w:r>
        <w:rPr>
          <w:color w:val="4C4D4F"/>
          <w:w w:val="110"/>
        </w:rPr>
        <w:t>When patients wish to discontinue naltrexone, engage in shared decision making </w:t>
      </w:r>
      <w:r>
        <w:rPr>
          <w:rFonts w:ascii="Gill Sans MT"/>
          <w:b w:val="0"/>
          <w:color w:val="4C4D4F"/>
          <w:w w:val="110"/>
        </w:rPr>
        <w:t>and explore:</w:t>
      </w:r>
    </w:p>
    <w:p>
      <w:pPr>
        <w:pStyle w:val="ListParagraph"/>
        <w:numPr>
          <w:ilvl w:val="0"/>
          <w:numId w:val="4"/>
        </w:numPr>
        <w:tabs>
          <w:tab w:pos="410" w:val="left" w:leader="none"/>
        </w:tabs>
        <w:spacing w:line="315" w:lineRule="exact" w:before="99" w:after="0"/>
        <w:ind w:left="410" w:right="0" w:hanging="270"/>
        <w:jc w:val="left"/>
        <w:rPr>
          <w:rFonts w:ascii="Arial" w:hAnsi="Arial"/>
          <w:color w:val="147592"/>
          <w:sz w:val="28"/>
        </w:rPr>
      </w:pPr>
      <w:r>
        <w:rPr>
          <w:color w:val="4C4D4F"/>
          <w:w w:val="110"/>
          <w:sz w:val="22"/>
        </w:rPr>
        <w:t>Their reasons for wanting to</w:t>
      </w:r>
      <w:r>
        <w:rPr>
          <w:color w:val="4C4D4F"/>
          <w:spacing w:val="-31"/>
          <w:w w:val="110"/>
          <w:sz w:val="22"/>
        </w:rPr>
        <w:t> </w:t>
      </w:r>
      <w:r>
        <w:rPr>
          <w:color w:val="4C4D4F"/>
          <w:w w:val="110"/>
          <w:sz w:val="22"/>
        </w:rPr>
        <w:t>discontinue.</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5"/>
          <w:sz w:val="22"/>
        </w:rPr>
        <w:t>The</w:t>
      </w:r>
      <w:r>
        <w:rPr>
          <w:color w:val="4C4D4F"/>
          <w:spacing w:val="-15"/>
          <w:w w:val="115"/>
          <w:sz w:val="22"/>
        </w:rPr>
        <w:t> </w:t>
      </w:r>
      <w:r>
        <w:rPr>
          <w:color w:val="4C4D4F"/>
          <w:w w:val="115"/>
          <w:sz w:val="22"/>
        </w:rPr>
        <w:t>risks</w:t>
      </w:r>
      <w:r>
        <w:rPr>
          <w:color w:val="4C4D4F"/>
          <w:spacing w:val="-14"/>
          <w:w w:val="115"/>
          <w:sz w:val="22"/>
        </w:rPr>
        <w:t> </w:t>
      </w:r>
      <w:r>
        <w:rPr>
          <w:color w:val="4C4D4F"/>
          <w:w w:val="115"/>
          <w:sz w:val="22"/>
        </w:rPr>
        <w:t>and</w:t>
      </w:r>
      <w:r>
        <w:rPr>
          <w:color w:val="4C4D4F"/>
          <w:spacing w:val="-15"/>
          <w:w w:val="115"/>
          <w:sz w:val="22"/>
        </w:rPr>
        <w:t> </w:t>
      </w:r>
      <w:r>
        <w:rPr>
          <w:color w:val="4C4D4F"/>
          <w:w w:val="115"/>
          <w:sz w:val="22"/>
        </w:rPr>
        <w:t>beneﬁts</w:t>
      </w:r>
      <w:r>
        <w:rPr>
          <w:color w:val="4C4D4F"/>
          <w:spacing w:val="-14"/>
          <w:w w:val="115"/>
          <w:sz w:val="22"/>
        </w:rPr>
        <w:t> </w:t>
      </w:r>
      <w:r>
        <w:rPr>
          <w:color w:val="4C4D4F"/>
          <w:w w:val="115"/>
          <w:sz w:val="22"/>
        </w:rPr>
        <w:t>of</w:t>
      </w:r>
      <w:r>
        <w:rPr>
          <w:color w:val="4C4D4F"/>
          <w:spacing w:val="-15"/>
          <w:w w:val="115"/>
          <w:sz w:val="22"/>
        </w:rPr>
        <w:t> </w:t>
      </w:r>
      <w:r>
        <w:rPr>
          <w:color w:val="4C4D4F"/>
          <w:w w:val="115"/>
          <w:sz w:val="22"/>
        </w:rPr>
        <w:t>discontinuing.</w:t>
      </w:r>
    </w:p>
    <w:p>
      <w:pPr>
        <w:pStyle w:val="ListParagraph"/>
        <w:numPr>
          <w:ilvl w:val="0"/>
          <w:numId w:val="4"/>
        </w:numPr>
        <w:tabs>
          <w:tab w:pos="410" w:val="left" w:leader="none"/>
        </w:tabs>
        <w:spacing w:line="208" w:lineRule="auto" w:before="22" w:after="0"/>
        <w:ind w:left="410" w:right="81" w:hanging="270"/>
        <w:jc w:val="left"/>
        <w:rPr>
          <w:rFonts w:ascii="Arial" w:hAnsi="Arial"/>
          <w:color w:val="147592"/>
          <w:sz w:val="28"/>
        </w:rPr>
      </w:pPr>
      <w:r>
        <w:rPr>
          <w:color w:val="4C4D4F"/>
          <w:w w:val="115"/>
          <w:sz w:val="22"/>
        </w:rPr>
        <w:t>Problem-solving</w:t>
      </w:r>
      <w:r>
        <w:rPr>
          <w:color w:val="4C4D4F"/>
          <w:spacing w:val="-25"/>
          <w:w w:val="115"/>
          <w:sz w:val="22"/>
        </w:rPr>
        <w:t> </w:t>
      </w:r>
      <w:r>
        <w:rPr>
          <w:color w:val="4C4D4F"/>
          <w:w w:val="115"/>
          <w:sz w:val="22"/>
        </w:rPr>
        <w:t>strategies</w:t>
      </w:r>
      <w:r>
        <w:rPr>
          <w:color w:val="4C4D4F"/>
          <w:spacing w:val="-25"/>
          <w:w w:val="115"/>
          <w:sz w:val="22"/>
        </w:rPr>
        <w:t> </w:t>
      </w:r>
      <w:r>
        <w:rPr>
          <w:color w:val="4C4D4F"/>
          <w:w w:val="115"/>
          <w:sz w:val="22"/>
        </w:rPr>
        <w:t>that</w:t>
      </w:r>
      <w:r>
        <w:rPr>
          <w:color w:val="4C4D4F"/>
          <w:spacing w:val="-24"/>
          <w:w w:val="115"/>
          <w:sz w:val="22"/>
        </w:rPr>
        <w:t> </w:t>
      </w:r>
      <w:r>
        <w:rPr>
          <w:color w:val="4C4D4F"/>
          <w:w w:val="115"/>
          <w:sz w:val="22"/>
        </w:rPr>
        <w:t>can</w:t>
      </w:r>
      <w:r>
        <w:rPr>
          <w:color w:val="4C4D4F"/>
          <w:spacing w:val="-25"/>
          <w:w w:val="115"/>
          <w:sz w:val="22"/>
        </w:rPr>
        <w:t> </w:t>
      </w:r>
      <w:r>
        <w:rPr>
          <w:color w:val="4C4D4F"/>
          <w:w w:val="115"/>
          <w:sz w:val="22"/>
        </w:rPr>
        <w:t>help</w:t>
      </w:r>
      <w:r>
        <w:rPr>
          <w:color w:val="4C4D4F"/>
          <w:spacing w:val="-24"/>
          <w:w w:val="115"/>
          <w:sz w:val="22"/>
        </w:rPr>
        <w:t> </w:t>
      </w:r>
      <w:r>
        <w:rPr>
          <w:color w:val="4C4D4F"/>
          <w:spacing w:val="-5"/>
          <w:w w:val="115"/>
          <w:sz w:val="22"/>
        </w:rPr>
        <w:t>them </w:t>
      </w:r>
      <w:r>
        <w:rPr>
          <w:color w:val="4C4D4F"/>
          <w:w w:val="115"/>
          <w:sz w:val="22"/>
        </w:rPr>
        <w:t>make an informed</w:t>
      </w:r>
      <w:r>
        <w:rPr>
          <w:color w:val="4C4D4F"/>
          <w:spacing w:val="-33"/>
          <w:w w:val="115"/>
          <w:sz w:val="22"/>
        </w:rPr>
        <w:t> </w:t>
      </w:r>
      <w:r>
        <w:rPr>
          <w:color w:val="4C4D4F"/>
          <w:w w:val="115"/>
          <w:sz w:val="22"/>
        </w:rPr>
        <w:t>choice.</w:t>
      </w:r>
    </w:p>
    <w:p>
      <w:pPr>
        <w:pStyle w:val="ListParagraph"/>
        <w:numPr>
          <w:ilvl w:val="0"/>
          <w:numId w:val="4"/>
        </w:numPr>
        <w:tabs>
          <w:tab w:pos="410" w:val="left" w:leader="none"/>
        </w:tabs>
        <w:spacing w:line="208" w:lineRule="auto" w:before="69" w:after="0"/>
        <w:ind w:left="410" w:right="325" w:hanging="270"/>
        <w:jc w:val="left"/>
        <w:rPr>
          <w:rFonts w:ascii="Arial" w:hAnsi="Arial"/>
          <w:color w:val="147592"/>
          <w:sz w:val="28"/>
        </w:rPr>
      </w:pPr>
      <w:r>
        <w:rPr>
          <w:color w:val="4C4D4F"/>
          <w:w w:val="110"/>
          <w:sz w:val="22"/>
        </w:rPr>
        <w:t>Their appropriateness for buprenorphine</w:t>
      </w:r>
      <w:r>
        <w:rPr>
          <w:color w:val="4C4D4F"/>
          <w:spacing w:val="-42"/>
          <w:w w:val="110"/>
          <w:sz w:val="22"/>
        </w:rPr>
        <w:t> </w:t>
      </w:r>
      <w:r>
        <w:rPr>
          <w:color w:val="4C4D4F"/>
          <w:spacing w:val="-9"/>
          <w:w w:val="110"/>
          <w:sz w:val="22"/>
        </w:rPr>
        <w:t>or </w:t>
      </w:r>
      <w:r>
        <w:rPr>
          <w:color w:val="4C4D4F"/>
          <w:w w:val="110"/>
          <w:sz w:val="22"/>
        </w:rPr>
        <w:t>methadone</w:t>
      </w:r>
      <w:r>
        <w:rPr>
          <w:color w:val="4C4D4F"/>
          <w:spacing w:val="-6"/>
          <w:w w:val="110"/>
          <w:sz w:val="22"/>
        </w:rPr>
        <w:t> </w:t>
      </w:r>
      <w:r>
        <w:rPr>
          <w:color w:val="4C4D4F"/>
          <w:w w:val="110"/>
          <w:sz w:val="22"/>
        </w:rPr>
        <w:t>treatment.</w:t>
      </w:r>
    </w:p>
    <w:p>
      <w:pPr>
        <w:spacing w:line="242" w:lineRule="auto" w:before="190"/>
        <w:ind w:left="140" w:right="171" w:firstLine="0"/>
        <w:jc w:val="left"/>
        <w:rPr>
          <w:sz w:val="22"/>
        </w:rPr>
      </w:pPr>
      <w:r>
        <w:rPr>
          <w:rFonts w:ascii="Calibri"/>
          <w:b/>
          <w:color w:val="4C4D4F"/>
          <w:w w:val="115"/>
          <w:sz w:val="22"/>
        </w:rPr>
        <w:t>Discourage patients who are not yet stable from discontinuing treatment, </w:t>
      </w:r>
      <w:r>
        <w:rPr>
          <w:color w:val="4C4D4F"/>
          <w:w w:val="115"/>
          <w:sz w:val="22"/>
        </w:rPr>
        <w:t>because of </w:t>
      </w:r>
      <w:r>
        <w:rPr>
          <w:color w:val="4C4D4F"/>
          <w:spacing w:val="-6"/>
          <w:w w:val="115"/>
          <w:sz w:val="22"/>
        </w:rPr>
        <w:t>the </w:t>
      </w:r>
      <w:r>
        <w:rPr>
          <w:color w:val="4C4D4F"/>
          <w:w w:val="115"/>
          <w:sz w:val="22"/>
        </w:rPr>
        <w:t>high rate of return to illicit opioid use and the increased chance of overdose</w:t>
      </w:r>
      <w:r>
        <w:rPr>
          <w:color w:val="4C4D4F"/>
          <w:spacing w:val="-53"/>
          <w:w w:val="115"/>
          <w:sz w:val="22"/>
        </w:rPr>
        <w:t> </w:t>
      </w:r>
      <w:r>
        <w:rPr>
          <w:color w:val="4C4D4F"/>
          <w:w w:val="115"/>
          <w:sz w:val="22"/>
        </w:rPr>
        <w:t>death.</w:t>
      </w:r>
    </w:p>
    <w:p>
      <w:pPr>
        <w:pStyle w:val="BodyText"/>
        <w:spacing w:line="247" w:lineRule="auto" w:before="183"/>
        <w:ind w:left="140" w:right="112"/>
        <w:rPr>
          <w:sz w:val="13"/>
        </w:rPr>
      </w:pPr>
      <w:r>
        <w:rPr>
          <w:color w:val="4C4D4F"/>
          <w:w w:val="115"/>
        </w:rPr>
        <w:t>Signs</w:t>
      </w:r>
      <w:r>
        <w:rPr>
          <w:color w:val="4C4D4F"/>
          <w:spacing w:val="-18"/>
          <w:w w:val="115"/>
        </w:rPr>
        <w:t> </w:t>
      </w:r>
      <w:r>
        <w:rPr>
          <w:color w:val="4C4D4F"/>
          <w:w w:val="115"/>
        </w:rPr>
        <w:t>that</w:t>
      </w:r>
      <w:r>
        <w:rPr>
          <w:color w:val="4C4D4F"/>
          <w:spacing w:val="-18"/>
          <w:w w:val="115"/>
        </w:rPr>
        <w:t> </w:t>
      </w:r>
      <w:r>
        <w:rPr>
          <w:color w:val="4C4D4F"/>
          <w:w w:val="115"/>
        </w:rPr>
        <w:t>a</w:t>
      </w:r>
      <w:r>
        <w:rPr>
          <w:color w:val="4C4D4F"/>
          <w:spacing w:val="-18"/>
          <w:w w:val="115"/>
        </w:rPr>
        <w:t> </w:t>
      </w:r>
      <w:r>
        <w:rPr>
          <w:color w:val="4C4D4F"/>
          <w:w w:val="115"/>
        </w:rPr>
        <w:t>patient</w:t>
      </w:r>
      <w:r>
        <w:rPr>
          <w:color w:val="4C4D4F"/>
          <w:spacing w:val="-18"/>
          <w:w w:val="115"/>
        </w:rPr>
        <w:t> </w:t>
      </w:r>
      <w:r>
        <w:rPr>
          <w:color w:val="4C4D4F"/>
          <w:w w:val="115"/>
        </w:rPr>
        <w:t>may</w:t>
      </w:r>
      <w:r>
        <w:rPr>
          <w:color w:val="4C4D4F"/>
          <w:spacing w:val="-17"/>
          <w:w w:val="115"/>
        </w:rPr>
        <w:t> </w:t>
      </w:r>
      <w:r>
        <w:rPr>
          <w:color w:val="4C4D4F"/>
          <w:w w:val="115"/>
        </w:rPr>
        <w:t>be</w:t>
      </w:r>
      <w:r>
        <w:rPr>
          <w:color w:val="4C4D4F"/>
          <w:spacing w:val="-18"/>
          <w:w w:val="115"/>
        </w:rPr>
        <w:t> </w:t>
      </w:r>
      <w:r>
        <w:rPr>
          <w:color w:val="4C4D4F"/>
          <w:w w:val="115"/>
        </w:rPr>
        <w:t>ready</w:t>
      </w:r>
      <w:r>
        <w:rPr>
          <w:color w:val="4C4D4F"/>
          <w:spacing w:val="-18"/>
          <w:w w:val="115"/>
        </w:rPr>
        <w:t> </w:t>
      </w:r>
      <w:r>
        <w:rPr>
          <w:color w:val="4C4D4F"/>
          <w:w w:val="115"/>
        </w:rPr>
        <w:t>to</w:t>
      </w:r>
      <w:r>
        <w:rPr>
          <w:color w:val="4C4D4F"/>
          <w:spacing w:val="-18"/>
          <w:w w:val="115"/>
        </w:rPr>
        <w:t> </w:t>
      </w:r>
      <w:r>
        <w:rPr>
          <w:color w:val="4C4D4F"/>
          <w:w w:val="115"/>
        </w:rPr>
        <w:t>discontinue medication</w:t>
      </w:r>
      <w:r>
        <w:rPr>
          <w:color w:val="4C4D4F"/>
          <w:spacing w:val="-11"/>
          <w:w w:val="115"/>
        </w:rPr>
        <w:t> </w:t>
      </w:r>
      <w:r>
        <w:rPr>
          <w:color w:val="4C4D4F"/>
          <w:w w:val="115"/>
        </w:rPr>
        <w:t>include:</w:t>
      </w:r>
      <w:r>
        <w:rPr>
          <w:color w:val="4C4D4F"/>
          <w:w w:val="115"/>
          <w:position w:val="7"/>
          <w:sz w:val="13"/>
        </w:rPr>
        <w:t>197</w:t>
      </w:r>
    </w:p>
    <w:p>
      <w:pPr>
        <w:pStyle w:val="ListParagraph"/>
        <w:numPr>
          <w:ilvl w:val="0"/>
          <w:numId w:val="4"/>
        </w:numPr>
        <w:tabs>
          <w:tab w:pos="410" w:val="left" w:leader="none"/>
        </w:tabs>
        <w:spacing w:line="315" w:lineRule="exact" w:before="100" w:after="0"/>
        <w:ind w:left="410" w:right="0" w:hanging="270"/>
        <w:jc w:val="left"/>
        <w:rPr>
          <w:rFonts w:ascii="Arial" w:hAnsi="Arial"/>
          <w:color w:val="147592"/>
          <w:sz w:val="28"/>
        </w:rPr>
      </w:pPr>
      <w:r>
        <w:rPr>
          <w:color w:val="4C4D4F"/>
          <w:w w:val="115"/>
          <w:sz w:val="22"/>
        </w:rPr>
        <w:t>Sustaining</w:t>
      </w:r>
      <w:r>
        <w:rPr>
          <w:color w:val="4C4D4F"/>
          <w:spacing w:val="-15"/>
          <w:w w:val="115"/>
          <w:sz w:val="22"/>
        </w:rPr>
        <w:t> </w:t>
      </w:r>
      <w:r>
        <w:rPr>
          <w:color w:val="4C4D4F"/>
          <w:w w:val="115"/>
          <w:sz w:val="22"/>
        </w:rPr>
        <w:t>illicit</w:t>
      </w:r>
      <w:r>
        <w:rPr>
          <w:color w:val="4C4D4F"/>
          <w:spacing w:val="-15"/>
          <w:w w:val="115"/>
          <w:sz w:val="22"/>
        </w:rPr>
        <w:t> </w:t>
      </w:r>
      <w:r>
        <w:rPr>
          <w:color w:val="4C4D4F"/>
          <w:w w:val="115"/>
          <w:sz w:val="22"/>
        </w:rPr>
        <w:t>drug</w:t>
      </w:r>
      <w:r>
        <w:rPr>
          <w:color w:val="4C4D4F"/>
          <w:spacing w:val="-15"/>
          <w:w w:val="115"/>
          <w:sz w:val="22"/>
        </w:rPr>
        <w:t> </w:t>
      </w:r>
      <w:r>
        <w:rPr>
          <w:color w:val="4C4D4F"/>
          <w:w w:val="115"/>
          <w:sz w:val="22"/>
        </w:rPr>
        <w:t>abstinence</w:t>
      </w:r>
      <w:r>
        <w:rPr>
          <w:color w:val="4C4D4F"/>
          <w:spacing w:val="-15"/>
          <w:w w:val="115"/>
          <w:sz w:val="22"/>
        </w:rPr>
        <w:t> </w:t>
      </w:r>
      <w:r>
        <w:rPr>
          <w:color w:val="4C4D4F"/>
          <w:w w:val="115"/>
          <w:sz w:val="22"/>
        </w:rPr>
        <w:t>over</w:t>
      </w:r>
      <w:r>
        <w:rPr>
          <w:color w:val="4C4D4F"/>
          <w:spacing w:val="-15"/>
          <w:w w:val="115"/>
          <w:sz w:val="22"/>
        </w:rPr>
        <w:t> </w:t>
      </w:r>
      <w:r>
        <w:rPr>
          <w:color w:val="4C4D4F"/>
          <w:w w:val="115"/>
          <w:sz w:val="22"/>
        </w:rPr>
        <w:t>time.</w:t>
      </w:r>
    </w:p>
    <w:p>
      <w:pPr>
        <w:pStyle w:val="ListParagraph"/>
        <w:numPr>
          <w:ilvl w:val="0"/>
          <w:numId w:val="4"/>
        </w:numPr>
        <w:tabs>
          <w:tab w:pos="410" w:val="left" w:leader="none"/>
        </w:tabs>
        <w:spacing w:line="315" w:lineRule="exact" w:before="0" w:after="0"/>
        <w:ind w:left="410" w:right="0" w:hanging="270"/>
        <w:jc w:val="left"/>
        <w:rPr>
          <w:rFonts w:ascii="Arial" w:hAnsi="Arial"/>
          <w:color w:val="147592"/>
          <w:sz w:val="28"/>
        </w:rPr>
      </w:pPr>
      <w:r>
        <w:rPr/>
        <w:pict>
          <v:group style="position:absolute;margin-left:54pt;margin-top:31.181524pt;width:243.5pt;height:235.2pt;mso-position-horizontal-relative:page;mso-position-vertical-relative:paragraph;z-index:15756288" coordorigin="1080,624" coordsize="4870,4704">
            <v:rect style="position:absolute;left:1085;top:628;width:4860;height:4694" filled="false" stroked="true" strokeweight=".5pt" strokecolor="#89aabe">
              <v:stroke dashstyle="solid"/>
            </v:rect>
            <v:shape style="position:absolute;left:1090;top:1220;width:4850;height:4097" type="#_x0000_t202" filled="false" stroked="false">
              <v:textbox inset="0,0,0,0">
                <w:txbxContent>
                  <w:p>
                    <w:pPr>
                      <w:spacing w:line="278" w:lineRule="auto" w:before="59"/>
                      <w:ind w:left="230" w:right="333" w:firstLine="0"/>
                      <w:jc w:val="left"/>
                      <w:rPr>
                        <w:rFonts w:ascii="Arial"/>
                        <w:b/>
                        <w:sz w:val="24"/>
                      </w:rPr>
                    </w:pPr>
                    <w:r>
                      <w:rPr>
                        <w:rFonts w:ascii="Arial"/>
                        <w:b/>
                        <w:color w:val="147592"/>
                        <w:w w:val="110"/>
                        <w:sz w:val="24"/>
                      </w:rPr>
                      <w:t>Patient and Family Educational Resources</w:t>
                    </w:r>
                  </w:p>
                  <w:p>
                    <w:pPr>
                      <w:spacing w:line="348" w:lineRule="auto" w:before="154"/>
                      <w:ind w:left="230" w:right="522" w:firstLine="0"/>
                      <w:jc w:val="left"/>
                      <w:rPr>
                        <w:rFonts w:ascii="Arial"/>
                        <w:sz w:val="18"/>
                      </w:rPr>
                    </w:pPr>
                    <w:r>
                      <w:rPr>
                        <w:rFonts w:ascii="Arial"/>
                        <w:i/>
                        <w:color w:val="414042"/>
                        <w:spacing w:val="-4"/>
                        <w:w w:val="120"/>
                        <w:sz w:val="18"/>
                      </w:rPr>
                      <w:t>Decisions </w:t>
                    </w:r>
                    <w:r>
                      <w:rPr>
                        <w:rFonts w:ascii="Arial"/>
                        <w:i/>
                        <w:color w:val="414042"/>
                        <w:w w:val="120"/>
                        <w:sz w:val="18"/>
                      </w:rPr>
                      <w:t>in </w:t>
                    </w:r>
                    <w:r>
                      <w:rPr>
                        <w:rFonts w:ascii="Arial"/>
                        <w:i/>
                        <w:color w:val="414042"/>
                        <w:spacing w:val="-4"/>
                        <w:w w:val="120"/>
                        <w:sz w:val="18"/>
                      </w:rPr>
                      <w:t>Recovery: Treatment for Opioid </w:t>
                    </w:r>
                    <w:r>
                      <w:rPr>
                        <w:rFonts w:ascii="Arial"/>
                        <w:i/>
                        <w:color w:val="414042"/>
                        <w:spacing w:val="-3"/>
                        <w:w w:val="120"/>
                        <w:sz w:val="18"/>
                      </w:rPr>
                      <w:t>Use</w:t>
                    </w:r>
                    <w:r>
                      <w:rPr>
                        <w:rFonts w:ascii="Arial"/>
                        <w:i/>
                        <w:color w:val="414042"/>
                        <w:spacing w:val="-32"/>
                        <w:w w:val="120"/>
                        <w:sz w:val="18"/>
                      </w:rPr>
                      <w:t> </w:t>
                    </w:r>
                    <w:r>
                      <w:rPr>
                        <w:rFonts w:ascii="Arial"/>
                        <w:i/>
                        <w:color w:val="414042"/>
                        <w:spacing w:val="-4"/>
                        <w:w w:val="120"/>
                        <w:sz w:val="18"/>
                      </w:rPr>
                      <w:t>Disorder</w:t>
                    </w:r>
                    <w:r>
                      <w:rPr>
                        <w:rFonts w:ascii="Arial"/>
                        <w:i/>
                        <w:color w:val="414042"/>
                        <w:spacing w:val="-31"/>
                        <w:w w:val="120"/>
                        <w:sz w:val="18"/>
                      </w:rPr>
                      <w:t> </w:t>
                    </w:r>
                    <w:r>
                      <w:rPr>
                        <w:rFonts w:ascii="Arial"/>
                        <w:color w:val="414042"/>
                        <w:spacing w:val="-4"/>
                        <w:w w:val="120"/>
                        <w:sz w:val="18"/>
                      </w:rPr>
                      <w:t>offers</w:t>
                    </w:r>
                    <w:r>
                      <w:rPr>
                        <w:rFonts w:ascii="Arial"/>
                        <w:color w:val="414042"/>
                        <w:spacing w:val="-31"/>
                        <w:w w:val="120"/>
                        <w:sz w:val="18"/>
                      </w:rPr>
                      <w:t> </w:t>
                    </w:r>
                    <w:r>
                      <w:rPr>
                        <w:rFonts w:ascii="Arial"/>
                        <w:color w:val="414042"/>
                        <w:spacing w:val="-4"/>
                        <w:w w:val="120"/>
                        <w:sz w:val="18"/>
                      </w:rPr>
                      <w:t>information</w:t>
                    </w:r>
                    <w:r>
                      <w:rPr>
                        <w:rFonts w:ascii="Arial"/>
                        <w:color w:val="414042"/>
                        <w:spacing w:val="-32"/>
                        <w:w w:val="120"/>
                        <w:sz w:val="18"/>
                      </w:rPr>
                      <w:t> </w:t>
                    </w:r>
                    <w:r>
                      <w:rPr>
                        <w:rFonts w:ascii="Arial"/>
                        <w:color w:val="414042"/>
                        <w:spacing w:val="-4"/>
                        <w:w w:val="120"/>
                        <w:sz w:val="18"/>
                      </w:rPr>
                      <w:t>for</w:t>
                    </w:r>
                    <w:r>
                      <w:rPr>
                        <w:rFonts w:ascii="Arial"/>
                        <w:color w:val="414042"/>
                        <w:spacing w:val="-31"/>
                        <w:w w:val="120"/>
                        <w:sz w:val="18"/>
                      </w:rPr>
                      <w:t> </w:t>
                    </w:r>
                    <w:r>
                      <w:rPr>
                        <w:rFonts w:ascii="Arial"/>
                        <w:color w:val="414042"/>
                        <w:spacing w:val="-4"/>
                        <w:w w:val="120"/>
                        <w:sz w:val="18"/>
                      </w:rPr>
                      <w:t>patients</w:t>
                    </w:r>
                    <w:r>
                      <w:rPr>
                        <w:rFonts w:ascii="Arial"/>
                        <w:color w:val="414042"/>
                        <w:spacing w:val="-31"/>
                        <w:w w:val="120"/>
                        <w:sz w:val="18"/>
                      </w:rPr>
                      <w:t> </w:t>
                    </w:r>
                    <w:r>
                      <w:rPr>
                        <w:rFonts w:ascii="Arial"/>
                        <w:color w:val="414042"/>
                        <w:spacing w:val="-4"/>
                        <w:w w:val="120"/>
                        <w:sz w:val="18"/>
                      </w:rPr>
                      <w:t>on </w:t>
                    </w:r>
                    <w:r>
                      <w:rPr>
                        <w:rFonts w:ascii="Arial"/>
                        <w:color w:val="414042"/>
                        <w:spacing w:val="-3"/>
                        <w:w w:val="120"/>
                        <w:sz w:val="18"/>
                      </w:rPr>
                      <w:t>the</w:t>
                    </w:r>
                    <w:r>
                      <w:rPr>
                        <w:rFonts w:ascii="Arial"/>
                        <w:color w:val="414042"/>
                        <w:spacing w:val="-28"/>
                        <w:w w:val="120"/>
                        <w:sz w:val="18"/>
                      </w:rPr>
                      <w:t> </w:t>
                    </w:r>
                    <w:r>
                      <w:rPr>
                        <w:rFonts w:ascii="Arial"/>
                        <w:color w:val="414042"/>
                        <w:spacing w:val="-3"/>
                        <w:w w:val="120"/>
                        <w:sz w:val="18"/>
                      </w:rPr>
                      <w:t>use</w:t>
                    </w:r>
                    <w:r>
                      <w:rPr>
                        <w:rFonts w:ascii="Arial"/>
                        <w:color w:val="414042"/>
                        <w:spacing w:val="-27"/>
                        <w:w w:val="120"/>
                        <w:sz w:val="18"/>
                      </w:rPr>
                      <w:t> </w:t>
                    </w:r>
                    <w:r>
                      <w:rPr>
                        <w:rFonts w:ascii="Arial"/>
                        <w:color w:val="414042"/>
                        <w:w w:val="120"/>
                        <w:sz w:val="18"/>
                      </w:rPr>
                      <w:t>of</w:t>
                    </w:r>
                    <w:r>
                      <w:rPr>
                        <w:rFonts w:ascii="Arial"/>
                        <w:color w:val="414042"/>
                        <w:spacing w:val="-28"/>
                        <w:w w:val="120"/>
                        <w:sz w:val="18"/>
                      </w:rPr>
                      <w:t> </w:t>
                    </w:r>
                    <w:r>
                      <w:rPr>
                        <w:rFonts w:ascii="Arial"/>
                        <w:color w:val="414042"/>
                        <w:spacing w:val="-4"/>
                        <w:w w:val="120"/>
                        <w:sz w:val="18"/>
                      </w:rPr>
                      <w:t>medications</w:t>
                    </w:r>
                    <w:r>
                      <w:rPr>
                        <w:rFonts w:ascii="Arial"/>
                        <w:color w:val="414042"/>
                        <w:spacing w:val="-27"/>
                        <w:w w:val="120"/>
                        <w:sz w:val="18"/>
                      </w:rPr>
                      <w:t> </w:t>
                    </w:r>
                    <w:r>
                      <w:rPr>
                        <w:rFonts w:ascii="Arial"/>
                        <w:color w:val="414042"/>
                        <w:spacing w:val="-4"/>
                        <w:w w:val="120"/>
                        <w:sz w:val="18"/>
                      </w:rPr>
                      <w:t>for</w:t>
                    </w:r>
                    <w:r>
                      <w:rPr>
                        <w:rFonts w:ascii="Arial"/>
                        <w:color w:val="414042"/>
                        <w:spacing w:val="-27"/>
                        <w:w w:val="120"/>
                        <w:sz w:val="18"/>
                      </w:rPr>
                      <w:t> </w:t>
                    </w:r>
                    <w:r>
                      <w:rPr>
                        <w:rFonts w:ascii="Arial"/>
                        <w:color w:val="414042"/>
                        <w:spacing w:val="-3"/>
                        <w:w w:val="120"/>
                        <w:sz w:val="18"/>
                      </w:rPr>
                      <w:t>OUD</w:t>
                    </w:r>
                    <w:r>
                      <w:rPr>
                        <w:rFonts w:ascii="Arial"/>
                        <w:color w:val="414042"/>
                        <w:spacing w:val="-28"/>
                        <w:w w:val="120"/>
                        <w:sz w:val="18"/>
                      </w:rPr>
                      <w:t> </w:t>
                    </w:r>
                    <w:r>
                      <w:rPr>
                        <w:rFonts w:ascii="Arial"/>
                        <w:color w:val="414042"/>
                        <w:spacing w:val="-6"/>
                        <w:w w:val="120"/>
                        <w:sz w:val="18"/>
                      </w:rPr>
                      <w:t>(</w:t>
                    </w:r>
                    <w:r>
                      <w:rPr>
                        <w:rFonts w:ascii="Arial"/>
                        <w:color w:val="3A68A5"/>
                        <w:spacing w:val="-6"/>
                        <w:w w:val="120"/>
                        <w:sz w:val="18"/>
                        <w:u w:val="single" w:color="3A68A5"/>
                      </w:rPr>
                      <w:t>https://store</w:t>
                    </w:r>
                  </w:p>
                  <w:p>
                    <w:pPr>
                      <w:spacing w:before="0"/>
                      <w:ind w:left="230" w:right="0" w:firstLine="0"/>
                      <w:jc w:val="left"/>
                      <w:rPr>
                        <w:rFonts w:ascii="Arial"/>
                        <w:sz w:val="18"/>
                      </w:rPr>
                    </w:pPr>
                    <w:r>
                      <w:rPr>
                        <w:rFonts w:ascii="Arial"/>
                        <w:color w:val="3A68A5"/>
                        <w:w w:val="110"/>
                        <w:sz w:val="18"/>
                        <w:u w:val="single" w:color="3A68A5"/>
                      </w:rPr>
                      <w:t>.samhsa.gov/product/SMA16-4993</w:t>
                    </w:r>
                    <w:r>
                      <w:rPr>
                        <w:rFonts w:ascii="Arial"/>
                        <w:color w:val="414042"/>
                        <w:w w:val="110"/>
                        <w:sz w:val="18"/>
                      </w:rPr>
                      <w:t>)</w:t>
                    </w:r>
                  </w:p>
                  <w:p>
                    <w:pPr>
                      <w:spacing w:line="240" w:lineRule="auto" w:before="7"/>
                      <w:rPr>
                        <w:rFonts w:ascii="Arial"/>
                        <w:sz w:val="20"/>
                      </w:rPr>
                    </w:pPr>
                  </w:p>
                  <w:p>
                    <w:pPr>
                      <w:spacing w:line="348" w:lineRule="auto" w:before="0"/>
                      <w:ind w:left="230" w:right="228" w:firstLine="0"/>
                      <w:jc w:val="left"/>
                      <w:rPr>
                        <w:rFonts w:ascii="Arial"/>
                        <w:sz w:val="18"/>
                      </w:rPr>
                    </w:pPr>
                    <w:r>
                      <w:rPr>
                        <w:rFonts w:ascii="Arial"/>
                        <w:i/>
                        <w:color w:val="414042"/>
                        <w:spacing w:val="-5"/>
                        <w:w w:val="115"/>
                        <w:sz w:val="18"/>
                      </w:rPr>
                      <w:t>Medication-Assisted </w:t>
                    </w:r>
                    <w:r>
                      <w:rPr>
                        <w:rFonts w:ascii="Arial"/>
                        <w:i/>
                        <w:color w:val="414042"/>
                        <w:spacing w:val="-4"/>
                        <w:w w:val="115"/>
                        <w:sz w:val="18"/>
                      </w:rPr>
                      <w:t>Treatment for Opioid </w:t>
                    </w:r>
                    <w:r>
                      <w:rPr>
                        <w:rFonts w:ascii="Arial"/>
                        <w:i/>
                        <w:color w:val="414042"/>
                        <w:spacing w:val="-4"/>
                        <w:w w:val="115"/>
                        <w:sz w:val="18"/>
                      </w:rPr>
                      <w:t>Addiction: Facts for Families </w:t>
                    </w:r>
                    <w:r>
                      <w:rPr>
                        <w:rFonts w:ascii="Arial"/>
                        <w:i/>
                        <w:color w:val="414042"/>
                        <w:spacing w:val="-3"/>
                        <w:w w:val="115"/>
                        <w:sz w:val="18"/>
                      </w:rPr>
                      <w:t>and </w:t>
                    </w:r>
                    <w:r>
                      <w:rPr>
                        <w:rFonts w:ascii="Arial"/>
                        <w:i/>
                        <w:color w:val="414042"/>
                        <w:spacing w:val="-4"/>
                        <w:w w:val="115"/>
                        <w:sz w:val="18"/>
                      </w:rPr>
                      <w:t>Friends </w:t>
                    </w:r>
                    <w:r>
                      <w:rPr>
                        <w:rFonts w:ascii="Arial"/>
                        <w:color w:val="414042"/>
                        <w:spacing w:val="-5"/>
                        <w:w w:val="115"/>
                        <w:sz w:val="18"/>
                      </w:rPr>
                      <w:t>offers </w:t>
                    </w:r>
                    <w:r>
                      <w:rPr>
                        <w:rFonts w:ascii="Arial"/>
                        <w:color w:val="414042"/>
                        <w:spacing w:val="-4"/>
                        <w:w w:val="115"/>
                        <w:sz w:val="18"/>
                      </w:rPr>
                      <w:t>information for family </w:t>
                    </w:r>
                    <w:r>
                      <w:rPr>
                        <w:rFonts w:ascii="Arial"/>
                        <w:color w:val="414042"/>
                        <w:spacing w:val="-3"/>
                        <w:w w:val="115"/>
                        <w:sz w:val="18"/>
                      </w:rPr>
                      <w:t>and </w:t>
                    </w:r>
                    <w:r>
                      <w:rPr>
                        <w:rFonts w:ascii="Arial"/>
                        <w:color w:val="414042"/>
                        <w:w w:val="115"/>
                        <w:sz w:val="18"/>
                      </w:rPr>
                      <w:t>friends </w:t>
                    </w:r>
                    <w:r>
                      <w:rPr>
                        <w:rFonts w:ascii="Arial"/>
                        <w:color w:val="414042"/>
                        <w:spacing w:val="-6"/>
                        <w:w w:val="115"/>
                        <w:sz w:val="18"/>
                      </w:rPr>
                      <w:t>(</w:t>
                    </w:r>
                    <w:r>
                      <w:rPr>
                        <w:rFonts w:ascii="Arial"/>
                        <w:color w:val="3A68A5"/>
                        <w:spacing w:val="-6"/>
                        <w:w w:val="115"/>
                        <w:sz w:val="18"/>
                        <w:u w:val="single" w:color="3A68A5"/>
                      </w:rPr>
                      <w:t>https://mha.</w:t>
                    </w:r>
                    <w:r>
                      <w:rPr>
                        <w:rFonts w:ascii="Arial"/>
                        <w:color w:val="3A68A5"/>
                        <w:spacing w:val="-6"/>
                        <w:w w:val="115"/>
                        <w:sz w:val="18"/>
                      </w:rPr>
                      <w:t> </w:t>
                    </w:r>
                    <w:r>
                      <w:rPr>
                        <w:rFonts w:ascii="Arial"/>
                        <w:color w:val="3A68A5"/>
                        <w:spacing w:val="-5"/>
                        <w:w w:val="115"/>
                        <w:sz w:val="18"/>
                        <w:u w:val="single" w:color="3A68A5"/>
                      </w:rPr>
                      <w:t>ohio.gov/Portals/0/assets/HealthProfessionals/</w:t>
                    </w:r>
                    <w:r>
                      <w:rPr>
                        <w:rFonts w:ascii="Arial"/>
                        <w:color w:val="3A68A5"/>
                        <w:spacing w:val="-5"/>
                        <w:w w:val="115"/>
                        <w:sz w:val="18"/>
                      </w:rPr>
                      <w:t> </w:t>
                    </w:r>
                    <w:r>
                      <w:rPr>
                        <w:rFonts w:ascii="Arial"/>
                        <w:color w:val="3A68A5"/>
                        <w:spacing w:val="-6"/>
                        <w:w w:val="115"/>
                        <w:sz w:val="18"/>
                        <w:u w:val="single" w:color="3A68A5"/>
                      </w:rPr>
                      <w:t>About%20MH%20and%20Addiction%2Treatment/</w:t>
                    </w:r>
                    <w:r>
                      <w:rPr>
                        <w:rFonts w:ascii="Arial"/>
                        <w:color w:val="3A68A5"/>
                        <w:spacing w:val="-6"/>
                        <w:w w:val="115"/>
                        <w:sz w:val="18"/>
                      </w:rPr>
                      <w:t> </w:t>
                    </w:r>
                    <w:r>
                      <w:rPr>
                        <w:rFonts w:ascii="Arial"/>
                        <w:color w:val="3A68A5"/>
                        <w:spacing w:val="-5"/>
                        <w:w w:val="105"/>
                        <w:sz w:val="18"/>
                        <w:u w:val="single" w:color="3A68A5"/>
                      </w:rPr>
                      <w:t>MAT/SMA14-4443.pdf?ver=2018-11-26-113004-157</w:t>
                    </w:r>
                    <w:r>
                      <w:rPr>
                        <w:rFonts w:ascii="Arial"/>
                        <w:color w:val="414042"/>
                        <w:spacing w:val="-5"/>
                        <w:w w:val="105"/>
                        <w:sz w:val="18"/>
                      </w:rPr>
                      <w:t>)</w:t>
                    </w:r>
                  </w:p>
                </w:txbxContent>
              </v:textbox>
              <w10:wrap type="none"/>
            </v:shape>
            <v:shape style="position:absolute;left:1090;top:633;width:4850;height:587" type="#_x0000_t202" filled="true" fillcolor="#367e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none"/>
          </v:group>
        </w:pict>
      </w:r>
      <w:r>
        <w:rPr>
          <w:color w:val="4C4D4F"/>
          <w:w w:val="115"/>
          <w:sz w:val="22"/>
        </w:rPr>
        <w:t>Having stable housing and</w:t>
      </w:r>
      <w:r>
        <w:rPr>
          <w:color w:val="4C4D4F"/>
          <w:spacing w:val="-40"/>
          <w:w w:val="115"/>
          <w:sz w:val="22"/>
        </w:rPr>
        <w:t> </w:t>
      </w:r>
      <w:r>
        <w:rPr>
          <w:color w:val="4C4D4F"/>
          <w:w w:val="115"/>
          <w:sz w:val="22"/>
        </w:rPr>
        <w:t>income.</w:t>
      </w:r>
    </w:p>
    <w:p>
      <w:pPr>
        <w:pStyle w:val="ListParagraph"/>
        <w:numPr>
          <w:ilvl w:val="0"/>
          <w:numId w:val="4"/>
        </w:numPr>
        <w:tabs>
          <w:tab w:pos="410" w:val="left" w:leader="none"/>
        </w:tabs>
        <w:spacing w:line="315" w:lineRule="exact" w:before="91" w:after="0"/>
        <w:ind w:left="410" w:right="0" w:hanging="270"/>
        <w:jc w:val="left"/>
        <w:rPr>
          <w:rFonts w:ascii="Arial" w:hAnsi="Arial"/>
          <w:color w:val="147592"/>
          <w:sz w:val="28"/>
        </w:rPr>
      </w:pPr>
      <w:r>
        <w:rPr>
          <w:color w:val="4C4D4F"/>
          <w:w w:val="114"/>
          <w:sz w:val="22"/>
        </w:rPr>
        <w:br w:type="column"/>
      </w:r>
      <w:r>
        <w:rPr>
          <w:color w:val="4C4D4F"/>
          <w:w w:val="115"/>
          <w:sz w:val="22"/>
        </w:rPr>
        <w:t>Having no legal</w:t>
      </w:r>
      <w:r>
        <w:rPr>
          <w:color w:val="4C4D4F"/>
          <w:spacing w:val="-29"/>
          <w:w w:val="115"/>
          <w:sz w:val="22"/>
        </w:rPr>
        <w:t> </w:t>
      </w:r>
      <w:r>
        <w:rPr>
          <w:color w:val="4C4D4F"/>
          <w:w w:val="115"/>
          <w:sz w:val="22"/>
        </w:rPr>
        <w:t>problems.</w:t>
      </w:r>
    </w:p>
    <w:p>
      <w:pPr>
        <w:pStyle w:val="ListParagraph"/>
        <w:numPr>
          <w:ilvl w:val="0"/>
          <w:numId w:val="4"/>
        </w:numPr>
        <w:tabs>
          <w:tab w:pos="410" w:val="left" w:leader="none"/>
        </w:tabs>
        <w:spacing w:line="307" w:lineRule="exact" w:before="0" w:after="0"/>
        <w:ind w:left="410" w:right="0" w:hanging="270"/>
        <w:jc w:val="left"/>
        <w:rPr>
          <w:rFonts w:ascii="Arial" w:hAnsi="Arial"/>
          <w:color w:val="147592"/>
          <w:sz w:val="28"/>
        </w:rPr>
      </w:pPr>
      <w:r>
        <w:rPr>
          <w:color w:val="4C4D4F"/>
          <w:w w:val="115"/>
          <w:sz w:val="22"/>
        </w:rPr>
        <w:t>Having substantially reduced</w:t>
      </w:r>
      <w:r>
        <w:rPr>
          <w:color w:val="4C4D4F"/>
          <w:spacing w:val="-35"/>
          <w:w w:val="115"/>
          <w:sz w:val="22"/>
        </w:rPr>
        <w:t> </w:t>
      </w:r>
      <w:r>
        <w:rPr>
          <w:color w:val="4C4D4F"/>
          <w:w w:val="115"/>
          <w:sz w:val="22"/>
        </w:rPr>
        <w:t>craving.</w:t>
      </w:r>
    </w:p>
    <w:p>
      <w:pPr>
        <w:pStyle w:val="ListParagraph"/>
        <w:numPr>
          <w:ilvl w:val="0"/>
          <w:numId w:val="4"/>
        </w:numPr>
        <w:tabs>
          <w:tab w:pos="410" w:val="left" w:leader="none"/>
        </w:tabs>
        <w:spacing w:line="315" w:lineRule="exact" w:before="0" w:after="0"/>
        <w:ind w:left="410" w:right="0" w:hanging="270"/>
        <w:jc w:val="left"/>
        <w:rPr>
          <w:rFonts w:ascii="Arial" w:hAnsi="Arial"/>
          <w:color w:val="147592"/>
          <w:sz w:val="28"/>
        </w:rPr>
      </w:pPr>
      <w:r>
        <w:rPr>
          <w:color w:val="4C4D4F"/>
          <w:w w:val="115"/>
          <w:sz w:val="22"/>
        </w:rPr>
        <w:t>Attending</w:t>
      </w:r>
      <w:r>
        <w:rPr>
          <w:color w:val="4C4D4F"/>
          <w:spacing w:val="-28"/>
          <w:w w:val="115"/>
          <w:sz w:val="22"/>
        </w:rPr>
        <w:t> </w:t>
      </w:r>
      <w:r>
        <w:rPr>
          <w:color w:val="4C4D4F"/>
          <w:w w:val="115"/>
          <w:sz w:val="22"/>
        </w:rPr>
        <w:t>counseling</w:t>
      </w:r>
      <w:r>
        <w:rPr>
          <w:color w:val="4C4D4F"/>
          <w:spacing w:val="-28"/>
          <w:w w:val="115"/>
          <w:sz w:val="22"/>
        </w:rPr>
        <w:t> </w:t>
      </w:r>
      <w:r>
        <w:rPr>
          <w:color w:val="4C4D4F"/>
          <w:w w:val="115"/>
          <w:sz w:val="22"/>
        </w:rPr>
        <w:t>or</w:t>
      </w:r>
      <w:r>
        <w:rPr>
          <w:color w:val="4C4D4F"/>
          <w:spacing w:val="-27"/>
          <w:w w:val="115"/>
          <w:sz w:val="22"/>
        </w:rPr>
        <w:t> </w:t>
      </w:r>
      <w:r>
        <w:rPr>
          <w:color w:val="4C4D4F"/>
          <w:w w:val="115"/>
          <w:sz w:val="22"/>
        </w:rPr>
        <w:t>mutual-help</w:t>
      </w:r>
      <w:r>
        <w:rPr>
          <w:color w:val="4C4D4F"/>
          <w:spacing w:val="-28"/>
          <w:w w:val="115"/>
          <w:sz w:val="22"/>
        </w:rPr>
        <w:t> </w:t>
      </w:r>
      <w:r>
        <w:rPr>
          <w:color w:val="4C4D4F"/>
          <w:w w:val="115"/>
          <w:sz w:val="22"/>
        </w:rPr>
        <w:t>groups.</w:t>
      </w:r>
    </w:p>
    <w:p>
      <w:pPr>
        <w:spacing w:line="240" w:lineRule="auto" w:before="135"/>
        <w:ind w:left="140" w:right="191" w:firstLine="0"/>
        <w:jc w:val="left"/>
        <w:rPr>
          <w:sz w:val="22"/>
        </w:rPr>
      </w:pPr>
      <w:r>
        <w:rPr>
          <w:rFonts w:ascii="Calibri"/>
          <w:b/>
          <w:color w:val="4C4D4F"/>
          <w:w w:val="110"/>
          <w:sz w:val="22"/>
        </w:rPr>
        <w:t>Patients who discontinue should have a recovery plan that may include monitoring as well as adjunctive counseling and recovery support. </w:t>
      </w:r>
      <w:r>
        <w:rPr>
          <w:color w:val="4C4D4F"/>
          <w:w w:val="110"/>
          <w:sz w:val="22"/>
        </w:rPr>
        <w:t>If they return to opioid use, encourage them to return for assessment and reentry into treatment.</w:t>
      </w:r>
    </w:p>
    <w:p>
      <w:pPr>
        <w:spacing w:line="240" w:lineRule="auto" w:before="185"/>
        <w:ind w:left="140" w:right="420" w:firstLine="0"/>
        <w:jc w:val="left"/>
        <w:rPr>
          <w:sz w:val="22"/>
        </w:rPr>
      </w:pPr>
      <w:r>
        <w:rPr>
          <w:color w:val="4C4D4F"/>
          <w:w w:val="110"/>
          <w:sz w:val="22"/>
        </w:rPr>
        <w:t>Given the high risk of return to illicit opioid use, </w:t>
      </w:r>
      <w:r>
        <w:rPr>
          <w:rFonts w:ascii="Calibri"/>
          <w:b/>
          <w:color w:val="4C4D4F"/>
          <w:w w:val="110"/>
          <w:sz w:val="22"/>
        </w:rPr>
        <w:t>offer patients information about opioid overdose prevention and a naloxone pre- scription they can use in case of overdose. </w:t>
      </w:r>
      <w:r>
        <w:rPr>
          <w:color w:val="4C4D4F"/>
          <w:w w:val="110"/>
          <w:sz w:val="22"/>
        </w:rPr>
        <w:t>When patients stop using naltrexone, they will</w:t>
      </w:r>
      <w:r>
        <w:rPr>
          <w:color w:val="4C4D4F"/>
          <w:spacing w:val="-10"/>
          <w:w w:val="110"/>
          <w:sz w:val="22"/>
        </w:rPr>
        <w:t> </w:t>
      </w:r>
      <w:r>
        <w:rPr>
          <w:color w:val="4C4D4F"/>
          <w:w w:val="110"/>
          <w:sz w:val="22"/>
        </w:rPr>
        <w:t>have</w:t>
      </w:r>
      <w:r>
        <w:rPr>
          <w:color w:val="4C4D4F"/>
          <w:spacing w:val="-9"/>
          <w:w w:val="110"/>
          <w:sz w:val="22"/>
        </w:rPr>
        <w:t> </w:t>
      </w:r>
      <w:r>
        <w:rPr>
          <w:color w:val="4C4D4F"/>
          <w:w w:val="110"/>
          <w:sz w:val="22"/>
        </w:rPr>
        <w:t>no</w:t>
      </w:r>
      <w:r>
        <w:rPr>
          <w:color w:val="4C4D4F"/>
          <w:spacing w:val="-10"/>
          <w:w w:val="110"/>
          <w:sz w:val="22"/>
        </w:rPr>
        <w:t> </w:t>
      </w:r>
      <w:r>
        <w:rPr>
          <w:color w:val="4C4D4F"/>
          <w:w w:val="110"/>
          <w:sz w:val="22"/>
        </w:rPr>
        <w:t>tolerance</w:t>
      </w:r>
      <w:r>
        <w:rPr>
          <w:color w:val="4C4D4F"/>
          <w:spacing w:val="-9"/>
          <w:w w:val="110"/>
          <w:sz w:val="22"/>
        </w:rPr>
        <w:t> </w:t>
      </w:r>
      <w:r>
        <w:rPr>
          <w:color w:val="4C4D4F"/>
          <w:w w:val="110"/>
          <w:sz w:val="22"/>
        </w:rPr>
        <w:t>for</w:t>
      </w:r>
      <w:r>
        <w:rPr>
          <w:color w:val="4C4D4F"/>
          <w:spacing w:val="-10"/>
          <w:w w:val="110"/>
          <w:sz w:val="22"/>
        </w:rPr>
        <w:t> </w:t>
      </w:r>
      <w:r>
        <w:rPr>
          <w:color w:val="4C4D4F"/>
          <w:w w:val="110"/>
          <w:sz w:val="22"/>
        </w:rPr>
        <w:t>opioids.</w:t>
      </w:r>
      <w:r>
        <w:rPr>
          <w:color w:val="4C4D4F"/>
          <w:spacing w:val="-9"/>
          <w:w w:val="110"/>
          <w:sz w:val="22"/>
        </w:rPr>
        <w:t> </w:t>
      </w:r>
      <w:r>
        <w:rPr>
          <w:color w:val="4C4D4F"/>
          <w:w w:val="110"/>
          <w:sz w:val="22"/>
        </w:rPr>
        <w:t>Their</w:t>
      </w:r>
      <w:r>
        <w:rPr>
          <w:color w:val="4C4D4F"/>
          <w:spacing w:val="-9"/>
          <w:w w:val="110"/>
          <w:sz w:val="22"/>
        </w:rPr>
        <w:t> </w:t>
      </w:r>
      <w:r>
        <w:rPr>
          <w:color w:val="4C4D4F"/>
          <w:w w:val="110"/>
          <w:sz w:val="22"/>
        </w:rPr>
        <w:t>risk</w:t>
      </w:r>
      <w:r>
        <w:rPr>
          <w:color w:val="4C4D4F"/>
          <w:spacing w:val="-10"/>
          <w:w w:val="110"/>
          <w:sz w:val="22"/>
        </w:rPr>
        <w:t> </w:t>
      </w:r>
      <w:r>
        <w:rPr>
          <w:color w:val="4C4D4F"/>
          <w:spacing w:val="-9"/>
          <w:w w:val="110"/>
          <w:sz w:val="22"/>
        </w:rPr>
        <w:t>of</w:t>
      </w:r>
    </w:p>
    <w:p>
      <w:pPr>
        <w:spacing w:line="247" w:lineRule="auto" w:before="13"/>
        <w:ind w:left="140" w:right="191" w:firstLine="0"/>
        <w:jc w:val="left"/>
        <w:rPr>
          <w:sz w:val="22"/>
        </w:rPr>
      </w:pPr>
      <w:r>
        <w:rPr>
          <w:color w:val="4C4D4F"/>
          <w:w w:val="110"/>
          <w:sz w:val="22"/>
        </w:rPr>
        <w:t>overdose is very high if they use again. For </w:t>
      </w:r>
      <w:r>
        <w:rPr>
          <w:color w:val="4C4D4F"/>
          <w:spacing w:val="-6"/>
          <w:w w:val="110"/>
          <w:sz w:val="22"/>
        </w:rPr>
        <w:t>more </w:t>
      </w:r>
      <w:r>
        <w:rPr>
          <w:color w:val="4C4D4F"/>
          <w:w w:val="110"/>
          <w:sz w:val="22"/>
        </w:rPr>
        <w:t>information,</w:t>
      </w:r>
      <w:r>
        <w:rPr>
          <w:color w:val="4C4D4F"/>
          <w:spacing w:val="-37"/>
          <w:w w:val="110"/>
          <w:sz w:val="22"/>
        </w:rPr>
        <w:t> </w:t>
      </w:r>
      <w:r>
        <w:rPr>
          <w:color w:val="4C4D4F"/>
          <w:w w:val="110"/>
          <w:sz w:val="22"/>
        </w:rPr>
        <w:t>see</w:t>
      </w:r>
      <w:r>
        <w:rPr>
          <w:color w:val="4C4D4F"/>
          <w:spacing w:val="-37"/>
          <w:w w:val="110"/>
          <w:sz w:val="22"/>
        </w:rPr>
        <w:t> </w:t>
      </w:r>
      <w:r>
        <w:rPr>
          <w:color w:val="4C4D4F"/>
          <w:w w:val="110"/>
          <w:sz w:val="22"/>
        </w:rPr>
        <w:t>the</w:t>
      </w:r>
      <w:r>
        <w:rPr>
          <w:color w:val="4C4D4F"/>
          <w:spacing w:val="-37"/>
          <w:w w:val="110"/>
          <w:sz w:val="22"/>
        </w:rPr>
        <w:t> </w:t>
      </w:r>
      <w:r>
        <w:rPr>
          <w:rFonts w:ascii="Arial"/>
          <w:i/>
          <w:color w:val="4C4D4F"/>
          <w:w w:val="110"/>
          <w:sz w:val="22"/>
        </w:rPr>
        <w:t>SAMHSA</w:t>
      </w:r>
      <w:r>
        <w:rPr>
          <w:rFonts w:ascii="Arial"/>
          <w:i/>
          <w:color w:val="4C4D4F"/>
          <w:spacing w:val="-36"/>
          <w:w w:val="110"/>
          <w:sz w:val="22"/>
        </w:rPr>
        <w:t> </w:t>
      </w:r>
      <w:r>
        <w:rPr>
          <w:rFonts w:ascii="Arial"/>
          <w:i/>
          <w:color w:val="4C4D4F"/>
          <w:w w:val="110"/>
          <w:sz w:val="22"/>
        </w:rPr>
        <w:t>Opioid</w:t>
      </w:r>
      <w:r>
        <w:rPr>
          <w:rFonts w:ascii="Arial"/>
          <w:i/>
          <w:color w:val="4C4D4F"/>
          <w:spacing w:val="-37"/>
          <w:w w:val="110"/>
          <w:sz w:val="22"/>
        </w:rPr>
        <w:t> </w:t>
      </w:r>
      <w:r>
        <w:rPr>
          <w:rFonts w:ascii="Arial"/>
          <w:i/>
          <w:color w:val="4C4D4F"/>
          <w:w w:val="110"/>
          <w:sz w:val="22"/>
        </w:rPr>
        <w:t>Overdose </w:t>
      </w:r>
      <w:r>
        <w:rPr>
          <w:rFonts w:ascii="Arial"/>
          <w:i/>
          <w:color w:val="4C4D4F"/>
          <w:w w:val="110"/>
          <w:sz w:val="22"/>
        </w:rPr>
        <w:t>Prevention </w:t>
      </w:r>
      <w:r>
        <w:rPr>
          <w:rFonts w:ascii="Arial"/>
          <w:i/>
          <w:color w:val="4C4D4F"/>
          <w:spacing w:val="-4"/>
          <w:w w:val="110"/>
          <w:sz w:val="22"/>
        </w:rPr>
        <w:t>Toolkit </w:t>
      </w:r>
      <w:r>
        <w:rPr>
          <w:color w:val="4C4D4F"/>
          <w:w w:val="110"/>
          <w:sz w:val="22"/>
        </w:rPr>
        <w:t>(</w:t>
      </w:r>
      <w:r>
        <w:rPr>
          <w:color w:val="205E9E"/>
          <w:w w:val="110"/>
          <w:sz w:val="22"/>
          <w:u w:val="single" w:color="205E9E"/>
        </w:rPr>
        <w:t>https://store.samhsa.gov/</w:t>
      </w:r>
      <w:r>
        <w:rPr>
          <w:color w:val="205E9E"/>
          <w:w w:val="110"/>
          <w:sz w:val="22"/>
        </w:rPr>
        <w:t> </w:t>
      </w:r>
      <w:r>
        <w:rPr>
          <w:color w:val="205E9E"/>
          <w:w w:val="110"/>
          <w:sz w:val="22"/>
          <w:u w:val="single" w:color="205E9E"/>
        </w:rPr>
        <w:t>product/Opioid-Overdose-Prevention-Toolkit/</w:t>
      </w:r>
      <w:r>
        <w:rPr>
          <w:color w:val="205E9E"/>
          <w:w w:val="110"/>
          <w:sz w:val="22"/>
        </w:rPr>
        <w:t> </w:t>
      </w:r>
      <w:r>
        <w:rPr>
          <w:color w:val="205E9E"/>
          <w:w w:val="110"/>
          <w:sz w:val="22"/>
          <w:u w:val="single" w:color="205E9E"/>
        </w:rPr>
        <w:t>SMA18-4742</w:t>
      </w:r>
      <w:r>
        <w:rPr>
          <w:color w:val="4C4D4F"/>
          <w:w w:val="110"/>
          <w:sz w:val="22"/>
        </w:rPr>
        <w:t>).</w:t>
      </w:r>
    </w:p>
    <w:p>
      <w:pPr>
        <w:pStyle w:val="Heading6"/>
        <w:spacing w:before="215"/>
      </w:pPr>
      <w:r>
        <w:rPr>
          <w:color w:val="147592"/>
        </w:rPr>
        <w:t>Rapid naltrexone induction</w:t>
      </w:r>
    </w:p>
    <w:p>
      <w:pPr>
        <w:spacing w:line="237" w:lineRule="auto" w:before="66"/>
        <w:ind w:left="140" w:right="511" w:firstLine="0"/>
        <w:jc w:val="left"/>
        <w:rPr>
          <w:sz w:val="22"/>
        </w:rPr>
      </w:pPr>
      <w:r>
        <w:rPr>
          <w:rFonts w:ascii="Calibri"/>
          <w:b/>
          <w:color w:val="4C4D4F"/>
          <w:w w:val="110"/>
          <w:sz w:val="22"/>
        </w:rPr>
        <w:t>Patients with OUD need to discontinue opioids and wait 7 to 14 days after last opioid use </w:t>
      </w:r>
      <w:r>
        <w:rPr>
          <w:color w:val="4C4D4F"/>
          <w:w w:val="110"/>
          <w:sz w:val="22"/>
        </w:rPr>
        <w:t>(including any given for with- drawal treatment) before receiving XR-NTX.</w:t>
      </w:r>
    </w:p>
    <w:p>
      <w:pPr>
        <w:pStyle w:val="BodyText"/>
        <w:spacing w:line="247" w:lineRule="auto" w:before="9"/>
        <w:ind w:left="140" w:right="310"/>
      </w:pPr>
      <w:r>
        <w:rPr>
          <w:color w:val="4C4D4F"/>
          <w:w w:val="110"/>
        </w:rPr>
        <w:t>As described above, they can do so through medically supervised withdrawal in a controlled environment, such as an inpatient unit, residen- tial addiction treatment program, correctional facility, or hospital, or on an outpatient basis.</w:t>
      </w:r>
    </w:p>
    <w:p>
      <w:pPr>
        <w:spacing w:line="242" w:lineRule="auto" w:before="186"/>
        <w:ind w:left="140" w:right="235" w:firstLine="0"/>
        <w:jc w:val="left"/>
        <w:rPr>
          <w:sz w:val="13"/>
        </w:rPr>
      </w:pPr>
      <w:r>
        <w:rPr>
          <w:color w:val="4C4D4F"/>
          <w:w w:val="115"/>
          <w:sz w:val="22"/>
        </w:rPr>
        <w:t>Financial issues and managed care constraints may inﬂuence patients’ access to controlled treatment environments. The alternative— </w:t>
      </w:r>
      <w:r>
        <w:rPr>
          <w:rFonts w:ascii="Calibri" w:hAnsi="Calibri"/>
          <w:b/>
          <w:color w:val="4C4D4F"/>
          <w:w w:val="115"/>
          <w:sz w:val="22"/>
        </w:rPr>
        <w:t>abstaining long enough after outpatient </w:t>
      </w:r>
      <w:r>
        <w:rPr>
          <w:rFonts w:ascii="Calibri" w:hAnsi="Calibri"/>
          <w:b/>
          <w:color w:val="4C4D4F"/>
          <w:spacing w:val="-3"/>
          <w:w w:val="115"/>
          <w:sz w:val="22"/>
        </w:rPr>
        <w:t>medically supervised withdrawal—is challeng- ing.</w:t>
      </w:r>
      <w:r>
        <w:rPr>
          <w:rFonts w:ascii="Calibri" w:hAnsi="Calibri"/>
          <w:b/>
          <w:color w:val="4C4D4F"/>
          <w:spacing w:val="-24"/>
          <w:w w:val="115"/>
          <w:sz w:val="22"/>
        </w:rPr>
        <w:t> </w:t>
      </w:r>
      <w:r>
        <w:rPr>
          <w:color w:val="4C4D4F"/>
          <w:spacing w:val="-4"/>
          <w:w w:val="115"/>
          <w:sz w:val="22"/>
        </w:rPr>
        <w:t>Thus,</w:t>
      </w:r>
      <w:r>
        <w:rPr>
          <w:color w:val="4C4D4F"/>
          <w:spacing w:val="-39"/>
          <w:w w:val="115"/>
          <w:sz w:val="22"/>
        </w:rPr>
        <w:t> </w:t>
      </w:r>
      <w:r>
        <w:rPr>
          <w:color w:val="4C4D4F"/>
          <w:spacing w:val="-4"/>
          <w:w w:val="115"/>
          <w:sz w:val="22"/>
        </w:rPr>
        <w:t>various</w:t>
      </w:r>
      <w:r>
        <w:rPr>
          <w:color w:val="4C4D4F"/>
          <w:spacing w:val="-39"/>
          <w:w w:val="115"/>
          <w:sz w:val="22"/>
        </w:rPr>
        <w:t> </w:t>
      </w:r>
      <w:r>
        <w:rPr>
          <w:color w:val="4C4D4F"/>
          <w:spacing w:val="-4"/>
          <w:w w:val="115"/>
          <w:sz w:val="22"/>
        </w:rPr>
        <w:t>approaches</w:t>
      </w:r>
      <w:r>
        <w:rPr>
          <w:color w:val="4C4D4F"/>
          <w:spacing w:val="-39"/>
          <w:w w:val="115"/>
          <w:sz w:val="22"/>
        </w:rPr>
        <w:t> </w:t>
      </w:r>
      <w:r>
        <w:rPr>
          <w:color w:val="4C4D4F"/>
          <w:w w:val="115"/>
          <w:sz w:val="22"/>
        </w:rPr>
        <w:t>to</w:t>
      </w:r>
      <w:r>
        <w:rPr>
          <w:color w:val="4C4D4F"/>
          <w:spacing w:val="-39"/>
          <w:w w:val="115"/>
          <w:sz w:val="22"/>
        </w:rPr>
        <w:t> </w:t>
      </w:r>
      <w:r>
        <w:rPr>
          <w:color w:val="4C4D4F"/>
          <w:spacing w:val="-4"/>
          <w:w w:val="115"/>
          <w:sz w:val="22"/>
        </w:rPr>
        <w:t>rapid</w:t>
      </w:r>
      <w:r>
        <w:rPr>
          <w:color w:val="4C4D4F"/>
          <w:spacing w:val="-39"/>
          <w:w w:val="115"/>
          <w:sz w:val="22"/>
        </w:rPr>
        <w:t> </w:t>
      </w:r>
      <w:r>
        <w:rPr>
          <w:color w:val="4C4D4F"/>
          <w:spacing w:val="-5"/>
          <w:w w:val="115"/>
          <w:sz w:val="22"/>
        </w:rPr>
        <w:t>naltrexone </w:t>
      </w:r>
      <w:r>
        <w:rPr>
          <w:color w:val="4C4D4F"/>
          <w:w w:val="115"/>
          <w:sz w:val="22"/>
        </w:rPr>
        <w:t>induction have been developed</w:t>
      </w:r>
      <w:r>
        <w:rPr>
          <w:color w:val="4C4D4F"/>
          <w:w w:val="115"/>
          <w:position w:val="7"/>
          <w:sz w:val="13"/>
        </w:rPr>
        <w:t>198 </w:t>
      </w:r>
      <w:r>
        <w:rPr>
          <w:color w:val="4C4D4F"/>
          <w:w w:val="115"/>
          <w:sz w:val="22"/>
        </w:rPr>
        <w:t>and more recently</w:t>
      </w:r>
      <w:r>
        <w:rPr>
          <w:color w:val="4C4D4F"/>
          <w:spacing w:val="-24"/>
          <w:w w:val="115"/>
          <w:sz w:val="22"/>
        </w:rPr>
        <w:t> </w:t>
      </w:r>
      <w:r>
        <w:rPr>
          <w:color w:val="4C4D4F"/>
          <w:w w:val="115"/>
          <w:sz w:val="22"/>
        </w:rPr>
        <w:t>reﬁned</w:t>
      </w:r>
      <w:r>
        <w:rPr>
          <w:color w:val="4C4D4F"/>
          <w:spacing w:val="-23"/>
          <w:w w:val="115"/>
          <w:sz w:val="22"/>
        </w:rPr>
        <w:t> </w:t>
      </w:r>
      <w:r>
        <w:rPr>
          <w:color w:val="4C4D4F"/>
          <w:w w:val="115"/>
          <w:sz w:val="22"/>
        </w:rPr>
        <w:t>in</w:t>
      </w:r>
      <w:r>
        <w:rPr>
          <w:color w:val="4C4D4F"/>
          <w:spacing w:val="-23"/>
          <w:w w:val="115"/>
          <w:sz w:val="22"/>
        </w:rPr>
        <w:t> </w:t>
      </w:r>
      <w:r>
        <w:rPr>
          <w:color w:val="4C4D4F"/>
          <w:w w:val="115"/>
          <w:sz w:val="22"/>
        </w:rPr>
        <w:t>research</w:t>
      </w:r>
      <w:r>
        <w:rPr>
          <w:color w:val="4C4D4F"/>
          <w:spacing w:val="-24"/>
          <w:w w:val="115"/>
          <w:sz w:val="22"/>
        </w:rPr>
        <w:t> </w:t>
      </w:r>
      <w:r>
        <w:rPr>
          <w:color w:val="4C4D4F"/>
          <w:w w:val="115"/>
          <w:sz w:val="22"/>
        </w:rPr>
        <w:t>settings.</w:t>
      </w:r>
      <w:r>
        <w:rPr>
          <w:color w:val="4C4D4F"/>
          <w:w w:val="115"/>
          <w:position w:val="7"/>
          <w:sz w:val="13"/>
        </w:rPr>
        <w:t>199,200,201</w:t>
      </w:r>
    </w:p>
    <w:p>
      <w:pPr>
        <w:spacing w:line="242" w:lineRule="auto" w:before="185"/>
        <w:ind w:left="140" w:right="90" w:firstLine="0"/>
        <w:jc w:val="left"/>
        <w:rPr>
          <w:sz w:val="22"/>
        </w:rPr>
      </w:pPr>
      <w:r>
        <w:rPr>
          <w:rFonts w:ascii="Calibri"/>
          <w:b/>
          <w:color w:val="4C4D4F"/>
          <w:w w:val="110"/>
          <w:sz w:val="22"/>
        </w:rPr>
        <w:t>Consider rapid induction in specialty addiction treatment programs, not general medical settings. </w:t>
      </w:r>
      <w:r>
        <w:rPr>
          <w:color w:val="4C4D4F"/>
          <w:w w:val="110"/>
          <w:sz w:val="22"/>
        </w:rPr>
        <w:t>It may be hard for providers in general medical settings to start XR-NTX successfully with patients who need medically supervised opioid withdrawal. Rapid induction approaches are likely beyond the scope of general outpatient</w:t>
      </w:r>
    </w:p>
    <w:p>
      <w:pPr>
        <w:spacing w:after="0" w:line="242" w:lineRule="auto"/>
        <w:jc w:val="left"/>
        <w:rPr>
          <w:sz w:val="22"/>
        </w:rPr>
        <w:sectPr>
          <w:type w:val="continuous"/>
          <w:pgSz w:w="12240" w:h="15840"/>
          <w:pgMar w:top="540" w:bottom="280" w:left="940" w:right="920"/>
          <w:cols w:num="2" w:equalWidth="0">
            <w:col w:w="5039" w:space="221"/>
            <w:col w:w="5120"/>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140" w:right="140"/>
      </w:pPr>
      <w:r>
        <w:rPr>
          <w:color w:val="4D4D4F"/>
          <w:w w:val="110"/>
        </w:rPr>
        <w:t>settings. However, patients can successfully initiate XR-NTX in a general outpatient medical setting if they:</w:t>
      </w:r>
    </w:p>
    <w:p>
      <w:pPr>
        <w:pStyle w:val="ListParagraph"/>
        <w:numPr>
          <w:ilvl w:val="0"/>
          <w:numId w:val="4"/>
        </w:numPr>
        <w:tabs>
          <w:tab w:pos="410" w:val="left" w:leader="none"/>
        </w:tabs>
        <w:spacing w:line="208" w:lineRule="auto" w:before="130" w:after="0"/>
        <w:ind w:left="410" w:right="336" w:hanging="270"/>
        <w:jc w:val="left"/>
        <w:rPr>
          <w:rFonts w:ascii="Arial" w:hAnsi="Arial"/>
          <w:color w:val="137692"/>
          <w:sz w:val="28"/>
        </w:rPr>
      </w:pPr>
      <w:r>
        <w:rPr>
          <w:color w:val="4D4D4F"/>
          <w:w w:val="115"/>
          <w:sz w:val="22"/>
        </w:rPr>
        <w:t>Have</w:t>
      </w:r>
      <w:r>
        <w:rPr>
          <w:color w:val="4D4D4F"/>
          <w:spacing w:val="-25"/>
          <w:w w:val="115"/>
          <w:sz w:val="22"/>
        </w:rPr>
        <w:t> </w:t>
      </w:r>
      <w:r>
        <w:rPr>
          <w:color w:val="4D4D4F"/>
          <w:w w:val="115"/>
          <w:sz w:val="22"/>
        </w:rPr>
        <w:t>been</w:t>
      </w:r>
      <w:r>
        <w:rPr>
          <w:color w:val="4D4D4F"/>
          <w:spacing w:val="-24"/>
          <w:w w:val="115"/>
          <w:sz w:val="22"/>
        </w:rPr>
        <w:t> </w:t>
      </w:r>
      <w:r>
        <w:rPr>
          <w:color w:val="4D4D4F"/>
          <w:w w:val="115"/>
          <w:sz w:val="22"/>
        </w:rPr>
        <w:t>abstinent</w:t>
      </w:r>
      <w:r>
        <w:rPr>
          <w:color w:val="4D4D4F"/>
          <w:spacing w:val="-24"/>
          <w:w w:val="115"/>
          <w:sz w:val="22"/>
        </w:rPr>
        <w:t> </w:t>
      </w:r>
      <w:r>
        <w:rPr>
          <w:color w:val="4D4D4F"/>
          <w:w w:val="115"/>
          <w:sz w:val="22"/>
        </w:rPr>
        <w:t>for</w:t>
      </w:r>
      <w:r>
        <w:rPr>
          <w:color w:val="4D4D4F"/>
          <w:spacing w:val="-24"/>
          <w:w w:val="115"/>
          <w:sz w:val="22"/>
        </w:rPr>
        <w:t> </w:t>
      </w:r>
      <w:r>
        <w:rPr>
          <w:color w:val="4D4D4F"/>
          <w:w w:val="115"/>
          <w:sz w:val="22"/>
        </w:rPr>
        <w:t>sufﬁcient</w:t>
      </w:r>
      <w:r>
        <w:rPr>
          <w:color w:val="4D4D4F"/>
          <w:spacing w:val="-24"/>
          <w:w w:val="115"/>
          <w:sz w:val="22"/>
        </w:rPr>
        <w:t> </w:t>
      </w:r>
      <w:r>
        <w:rPr>
          <w:color w:val="4D4D4F"/>
          <w:w w:val="115"/>
          <w:sz w:val="22"/>
        </w:rPr>
        <w:t>time</w:t>
      </w:r>
      <w:r>
        <w:rPr>
          <w:color w:val="4D4D4F"/>
          <w:spacing w:val="-24"/>
          <w:w w:val="115"/>
          <w:sz w:val="22"/>
        </w:rPr>
        <w:t> </w:t>
      </w:r>
      <w:r>
        <w:rPr>
          <w:color w:val="4D4D4F"/>
          <w:spacing w:val="-6"/>
          <w:w w:val="115"/>
          <w:sz w:val="22"/>
        </w:rPr>
        <w:t>and </w:t>
      </w:r>
      <w:r>
        <w:rPr>
          <w:color w:val="4D4D4F"/>
          <w:w w:val="115"/>
          <w:sz w:val="22"/>
        </w:rPr>
        <w:t>pass the naloxone</w:t>
      </w:r>
      <w:r>
        <w:rPr>
          <w:color w:val="4D4D4F"/>
          <w:spacing w:val="-30"/>
          <w:w w:val="115"/>
          <w:sz w:val="22"/>
        </w:rPr>
        <w:t> </w:t>
      </w:r>
      <w:r>
        <w:rPr>
          <w:color w:val="4D4D4F"/>
          <w:w w:val="115"/>
          <w:sz w:val="22"/>
        </w:rPr>
        <w:t>challenge.</w:t>
      </w:r>
    </w:p>
    <w:p>
      <w:pPr>
        <w:pStyle w:val="ListParagraph"/>
        <w:numPr>
          <w:ilvl w:val="0"/>
          <w:numId w:val="4"/>
        </w:numPr>
        <w:tabs>
          <w:tab w:pos="410" w:val="left" w:leader="none"/>
        </w:tabs>
        <w:spacing w:line="208" w:lineRule="auto" w:before="69" w:after="0"/>
        <w:ind w:left="410" w:right="51" w:hanging="270"/>
        <w:jc w:val="left"/>
        <w:rPr>
          <w:rFonts w:ascii="Arial" w:hAnsi="Arial"/>
          <w:color w:val="137692"/>
          <w:sz w:val="28"/>
        </w:rPr>
      </w:pPr>
      <w:r>
        <w:rPr>
          <w:color w:val="4D4D4F"/>
          <w:w w:val="110"/>
          <w:sz w:val="22"/>
        </w:rPr>
        <w:t>Started</w:t>
      </w:r>
      <w:r>
        <w:rPr>
          <w:color w:val="4D4D4F"/>
          <w:spacing w:val="-13"/>
          <w:w w:val="110"/>
          <w:sz w:val="22"/>
        </w:rPr>
        <w:t> </w:t>
      </w:r>
      <w:r>
        <w:rPr>
          <w:color w:val="4D4D4F"/>
          <w:w w:val="110"/>
          <w:sz w:val="22"/>
        </w:rPr>
        <w:t>taking</w:t>
      </w:r>
      <w:r>
        <w:rPr>
          <w:color w:val="4D4D4F"/>
          <w:spacing w:val="-12"/>
          <w:w w:val="110"/>
          <w:sz w:val="22"/>
        </w:rPr>
        <w:t> </w:t>
      </w:r>
      <w:r>
        <w:rPr>
          <w:color w:val="4D4D4F"/>
          <w:w w:val="110"/>
          <w:sz w:val="22"/>
        </w:rPr>
        <w:t>XR-NTX</w:t>
      </w:r>
      <w:r>
        <w:rPr>
          <w:color w:val="4D4D4F"/>
          <w:spacing w:val="-12"/>
          <w:w w:val="110"/>
          <w:sz w:val="22"/>
        </w:rPr>
        <w:t> </w:t>
      </w:r>
      <w:r>
        <w:rPr>
          <w:color w:val="4D4D4F"/>
          <w:w w:val="110"/>
          <w:sz w:val="22"/>
        </w:rPr>
        <w:t>elsewhere</w:t>
      </w:r>
      <w:r>
        <w:rPr>
          <w:color w:val="4D4D4F"/>
          <w:spacing w:val="-13"/>
          <w:w w:val="110"/>
          <w:sz w:val="22"/>
        </w:rPr>
        <w:t> </w:t>
      </w:r>
      <w:r>
        <w:rPr>
          <w:color w:val="4D4D4F"/>
          <w:w w:val="110"/>
          <w:sz w:val="22"/>
        </w:rPr>
        <w:t>and</w:t>
      </w:r>
      <w:r>
        <w:rPr>
          <w:color w:val="4D4D4F"/>
          <w:spacing w:val="-12"/>
          <w:w w:val="110"/>
          <w:sz w:val="22"/>
        </w:rPr>
        <w:t> </w:t>
      </w:r>
      <w:r>
        <w:rPr>
          <w:color w:val="4D4D4F"/>
          <w:w w:val="110"/>
          <w:sz w:val="22"/>
        </w:rPr>
        <w:t>are</w:t>
      </w:r>
      <w:r>
        <w:rPr>
          <w:color w:val="4D4D4F"/>
          <w:spacing w:val="-12"/>
          <w:w w:val="110"/>
          <w:sz w:val="22"/>
        </w:rPr>
        <w:t> </w:t>
      </w:r>
      <w:r>
        <w:rPr>
          <w:color w:val="4D4D4F"/>
          <w:spacing w:val="-6"/>
          <w:w w:val="110"/>
          <w:sz w:val="22"/>
        </w:rPr>
        <w:t>due </w:t>
      </w:r>
      <w:r>
        <w:rPr>
          <w:color w:val="4D4D4F"/>
          <w:w w:val="110"/>
          <w:sz w:val="22"/>
        </w:rPr>
        <w:t>for the next</w:t>
      </w:r>
      <w:r>
        <w:rPr>
          <w:color w:val="4D4D4F"/>
          <w:spacing w:val="-19"/>
          <w:w w:val="110"/>
          <w:sz w:val="22"/>
        </w:rPr>
        <w:t> </w:t>
      </w:r>
      <w:r>
        <w:rPr>
          <w:color w:val="4D4D4F"/>
          <w:w w:val="110"/>
          <w:sz w:val="22"/>
        </w:rPr>
        <w:t>injection.</w:t>
      </w:r>
    </w:p>
    <w:p>
      <w:pPr>
        <w:pStyle w:val="BodyText"/>
        <w:spacing w:line="247" w:lineRule="auto" w:before="195"/>
        <w:ind w:left="140" w:right="41"/>
      </w:pPr>
      <w:r>
        <w:rPr>
          <w:color w:val="4D4D4F"/>
          <w:w w:val="110"/>
        </w:rPr>
        <w:t>One randomized trial compared two approaches to starting XR-NTX on an outpatient basis. This study assigned adults dependent on opioids</w:t>
      </w:r>
    </w:p>
    <w:p>
      <w:pPr>
        <w:pStyle w:val="BodyText"/>
        <w:spacing w:line="247" w:lineRule="auto" w:before="4"/>
        <w:ind w:left="140" w:right="173"/>
      </w:pPr>
      <w:r>
        <w:rPr>
          <w:color w:val="4D4D4F"/>
          <w:w w:val="110"/>
        </w:rPr>
        <w:t>to either a standard 14-day buprenorphine- assisted opioid withdrawal or more rapid 7-day oral naltrexone-assisted opioid withdrawal.</w:t>
      </w:r>
      <w:r>
        <w:rPr>
          <w:color w:val="4D4D4F"/>
          <w:w w:val="110"/>
          <w:position w:val="7"/>
          <w:sz w:val="13"/>
        </w:rPr>
        <w:t>202 </w:t>
      </w:r>
      <w:r>
        <w:rPr>
          <w:color w:val="4D4D4F"/>
          <w:w w:val="110"/>
        </w:rPr>
        <w:t>Naltrexone-assisted withdrawal was conducted over 7 days. It included 1 day of buprenorphine administration; 1 day with ancillary medications including clonidine and clonazepam but no buprenorphine; followed by 4 days of ancillary medications and increasing daily doses of oral naltrexone (starting with 1 mg, 3 mg, 12 mg, and 25 mg); and concluding on day 7 with</w:t>
      </w:r>
    </w:p>
    <w:p>
      <w:pPr>
        <w:pStyle w:val="BodyText"/>
        <w:spacing w:line="247" w:lineRule="auto" w:before="13"/>
        <w:ind w:left="140" w:right="140"/>
      </w:pPr>
      <w:r>
        <w:rPr>
          <w:color w:val="4D4D4F"/>
          <w:w w:val="105"/>
        </w:rPr>
        <w:t>XR-NTX administration. Buprenorphine-assisted </w:t>
      </w:r>
      <w:r>
        <w:rPr>
          <w:color w:val="4D4D4F"/>
          <w:w w:val="110"/>
        </w:rPr>
        <w:t>withdrawal consisted of a 7-day buprenorphine taper followed by the recommended 7 days without opioids. The naltrexone-assisted withdrawal group was signiﬁcantly more</w:t>
      </w:r>
    </w:p>
    <w:p>
      <w:pPr>
        <w:pStyle w:val="BodyText"/>
        <w:spacing w:line="249" w:lineRule="auto" w:before="6"/>
        <w:ind w:left="140" w:right="38"/>
      </w:pPr>
      <w:r>
        <w:rPr>
          <w:color w:val="4D4D4F"/>
          <w:w w:val="115"/>
        </w:rPr>
        <w:t>likely to begin XR-NTX compared with the buprenorphine-assisted</w:t>
      </w:r>
      <w:r>
        <w:rPr>
          <w:color w:val="4D4D4F"/>
          <w:spacing w:val="-38"/>
          <w:w w:val="115"/>
        </w:rPr>
        <w:t> </w:t>
      </w:r>
      <w:r>
        <w:rPr>
          <w:color w:val="4D4D4F"/>
          <w:w w:val="115"/>
        </w:rPr>
        <w:t>withdrawal</w:t>
      </w:r>
      <w:r>
        <w:rPr>
          <w:color w:val="4D4D4F"/>
          <w:spacing w:val="-38"/>
          <w:w w:val="115"/>
        </w:rPr>
        <w:t> </w:t>
      </w:r>
      <w:r>
        <w:rPr>
          <w:color w:val="4D4D4F"/>
          <w:w w:val="115"/>
        </w:rPr>
        <w:t>group</w:t>
      </w:r>
      <w:r>
        <w:rPr>
          <w:color w:val="4D4D4F"/>
          <w:spacing w:val="-38"/>
          <w:w w:val="115"/>
        </w:rPr>
        <w:t> </w:t>
      </w:r>
      <w:r>
        <w:rPr>
          <w:color w:val="4D4D4F"/>
          <w:w w:val="115"/>
        </w:rPr>
        <w:t>(56.1 percent</w:t>
      </w:r>
      <w:r>
        <w:rPr>
          <w:color w:val="4D4D4F"/>
          <w:spacing w:val="-33"/>
          <w:w w:val="115"/>
        </w:rPr>
        <w:t> </w:t>
      </w:r>
      <w:r>
        <w:rPr>
          <w:color w:val="4D4D4F"/>
          <w:w w:val="115"/>
        </w:rPr>
        <w:t>versus</w:t>
      </w:r>
      <w:r>
        <w:rPr>
          <w:color w:val="4D4D4F"/>
          <w:spacing w:val="-33"/>
          <w:w w:val="115"/>
        </w:rPr>
        <w:t> </w:t>
      </w:r>
      <w:r>
        <w:rPr>
          <w:color w:val="4D4D4F"/>
          <w:w w:val="115"/>
        </w:rPr>
        <w:t>32.7</w:t>
      </w:r>
      <w:r>
        <w:rPr>
          <w:color w:val="4D4D4F"/>
          <w:spacing w:val="-33"/>
          <w:w w:val="115"/>
        </w:rPr>
        <w:t> </w:t>
      </w:r>
      <w:r>
        <w:rPr>
          <w:color w:val="4D4D4F"/>
          <w:w w:val="115"/>
        </w:rPr>
        <w:t>percent,</w:t>
      </w:r>
      <w:r>
        <w:rPr>
          <w:color w:val="4D4D4F"/>
          <w:spacing w:val="-33"/>
          <w:w w:val="115"/>
        </w:rPr>
        <w:t> </w:t>
      </w:r>
      <w:r>
        <w:rPr>
          <w:color w:val="4D4D4F"/>
          <w:w w:val="115"/>
        </w:rPr>
        <w:t>respectively).</w:t>
      </w:r>
      <w:r>
        <w:rPr>
          <w:color w:val="4D4D4F"/>
          <w:spacing w:val="-33"/>
          <w:w w:val="115"/>
        </w:rPr>
        <w:t> </w:t>
      </w:r>
      <w:r>
        <w:rPr>
          <w:color w:val="4D4D4F"/>
          <w:w w:val="115"/>
        </w:rPr>
        <w:t>This type of approach, which must be conducted with careful daily monitoring, is used in some residential programs and may prove to be a </w:t>
      </w:r>
      <w:r>
        <w:rPr>
          <w:color w:val="4D4D4F"/>
          <w:spacing w:val="-3"/>
          <w:w w:val="115"/>
        </w:rPr>
        <w:t>useful</w:t>
      </w:r>
      <w:r>
        <w:rPr>
          <w:color w:val="4D4D4F"/>
          <w:spacing w:val="-43"/>
          <w:w w:val="115"/>
        </w:rPr>
        <w:t> </w:t>
      </w:r>
      <w:r>
        <w:rPr>
          <w:color w:val="4D4D4F"/>
          <w:spacing w:val="-4"/>
          <w:w w:val="115"/>
        </w:rPr>
        <w:t>approach</w:t>
      </w:r>
      <w:r>
        <w:rPr>
          <w:color w:val="4D4D4F"/>
          <w:spacing w:val="-42"/>
          <w:w w:val="115"/>
        </w:rPr>
        <w:t> </w:t>
      </w:r>
      <w:r>
        <w:rPr>
          <w:color w:val="4D4D4F"/>
          <w:w w:val="115"/>
        </w:rPr>
        <w:t>to</w:t>
      </w:r>
      <w:r>
        <w:rPr>
          <w:color w:val="4D4D4F"/>
          <w:spacing w:val="-43"/>
          <w:w w:val="115"/>
        </w:rPr>
        <w:t> </w:t>
      </w:r>
      <w:r>
        <w:rPr>
          <w:color w:val="4D4D4F"/>
          <w:spacing w:val="-3"/>
          <w:w w:val="115"/>
        </w:rPr>
        <w:t>outpatient</w:t>
      </w:r>
      <w:r>
        <w:rPr>
          <w:color w:val="4D4D4F"/>
          <w:spacing w:val="-42"/>
          <w:w w:val="115"/>
        </w:rPr>
        <w:t> </w:t>
      </w:r>
      <w:r>
        <w:rPr>
          <w:color w:val="4D4D4F"/>
          <w:spacing w:val="-3"/>
          <w:w w:val="115"/>
        </w:rPr>
        <w:t>XR-NTX</w:t>
      </w:r>
      <w:r>
        <w:rPr>
          <w:color w:val="4D4D4F"/>
          <w:spacing w:val="-43"/>
          <w:w w:val="115"/>
        </w:rPr>
        <w:t> </w:t>
      </w:r>
      <w:r>
        <w:rPr>
          <w:color w:val="4D4D4F"/>
          <w:spacing w:val="-3"/>
          <w:w w:val="115"/>
        </w:rPr>
        <w:t>induction </w:t>
      </w:r>
      <w:r>
        <w:rPr>
          <w:color w:val="4D4D4F"/>
          <w:w w:val="115"/>
        </w:rPr>
        <w:t>in </w:t>
      </w:r>
      <w:r>
        <w:rPr>
          <w:color w:val="4D4D4F"/>
          <w:spacing w:val="-3"/>
          <w:w w:val="115"/>
        </w:rPr>
        <w:t>specialty </w:t>
      </w:r>
      <w:r>
        <w:rPr>
          <w:color w:val="4D4D4F"/>
          <w:spacing w:val="-4"/>
          <w:w w:val="115"/>
        </w:rPr>
        <w:t>programs. More </w:t>
      </w:r>
      <w:r>
        <w:rPr>
          <w:color w:val="4D4D4F"/>
          <w:spacing w:val="-3"/>
          <w:w w:val="115"/>
        </w:rPr>
        <w:t>discussion </w:t>
      </w:r>
      <w:r>
        <w:rPr>
          <w:color w:val="4D4D4F"/>
          <w:w w:val="115"/>
        </w:rPr>
        <w:t>on </w:t>
      </w:r>
      <w:r>
        <w:rPr>
          <w:color w:val="4D4D4F"/>
          <w:spacing w:val="-3"/>
          <w:w w:val="115"/>
        </w:rPr>
        <w:t>rapid induction</w:t>
      </w:r>
      <w:r>
        <w:rPr>
          <w:color w:val="4D4D4F"/>
          <w:spacing w:val="-47"/>
          <w:w w:val="115"/>
        </w:rPr>
        <w:t> </w:t>
      </w:r>
      <w:r>
        <w:rPr>
          <w:color w:val="4D4D4F"/>
          <w:spacing w:val="-4"/>
          <w:w w:val="115"/>
        </w:rPr>
        <w:t>approaches</w:t>
      </w:r>
      <w:r>
        <w:rPr>
          <w:color w:val="4D4D4F"/>
          <w:spacing w:val="-46"/>
          <w:w w:val="115"/>
        </w:rPr>
        <w:t> </w:t>
      </w:r>
      <w:r>
        <w:rPr>
          <w:color w:val="4D4D4F"/>
          <w:w w:val="115"/>
        </w:rPr>
        <w:t>is</w:t>
      </w:r>
      <w:r>
        <w:rPr>
          <w:color w:val="4D4D4F"/>
          <w:spacing w:val="-47"/>
          <w:w w:val="115"/>
        </w:rPr>
        <w:t> </w:t>
      </w:r>
      <w:r>
        <w:rPr>
          <w:color w:val="4D4D4F"/>
          <w:spacing w:val="-3"/>
          <w:w w:val="115"/>
        </w:rPr>
        <w:t>available</w:t>
      </w:r>
      <w:r>
        <w:rPr>
          <w:color w:val="4D4D4F"/>
          <w:spacing w:val="-46"/>
          <w:w w:val="115"/>
        </w:rPr>
        <w:t> </w:t>
      </w:r>
      <w:r>
        <w:rPr>
          <w:color w:val="4D4D4F"/>
          <w:w w:val="115"/>
        </w:rPr>
        <w:t>in</w:t>
      </w:r>
      <w:r>
        <w:rPr>
          <w:color w:val="4D4D4F"/>
          <w:spacing w:val="-47"/>
          <w:w w:val="115"/>
        </w:rPr>
        <w:t> </w:t>
      </w:r>
      <w:r>
        <w:rPr>
          <w:rFonts w:ascii="Arial"/>
          <w:i/>
          <w:color w:val="4D4D4F"/>
          <w:spacing w:val="-3"/>
          <w:w w:val="115"/>
        </w:rPr>
        <w:t>Implementing </w:t>
      </w:r>
      <w:r>
        <w:rPr>
          <w:rFonts w:ascii="Arial"/>
          <w:i/>
          <w:color w:val="4D4D4F"/>
          <w:spacing w:val="-3"/>
          <w:w w:val="105"/>
        </w:rPr>
        <w:t>Antagonist-Based</w:t>
      </w:r>
      <w:r>
        <w:rPr>
          <w:rFonts w:ascii="Arial"/>
          <w:i/>
          <w:color w:val="4D4D4F"/>
          <w:spacing w:val="-40"/>
          <w:w w:val="105"/>
        </w:rPr>
        <w:t> </w:t>
      </w:r>
      <w:r>
        <w:rPr>
          <w:rFonts w:ascii="Arial"/>
          <w:i/>
          <w:color w:val="4D4D4F"/>
          <w:spacing w:val="-3"/>
          <w:w w:val="105"/>
        </w:rPr>
        <w:t>Relapse</w:t>
      </w:r>
      <w:r>
        <w:rPr>
          <w:rFonts w:ascii="Arial"/>
          <w:i/>
          <w:color w:val="4D4D4F"/>
          <w:spacing w:val="-40"/>
          <w:w w:val="105"/>
        </w:rPr>
        <w:t> </w:t>
      </w:r>
      <w:r>
        <w:rPr>
          <w:rFonts w:ascii="Arial"/>
          <w:i/>
          <w:color w:val="4D4D4F"/>
          <w:spacing w:val="-4"/>
          <w:w w:val="105"/>
        </w:rPr>
        <w:t>Prevention</w:t>
      </w:r>
      <w:r>
        <w:rPr>
          <w:rFonts w:ascii="Arial"/>
          <w:i/>
          <w:color w:val="4D4D4F"/>
          <w:spacing w:val="-39"/>
          <w:w w:val="105"/>
        </w:rPr>
        <w:t> </w:t>
      </w:r>
      <w:r>
        <w:rPr>
          <w:rFonts w:ascii="Arial"/>
          <w:i/>
          <w:color w:val="4D4D4F"/>
          <w:spacing w:val="-4"/>
          <w:w w:val="105"/>
        </w:rPr>
        <w:t>Treatment </w:t>
      </w:r>
      <w:r>
        <w:rPr>
          <w:rFonts w:ascii="Arial"/>
          <w:i/>
          <w:color w:val="4D4D4F"/>
          <w:w w:val="115"/>
        </w:rPr>
        <w:t>for Buprenorphine-Treated Individuals,</w:t>
      </w:r>
      <w:r>
        <w:rPr>
          <w:rFonts w:ascii="Arial"/>
          <w:i/>
          <w:color w:val="4D4D4F"/>
          <w:w w:val="115"/>
          <w:position w:val="7"/>
          <w:sz w:val="13"/>
        </w:rPr>
        <w:t>203 </w:t>
      </w:r>
      <w:r>
        <w:rPr>
          <w:color w:val="4D4D4F"/>
          <w:w w:val="115"/>
        </w:rPr>
        <w:t>available online</w:t>
      </w:r>
      <w:r>
        <w:rPr>
          <w:color w:val="4D4D4F"/>
          <w:spacing w:val="-54"/>
          <w:w w:val="115"/>
        </w:rPr>
        <w:t> </w:t>
      </w:r>
      <w:r>
        <w:rPr>
          <w:color w:val="4D4D4F"/>
          <w:w w:val="115"/>
        </w:rPr>
        <w:t>(</w:t>
      </w:r>
      <w:hyperlink r:id="rId53">
        <w:r>
          <w:rPr>
            <w:color w:val="205E9F"/>
            <w:w w:val="115"/>
            <w:u w:val="single" w:color="205E9F"/>
          </w:rPr>
          <w:t>http://pcssmat.org/wp-content</w:t>
        </w:r>
      </w:hyperlink>
    </w:p>
    <w:p>
      <w:pPr>
        <w:pStyle w:val="BodyText"/>
        <w:spacing w:line="242" w:lineRule="exact"/>
        <w:ind w:left="140"/>
      </w:pPr>
      <w:r>
        <w:rPr>
          <w:color w:val="205E9F"/>
          <w:w w:val="115"/>
          <w:u w:val="single" w:color="205E9F"/>
        </w:rPr>
        <w:t>/uploads/2015/02/PCSSMAT-Implementing</w:t>
      </w:r>
    </w:p>
    <w:p>
      <w:pPr>
        <w:pStyle w:val="BodyText"/>
        <w:spacing w:before="9"/>
        <w:ind w:left="140"/>
      </w:pPr>
      <w:r>
        <w:rPr>
          <w:color w:val="205E9F"/>
          <w:w w:val="110"/>
          <w:u w:val="single" w:color="205E9F"/>
        </w:rPr>
        <w:t>-Antagonist-with-Case.Bisaga.CME_.pdf</w:t>
      </w:r>
      <w:r>
        <w:rPr>
          <w:color w:val="4D4D4F"/>
          <w:w w:val="110"/>
        </w:rPr>
        <w:t>).</w:t>
      </w:r>
    </w:p>
    <w:p>
      <w:pPr>
        <w:pStyle w:val="BodyText"/>
        <w:spacing w:before="5"/>
        <w:rPr>
          <w:sz w:val="23"/>
        </w:rPr>
      </w:pPr>
    </w:p>
    <w:p>
      <w:pPr>
        <w:pStyle w:val="Heading3"/>
      </w:pPr>
      <w:bookmarkStart w:name="_TOC_250070" w:id="45"/>
      <w:bookmarkEnd w:id="45"/>
      <w:r>
        <w:rPr>
          <w:color w:val="137692"/>
          <w:w w:val="110"/>
        </w:rPr>
        <w:t>Oral Naltrexone</w:t>
      </w:r>
    </w:p>
    <w:p>
      <w:pPr>
        <w:spacing w:line="244" w:lineRule="auto" w:before="42"/>
        <w:ind w:left="140" w:right="49" w:firstLine="0"/>
        <w:jc w:val="left"/>
        <w:rPr>
          <w:sz w:val="22"/>
        </w:rPr>
      </w:pPr>
      <w:r>
        <w:rPr>
          <w:rFonts w:ascii="Calibri"/>
          <w:b/>
          <w:color w:val="4D4D4F"/>
          <w:w w:val="115"/>
          <w:sz w:val="22"/>
        </w:rPr>
        <w:t>The</w:t>
      </w:r>
      <w:r>
        <w:rPr>
          <w:rFonts w:ascii="Calibri"/>
          <w:b/>
          <w:color w:val="4D4D4F"/>
          <w:spacing w:val="-11"/>
          <w:w w:val="115"/>
          <w:sz w:val="22"/>
        </w:rPr>
        <w:t> </w:t>
      </w:r>
      <w:r>
        <w:rPr>
          <w:rFonts w:ascii="Calibri"/>
          <w:b/>
          <w:color w:val="4D4D4F"/>
          <w:w w:val="115"/>
          <w:sz w:val="22"/>
        </w:rPr>
        <w:t>effectiveness</w:t>
      </w:r>
      <w:r>
        <w:rPr>
          <w:rFonts w:ascii="Calibri"/>
          <w:b/>
          <w:color w:val="4D4D4F"/>
          <w:spacing w:val="-10"/>
          <w:w w:val="115"/>
          <w:sz w:val="22"/>
        </w:rPr>
        <w:t> </w:t>
      </w:r>
      <w:r>
        <w:rPr>
          <w:rFonts w:ascii="Calibri"/>
          <w:b/>
          <w:color w:val="4D4D4F"/>
          <w:w w:val="115"/>
          <w:sz w:val="22"/>
        </w:rPr>
        <w:t>of</w:t>
      </w:r>
      <w:r>
        <w:rPr>
          <w:rFonts w:ascii="Calibri"/>
          <w:b/>
          <w:color w:val="4D4D4F"/>
          <w:spacing w:val="-11"/>
          <w:w w:val="115"/>
          <w:sz w:val="22"/>
        </w:rPr>
        <w:t> </w:t>
      </w:r>
      <w:r>
        <w:rPr>
          <w:rFonts w:ascii="Calibri"/>
          <w:b/>
          <w:color w:val="4D4D4F"/>
          <w:w w:val="115"/>
          <w:sz w:val="22"/>
        </w:rPr>
        <w:t>oral</w:t>
      </w:r>
      <w:r>
        <w:rPr>
          <w:rFonts w:ascii="Calibri"/>
          <w:b/>
          <w:color w:val="4D4D4F"/>
          <w:spacing w:val="-10"/>
          <w:w w:val="115"/>
          <w:sz w:val="22"/>
        </w:rPr>
        <w:t> </w:t>
      </w:r>
      <w:r>
        <w:rPr>
          <w:rFonts w:ascii="Calibri"/>
          <w:b/>
          <w:color w:val="4D4D4F"/>
          <w:w w:val="115"/>
          <w:sz w:val="22"/>
        </w:rPr>
        <w:t>naltrexone</w:t>
      </w:r>
      <w:r>
        <w:rPr>
          <w:rFonts w:ascii="Calibri"/>
          <w:b/>
          <w:color w:val="4D4D4F"/>
          <w:spacing w:val="-11"/>
          <w:w w:val="115"/>
          <w:sz w:val="22"/>
        </w:rPr>
        <w:t> </w:t>
      </w:r>
      <w:r>
        <w:rPr>
          <w:rFonts w:ascii="Calibri"/>
          <w:b/>
          <w:color w:val="4D4D4F"/>
          <w:w w:val="115"/>
          <w:sz w:val="22"/>
        </w:rPr>
        <w:t>is</w:t>
      </w:r>
      <w:r>
        <w:rPr>
          <w:rFonts w:ascii="Calibri"/>
          <w:b/>
          <w:color w:val="4D4D4F"/>
          <w:spacing w:val="-10"/>
          <w:w w:val="115"/>
          <w:sz w:val="22"/>
        </w:rPr>
        <w:t> </w:t>
      </w:r>
      <w:r>
        <w:rPr>
          <w:rFonts w:ascii="Calibri"/>
          <w:b/>
          <w:color w:val="4D4D4F"/>
          <w:w w:val="115"/>
          <w:sz w:val="22"/>
        </w:rPr>
        <w:t>limited, </w:t>
      </w:r>
      <w:r>
        <w:rPr>
          <w:color w:val="4D4D4F"/>
          <w:w w:val="115"/>
          <w:sz w:val="22"/>
        </w:rPr>
        <w:t>given</w:t>
      </w:r>
      <w:r>
        <w:rPr>
          <w:color w:val="4D4D4F"/>
          <w:spacing w:val="-23"/>
          <w:w w:val="115"/>
          <w:sz w:val="22"/>
        </w:rPr>
        <w:t> </w:t>
      </w:r>
      <w:r>
        <w:rPr>
          <w:color w:val="4D4D4F"/>
          <w:w w:val="115"/>
          <w:sz w:val="22"/>
        </w:rPr>
        <w:t>poor</w:t>
      </w:r>
      <w:r>
        <w:rPr>
          <w:color w:val="4D4D4F"/>
          <w:spacing w:val="-23"/>
          <w:w w:val="115"/>
          <w:sz w:val="22"/>
        </w:rPr>
        <w:t> </w:t>
      </w:r>
      <w:r>
        <w:rPr>
          <w:color w:val="4D4D4F"/>
          <w:w w:val="115"/>
          <w:sz w:val="22"/>
        </w:rPr>
        <w:t>adherence</w:t>
      </w:r>
      <w:r>
        <w:rPr>
          <w:color w:val="4D4D4F"/>
          <w:spacing w:val="-23"/>
          <w:w w:val="115"/>
          <w:sz w:val="22"/>
        </w:rPr>
        <w:t> </w:t>
      </w:r>
      <w:r>
        <w:rPr>
          <w:color w:val="4D4D4F"/>
          <w:w w:val="115"/>
          <w:sz w:val="22"/>
        </w:rPr>
        <w:t>and</w:t>
      </w:r>
      <w:r>
        <w:rPr>
          <w:color w:val="4D4D4F"/>
          <w:spacing w:val="-23"/>
          <w:w w:val="115"/>
          <w:sz w:val="22"/>
        </w:rPr>
        <w:t> </w:t>
      </w:r>
      <w:r>
        <w:rPr>
          <w:color w:val="4D4D4F"/>
          <w:w w:val="115"/>
          <w:sz w:val="22"/>
        </w:rPr>
        <w:t>the</w:t>
      </w:r>
      <w:r>
        <w:rPr>
          <w:color w:val="4D4D4F"/>
          <w:spacing w:val="-22"/>
          <w:w w:val="115"/>
          <w:sz w:val="22"/>
        </w:rPr>
        <w:t> </w:t>
      </w:r>
      <w:r>
        <w:rPr>
          <w:color w:val="4D4D4F"/>
          <w:w w:val="115"/>
          <w:sz w:val="22"/>
        </w:rPr>
        <w:t>requirement</w:t>
      </w:r>
      <w:r>
        <w:rPr>
          <w:color w:val="4D4D4F"/>
          <w:spacing w:val="-23"/>
          <w:w w:val="115"/>
          <w:sz w:val="22"/>
        </w:rPr>
        <w:t> </w:t>
      </w:r>
      <w:r>
        <w:rPr>
          <w:color w:val="4D4D4F"/>
          <w:w w:val="115"/>
          <w:sz w:val="22"/>
        </w:rPr>
        <w:t>of</w:t>
      </w:r>
      <w:r>
        <w:rPr>
          <w:color w:val="4D4D4F"/>
          <w:spacing w:val="-23"/>
          <w:w w:val="115"/>
          <w:sz w:val="22"/>
        </w:rPr>
        <w:t> </w:t>
      </w:r>
      <w:r>
        <w:rPr>
          <w:color w:val="4D4D4F"/>
          <w:w w:val="115"/>
          <w:sz w:val="22"/>
        </w:rPr>
        <w:t>7 to</w:t>
      </w:r>
      <w:r>
        <w:rPr>
          <w:color w:val="4D4D4F"/>
          <w:spacing w:val="-24"/>
          <w:w w:val="115"/>
          <w:sz w:val="22"/>
        </w:rPr>
        <w:t> </w:t>
      </w:r>
      <w:r>
        <w:rPr>
          <w:color w:val="4D4D4F"/>
          <w:w w:val="115"/>
          <w:sz w:val="22"/>
        </w:rPr>
        <w:t>14</w:t>
      </w:r>
      <w:r>
        <w:rPr>
          <w:color w:val="4D4D4F"/>
          <w:spacing w:val="-23"/>
          <w:w w:val="115"/>
          <w:sz w:val="22"/>
        </w:rPr>
        <w:t> </w:t>
      </w:r>
      <w:r>
        <w:rPr>
          <w:color w:val="4D4D4F"/>
          <w:w w:val="115"/>
          <w:sz w:val="22"/>
        </w:rPr>
        <w:t>days</w:t>
      </w:r>
      <w:r>
        <w:rPr>
          <w:color w:val="4D4D4F"/>
          <w:spacing w:val="-24"/>
          <w:w w:val="115"/>
          <w:sz w:val="22"/>
        </w:rPr>
        <w:t> </w:t>
      </w:r>
      <w:r>
        <w:rPr>
          <w:color w:val="4D4D4F"/>
          <w:w w:val="115"/>
          <w:sz w:val="22"/>
        </w:rPr>
        <w:t>of</w:t>
      </w:r>
      <w:r>
        <w:rPr>
          <w:color w:val="4D4D4F"/>
          <w:spacing w:val="-23"/>
          <w:w w:val="115"/>
          <w:sz w:val="22"/>
        </w:rPr>
        <w:t> </w:t>
      </w:r>
      <w:r>
        <w:rPr>
          <w:color w:val="4D4D4F"/>
          <w:w w:val="115"/>
          <w:sz w:val="22"/>
        </w:rPr>
        <w:t>opioid</w:t>
      </w:r>
      <w:r>
        <w:rPr>
          <w:color w:val="4D4D4F"/>
          <w:spacing w:val="-24"/>
          <w:w w:val="115"/>
          <w:sz w:val="22"/>
        </w:rPr>
        <w:t> </w:t>
      </w:r>
      <w:r>
        <w:rPr>
          <w:color w:val="4D4D4F"/>
          <w:w w:val="115"/>
          <w:sz w:val="22"/>
        </w:rPr>
        <w:t>abstinence</w:t>
      </w:r>
      <w:r>
        <w:rPr>
          <w:color w:val="4D4D4F"/>
          <w:spacing w:val="-23"/>
          <w:w w:val="115"/>
          <w:sz w:val="22"/>
        </w:rPr>
        <w:t> </w:t>
      </w:r>
      <w:r>
        <w:rPr>
          <w:color w:val="4D4D4F"/>
          <w:w w:val="115"/>
          <w:sz w:val="22"/>
        </w:rPr>
        <w:t>before</w:t>
      </w:r>
      <w:r>
        <w:rPr>
          <w:color w:val="4D4D4F"/>
          <w:spacing w:val="-24"/>
          <w:w w:val="115"/>
          <w:sz w:val="22"/>
        </w:rPr>
        <w:t> </w:t>
      </w:r>
      <w:r>
        <w:rPr>
          <w:color w:val="4D4D4F"/>
          <w:w w:val="115"/>
          <w:sz w:val="22"/>
        </w:rPr>
        <w:t>initiation. During</w:t>
      </w:r>
      <w:r>
        <w:rPr>
          <w:color w:val="4D4D4F"/>
          <w:spacing w:val="-19"/>
          <w:w w:val="115"/>
          <w:sz w:val="22"/>
        </w:rPr>
        <w:t> </w:t>
      </w:r>
      <w:r>
        <w:rPr>
          <w:color w:val="4D4D4F"/>
          <w:w w:val="115"/>
          <w:sz w:val="22"/>
        </w:rPr>
        <w:t>this</w:t>
      </w:r>
      <w:r>
        <w:rPr>
          <w:color w:val="4D4D4F"/>
          <w:spacing w:val="-19"/>
          <w:w w:val="115"/>
          <w:sz w:val="22"/>
        </w:rPr>
        <w:t> </w:t>
      </w:r>
      <w:r>
        <w:rPr>
          <w:color w:val="4D4D4F"/>
          <w:w w:val="115"/>
          <w:sz w:val="22"/>
        </w:rPr>
        <w:t>waiting</w:t>
      </w:r>
      <w:r>
        <w:rPr>
          <w:color w:val="4D4D4F"/>
          <w:spacing w:val="-18"/>
          <w:w w:val="115"/>
          <w:sz w:val="22"/>
        </w:rPr>
        <w:t> </w:t>
      </w:r>
      <w:r>
        <w:rPr>
          <w:color w:val="4D4D4F"/>
          <w:w w:val="115"/>
          <w:sz w:val="22"/>
        </w:rPr>
        <w:t>period,</w:t>
      </w:r>
      <w:r>
        <w:rPr>
          <w:color w:val="4D4D4F"/>
          <w:spacing w:val="-19"/>
          <w:w w:val="115"/>
          <w:sz w:val="22"/>
        </w:rPr>
        <w:t> </w:t>
      </w:r>
      <w:r>
        <w:rPr>
          <w:color w:val="4D4D4F"/>
          <w:w w:val="115"/>
          <w:sz w:val="22"/>
        </w:rPr>
        <w:t>patients</w:t>
      </w:r>
      <w:r>
        <w:rPr>
          <w:color w:val="4D4D4F"/>
          <w:spacing w:val="-19"/>
          <w:w w:val="115"/>
          <w:sz w:val="22"/>
        </w:rPr>
        <w:t> </w:t>
      </w:r>
      <w:r>
        <w:rPr>
          <w:color w:val="4D4D4F"/>
          <w:w w:val="115"/>
          <w:sz w:val="22"/>
        </w:rPr>
        <w:t>may</w:t>
      </w:r>
      <w:r>
        <w:rPr>
          <w:color w:val="4D4D4F"/>
          <w:spacing w:val="-18"/>
          <w:w w:val="115"/>
          <w:sz w:val="22"/>
        </w:rPr>
        <w:t> </w:t>
      </w:r>
      <w:r>
        <w:rPr>
          <w:color w:val="4D4D4F"/>
          <w:w w:val="115"/>
          <w:sz w:val="22"/>
        </w:rPr>
        <w:t>drop</w:t>
      </w:r>
    </w:p>
    <w:p>
      <w:pPr>
        <w:pStyle w:val="BodyText"/>
        <w:spacing w:line="247" w:lineRule="auto" w:before="100"/>
        <w:ind w:left="140" w:right="253"/>
        <w:rPr>
          <w:sz w:val="13"/>
        </w:rPr>
      </w:pPr>
      <w:r>
        <w:rPr/>
        <w:br w:type="column"/>
      </w:r>
      <w:r>
        <w:rPr>
          <w:color w:val="4D4D4F"/>
          <w:w w:val="110"/>
        </w:rPr>
        <w:t>out of care. One study found signiﬁcantly lower patient retention in treatment after incarcera- tion for patients treated with oral naltrexone compared with methadone.</w:t>
      </w:r>
      <w:r>
        <w:rPr>
          <w:color w:val="4D4D4F"/>
          <w:w w:val="110"/>
          <w:position w:val="7"/>
          <w:sz w:val="13"/>
        </w:rPr>
        <w:t>204</w:t>
      </w:r>
    </w:p>
    <w:p>
      <w:pPr>
        <w:pStyle w:val="BodyText"/>
        <w:spacing w:line="247" w:lineRule="auto" w:before="185"/>
        <w:ind w:left="140" w:right="101"/>
      </w:pPr>
      <w:r>
        <w:rPr>
          <w:color w:val="4D4D4F"/>
          <w:w w:val="110"/>
        </w:rPr>
        <w:t>Oral naltrexone blocks opioid-induced euphoria for only a day or two. When patients stop taking it, risks of return to opioid use and overdose increase.</w:t>
      </w:r>
    </w:p>
    <w:p>
      <w:pPr>
        <w:spacing w:line="242" w:lineRule="auto" w:before="180"/>
        <w:ind w:left="140" w:right="347" w:firstLine="0"/>
        <w:jc w:val="left"/>
        <w:rPr>
          <w:sz w:val="22"/>
        </w:rPr>
      </w:pPr>
      <w:r>
        <w:rPr>
          <w:rFonts w:ascii="Calibri" w:hAnsi="Calibri"/>
          <w:b/>
          <w:color w:val="4D4D4F"/>
          <w:w w:val="110"/>
          <w:sz w:val="22"/>
        </w:rPr>
        <w:t>The TIP expert panel doesn’t recommend using oral naltrexone except in the limited circumstances described in the following sections. </w:t>
      </w:r>
      <w:r>
        <w:rPr>
          <w:color w:val="4D4D4F"/>
          <w:w w:val="110"/>
          <w:sz w:val="22"/>
        </w:rPr>
        <w:t>This view is in keeping with expert reviews for the United Kingdom’s National Health Service,</w:t>
      </w:r>
      <w:r>
        <w:rPr>
          <w:color w:val="4D4D4F"/>
          <w:w w:val="110"/>
          <w:position w:val="7"/>
          <w:sz w:val="13"/>
        </w:rPr>
        <w:t>205 </w:t>
      </w:r>
      <w:r>
        <w:rPr>
          <w:color w:val="4D4D4F"/>
          <w:w w:val="110"/>
          <w:sz w:val="22"/>
        </w:rPr>
        <w:t>a clinical practice guideline </w:t>
      </w:r>
      <w:r>
        <w:rPr>
          <w:color w:val="4D4D4F"/>
          <w:spacing w:val="-3"/>
          <w:w w:val="110"/>
          <w:sz w:val="22"/>
        </w:rPr>
        <w:t>published </w:t>
      </w:r>
      <w:r>
        <w:rPr>
          <w:color w:val="4D4D4F"/>
          <w:w w:val="110"/>
          <w:sz w:val="22"/>
        </w:rPr>
        <w:t>by the </w:t>
      </w:r>
      <w:r>
        <w:rPr>
          <w:color w:val="4D4D4F"/>
          <w:spacing w:val="-3"/>
          <w:w w:val="110"/>
          <w:sz w:val="22"/>
        </w:rPr>
        <w:t>Department </w:t>
      </w:r>
      <w:r>
        <w:rPr>
          <w:color w:val="4D4D4F"/>
          <w:w w:val="110"/>
          <w:sz w:val="22"/>
        </w:rPr>
        <w:t>of </w:t>
      </w:r>
      <w:r>
        <w:rPr>
          <w:color w:val="4D4D4F"/>
          <w:spacing w:val="-5"/>
          <w:w w:val="110"/>
          <w:sz w:val="22"/>
        </w:rPr>
        <w:t>Veterans </w:t>
      </w:r>
      <w:r>
        <w:rPr>
          <w:color w:val="4D4D4F"/>
          <w:spacing w:val="-4"/>
          <w:w w:val="110"/>
          <w:sz w:val="22"/>
        </w:rPr>
        <w:t>Affairs </w:t>
      </w:r>
      <w:r>
        <w:rPr>
          <w:color w:val="4D4D4F"/>
          <w:w w:val="110"/>
          <w:sz w:val="22"/>
        </w:rPr>
        <w:t>and Department of Defense,</w:t>
      </w:r>
      <w:r>
        <w:rPr>
          <w:color w:val="4D4D4F"/>
          <w:w w:val="110"/>
          <w:position w:val="7"/>
          <w:sz w:val="13"/>
        </w:rPr>
        <w:t>206 </w:t>
      </w:r>
      <w:r>
        <w:rPr>
          <w:color w:val="4D4D4F"/>
          <w:w w:val="110"/>
          <w:sz w:val="22"/>
        </w:rPr>
        <w:t>and a</w:t>
      </w:r>
      <w:r>
        <w:rPr>
          <w:color w:val="4D4D4F"/>
          <w:spacing w:val="7"/>
          <w:w w:val="110"/>
          <w:sz w:val="22"/>
        </w:rPr>
        <w:t> </w:t>
      </w:r>
      <w:r>
        <w:rPr>
          <w:color w:val="4D4D4F"/>
          <w:w w:val="110"/>
          <w:sz w:val="22"/>
        </w:rPr>
        <w:t>Cochrane</w:t>
      </w:r>
    </w:p>
    <w:p>
      <w:pPr>
        <w:spacing w:before="25"/>
        <w:ind w:left="140" w:right="0" w:firstLine="0"/>
        <w:jc w:val="left"/>
        <w:rPr>
          <w:sz w:val="13"/>
        </w:rPr>
      </w:pPr>
      <w:r>
        <w:rPr>
          <w:color w:val="4D4D4F"/>
          <w:w w:val="110"/>
          <w:sz w:val="22"/>
        </w:rPr>
        <w:t>review.</w:t>
      </w:r>
      <w:r>
        <w:rPr>
          <w:color w:val="4D4D4F"/>
          <w:w w:val="110"/>
          <w:position w:val="7"/>
          <w:sz w:val="13"/>
        </w:rPr>
        <w:t>207</w:t>
      </w:r>
    </w:p>
    <w:p>
      <w:pPr>
        <w:pStyle w:val="Heading5"/>
        <w:spacing w:line="247" w:lineRule="auto" w:before="223"/>
        <w:ind w:right="262"/>
      </w:pPr>
      <w:r>
        <w:rPr>
          <w:i/>
          <w:color w:val="137692"/>
          <w:w w:val="105"/>
        </w:rPr>
        <w:t>Indications and contraindications, </w:t>
      </w:r>
      <w:r>
        <w:rPr>
          <w:color w:val="137692"/>
          <w:w w:val="105"/>
        </w:rPr>
        <w:t>precautions and warnings, side effects, and assessment.</w:t>
      </w:r>
    </w:p>
    <w:p>
      <w:pPr>
        <w:pStyle w:val="BodyText"/>
        <w:spacing w:line="247" w:lineRule="auto" w:before="42"/>
        <w:ind w:left="140"/>
      </w:pPr>
      <w:r>
        <w:rPr>
          <w:color w:val="4D4D4F"/>
          <w:w w:val="110"/>
        </w:rPr>
        <w:t>All</w:t>
      </w:r>
      <w:r>
        <w:rPr>
          <w:color w:val="4D4D4F"/>
          <w:spacing w:val="-20"/>
          <w:w w:val="110"/>
        </w:rPr>
        <w:t> </w:t>
      </w:r>
      <w:r>
        <w:rPr>
          <w:color w:val="4D4D4F"/>
          <w:w w:val="110"/>
        </w:rPr>
        <w:t>are</w:t>
      </w:r>
      <w:r>
        <w:rPr>
          <w:color w:val="4D4D4F"/>
          <w:spacing w:val="-19"/>
          <w:w w:val="110"/>
        </w:rPr>
        <w:t> </w:t>
      </w:r>
      <w:r>
        <w:rPr>
          <w:color w:val="4D4D4F"/>
          <w:w w:val="110"/>
        </w:rPr>
        <w:t>similar</w:t>
      </w:r>
      <w:r>
        <w:rPr>
          <w:color w:val="4D4D4F"/>
          <w:spacing w:val="-19"/>
          <w:w w:val="110"/>
        </w:rPr>
        <w:t> </w:t>
      </w:r>
      <w:r>
        <w:rPr>
          <w:color w:val="4D4D4F"/>
          <w:w w:val="110"/>
        </w:rPr>
        <w:t>to</w:t>
      </w:r>
      <w:r>
        <w:rPr>
          <w:color w:val="4D4D4F"/>
          <w:spacing w:val="-19"/>
          <w:w w:val="110"/>
        </w:rPr>
        <w:t> </w:t>
      </w:r>
      <w:r>
        <w:rPr>
          <w:color w:val="4D4D4F"/>
          <w:w w:val="110"/>
        </w:rPr>
        <w:t>those</w:t>
      </w:r>
      <w:r>
        <w:rPr>
          <w:color w:val="4D4D4F"/>
          <w:spacing w:val="-20"/>
          <w:w w:val="110"/>
        </w:rPr>
        <w:t> </w:t>
      </w:r>
      <w:r>
        <w:rPr>
          <w:color w:val="4D4D4F"/>
          <w:w w:val="110"/>
        </w:rPr>
        <w:t>for</w:t>
      </w:r>
      <w:r>
        <w:rPr>
          <w:color w:val="4D4D4F"/>
          <w:spacing w:val="-19"/>
          <w:w w:val="110"/>
        </w:rPr>
        <w:t> </w:t>
      </w:r>
      <w:r>
        <w:rPr>
          <w:color w:val="4D4D4F"/>
          <w:w w:val="110"/>
        </w:rPr>
        <w:t>XR-NTX,</w:t>
      </w:r>
      <w:r>
        <w:rPr>
          <w:color w:val="4D4D4F"/>
          <w:spacing w:val="-19"/>
          <w:w w:val="110"/>
        </w:rPr>
        <w:t> </w:t>
      </w:r>
      <w:r>
        <w:rPr>
          <w:color w:val="4D4D4F"/>
          <w:w w:val="110"/>
        </w:rPr>
        <w:t>save</w:t>
      </w:r>
      <w:r>
        <w:rPr>
          <w:color w:val="4D4D4F"/>
          <w:spacing w:val="-19"/>
          <w:w w:val="110"/>
        </w:rPr>
        <w:t> </w:t>
      </w:r>
      <w:r>
        <w:rPr>
          <w:color w:val="4D4D4F"/>
          <w:w w:val="110"/>
        </w:rPr>
        <w:t>issues speciﬁc to suspension/diluent contents and </w:t>
      </w:r>
      <w:r>
        <w:rPr>
          <w:color w:val="4D4D4F"/>
          <w:spacing w:val="-6"/>
          <w:w w:val="110"/>
        </w:rPr>
        <w:t>the </w:t>
      </w:r>
      <w:r>
        <w:rPr>
          <w:color w:val="4D4D4F"/>
          <w:w w:val="110"/>
        </w:rPr>
        <w:t>injection</w:t>
      </w:r>
      <w:r>
        <w:rPr>
          <w:color w:val="4D4D4F"/>
          <w:spacing w:val="-6"/>
          <w:w w:val="110"/>
        </w:rPr>
        <w:t> </w:t>
      </w:r>
      <w:r>
        <w:rPr>
          <w:color w:val="4D4D4F"/>
          <w:w w:val="110"/>
        </w:rPr>
        <w:t>itself.</w:t>
      </w:r>
    </w:p>
    <w:p>
      <w:pPr>
        <w:pStyle w:val="BodyText"/>
        <w:rPr>
          <w:sz w:val="23"/>
        </w:rPr>
      </w:pPr>
    </w:p>
    <w:p>
      <w:pPr>
        <w:pStyle w:val="Heading3"/>
      </w:pPr>
      <w:bookmarkStart w:name="_TOC_250069" w:id="46"/>
      <w:bookmarkEnd w:id="46"/>
      <w:r>
        <w:rPr>
          <w:color w:val="137692"/>
          <w:w w:val="105"/>
        </w:rPr>
        <w:t>Patient Selection</w:t>
      </w:r>
    </w:p>
    <w:p>
      <w:pPr>
        <w:spacing w:line="244" w:lineRule="auto" w:before="42"/>
        <w:ind w:left="140" w:right="204" w:firstLine="0"/>
        <w:jc w:val="left"/>
        <w:rPr>
          <w:sz w:val="22"/>
        </w:rPr>
      </w:pPr>
      <w:r>
        <w:rPr>
          <w:rFonts w:ascii="Calibri" w:hAnsi="Calibri"/>
          <w:b/>
          <w:color w:val="4D4D4F"/>
          <w:w w:val="110"/>
          <w:sz w:val="22"/>
        </w:rPr>
        <w:t>In limited circumstances, oral naltrexone </w:t>
      </w:r>
      <w:r>
        <w:rPr>
          <w:color w:val="4D4D4F"/>
          <w:w w:val="110"/>
          <w:sz w:val="22"/>
        </w:rPr>
        <w:t>may be considered after the risks and beneﬁts, as well as alternative treatments, are discussed </w:t>
      </w:r>
      <w:r>
        <w:rPr>
          <w:color w:val="4D4D4F"/>
          <w:spacing w:val="-5"/>
          <w:w w:val="110"/>
          <w:sz w:val="22"/>
        </w:rPr>
        <w:t>with </w:t>
      </w:r>
      <w:r>
        <w:rPr>
          <w:color w:val="4D4D4F"/>
          <w:w w:val="110"/>
          <w:sz w:val="22"/>
        </w:rPr>
        <w:t>the patient. Examples</w:t>
      </w:r>
      <w:r>
        <w:rPr>
          <w:color w:val="4D4D4F"/>
          <w:spacing w:val="-10"/>
          <w:w w:val="110"/>
          <w:sz w:val="22"/>
        </w:rPr>
        <w:t> </w:t>
      </w:r>
      <w:r>
        <w:rPr>
          <w:color w:val="4D4D4F"/>
          <w:w w:val="110"/>
          <w:sz w:val="22"/>
        </w:rPr>
        <w:t>include:</w:t>
      </w:r>
    </w:p>
    <w:p>
      <w:pPr>
        <w:pStyle w:val="ListParagraph"/>
        <w:numPr>
          <w:ilvl w:val="0"/>
          <w:numId w:val="4"/>
        </w:numPr>
        <w:tabs>
          <w:tab w:pos="411" w:val="left" w:leader="none"/>
        </w:tabs>
        <w:spacing w:line="208" w:lineRule="auto" w:before="132" w:after="0"/>
        <w:ind w:left="410" w:right="500" w:hanging="270"/>
        <w:jc w:val="left"/>
        <w:rPr>
          <w:rFonts w:ascii="Arial" w:hAnsi="Arial"/>
          <w:color w:val="137692"/>
          <w:sz w:val="28"/>
        </w:rPr>
      </w:pPr>
      <w:r>
        <w:rPr>
          <w:rFonts w:ascii="Calibri" w:hAnsi="Calibri"/>
          <w:b/>
          <w:color w:val="4D4D4F"/>
          <w:w w:val="115"/>
          <w:sz w:val="22"/>
        </w:rPr>
        <w:t>Patients who cannot afford XR-NTX </w:t>
      </w:r>
      <w:r>
        <w:rPr>
          <w:color w:val="4D4D4F"/>
          <w:w w:val="115"/>
          <w:sz w:val="22"/>
        </w:rPr>
        <w:t>but wish</w:t>
      </w:r>
      <w:r>
        <w:rPr>
          <w:color w:val="4D4D4F"/>
          <w:spacing w:val="-31"/>
          <w:w w:val="115"/>
          <w:sz w:val="22"/>
        </w:rPr>
        <w:t> </w:t>
      </w:r>
      <w:r>
        <w:rPr>
          <w:color w:val="4D4D4F"/>
          <w:w w:val="115"/>
          <w:sz w:val="22"/>
        </w:rPr>
        <w:t>to</w:t>
      </w:r>
      <w:r>
        <w:rPr>
          <w:color w:val="4D4D4F"/>
          <w:spacing w:val="-30"/>
          <w:w w:val="115"/>
          <w:sz w:val="22"/>
        </w:rPr>
        <w:t> </w:t>
      </w:r>
      <w:r>
        <w:rPr>
          <w:color w:val="4D4D4F"/>
          <w:w w:val="115"/>
          <w:sz w:val="22"/>
        </w:rPr>
        <w:t>take</w:t>
      </w:r>
      <w:r>
        <w:rPr>
          <w:color w:val="4D4D4F"/>
          <w:spacing w:val="-30"/>
          <w:w w:val="115"/>
          <w:sz w:val="22"/>
        </w:rPr>
        <w:t> </w:t>
      </w:r>
      <w:r>
        <w:rPr>
          <w:color w:val="4D4D4F"/>
          <w:w w:val="115"/>
          <w:sz w:val="22"/>
        </w:rPr>
        <w:t>an</w:t>
      </w:r>
      <w:r>
        <w:rPr>
          <w:color w:val="4D4D4F"/>
          <w:spacing w:val="-31"/>
          <w:w w:val="115"/>
          <w:sz w:val="22"/>
        </w:rPr>
        <w:t> </w:t>
      </w:r>
      <w:r>
        <w:rPr>
          <w:color w:val="4D4D4F"/>
          <w:w w:val="115"/>
          <w:sz w:val="22"/>
        </w:rPr>
        <w:t>opioid</w:t>
      </w:r>
      <w:r>
        <w:rPr>
          <w:color w:val="4D4D4F"/>
          <w:spacing w:val="-30"/>
          <w:w w:val="115"/>
          <w:sz w:val="22"/>
        </w:rPr>
        <w:t> </w:t>
      </w:r>
      <w:r>
        <w:rPr>
          <w:color w:val="4D4D4F"/>
          <w:w w:val="115"/>
          <w:sz w:val="22"/>
        </w:rPr>
        <w:t>receptor</w:t>
      </w:r>
      <w:r>
        <w:rPr>
          <w:color w:val="4D4D4F"/>
          <w:spacing w:val="-30"/>
          <w:w w:val="115"/>
          <w:sz w:val="22"/>
        </w:rPr>
        <w:t> </w:t>
      </w:r>
      <w:r>
        <w:rPr>
          <w:color w:val="4D4D4F"/>
          <w:w w:val="115"/>
          <w:sz w:val="22"/>
        </w:rPr>
        <w:t>antagonist.</w:t>
      </w:r>
    </w:p>
    <w:p>
      <w:pPr>
        <w:pStyle w:val="ListParagraph"/>
        <w:numPr>
          <w:ilvl w:val="0"/>
          <w:numId w:val="4"/>
        </w:numPr>
        <w:tabs>
          <w:tab w:pos="411" w:val="left" w:leader="none"/>
        </w:tabs>
        <w:spacing w:line="264" w:lineRule="exact" w:before="52" w:after="0"/>
        <w:ind w:left="410" w:right="270" w:hanging="270"/>
        <w:jc w:val="left"/>
        <w:rPr>
          <w:rFonts w:ascii="Arial" w:hAnsi="Arial"/>
          <w:color w:val="137692"/>
          <w:sz w:val="28"/>
        </w:rPr>
      </w:pPr>
      <w:r>
        <w:rPr>
          <w:rFonts w:ascii="Calibri" w:hAnsi="Calibri"/>
          <w:b/>
          <w:color w:val="4D4D4F"/>
          <w:w w:val="110"/>
          <w:sz w:val="22"/>
        </w:rPr>
        <w:t>Patients with high levels of monitoring </w:t>
      </w:r>
      <w:r>
        <w:rPr>
          <w:rFonts w:ascii="Calibri" w:hAnsi="Calibri"/>
          <w:b/>
          <w:color w:val="4D4D4F"/>
          <w:spacing w:val="-5"/>
          <w:w w:val="110"/>
          <w:sz w:val="22"/>
        </w:rPr>
        <w:t>and </w:t>
      </w:r>
      <w:r>
        <w:rPr>
          <w:rFonts w:ascii="Calibri" w:hAnsi="Calibri"/>
          <w:b/>
          <w:color w:val="4D4D4F"/>
          <w:w w:val="110"/>
          <w:sz w:val="22"/>
        </w:rPr>
        <w:t>negative consequences for nonadherence, </w:t>
      </w:r>
      <w:r>
        <w:rPr>
          <w:color w:val="4D4D4F"/>
          <w:w w:val="110"/>
          <w:sz w:val="22"/>
        </w:rPr>
        <w:t>such as healthcare professionals who may not be permitted to have opioid agonist treatment.</w:t>
      </w:r>
      <w:r>
        <w:rPr>
          <w:color w:val="4D4D4F"/>
          <w:w w:val="110"/>
          <w:position w:val="7"/>
          <w:sz w:val="13"/>
        </w:rPr>
        <w:t>208,209</w:t>
      </w:r>
    </w:p>
    <w:p>
      <w:pPr>
        <w:pStyle w:val="BodyText"/>
        <w:spacing w:before="4"/>
        <w:rPr>
          <w:sz w:val="28"/>
        </w:rPr>
      </w:pPr>
    </w:p>
    <w:p>
      <w:pPr>
        <w:pStyle w:val="Heading7"/>
        <w:spacing w:line="304" w:lineRule="auto"/>
        <w:ind w:left="438" w:right="389"/>
        <w:rPr>
          <w:rFonts w:ascii="Arial"/>
        </w:rPr>
      </w:pPr>
      <w:r>
        <w:rPr/>
        <w:pict>
          <v:line style="position:absolute;mso-position-horizontal-relative:page;mso-position-vertical-relative:paragraph;z-index:15756800" from="315.501007pt,90.317574pt" to="315.501007pt,-.330426pt" stroked="true" strokeweight="1pt" strokecolor="#759eb4">
            <v:stroke dashstyle="solid"/>
            <w10:wrap type="none"/>
          </v:line>
        </w:pict>
      </w:r>
      <w:r>
        <w:rPr>
          <w:rFonts w:ascii="Arial"/>
          <w:color w:val="B15651"/>
          <w:w w:val="110"/>
        </w:rPr>
        <w:t>The TIP expert panel does not recommend that payers require patients to fail oral naltrexone before providing</w:t>
      </w:r>
      <w:r>
        <w:rPr>
          <w:rFonts w:ascii="Arial"/>
          <w:color w:val="B15651"/>
          <w:spacing w:val="-29"/>
          <w:w w:val="110"/>
        </w:rPr>
        <w:t> </w:t>
      </w:r>
      <w:r>
        <w:rPr>
          <w:rFonts w:ascii="Arial"/>
          <w:color w:val="B15651"/>
          <w:w w:val="110"/>
        </w:rPr>
        <w:t>access</w:t>
      </w:r>
      <w:r>
        <w:rPr>
          <w:rFonts w:ascii="Arial"/>
          <w:color w:val="B15651"/>
          <w:spacing w:val="-28"/>
          <w:w w:val="110"/>
        </w:rPr>
        <w:t> </w:t>
      </w:r>
      <w:r>
        <w:rPr>
          <w:rFonts w:ascii="Arial"/>
          <w:color w:val="B15651"/>
          <w:w w:val="110"/>
        </w:rPr>
        <w:t>to</w:t>
      </w:r>
      <w:r>
        <w:rPr>
          <w:rFonts w:ascii="Arial"/>
          <w:color w:val="B15651"/>
          <w:spacing w:val="-29"/>
          <w:w w:val="110"/>
        </w:rPr>
        <w:t> </w:t>
      </w:r>
      <w:r>
        <w:rPr>
          <w:rFonts w:ascii="Arial"/>
          <w:color w:val="B15651"/>
          <w:w w:val="110"/>
        </w:rPr>
        <w:t>XR-NTX,</w:t>
      </w:r>
      <w:r>
        <w:rPr>
          <w:rFonts w:ascii="Arial"/>
          <w:color w:val="B15651"/>
          <w:spacing w:val="-28"/>
          <w:w w:val="110"/>
        </w:rPr>
        <w:t> </w:t>
      </w:r>
      <w:r>
        <w:rPr>
          <w:rFonts w:ascii="Arial"/>
          <w:color w:val="B15651"/>
          <w:w w:val="110"/>
        </w:rPr>
        <w:t>given</w:t>
      </w:r>
      <w:r>
        <w:rPr>
          <w:rFonts w:ascii="Arial"/>
          <w:color w:val="B15651"/>
          <w:spacing w:val="-28"/>
          <w:w w:val="110"/>
        </w:rPr>
        <w:t> </w:t>
      </w:r>
      <w:r>
        <w:rPr>
          <w:rFonts w:ascii="Arial"/>
          <w:color w:val="B15651"/>
          <w:w w:val="110"/>
        </w:rPr>
        <w:t>the risk</w:t>
      </w:r>
      <w:r>
        <w:rPr>
          <w:rFonts w:ascii="Arial"/>
          <w:color w:val="B15651"/>
          <w:spacing w:val="-19"/>
          <w:w w:val="110"/>
        </w:rPr>
        <w:t> </w:t>
      </w:r>
      <w:r>
        <w:rPr>
          <w:rFonts w:ascii="Arial"/>
          <w:color w:val="B15651"/>
          <w:w w:val="110"/>
        </w:rPr>
        <w:t>of</w:t>
      </w:r>
      <w:r>
        <w:rPr>
          <w:rFonts w:ascii="Arial"/>
          <w:color w:val="B15651"/>
          <w:spacing w:val="-18"/>
          <w:w w:val="110"/>
        </w:rPr>
        <w:t> </w:t>
      </w:r>
      <w:r>
        <w:rPr>
          <w:rFonts w:ascii="Arial"/>
          <w:color w:val="B15651"/>
          <w:w w:val="110"/>
        </w:rPr>
        <w:t>unintentional</w:t>
      </w:r>
      <w:r>
        <w:rPr>
          <w:rFonts w:ascii="Arial"/>
          <w:color w:val="B15651"/>
          <w:spacing w:val="-18"/>
          <w:w w:val="110"/>
        </w:rPr>
        <w:t> </w:t>
      </w:r>
      <w:r>
        <w:rPr>
          <w:rFonts w:ascii="Arial"/>
          <w:color w:val="B15651"/>
          <w:w w:val="110"/>
        </w:rPr>
        <w:t>overdose</w:t>
      </w:r>
      <w:r>
        <w:rPr>
          <w:rFonts w:ascii="Arial"/>
          <w:color w:val="B15651"/>
          <w:spacing w:val="-18"/>
          <w:w w:val="110"/>
        </w:rPr>
        <w:t> </w:t>
      </w:r>
      <w:r>
        <w:rPr>
          <w:rFonts w:ascii="Arial"/>
          <w:color w:val="B15651"/>
          <w:w w:val="110"/>
        </w:rPr>
        <w:t>death</w:t>
      </w:r>
      <w:r>
        <w:rPr>
          <w:rFonts w:ascii="Arial"/>
          <w:color w:val="B15651"/>
          <w:spacing w:val="-18"/>
          <w:w w:val="110"/>
        </w:rPr>
        <w:t> </w:t>
      </w:r>
      <w:r>
        <w:rPr>
          <w:rFonts w:ascii="Arial"/>
          <w:color w:val="B15651"/>
          <w:w w:val="110"/>
        </w:rPr>
        <w:t>if the</w:t>
      </w:r>
      <w:r>
        <w:rPr>
          <w:rFonts w:ascii="Arial"/>
          <w:color w:val="B15651"/>
          <w:spacing w:val="-10"/>
          <w:w w:val="110"/>
        </w:rPr>
        <w:t> </w:t>
      </w:r>
      <w:r>
        <w:rPr>
          <w:rFonts w:ascii="Arial"/>
          <w:color w:val="B15651"/>
          <w:w w:val="110"/>
        </w:rPr>
        <w:t>patient</w:t>
      </w:r>
      <w:r>
        <w:rPr>
          <w:rFonts w:ascii="Arial"/>
          <w:color w:val="B15651"/>
          <w:spacing w:val="-9"/>
          <w:w w:val="110"/>
        </w:rPr>
        <w:t> </w:t>
      </w:r>
      <w:r>
        <w:rPr>
          <w:rFonts w:ascii="Arial"/>
          <w:color w:val="B15651"/>
          <w:w w:val="110"/>
        </w:rPr>
        <w:t>returns</w:t>
      </w:r>
      <w:r>
        <w:rPr>
          <w:rFonts w:ascii="Arial"/>
          <w:color w:val="B15651"/>
          <w:spacing w:val="-9"/>
          <w:w w:val="110"/>
        </w:rPr>
        <w:t> </w:t>
      </w:r>
      <w:r>
        <w:rPr>
          <w:rFonts w:ascii="Arial"/>
          <w:color w:val="B15651"/>
          <w:w w:val="110"/>
        </w:rPr>
        <w:t>to</w:t>
      </w:r>
      <w:r>
        <w:rPr>
          <w:rFonts w:ascii="Arial"/>
          <w:color w:val="B15651"/>
          <w:spacing w:val="-9"/>
          <w:w w:val="110"/>
        </w:rPr>
        <w:t> </w:t>
      </w:r>
      <w:r>
        <w:rPr>
          <w:rFonts w:ascii="Arial"/>
          <w:color w:val="B15651"/>
          <w:w w:val="110"/>
        </w:rPr>
        <w:t>illicit</w:t>
      </w:r>
      <w:r>
        <w:rPr>
          <w:rFonts w:ascii="Arial"/>
          <w:color w:val="B15651"/>
          <w:spacing w:val="-9"/>
          <w:w w:val="110"/>
        </w:rPr>
        <w:t> </w:t>
      </w:r>
      <w:r>
        <w:rPr>
          <w:rFonts w:ascii="Arial"/>
          <w:color w:val="B15651"/>
          <w:w w:val="110"/>
        </w:rPr>
        <w:t>opioid</w:t>
      </w:r>
      <w:r>
        <w:rPr>
          <w:rFonts w:ascii="Arial"/>
          <w:color w:val="B15651"/>
          <w:spacing w:val="-9"/>
          <w:w w:val="110"/>
        </w:rPr>
        <w:t> </w:t>
      </w:r>
      <w:r>
        <w:rPr>
          <w:rFonts w:ascii="Arial"/>
          <w:color w:val="B15651"/>
          <w:spacing w:val="-4"/>
          <w:w w:val="110"/>
        </w:rPr>
        <w:t>use.</w:t>
      </w:r>
    </w:p>
    <w:p>
      <w:pPr>
        <w:spacing w:after="0" w:line="304" w:lineRule="auto"/>
        <w:rPr>
          <w:rFonts w:ascii="Arial"/>
        </w:rPr>
        <w:sectPr>
          <w:type w:val="continuous"/>
          <w:pgSz w:w="12240" w:h="15840"/>
          <w:pgMar w:top="540" w:bottom="280" w:left="940" w:right="920"/>
          <w:cols w:num="2" w:equalWidth="0">
            <w:col w:w="5004" w:space="216"/>
            <w:col w:w="5160"/>
          </w:cols>
        </w:sectPr>
      </w:pPr>
    </w:p>
    <w:p>
      <w:pPr>
        <w:pStyle w:val="BodyText"/>
        <w:spacing w:before="9"/>
        <w:rPr>
          <w:rFonts w:ascii="Arial"/>
          <w:b/>
          <w:sz w:val="26"/>
        </w:rPr>
      </w:pPr>
    </w:p>
    <w:p>
      <w:pPr>
        <w:spacing w:after="0"/>
        <w:rPr>
          <w:rFonts w:ascii="Arial"/>
          <w:sz w:val="26"/>
        </w:rPr>
        <w:sectPr>
          <w:pgSz w:w="12240" w:h="15840"/>
          <w:pgMar w:header="576" w:footer="677" w:top="1340" w:bottom="860" w:left="940" w:right="920"/>
        </w:sectPr>
      </w:pPr>
    </w:p>
    <w:p>
      <w:pPr>
        <w:pStyle w:val="ListParagraph"/>
        <w:numPr>
          <w:ilvl w:val="0"/>
          <w:numId w:val="4"/>
        </w:numPr>
        <w:tabs>
          <w:tab w:pos="410" w:val="left" w:leader="none"/>
        </w:tabs>
        <w:spacing w:line="264" w:lineRule="exact" w:before="102" w:after="0"/>
        <w:ind w:left="410" w:right="46" w:hanging="271"/>
        <w:jc w:val="left"/>
        <w:rPr>
          <w:rFonts w:ascii="Arial" w:hAnsi="Arial"/>
          <w:color w:val="137692"/>
          <w:sz w:val="28"/>
        </w:rPr>
      </w:pPr>
      <w:r>
        <w:rPr>
          <w:rFonts w:ascii="Calibri" w:hAnsi="Calibri"/>
          <w:b/>
          <w:color w:val="4D4D4F"/>
          <w:w w:val="110"/>
          <w:sz w:val="22"/>
        </w:rPr>
        <w:t>Patients leaving controlled environments </w:t>
      </w:r>
      <w:r>
        <w:rPr>
          <w:color w:val="4D4D4F"/>
          <w:w w:val="110"/>
          <w:sz w:val="22"/>
        </w:rPr>
        <w:t>(e.g., prisons, hospitals, inpatient addiction </w:t>
      </w:r>
      <w:r>
        <w:rPr>
          <w:color w:val="4D4D4F"/>
          <w:spacing w:val="-8"/>
          <w:w w:val="110"/>
          <w:sz w:val="22"/>
        </w:rPr>
        <w:t>re- </w:t>
      </w:r>
      <w:r>
        <w:rPr>
          <w:color w:val="4D4D4F"/>
          <w:w w:val="110"/>
          <w:sz w:val="22"/>
        </w:rPr>
        <w:t>habilitation) who may beneﬁt from medication to prevent return to illicit drug use but cannot or</w:t>
      </w:r>
      <w:r>
        <w:rPr>
          <w:color w:val="4D4D4F"/>
          <w:spacing w:val="-18"/>
          <w:w w:val="110"/>
          <w:sz w:val="22"/>
        </w:rPr>
        <w:t> </w:t>
      </w:r>
      <w:r>
        <w:rPr>
          <w:color w:val="4D4D4F"/>
          <w:w w:val="110"/>
          <w:sz w:val="22"/>
        </w:rPr>
        <w:t>will</w:t>
      </w:r>
      <w:r>
        <w:rPr>
          <w:color w:val="4D4D4F"/>
          <w:spacing w:val="-17"/>
          <w:w w:val="110"/>
          <w:sz w:val="22"/>
        </w:rPr>
        <w:t> </w:t>
      </w:r>
      <w:r>
        <w:rPr>
          <w:color w:val="4D4D4F"/>
          <w:w w:val="110"/>
          <w:sz w:val="22"/>
        </w:rPr>
        <w:t>not</w:t>
      </w:r>
      <w:r>
        <w:rPr>
          <w:color w:val="4D4D4F"/>
          <w:spacing w:val="-17"/>
          <w:w w:val="110"/>
          <w:sz w:val="22"/>
        </w:rPr>
        <w:t> </w:t>
      </w:r>
      <w:r>
        <w:rPr>
          <w:color w:val="4D4D4F"/>
          <w:w w:val="110"/>
          <w:sz w:val="22"/>
        </w:rPr>
        <w:t>take</w:t>
      </w:r>
      <w:r>
        <w:rPr>
          <w:color w:val="4D4D4F"/>
          <w:spacing w:val="-17"/>
          <w:w w:val="110"/>
          <w:sz w:val="22"/>
        </w:rPr>
        <w:t> </w:t>
      </w:r>
      <w:r>
        <w:rPr>
          <w:color w:val="4D4D4F"/>
          <w:w w:val="110"/>
          <w:sz w:val="22"/>
        </w:rPr>
        <w:t>XR-NTX</w:t>
      </w:r>
      <w:r>
        <w:rPr>
          <w:color w:val="4D4D4F"/>
          <w:spacing w:val="-18"/>
          <w:w w:val="110"/>
          <w:sz w:val="22"/>
        </w:rPr>
        <w:t> </w:t>
      </w:r>
      <w:r>
        <w:rPr>
          <w:color w:val="4D4D4F"/>
          <w:w w:val="110"/>
          <w:sz w:val="22"/>
        </w:rPr>
        <w:t>and</w:t>
      </w:r>
      <w:r>
        <w:rPr>
          <w:color w:val="4D4D4F"/>
          <w:spacing w:val="-17"/>
          <w:w w:val="110"/>
          <w:sz w:val="22"/>
        </w:rPr>
        <w:t> </w:t>
      </w:r>
      <w:r>
        <w:rPr>
          <w:color w:val="4D4D4F"/>
          <w:w w:val="110"/>
          <w:sz w:val="22"/>
        </w:rPr>
        <w:t>do</w:t>
      </w:r>
      <w:r>
        <w:rPr>
          <w:color w:val="4D4D4F"/>
          <w:spacing w:val="-17"/>
          <w:w w:val="110"/>
          <w:sz w:val="22"/>
        </w:rPr>
        <w:t> </w:t>
      </w:r>
      <w:r>
        <w:rPr>
          <w:color w:val="4D4D4F"/>
          <w:w w:val="110"/>
          <w:sz w:val="22"/>
        </w:rPr>
        <w:t>not</w:t>
      </w:r>
      <w:r>
        <w:rPr>
          <w:color w:val="4D4D4F"/>
          <w:spacing w:val="-17"/>
          <w:w w:val="110"/>
          <w:sz w:val="22"/>
        </w:rPr>
        <w:t> </w:t>
      </w:r>
      <w:r>
        <w:rPr>
          <w:color w:val="4D4D4F"/>
          <w:w w:val="110"/>
          <w:sz w:val="22"/>
        </w:rPr>
        <w:t>wish</w:t>
      </w:r>
      <w:r>
        <w:rPr>
          <w:color w:val="4D4D4F"/>
          <w:spacing w:val="-17"/>
          <w:w w:val="110"/>
          <w:sz w:val="22"/>
        </w:rPr>
        <w:t> </w:t>
      </w:r>
      <w:r>
        <w:rPr>
          <w:color w:val="4D4D4F"/>
          <w:w w:val="110"/>
          <w:sz w:val="22"/>
        </w:rPr>
        <w:t>to</w:t>
      </w:r>
      <w:r>
        <w:rPr>
          <w:color w:val="4D4D4F"/>
          <w:spacing w:val="-18"/>
          <w:w w:val="110"/>
          <w:sz w:val="22"/>
        </w:rPr>
        <w:t> </w:t>
      </w:r>
      <w:r>
        <w:rPr>
          <w:color w:val="4D4D4F"/>
          <w:w w:val="110"/>
          <w:sz w:val="22"/>
        </w:rPr>
        <w:t>be treated with (or do not have access to) opioid agonists.</w:t>
      </w:r>
    </w:p>
    <w:p>
      <w:pPr>
        <w:pStyle w:val="BodyText"/>
        <w:spacing w:line="247" w:lineRule="auto" w:before="187"/>
        <w:ind w:left="140" w:right="449"/>
        <w:rPr>
          <w:sz w:val="13"/>
        </w:rPr>
      </w:pPr>
      <w:r>
        <w:rPr>
          <w:color w:val="4D4D4F"/>
          <w:w w:val="115"/>
        </w:rPr>
        <w:t>Patients who have taken methadone or ex- tensively</w:t>
      </w:r>
      <w:r>
        <w:rPr>
          <w:color w:val="4D4D4F"/>
          <w:spacing w:val="-34"/>
          <w:w w:val="115"/>
        </w:rPr>
        <w:t> </w:t>
      </w:r>
      <w:r>
        <w:rPr>
          <w:color w:val="4D4D4F"/>
          <w:w w:val="115"/>
        </w:rPr>
        <w:t>used</w:t>
      </w:r>
      <w:r>
        <w:rPr>
          <w:color w:val="4D4D4F"/>
          <w:spacing w:val="-34"/>
          <w:w w:val="115"/>
        </w:rPr>
        <w:t> </w:t>
      </w:r>
      <w:r>
        <w:rPr>
          <w:color w:val="4D4D4F"/>
          <w:w w:val="115"/>
        </w:rPr>
        <w:t>heroin</w:t>
      </w:r>
      <w:r>
        <w:rPr>
          <w:color w:val="4D4D4F"/>
          <w:spacing w:val="-34"/>
          <w:w w:val="115"/>
        </w:rPr>
        <w:t> </w:t>
      </w:r>
      <w:r>
        <w:rPr>
          <w:color w:val="4D4D4F"/>
          <w:w w:val="115"/>
        </w:rPr>
        <w:t>are</w:t>
      </w:r>
      <w:r>
        <w:rPr>
          <w:color w:val="4D4D4F"/>
          <w:spacing w:val="-34"/>
          <w:w w:val="115"/>
        </w:rPr>
        <w:t> </w:t>
      </w:r>
      <w:r>
        <w:rPr>
          <w:color w:val="4D4D4F"/>
          <w:w w:val="115"/>
        </w:rPr>
        <w:t>especially</w:t>
      </w:r>
      <w:r>
        <w:rPr>
          <w:color w:val="4D4D4F"/>
          <w:spacing w:val="-34"/>
          <w:w w:val="115"/>
        </w:rPr>
        <w:t> </w:t>
      </w:r>
      <w:r>
        <w:rPr>
          <w:color w:val="4D4D4F"/>
          <w:w w:val="115"/>
        </w:rPr>
        <w:t>poor</w:t>
      </w:r>
      <w:r>
        <w:rPr>
          <w:color w:val="4D4D4F"/>
          <w:spacing w:val="-33"/>
          <w:w w:val="115"/>
        </w:rPr>
        <w:t> </w:t>
      </w:r>
      <w:r>
        <w:rPr>
          <w:color w:val="4D4D4F"/>
          <w:spacing w:val="-5"/>
          <w:w w:val="115"/>
        </w:rPr>
        <w:t>oral </w:t>
      </w:r>
      <w:r>
        <w:rPr>
          <w:color w:val="4D4D4F"/>
          <w:w w:val="115"/>
        </w:rPr>
        <w:t>naltrexone</w:t>
      </w:r>
      <w:r>
        <w:rPr>
          <w:color w:val="4D4D4F"/>
          <w:spacing w:val="-12"/>
          <w:w w:val="115"/>
        </w:rPr>
        <w:t> </w:t>
      </w:r>
      <w:r>
        <w:rPr>
          <w:color w:val="4D4D4F"/>
          <w:w w:val="115"/>
        </w:rPr>
        <w:t>candidates.</w:t>
      </w:r>
      <w:r>
        <w:rPr>
          <w:color w:val="4D4D4F"/>
          <w:w w:val="115"/>
          <w:position w:val="7"/>
          <w:sz w:val="13"/>
        </w:rPr>
        <w:t>210</w:t>
      </w:r>
    </w:p>
    <w:p>
      <w:pPr>
        <w:spacing w:before="218"/>
        <w:ind w:left="140" w:right="0" w:firstLine="0"/>
        <w:jc w:val="left"/>
        <w:rPr>
          <w:b/>
          <w:i/>
          <w:sz w:val="24"/>
        </w:rPr>
      </w:pPr>
      <w:r>
        <w:rPr>
          <w:b/>
          <w:i/>
          <w:color w:val="137692"/>
          <w:w w:val="105"/>
          <w:sz w:val="24"/>
        </w:rPr>
        <w:t>Dosing</w:t>
      </w:r>
    </w:p>
    <w:p>
      <w:pPr>
        <w:spacing w:line="242" w:lineRule="auto" w:before="42"/>
        <w:ind w:left="140" w:right="37" w:firstLine="0"/>
        <w:jc w:val="left"/>
        <w:rPr>
          <w:sz w:val="22"/>
        </w:rPr>
      </w:pPr>
      <w:r>
        <w:rPr>
          <w:rFonts w:ascii="Calibri" w:hAnsi="Calibri"/>
          <w:b/>
          <w:color w:val="4D4D4F"/>
          <w:w w:val="115"/>
          <w:sz w:val="22"/>
        </w:rPr>
        <w:t>Following a negative naloxone challenge, the ﬁrst oral dose of naltrexone can be 25 mg </w:t>
      </w:r>
      <w:r>
        <w:rPr>
          <w:color w:val="4D4D4F"/>
          <w:spacing w:val="-3"/>
          <w:w w:val="115"/>
          <w:sz w:val="22"/>
        </w:rPr>
        <w:t>(half </w:t>
      </w:r>
      <w:r>
        <w:rPr>
          <w:color w:val="4D4D4F"/>
          <w:w w:val="115"/>
          <w:sz w:val="22"/>
        </w:rPr>
        <w:t>of</w:t>
      </w:r>
      <w:r>
        <w:rPr>
          <w:color w:val="4D4D4F"/>
          <w:spacing w:val="-26"/>
          <w:w w:val="115"/>
          <w:sz w:val="22"/>
        </w:rPr>
        <w:t> </w:t>
      </w:r>
      <w:r>
        <w:rPr>
          <w:color w:val="4D4D4F"/>
          <w:w w:val="115"/>
          <w:sz w:val="22"/>
        </w:rPr>
        <w:t>the</w:t>
      </w:r>
      <w:r>
        <w:rPr>
          <w:color w:val="4D4D4F"/>
          <w:spacing w:val="-26"/>
          <w:w w:val="115"/>
          <w:sz w:val="22"/>
        </w:rPr>
        <w:t> </w:t>
      </w:r>
      <w:r>
        <w:rPr>
          <w:color w:val="4D4D4F"/>
          <w:w w:val="115"/>
          <w:sz w:val="22"/>
        </w:rPr>
        <w:t>usual</w:t>
      </w:r>
      <w:r>
        <w:rPr>
          <w:color w:val="4D4D4F"/>
          <w:spacing w:val="-25"/>
          <w:w w:val="115"/>
          <w:sz w:val="22"/>
        </w:rPr>
        <w:t> </w:t>
      </w:r>
      <w:r>
        <w:rPr>
          <w:color w:val="4D4D4F"/>
          <w:w w:val="115"/>
          <w:sz w:val="22"/>
        </w:rPr>
        <w:t>daily</w:t>
      </w:r>
      <w:r>
        <w:rPr>
          <w:color w:val="4D4D4F"/>
          <w:spacing w:val="-26"/>
          <w:w w:val="115"/>
          <w:sz w:val="22"/>
        </w:rPr>
        <w:t> </w:t>
      </w:r>
      <w:r>
        <w:rPr>
          <w:color w:val="4D4D4F"/>
          <w:w w:val="115"/>
          <w:sz w:val="22"/>
        </w:rPr>
        <w:t>naltrexone</w:t>
      </w:r>
      <w:r>
        <w:rPr>
          <w:color w:val="4D4D4F"/>
          <w:spacing w:val="-25"/>
          <w:w w:val="115"/>
          <w:sz w:val="22"/>
        </w:rPr>
        <w:t> </w:t>
      </w:r>
      <w:r>
        <w:rPr>
          <w:color w:val="4D4D4F"/>
          <w:w w:val="115"/>
          <w:sz w:val="22"/>
        </w:rPr>
        <w:t>maintenance</w:t>
      </w:r>
      <w:r>
        <w:rPr>
          <w:color w:val="4D4D4F"/>
          <w:spacing w:val="-26"/>
          <w:w w:val="115"/>
          <w:sz w:val="22"/>
        </w:rPr>
        <w:t> </w:t>
      </w:r>
      <w:r>
        <w:rPr>
          <w:color w:val="4D4D4F"/>
          <w:w w:val="115"/>
          <w:sz w:val="22"/>
        </w:rPr>
        <w:t>dose). This</w:t>
      </w:r>
      <w:r>
        <w:rPr>
          <w:color w:val="4D4D4F"/>
          <w:spacing w:val="-28"/>
          <w:w w:val="115"/>
          <w:sz w:val="22"/>
        </w:rPr>
        <w:t> </w:t>
      </w:r>
      <w:r>
        <w:rPr>
          <w:color w:val="4D4D4F"/>
          <w:w w:val="115"/>
          <w:sz w:val="22"/>
        </w:rPr>
        <w:t>reduces</w:t>
      </w:r>
      <w:r>
        <w:rPr>
          <w:color w:val="4D4D4F"/>
          <w:spacing w:val="-27"/>
          <w:w w:val="115"/>
          <w:sz w:val="22"/>
        </w:rPr>
        <w:t> </w:t>
      </w:r>
      <w:r>
        <w:rPr>
          <w:color w:val="4D4D4F"/>
          <w:w w:val="115"/>
          <w:sz w:val="22"/>
        </w:rPr>
        <w:t>risk</w:t>
      </w:r>
      <w:r>
        <w:rPr>
          <w:color w:val="4D4D4F"/>
          <w:spacing w:val="-27"/>
          <w:w w:val="115"/>
          <w:sz w:val="22"/>
        </w:rPr>
        <w:t> </w:t>
      </w:r>
      <w:r>
        <w:rPr>
          <w:color w:val="4D4D4F"/>
          <w:w w:val="115"/>
          <w:sz w:val="22"/>
        </w:rPr>
        <w:t>of</w:t>
      </w:r>
      <w:r>
        <w:rPr>
          <w:color w:val="4D4D4F"/>
          <w:spacing w:val="-27"/>
          <w:w w:val="115"/>
          <w:sz w:val="22"/>
        </w:rPr>
        <w:t> </w:t>
      </w:r>
      <w:r>
        <w:rPr>
          <w:color w:val="4D4D4F"/>
          <w:w w:val="115"/>
          <w:sz w:val="22"/>
        </w:rPr>
        <w:t>a</w:t>
      </w:r>
      <w:r>
        <w:rPr>
          <w:color w:val="4D4D4F"/>
          <w:spacing w:val="-27"/>
          <w:w w:val="115"/>
          <w:sz w:val="22"/>
        </w:rPr>
        <w:t> </w:t>
      </w:r>
      <w:r>
        <w:rPr>
          <w:color w:val="4D4D4F"/>
          <w:w w:val="115"/>
          <w:sz w:val="22"/>
        </w:rPr>
        <w:t>more</w:t>
      </w:r>
      <w:r>
        <w:rPr>
          <w:color w:val="4D4D4F"/>
          <w:spacing w:val="-27"/>
          <w:w w:val="115"/>
          <w:sz w:val="22"/>
        </w:rPr>
        <w:t> </w:t>
      </w:r>
      <w:r>
        <w:rPr>
          <w:color w:val="4D4D4F"/>
          <w:w w:val="115"/>
          <w:sz w:val="22"/>
        </w:rPr>
        <w:t>severe</w:t>
      </w:r>
      <w:r>
        <w:rPr>
          <w:color w:val="4D4D4F"/>
          <w:spacing w:val="-27"/>
          <w:w w:val="115"/>
          <w:sz w:val="22"/>
        </w:rPr>
        <w:t> </w:t>
      </w:r>
      <w:r>
        <w:rPr>
          <w:color w:val="4D4D4F"/>
          <w:w w:val="115"/>
          <w:sz w:val="22"/>
        </w:rPr>
        <w:t>precipitated opioid</w:t>
      </w:r>
      <w:r>
        <w:rPr>
          <w:color w:val="4D4D4F"/>
          <w:spacing w:val="-23"/>
          <w:w w:val="115"/>
          <w:sz w:val="22"/>
        </w:rPr>
        <w:t> </w:t>
      </w:r>
      <w:r>
        <w:rPr>
          <w:color w:val="4D4D4F"/>
          <w:w w:val="115"/>
          <w:sz w:val="22"/>
        </w:rPr>
        <w:t>withdrawal</w:t>
      </w:r>
      <w:r>
        <w:rPr>
          <w:color w:val="4D4D4F"/>
          <w:spacing w:val="-22"/>
          <w:w w:val="115"/>
          <w:sz w:val="22"/>
        </w:rPr>
        <w:t> </w:t>
      </w:r>
      <w:r>
        <w:rPr>
          <w:color w:val="4D4D4F"/>
          <w:w w:val="115"/>
          <w:sz w:val="22"/>
        </w:rPr>
        <w:t>than</w:t>
      </w:r>
      <w:r>
        <w:rPr>
          <w:color w:val="4D4D4F"/>
          <w:spacing w:val="-22"/>
          <w:w w:val="115"/>
          <w:sz w:val="22"/>
        </w:rPr>
        <w:t> </w:t>
      </w:r>
      <w:r>
        <w:rPr>
          <w:color w:val="4D4D4F"/>
          <w:w w:val="115"/>
          <w:sz w:val="22"/>
        </w:rPr>
        <w:t>could</w:t>
      </w:r>
      <w:r>
        <w:rPr>
          <w:color w:val="4D4D4F"/>
          <w:spacing w:val="-22"/>
          <w:w w:val="115"/>
          <w:sz w:val="22"/>
        </w:rPr>
        <w:t> </w:t>
      </w:r>
      <w:r>
        <w:rPr>
          <w:color w:val="4D4D4F"/>
          <w:w w:val="115"/>
          <w:sz w:val="22"/>
        </w:rPr>
        <w:t>occur</w:t>
      </w:r>
      <w:r>
        <w:rPr>
          <w:color w:val="4D4D4F"/>
          <w:spacing w:val="-22"/>
          <w:w w:val="115"/>
          <w:sz w:val="22"/>
        </w:rPr>
        <w:t> </w:t>
      </w:r>
      <w:r>
        <w:rPr>
          <w:color w:val="4D4D4F"/>
          <w:w w:val="115"/>
          <w:sz w:val="22"/>
        </w:rPr>
        <w:t>with</w:t>
      </w:r>
      <w:r>
        <w:rPr>
          <w:color w:val="4D4D4F"/>
          <w:spacing w:val="-22"/>
          <w:w w:val="115"/>
          <w:sz w:val="22"/>
        </w:rPr>
        <w:t> </w:t>
      </w:r>
      <w:r>
        <w:rPr>
          <w:color w:val="4D4D4F"/>
          <w:w w:val="115"/>
          <w:sz w:val="22"/>
        </w:rPr>
        <w:t>a</w:t>
      </w:r>
      <w:r>
        <w:rPr>
          <w:color w:val="4D4D4F"/>
          <w:spacing w:val="-22"/>
          <w:w w:val="115"/>
          <w:sz w:val="22"/>
        </w:rPr>
        <w:t> </w:t>
      </w:r>
      <w:r>
        <w:rPr>
          <w:color w:val="4D4D4F"/>
          <w:w w:val="115"/>
          <w:sz w:val="22"/>
        </w:rPr>
        <w:t>full</w:t>
      </w:r>
    </w:p>
    <w:p>
      <w:pPr>
        <w:pStyle w:val="BodyText"/>
        <w:spacing w:line="247" w:lineRule="auto" w:before="10"/>
        <w:ind w:left="140" w:right="74"/>
      </w:pPr>
      <w:r>
        <w:rPr>
          <w:color w:val="4D4D4F"/>
          <w:w w:val="115"/>
        </w:rPr>
        <w:t>50 mg dose. This lower dose may also reduce nausea</w:t>
      </w:r>
      <w:r>
        <w:rPr>
          <w:color w:val="4D4D4F"/>
          <w:spacing w:val="-34"/>
          <w:w w:val="115"/>
        </w:rPr>
        <w:t> </w:t>
      </w:r>
      <w:r>
        <w:rPr>
          <w:color w:val="4D4D4F"/>
          <w:w w:val="115"/>
        </w:rPr>
        <w:t>associated</w:t>
      </w:r>
      <w:r>
        <w:rPr>
          <w:color w:val="4D4D4F"/>
          <w:spacing w:val="-33"/>
          <w:w w:val="115"/>
        </w:rPr>
        <w:t> </w:t>
      </w:r>
      <w:r>
        <w:rPr>
          <w:color w:val="4D4D4F"/>
          <w:w w:val="115"/>
        </w:rPr>
        <w:t>with</w:t>
      </w:r>
      <w:r>
        <w:rPr>
          <w:color w:val="4D4D4F"/>
          <w:spacing w:val="-33"/>
          <w:w w:val="115"/>
        </w:rPr>
        <w:t> </w:t>
      </w:r>
      <w:r>
        <w:rPr>
          <w:color w:val="4D4D4F"/>
          <w:w w:val="115"/>
        </w:rPr>
        <w:t>the</w:t>
      </w:r>
      <w:r>
        <w:rPr>
          <w:color w:val="4D4D4F"/>
          <w:spacing w:val="-34"/>
          <w:w w:val="115"/>
        </w:rPr>
        <w:t> </w:t>
      </w:r>
      <w:r>
        <w:rPr>
          <w:color w:val="4D4D4F"/>
          <w:w w:val="115"/>
        </w:rPr>
        <w:t>ﬁrst</w:t>
      </w:r>
      <w:r>
        <w:rPr>
          <w:color w:val="4D4D4F"/>
          <w:spacing w:val="-33"/>
          <w:w w:val="115"/>
        </w:rPr>
        <w:t> </w:t>
      </w:r>
      <w:r>
        <w:rPr>
          <w:color w:val="4D4D4F"/>
          <w:w w:val="115"/>
        </w:rPr>
        <w:t>naltrexone</w:t>
      </w:r>
      <w:r>
        <w:rPr>
          <w:color w:val="4D4D4F"/>
          <w:spacing w:val="-33"/>
          <w:w w:val="115"/>
        </w:rPr>
        <w:t> </w:t>
      </w:r>
      <w:r>
        <w:rPr>
          <w:color w:val="4D4D4F"/>
          <w:w w:val="115"/>
        </w:rPr>
        <w:t>dose. The</w:t>
      </w:r>
      <w:r>
        <w:rPr>
          <w:color w:val="4D4D4F"/>
          <w:spacing w:val="-18"/>
          <w:w w:val="115"/>
        </w:rPr>
        <w:t> </w:t>
      </w:r>
      <w:r>
        <w:rPr>
          <w:color w:val="4D4D4F"/>
          <w:w w:val="115"/>
        </w:rPr>
        <w:t>dose</w:t>
      </w:r>
      <w:r>
        <w:rPr>
          <w:color w:val="4D4D4F"/>
          <w:spacing w:val="-17"/>
          <w:w w:val="115"/>
        </w:rPr>
        <w:t> </w:t>
      </w:r>
      <w:r>
        <w:rPr>
          <w:color w:val="4D4D4F"/>
          <w:w w:val="115"/>
        </w:rPr>
        <w:t>can</w:t>
      </w:r>
      <w:r>
        <w:rPr>
          <w:color w:val="4D4D4F"/>
          <w:spacing w:val="-17"/>
          <w:w w:val="115"/>
        </w:rPr>
        <w:t> </w:t>
      </w:r>
      <w:r>
        <w:rPr>
          <w:color w:val="4D4D4F"/>
          <w:w w:val="115"/>
        </w:rPr>
        <w:t>be</w:t>
      </w:r>
      <w:r>
        <w:rPr>
          <w:color w:val="4D4D4F"/>
          <w:spacing w:val="-17"/>
          <w:w w:val="115"/>
        </w:rPr>
        <w:t> </w:t>
      </w:r>
      <w:r>
        <w:rPr>
          <w:color w:val="4D4D4F"/>
          <w:w w:val="115"/>
        </w:rPr>
        <w:t>increased</w:t>
      </w:r>
      <w:r>
        <w:rPr>
          <w:color w:val="4D4D4F"/>
          <w:spacing w:val="-18"/>
          <w:w w:val="115"/>
        </w:rPr>
        <w:t> </w:t>
      </w:r>
      <w:r>
        <w:rPr>
          <w:color w:val="4D4D4F"/>
          <w:w w:val="115"/>
        </w:rPr>
        <w:t>to</w:t>
      </w:r>
      <w:r>
        <w:rPr>
          <w:color w:val="4D4D4F"/>
          <w:spacing w:val="-17"/>
          <w:w w:val="115"/>
        </w:rPr>
        <w:t> </w:t>
      </w:r>
      <w:r>
        <w:rPr>
          <w:color w:val="4D4D4F"/>
          <w:w w:val="115"/>
        </w:rPr>
        <w:t>50</w:t>
      </w:r>
      <w:r>
        <w:rPr>
          <w:color w:val="4D4D4F"/>
          <w:spacing w:val="-17"/>
          <w:w w:val="115"/>
        </w:rPr>
        <w:t> </w:t>
      </w:r>
      <w:r>
        <w:rPr>
          <w:color w:val="4D4D4F"/>
          <w:w w:val="115"/>
        </w:rPr>
        <w:t>mg</w:t>
      </w:r>
      <w:r>
        <w:rPr>
          <w:color w:val="4D4D4F"/>
          <w:spacing w:val="-17"/>
          <w:w w:val="115"/>
        </w:rPr>
        <w:t> </w:t>
      </w:r>
      <w:r>
        <w:rPr>
          <w:color w:val="4D4D4F"/>
          <w:w w:val="115"/>
        </w:rPr>
        <w:t>daily</w:t>
      </w:r>
      <w:r>
        <w:rPr>
          <w:color w:val="4D4D4F"/>
          <w:spacing w:val="-17"/>
          <w:w w:val="115"/>
        </w:rPr>
        <w:t> </w:t>
      </w:r>
      <w:r>
        <w:rPr>
          <w:color w:val="4D4D4F"/>
          <w:w w:val="115"/>
        </w:rPr>
        <w:t>on</w:t>
      </w:r>
      <w:r>
        <w:rPr>
          <w:color w:val="4D4D4F"/>
          <w:spacing w:val="-18"/>
          <w:w w:val="115"/>
        </w:rPr>
        <w:t> </w:t>
      </w:r>
      <w:r>
        <w:rPr>
          <w:color w:val="4D4D4F"/>
          <w:spacing w:val="-6"/>
          <w:w w:val="115"/>
        </w:rPr>
        <w:t>the </w:t>
      </w:r>
      <w:r>
        <w:rPr>
          <w:color w:val="4D4D4F"/>
          <w:w w:val="115"/>
        </w:rPr>
        <w:t>second</w:t>
      </w:r>
      <w:r>
        <w:rPr>
          <w:color w:val="4D4D4F"/>
          <w:spacing w:val="-10"/>
          <w:w w:val="115"/>
        </w:rPr>
        <w:t> </w:t>
      </w:r>
      <w:r>
        <w:rPr>
          <w:color w:val="4D4D4F"/>
          <w:spacing w:val="-5"/>
          <w:w w:val="115"/>
        </w:rPr>
        <w:t>day.</w:t>
      </w:r>
    </w:p>
    <w:p>
      <w:pPr>
        <w:spacing w:line="244" w:lineRule="auto" w:before="180"/>
        <w:ind w:left="140" w:right="82" w:firstLine="0"/>
        <w:jc w:val="left"/>
        <w:rPr>
          <w:sz w:val="22"/>
        </w:rPr>
      </w:pPr>
      <w:r>
        <w:rPr>
          <w:rFonts w:ascii="Calibri" w:hAnsi="Calibri"/>
          <w:b/>
          <w:color w:val="4D4D4F"/>
          <w:spacing w:val="-13"/>
          <w:w w:val="110"/>
          <w:sz w:val="22"/>
        </w:rPr>
        <w:t>To </w:t>
      </w:r>
      <w:r>
        <w:rPr>
          <w:rFonts w:ascii="Calibri" w:hAnsi="Calibri"/>
          <w:b/>
          <w:color w:val="4D4D4F"/>
          <w:w w:val="110"/>
          <w:sz w:val="22"/>
        </w:rPr>
        <w:t>increase adherence, arrange for directly observed administration of oral naltrexone. </w:t>
      </w:r>
      <w:r>
        <w:rPr>
          <w:color w:val="4D4D4F"/>
          <w:w w:val="110"/>
          <w:sz w:val="22"/>
        </w:rPr>
        <w:t>This is more feasible if patients who tolerate a daily dose of 50 mg are switched to a 3-days- per-week regimen for a total weekly dose of 350 mg (e.g., administer 100 mg on Monday and Wednesday and 150 mg on Friday). A member of the patient’s social network (e.g., spouse) </w:t>
      </w:r>
      <w:r>
        <w:rPr>
          <w:color w:val="4D4D4F"/>
          <w:spacing w:val="-6"/>
          <w:w w:val="110"/>
          <w:sz w:val="22"/>
        </w:rPr>
        <w:t>may </w:t>
      </w:r>
      <w:r>
        <w:rPr>
          <w:color w:val="4D4D4F"/>
          <w:w w:val="110"/>
          <w:sz w:val="22"/>
        </w:rPr>
        <w:t>also directly observe</w:t>
      </w:r>
      <w:r>
        <w:rPr>
          <w:color w:val="4D4D4F"/>
          <w:spacing w:val="-16"/>
          <w:w w:val="110"/>
          <w:sz w:val="22"/>
        </w:rPr>
        <w:t> </w:t>
      </w:r>
      <w:r>
        <w:rPr>
          <w:color w:val="4D4D4F"/>
          <w:spacing w:val="-3"/>
          <w:w w:val="110"/>
          <w:sz w:val="22"/>
        </w:rPr>
        <w:t>therapy.</w:t>
      </w:r>
    </w:p>
    <w:p>
      <w:pPr>
        <w:pStyle w:val="Heading5"/>
        <w:spacing w:before="226"/>
        <w:rPr>
          <w:i/>
        </w:rPr>
      </w:pPr>
      <w:r>
        <w:rPr>
          <w:i/>
          <w:color w:val="137692"/>
          <w:w w:val="105"/>
        </w:rPr>
        <w:t>Duration of treatment</w:t>
      </w:r>
    </w:p>
    <w:p>
      <w:pPr>
        <w:pStyle w:val="Heading7"/>
        <w:spacing w:line="235" w:lineRule="auto" w:before="46"/>
        <w:ind w:right="234"/>
      </w:pPr>
      <w:r>
        <w:rPr>
          <w:color w:val="4D4D4F"/>
          <w:w w:val="110"/>
        </w:rPr>
        <w:t>The optimal length of treatment with oral naltrexone is not known. In general, the longer patients take an effective medication, the better their</w:t>
      </w:r>
      <w:r>
        <w:rPr>
          <w:color w:val="4D4D4F"/>
          <w:spacing w:val="36"/>
          <w:w w:val="110"/>
        </w:rPr>
        <w:t> </w:t>
      </w:r>
      <w:r>
        <w:rPr>
          <w:color w:val="4D4D4F"/>
          <w:w w:val="110"/>
        </w:rPr>
        <w:t>outcomes.</w:t>
      </w:r>
    </w:p>
    <w:p>
      <w:pPr>
        <w:pStyle w:val="BodyText"/>
        <w:spacing w:line="247" w:lineRule="auto" w:before="184"/>
        <w:ind w:left="140" w:right="127"/>
        <w:rPr>
          <w:sz w:val="13"/>
        </w:rPr>
      </w:pPr>
      <w:r>
        <w:rPr>
          <w:color w:val="4D4D4F"/>
          <w:w w:val="110"/>
        </w:rPr>
        <w:t>Use of illicit opioids during treatment with oral naltrexone is a cause of concern and may be a precursor to treatment discontinuation.</w:t>
      </w:r>
      <w:r>
        <w:rPr>
          <w:color w:val="4D4D4F"/>
          <w:w w:val="110"/>
          <w:position w:val="7"/>
          <w:sz w:val="13"/>
        </w:rPr>
        <w:t>211 </w:t>
      </w:r>
      <w:r>
        <w:rPr>
          <w:color w:val="4D4D4F"/>
          <w:w w:val="110"/>
        </w:rPr>
        <w:t>Some patients will initially test the opioid blockade with illicit opioids and then discontinue opioid use. However, others will continue using illicit opioids.</w:t>
      </w:r>
      <w:r>
        <w:rPr>
          <w:color w:val="4D4D4F"/>
          <w:w w:val="110"/>
          <w:position w:val="7"/>
          <w:sz w:val="13"/>
        </w:rPr>
        <w:t>212</w:t>
      </w:r>
    </w:p>
    <w:p>
      <w:pPr>
        <w:pStyle w:val="Heading7"/>
        <w:spacing w:line="235" w:lineRule="auto" w:before="108"/>
        <w:ind w:left="139" w:right="569"/>
        <w:rPr>
          <w:rFonts w:ascii="Gill Sans MT"/>
          <w:b w:val="0"/>
        </w:rPr>
      </w:pPr>
      <w:r>
        <w:rPr>
          <w:b w:val="0"/>
        </w:rPr>
        <w:br w:type="column"/>
      </w:r>
      <w:r>
        <w:rPr>
          <w:color w:val="4D4D4F"/>
          <w:w w:val="115"/>
        </w:rPr>
        <w:t>If patients continue to test the blockade, immediately discuss alternative </w:t>
      </w:r>
      <w:r>
        <w:rPr>
          <w:color w:val="4D4D4F"/>
          <w:spacing w:val="-3"/>
          <w:w w:val="115"/>
        </w:rPr>
        <w:t>treatment </w:t>
      </w:r>
      <w:r>
        <w:rPr>
          <w:color w:val="4D4D4F"/>
          <w:w w:val="115"/>
        </w:rPr>
        <w:t>plans </w:t>
      </w:r>
      <w:r>
        <w:rPr>
          <w:rFonts w:ascii="Gill Sans MT"/>
          <w:b w:val="0"/>
          <w:color w:val="4D4D4F"/>
          <w:w w:val="115"/>
        </w:rPr>
        <w:t>that include:</w:t>
      </w:r>
    </w:p>
    <w:p>
      <w:pPr>
        <w:pStyle w:val="ListParagraph"/>
        <w:numPr>
          <w:ilvl w:val="0"/>
          <w:numId w:val="4"/>
        </w:numPr>
        <w:tabs>
          <w:tab w:pos="410" w:val="left" w:leader="none"/>
        </w:tabs>
        <w:spacing w:line="315" w:lineRule="exact" w:before="101" w:after="0"/>
        <w:ind w:left="410" w:right="0" w:hanging="270"/>
        <w:jc w:val="left"/>
        <w:rPr>
          <w:rFonts w:ascii="Arial" w:hAnsi="Arial"/>
          <w:color w:val="137692"/>
          <w:sz w:val="28"/>
        </w:rPr>
      </w:pPr>
      <w:r>
        <w:rPr>
          <w:color w:val="4D4D4F"/>
          <w:w w:val="115"/>
          <w:sz w:val="22"/>
        </w:rPr>
        <w:t>Increased</w:t>
      </w:r>
      <w:r>
        <w:rPr>
          <w:color w:val="4D4D4F"/>
          <w:spacing w:val="-43"/>
          <w:w w:val="115"/>
          <w:sz w:val="22"/>
        </w:rPr>
        <w:t> </w:t>
      </w:r>
      <w:r>
        <w:rPr>
          <w:color w:val="4D4D4F"/>
          <w:w w:val="115"/>
          <w:sz w:val="22"/>
        </w:rPr>
        <w:t>counseling.</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05"/>
          <w:sz w:val="22"/>
        </w:rPr>
        <w:t>Switching to</w:t>
      </w:r>
      <w:r>
        <w:rPr>
          <w:color w:val="4D4D4F"/>
          <w:spacing w:val="1"/>
          <w:w w:val="105"/>
          <w:sz w:val="22"/>
        </w:rPr>
        <w:t> </w:t>
      </w:r>
      <w:r>
        <w:rPr>
          <w:color w:val="4D4D4F"/>
          <w:w w:val="105"/>
          <w:sz w:val="22"/>
        </w:rPr>
        <w:t>XR-NTX.</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Closer</w:t>
      </w:r>
      <w:r>
        <w:rPr>
          <w:color w:val="4D4D4F"/>
          <w:spacing w:val="-7"/>
          <w:w w:val="110"/>
          <w:sz w:val="22"/>
        </w:rPr>
        <w:t> </w:t>
      </w:r>
      <w:r>
        <w:rPr>
          <w:color w:val="4D4D4F"/>
          <w:w w:val="110"/>
          <w:sz w:val="22"/>
        </w:rPr>
        <w:t>monitoring.</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Directly observed oral naltrexone</w:t>
      </w:r>
      <w:r>
        <w:rPr>
          <w:color w:val="4D4D4F"/>
          <w:spacing w:val="-31"/>
          <w:w w:val="110"/>
          <w:sz w:val="22"/>
        </w:rPr>
        <w:t> </w:t>
      </w:r>
      <w:r>
        <w:rPr>
          <w:color w:val="4D4D4F"/>
          <w:spacing w:val="-3"/>
          <w:w w:val="110"/>
          <w:sz w:val="22"/>
        </w:rPr>
        <w:t>therapy.</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Residential</w:t>
      </w:r>
      <w:r>
        <w:rPr>
          <w:color w:val="4D4D4F"/>
          <w:spacing w:val="-6"/>
          <w:w w:val="110"/>
          <w:sz w:val="22"/>
        </w:rPr>
        <w:t> </w:t>
      </w:r>
      <w:r>
        <w:rPr>
          <w:color w:val="4D4D4F"/>
          <w:w w:val="110"/>
          <w:sz w:val="22"/>
        </w:rPr>
        <w:t>treatment.</w:t>
      </w:r>
    </w:p>
    <w:p>
      <w:pPr>
        <w:pStyle w:val="ListParagraph"/>
        <w:numPr>
          <w:ilvl w:val="0"/>
          <w:numId w:val="4"/>
        </w:numPr>
        <w:tabs>
          <w:tab w:pos="410" w:val="left" w:leader="none"/>
        </w:tabs>
        <w:spacing w:line="208" w:lineRule="auto" w:before="21" w:after="0"/>
        <w:ind w:left="409" w:right="944" w:hanging="270"/>
        <w:jc w:val="left"/>
        <w:rPr>
          <w:rFonts w:ascii="Arial" w:hAnsi="Arial"/>
          <w:color w:val="137692"/>
          <w:sz w:val="28"/>
        </w:rPr>
      </w:pPr>
      <w:r>
        <w:rPr>
          <w:color w:val="4D4D4F"/>
          <w:w w:val="110"/>
          <w:sz w:val="22"/>
        </w:rPr>
        <w:t>Assessment for the appropriateness </w:t>
      </w:r>
      <w:r>
        <w:rPr>
          <w:color w:val="4D4D4F"/>
          <w:spacing w:val="-9"/>
          <w:w w:val="110"/>
          <w:sz w:val="22"/>
        </w:rPr>
        <w:t>of </w:t>
      </w:r>
      <w:r>
        <w:rPr>
          <w:color w:val="4D4D4F"/>
          <w:w w:val="110"/>
          <w:sz w:val="22"/>
        </w:rPr>
        <w:t>buprenorphine or</w:t>
      </w:r>
      <w:r>
        <w:rPr>
          <w:color w:val="4D4D4F"/>
          <w:spacing w:val="-8"/>
          <w:w w:val="110"/>
          <w:sz w:val="22"/>
        </w:rPr>
        <w:t> </w:t>
      </w:r>
      <w:r>
        <w:rPr>
          <w:color w:val="4D4D4F"/>
          <w:w w:val="110"/>
          <w:sz w:val="22"/>
        </w:rPr>
        <w:t>methadone.</w:t>
      </w:r>
    </w:p>
    <w:p>
      <w:pPr>
        <w:pStyle w:val="Heading2"/>
        <w:spacing w:before="229"/>
        <w:ind w:left="139"/>
      </w:pPr>
      <w:bookmarkStart w:name="_TOC_250068" w:id="47"/>
      <w:bookmarkEnd w:id="47"/>
      <w:r>
        <w:rPr>
          <w:color w:val="137692"/>
          <w:w w:val="110"/>
        </w:rPr>
        <w:t>Naltrexone Dosing Summary</w:t>
      </w:r>
    </w:p>
    <w:p>
      <w:pPr>
        <w:pStyle w:val="Heading3"/>
        <w:spacing w:before="114"/>
        <w:ind w:left="139"/>
      </w:pPr>
      <w:bookmarkStart w:name="_TOC_250067" w:id="48"/>
      <w:bookmarkEnd w:id="48"/>
      <w:r>
        <w:rPr>
          <w:color w:val="137692"/>
          <w:w w:val="110"/>
        </w:rPr>
        <w:t>XR-NTX</w:t>
      </w:r>
    </w:p>
    <w:p>
      <w:pPr>
        <w:pStyle w:val="ListParagraph"/>
        <w:numPr>
          <w:ilvl w:val="0"/>
          <w:numId w:val="4"/>
        </w:numPr>
        <w:tabs>
          <w:tab w:pos="410" w:val="left" w:leader="none"/>
        </w:tabs>
        <w:spacing w:line="208" w:lineRule="auto" w:before="58" w:after="0"/>
        <w:ind w:left="409" w:right="203" w:hanging="270"/>
        <w:jc w:val="left"/>
        <w:rPr>
          <w:rFonts w:ascii="Arial" w:hAnsi="Arial"/>
          <w:color w:val="137692"/>
          <w:sz w:val="28"/>
        </w:rPr>
      </w:pPr>
      <w:r>
        <w:rPr>
          <w:color w:val="4D4D4F"/>
          <w:w w:val="110"/>
          <w:sz w:val="22"/>
        </w:rPr>
        <w:t>Before</w:t>
      </w:r>
      <w:r>
        <w:rPr>
          <w:color w:val="4D4D4F"/>
          <w:spacing w:val="-17"/>
          <w:w w:val="110"/>
          <w:sz w:val="22"/>
        </w:rPr>
        <w:t> </w:t>
      </w:r>
      <w:r>
        <w:rPr>
          <w:color w:val="4D4D4F"/>
          <w:w w:val="110"/>
          <w:sz w:val="22"/>
        </w:rPr>
        <w:t>administering</w:t>
      </w:r>
      <w:r>
        <w:rPr>
          <w:color w:val="4D4D4F"/>
          <w:spacing w:val="-17"/>
          <w:w w:val="110"/>
          <w:sz w:val="22"/>
        </w:rPr>
        <w:t> </w:t>
      </w:r>
      <w:r>
        <w:rPr>
          <w:color w:val="4D4D4F"/>
          <w:w w:val="110"/>
          <w:sz w:val="22"/>
        </w:rPr>
        <w:t>XR-NTX,</w:t>
      </w:r>
      <w:r>
        <w:rPr>
          <w:color w:val="4D4D4F"/>
          <w:spacing w:val="-16"/>
          <w:w w:val="110"/>
          <w:sz w:val="22"/>
        </w:rPr>
        <w:t> </w:t>
      </w:r>
      <w:r>
        <w:rPr>
          <w:color w:val="4D4D4F"/>
          <w:w w:val="110"/>
          <w:sz w:val="22"/>
        </w:rPr>
        <w:t>keep</w:t>
      </w:r>
      <w:r>
        <w:rPr>
          <w:color w:val="4D4D4F"/>
          <w:spacing w:val="-17"/>
          <w:w w:val="110"/>
          <w:sz w:val="22"/>
        </w:rPr>
        <w:t> </w:t>
      </w:r>
      <w:r>
        <w:rPr>
          <w:color w:val="4D4D4F"/>
          <w:w w:val="110"/>
          <w:sz w:val="22"/>
        </w:rPr>
        <w:t>it</w:t>
      </w:r>
      <w:r>
        <w:rPr>
          <w:color w:val="4D4D4F"/>
          <w:spacing w:val="-17"/>
          <w:w w:val="110"/>
          <w:sz w:val="22"/>
        </w:rPr>
        <w:t> </w:t>
      </w:r>
      <w:r>
        <w:rPr>
          <w:color w:val="4D4D4F"/>
          <w:w w:val="110"/>
          <w:sz w:val="22"/>
        </w:rPr>
        <w:t>at</w:t>
      </w:r>
      <w:r>
        <w:rPr>
          <w:color w:val="4D4D4F"/>
          <w:spacing w:val="-16"/>
          <w:w w:val="110"/>
          <w:sz w:val="22"/>
        </w:rPr>
        <w:t> </w:t>
      </w:r>
      <w:r>
        <w:rPr>
          <w:color w:val="4D4D4F"/>
          <w:spacing w:val="-6"/>
          <w:w w:val="110"/>
          <w:sz w:val="22"/>
        </w:rPr>
        <w:t>room </w:t>
      </w:r>
      <w:r>
        <w:rPr>
          <w:color w:val="4D4D4F"/>
          <w:w w:val="110"/>
          <w:sz w:val="22"/>
        </w:rPr>
        <w:t>temperature for about 45</w:t>
      </w:r>
      <w:r>
        <w:rPr>
          <w:color w:val="4D4D4F"/>
          <w:spacing w:val="-21"/>
          <w:w w:val="110"/>
          <w:sz w:val="22"/>
        </w:rPr>
        <w:t> </w:t>
      </w:r>
      <w:r>
        <w:rPr>
          <w:color w:val="4D4D4F"/>
          <w:w w:val="110"/>
          <w:sz w:val="22"/>
        </w:rPr>
        <w:t>minutes.</w:t>
      </w:r>
    </w:p>
    <w:p>
      <w:pPr>
        <w:pStyle w:val="ListParagraph"/>
        <w:numPr>
          <w:ilvl w:val="0"/>
          <w:numId w:val="4"/>
        </w:numPr>
        <w:tabs>
          <w:tab w:pos="410" w:val="left" w:leader="none"/>
        </w:tabs>
        <w:spacing w:line="208" w:lineRule="auto" w:before="69" w:after="0"/>
        <w:ind w:left="409" w:right="438" w:hanging="270"/>
        <w:jc w:val="left"/>
        <w:rPr>
          <w:rFonts w:ascii="Arial" w:hAnsi="Arial"/>
          <w:color w:val="137692"/>
          <w:sz w:val="28"/>
        </w:rPr>
      </w:pPr>
      <w:r>
        <w:rPr>
          <w:color w:val="4D4D4F"/>
          <w:w w:val="110"/>
          <w:sz w:val="22"/>
        </w:rPr>
        <w:t>Use the correct needle length to ensure</w:t>
      </w:r>
      <w:r>
        <w:rPr>
          <w:color w:val="4D4D4F"/>
          <w:spacing w:val="-26"/>
          <w:w w:val="110"/>
          <w:sz w:val="22"/>
        </w:rPr>
        <w:t> </w:t>
      </w:r>
      <w:r>
        <w:rPr>
          <w:color w:val="4D4D4F"/>
          <w:spacing w:val="-6"/>
          <w:w w:val="110"/>
          <w:sz w:val="22"/>
        </w:rPr>
        <w:t>the </w:t>
      </w:r>
      <w:r>
        <w:rPr>
          <w:color w:val="4D4D4F"/>
          <w:w w:val="110"/>
          <w:sz w:val="22"/>
        </w:rPr>
        <w:t>injection is in the gluteal</w:t>
      </w:r>
      <w:r>
        <w:rPr>
          <w:color w:val="4D4D4F"/>
          <w:spacing w:val="-16"/>
          <w:w w:val="110"/>
          <w:sz w:val="22"/>
        </w:rPr>
        <w:t> </w:t>
      </w:r>
      <w:r>
        <w:rPr>
          <w:color w:val="4D4D4F"/>
          <w:w w:val="110"/>
          <w:sz w:val="22"/>
        </w:rPr>
        <w:t>muscle.</w:t>
      </w:r>
    </w:p>
    <w:p>
      <w:pPr>
        <w:pStyle w:val="ListParagraph"/>
        <w:numPr>
          <w:ilvl w:val="0"/>
          <w:numId w:val="25"/>
        </w:numPr>
        <w:tabs>
          <w:tab w:pos="716" w:val="left" w:leader="none"/>
        </w:tabs>
        <w:spacing w:line="247" w:lineRule="auto" w:before="38" w:after="0"/>
        <w:ind w:left="715" w:right="222" w:hanging="270"/>
        <w:jc w:val="left"/>
        <w:rPr>
          <w:sz w:val="22"/>
        </w:rPr>
      </w:pPr>
      <w:r>
        <w:rPr>
          <w:color w:val="4D4D4F"/>
          <w:w w:val="110"/>
          <w:sz w:val="22"/>
        </w:rPr>
        <w:t>Use the 2-inch needle for patients with more subcutaneous tissue and the </w:t>
      </w:r>
      <w:r>
        <w:rPr>
          <w:color w:val="4D4D4F"/>
          <w:spacing w:val="-3"/>
          <w:w w:val="110"/>
          <w:sz w:val="22"/>
        </w:rPr>
        <w:t>1.5-inch needle </w:t>
      </w:r>
      <w:r>
        <w:rPr>
          <w:color w:val="4D4D4F"/>
          <w:w w:val="110"/>
          <w:sz w:val="22"/>
        </w:rPr>
        <w:t>for </w:t>
      </w:r>
      <w:r>
        <w:rPr>
          <w:color w:val="4D4D4F"/>
          <w:spacing w:val="-3"/>
          <w:w w:val="110"/>
          <w:sz w:val="22"/>
        </w:rPr>
        <w:t>patients with less adipose</w:t>
      </w:r>
      <w:r>
        <w:rPr>
          <w:color w:val="4D4D4F"/>
          <w:spacing w:val="32"/>
          <w:w w:val="110"/>
          <w:sz w:val="22"/>
        </w:rPr>
        <w:t> </w:t>
      </w:r>
      <w:r>
        <w:rPr>
          <w:color w:val="4D4D4F"/>
          <w:spacing w:val="-3"/>
          <w:w w:val="110"/>
          <w:sz w:val="22"/>
        </w:rPr>
        <w:t>tissue.</w:t>
      </w:r>
    </w:p>
    <w:p>
      <w:pPr>
        <w:pStyle w:val="ListParagraph"/>
        <w:numPr>
          <w:ilvl w:val="0"/>
          <w:numId w:val="25"/>
        </w:numPr>
        <w:tabs>
          <w:tab w:pos="716" w:val="left" w:leader="none"/>
        </w:tabs>
        <w:spacing w:line="247" w:lineRule="auto" w:before="25" w:after="0"/>
        <w:ind w:left="715" w:right="427" w:hanging="270"/>
        <w:jc w:val="left"/>
        <w:rPr>
          <w:sz w:val="22"/>
        </w:rPr>
      </w:pPr>
      <w:r>
        <w:rPr>
          <w:color w:val="4D4D4F"/>
          <w:w w:val="115"/>
          <w:sz w:val="22"/>
        </w:rPr>
        <w:t>Use</w:t>
      </w:r>
      <w:r>
        <w:rPr>
          <w:color w:val="4D4D4F"/>
          <w:spacing w:val="-31"/>
          <w:w w:val="115"/>
          <w:sz w:val="22"/>
        </w:rPr>
        <w:t> </w:t>
      </w:r>
      <w:r>
        <w:rPr>
          <w:color w:val="4D4D4F"/>
          <w:w w:val="115"/>
          <w:sz w:val="22"/>
        </w:rPr>
        <w:t>either</w:t>
      </w:r>
      <w:r>
        <w:rPr>
          <w:color w:val="4D4D4F"/>
          <w:spacing w:val="-31"/>
          <w:w w:val="115"/>
          <w:sz w:val="22"/>
        </w:rPr>
        <w:t> </w:t>
      </w:r>
      <w:r>
        <w:rPr>
          <w:color w:val="4D4D4F"/>
          <w:w w:val="115"/>
          <w:sz w:val="22"/>
        </w:rPr>
        <w:t>length</w:t>
      </w:r>
      <w:r>
        <w:rPr>
          <w:color w:val="4D4D4F"/>
          <w:spacing w:val="-31"/>
          <w:w w:val="115"/>
          <w:sz w:val="22"/>
        </w:rPr>
        <w:t> </w:t>
      </w:r>
      <w:r>
        <w:rPr>
          <w:color w:val="4D4D4F"/>
          <w:w w:val="115"/>
          <w:sz w:val="22"/>
        </w:rPr>
        <w:t>in</w:t>
      </w:r>
      <w:r>
        <w:rPr>
          <w:color w:val="4D4D4F"/>
          <w:spacing w:val="-31"/>
          <w:w w:val="115"/>
          <w:sz w:val="22"/>
        </w:rPr>
        <w:t> </w:t>
      </w:r>
      <w:r>
        <w:rPr>
          <w:color w:val="4D4D4F"/>
          <w:w w:val="115"/>
          <w:sz w:val="22"/>
        </w:rPr>
        <w:t>patients</w:t>
      </w:r>
      <w:r>
        <w:rPr>
          <w:color w:val="4D4D4F"/>
          <w:spacing w:val="-31"/>
          <w:w w:val="115"/>
          <w:sz w:val="22"/>
        </w:rPr>
        <w:t> </w:t>
      </w:r>
      <w:r>
        <w:rPr>
          <w:color w:val="4D4D4F"/>
          <w:w w:val="115"/>
          <w:sz w:val="22"/>
        </w:rPr>
        <w:t>with</w:t>
      </w:r>
      <w:r>
        <w:rPr>
          <w:color w:val="4D4D4F"/>
          <w:spacing w:val="-31"/>
          <w:w w:val="115"/>
          <w:sz w:val="22"/>
        </w:rPr>
        <w:t> </w:t>
      </w:r>
      <w:r>
        <w:rPr>
          <w:color w:val="4D4D4F"/>
          <w:spacing w:val="-3"/>
          <w:w w:val="115"/>
          <w:sz w:val="22"/>
        </w:rPr>
        <w:t>normal </w:t>
      </w:r>
      <w:r>
        <w:rPr>
          <w:color w:val="4D4D4F"/>
          <w:w w:val="115"/>
          <w:sz w:val="22"/>
        </w:rPr>
        <w:t>body</w:t>
      </w:r>
      <w:r>
        <w:rPr>
          <w:color w:val="4D4D4F"/>
          <w:spacing w:val="-10"/>
          <w:w w:val="115"/>
          <w:sz w:val="22"/>
        </w:rPr>
        <w:t> </w:t>
      </w:r>
      <w:r>
        <w:rPr>
          <w:color w:val="4D4D4F"/>
          <w:w w:val="115"/>
          <w:sz w:val="22"/>
        </w:rPr>
        <w:t>habitus.</w:t>
      </w:r>
    </w:p>
    <w:p>
      <w:pPr>
        <w:pStyle w:val="ListParagraph"/>
        <w:numPr>
          <w:ilvl w:val="0"/>
          <w:numId w:val="4"/>
        </w:numPr>
        <w:tabs>
          <w:tab w:pos="410" w:val="left" w:leader="none"/>
        </w:tabs>
        <w:spacing w:line="315" w:lineRule="exact" w:before="74" w:after="0"/>
        <w:ind w:left="410" w:right="0" w:hanging="270"/>
        <w:jc w:val="left"/>
        <w:rPr>
          <w:rFonts w:ascii="Arial" w:hAnsi="Arial"/>
          <w:color w:val="137692"/>
          <w:sz w:val="28"/>
        </w:rPr>
      </w:pPr>
      <w:r>
        <w:rPr>
          <w:color w:val="4D4D4F"/>
          <w:w w:val="110"/>
          <w:sz w:val="22"/>
        </w:rPr>
        <w:t>Use proper aseptic</w:t>
      </w:r>
      <w:r>
        <w:rPr>
          <w:color w:val="4D4D4F"/>
          <w:spacing w:val="-15"/>
          <w:w w:val="110"/>
          <w:sz w:val="22"/>
        </w:rPr>
        <w:t> </w:t>
      </w:r>
      <w:r>
        <w:rPr>
          <w:color w:val="4D4D4F"/>
          <w:w w:val="110"/>
          <w:sz w:val="22"/>
        </w:rPr>
        <w:t>technique.</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Use</w:t>
      </w:r>
      <w:r>
        <w:rPr>
          <w:color w:val="4D4D4F"/>
          <w:spacing w:val="-17"/>
          <w:w w:val="115"/>
          <w:sz w:val="22"/>
        </w:rPr>
        <w:t> </w:t>
      </w:r>
      <w:r>
        <w:rPr>
          <w:color w:val="4D4D4F"/>
          <w:w w:val="115"/>
          <w:sz w:val="22"/>
        </w:rPr>
        <w:t>proper</w:t>
      </w:r>
      <w:r>
        <w:rPr>
          <w:color w:val="4D4D4F"/>
          <w:spacing w:val="-16"/>
          <w:w w:val="115"/>
          <w:sz w:val="22"/>
        </w:rPr>
        <w:t> </w:t>
      </w:r>
      <w:r>
        <w:rPr>
          <w:color w:val="4D4D4F"/>
          <w:w w:val="115"/>
          <w:sz w:val="22"/>
        </w:rPr>
        <w:t>gluteal</w:t>
      </w:r>
      <w:r>
        <w:rPr>
          <w:color w:val="4D4D4F"/>
          <w:spacing w:val="-16"/>
          <w:w w:val="115"/>
          <w:sz w:val="22"/>
        </w:rPr>
        <w:t> </w:t>
      </w:r>
      <w:r>
        <w:rPr>
          <w:color w:val="4D4D4F"/>
          <w:w w:val="115"/>
          <w:sz w:val="22"/>
        </w:rPr>
        <w:t>IM</w:t>
      </w:r>
      <w:r>
        <w:rPr>
          <w:color w:val="4D4D4F"/>
          <w:spacing w:val="-16"/>
          <w:w w:val="115"/>
          <w:sz w:val="22"/>
        </w:rPr>
        <w:t> </w:t>
      </w:r>
      <w:r>
        <w:rPr>
          <w:color w:val="4D4D4F"/>
          <w:w w:val="115"/>
          <w:sz w:val="22"/>
        </w:rPr>
        <w:t>injection</w:t>
      </w:r>
      <w:r>
        <w:rPr>
          <w:color w:val="4D4D4F"/>
          <w:spacing w:val="-16"/>
          <w:w w:val="115"/>
          <w:sz w:val="22"/>
        </w:rPr>
        <w:t> </w:t>
      </w:r>
      <w:r>
        <w:rPr>
          <w:color w:val="4D4D4F"/>
          <w:w w:val="115"/>
          <w:sz w:val="22"/>
        </w:rPr>
        <w:t>technique.</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Never inject intravenously or</w:t>
      </w:r>
      <w:r>
        <w:rPr>
          <w:color w:val="4D4D4F"/>
          <w:spacing w:val="-34"/>
          <w:w w:val="110"/>
          <w:sz w:val="22"/>
        </w:rPr>
        <w:t> </w:t>
      </w:r>
      <w:r>
        <w:rPr>
          <w:color w:val="4D4D4F"/>
          <w:w w:val="110"/>
          <w:sz w:val="22"/>
        </w:rPr>
        <w:t>subcutaneously.</w:t>
      </w:r>
    </w:p>
    <w:p>
      <w:pPr>
        <w:pStyle w:val="ListParagraph"/>
        <w:numPr>
          <w:ilvl w:val="0"/>
          <w:numId w:val="4"/>
        </w:numPr>
        <w:tabs>
          <w:tab w:pos="410" w:val="left" w:leader="none"/>
        </w:tabs>
        <w:spacing w:line="208" w:lineRule="auto" w:before="21" w:after="0"/>
        <w:ind w:left="409" w:right="495" w:hanging="270"/>
        <w:jc w:val="left"/>
        <w:rPr>
          <w:rFonts w:ascii="Arial" w:hAnsi="Arial"/>
          <w:color w:val="137692"/>
          <w:sz w:val="28"/>
        </w:rPr>
      </w:pPr>
      <w:r>
        <w:rPr>
          <w:color w:val="4D4D4F"/>
          <w:w w:val="110"/>
          <w:sz w:val="22"/>
        </w:rPr>
        <w:t>Repeat the injection every 4 weeks or</w:t>
      </w:r>
      <w:r>
        <w:rPr>
          <w:color w:val="4D4D4F"/>
          <w:spacing w:val="-38"/>
          <w:w w:val="110"/>
          <w:sz w:val="22"/>
        </w:rPr>
        <w:t> </w:t>
      </w:r>
      <w:r>
        <w:rPr>
          <w:color w:val="4D4D4F"/>
          <w:spacing w:val="-4"/>
          <w:w w:val="110"/>
          <w:sz w:val="22"/>
        </w:rPr>
        <w:t>once </w:t>
      </w:r>
      <w:r>
        <w:rPr>
          <w:color w:val="4D4D4F"/>
          <w:w w:val="110"/>
          <w:sz w:val="22"/>
        </w:rPr>
        <w:t>per</w:t>
      </w:r>
      <w:r>
        <w:rPr>
          <w:color w:val="4D4D4F"/>
          <w:spacing w:val="-6"/>
          <w:w w:val="110"/>
          <w:sz w:val="22"/>
        </w:rPr>
        <w:t> </w:t>
      </w:r>
      <w:r>
        <w:rPr>
          <w:color w:val="4D4D4F"/>
          <w:w w:val="110"/>
          <w:sz w:val="22"/>
        </w:rPr>
        <w:t>month.</w:t>
      </w:r>
    </w:p>
    <w:p>
      <w:pPr>
        <w:pStyle w:val="Heading3"/>
        <w:spacing w:before="141"/>
        <w:ind w:left="139"/>
      </w:pPr>
      <w:bookmarkStart w:name="_TOC_250066" w:id="49"/>
      <w:r>
        <w:rPr>
          <w:color w:val="137692"/>
          <w:w w:val="110"/>
        </w:rPr>
        <w:t>Oral</w:t>
      </w:r>
      <w:r>
        <w:rPr>
          <w:color w:val="137692"/>
          <w:spacing w:val="-36"/>
          <w:w w:val="110"/>
        </w:rPr>
        <w:t> </w:t>
      </w:r>
      <w:bookmarkEnd w:id="49"/>
      <w:r>
        <w:rPr>
          <w:color w:val="137692"/>
          <w:w w:val="110"/>
        </w:rPr>
        <w:t>Naltrexone</w:t>
      </w:r>
    </w:p>
    <w:p>
      <w:pPr>
        <w:pStyle w:val="ListParagraph"/>
        <w:numPr>
          <w:ilvl w:val="0"/>
          <w:numId w:val="4"/>
        </w:numPr>
        <w:tabs>
          <w:tab w:pos="410" w:val="left" w:leader="none"/>
        </w:tabs>
        <w:spacing w:line="225" w:lineRule="auto" w:before="43" w:after="0"/>
        <w:ind w:left="409" w:right="371" w:hanging="270"/>
        <w:jc w:val="left"/>
        <w:rPr>
          <w:rFonts w:ascii="Arial" w:hAnsi="Arial"/>
          <w:color w:val="137692"/>
          <w:sz w:val="28"/>
        </w:rPr>
      </w:pPr>
      <w:r>
        <w:rPr>
          <w:color w:val="4D4D4F"/>
          <w:w w:val="110"/>
          <w:sz w:val="22"/>
        </w:rPr>
        <w:t>Use in limited circumstances after discussing risks and beneﬁts, as well as alternative treatment options, with the</w:t>
      </w:r>
      <w:r>
        <w:rPr>
          <w:color w:val="4D4D4F"/>
          <w:spacing w:val="-18"/>
          <w:w w:val="110"/>
          <w:sz w:val="22"/>
        </w:rPr>
        <w:t> </w:t>
      </w:r>
      <w:r>
        <w:rPr>
          <w:color w:val="4D4D4F"/>
          <w:w w:val="110"/>
          <w:sz w:val="22"/>
        </w:rPr>
        <w:t>patient.</w:t>
      </w:r>
    </w:p>
    <w:p>
      <w:pPr>
        <w:pStyle w:val="ListParagraph"/>
        <w:numPr>
          <w:ilvl w:val="0"/>
          <w:numId w:val="4"/>
        </w:numPr>
        <w:tabs>
          <w:tab w:pos="410" w:val="left" w:leader="none"/>
        </w:tabs>
        <w:spacing w:line="315" w:lineRule="exact" w:before="39" w:after="0"/>
        <w:ind w:left="410" w:right="0" w:hanging="270"/>
        <w:jc w:val="left"/>
        <w:rPr>
          <w:rFonts w:ascii="Arial" w:hAnsi="Arial"/>
          <w:color w:val="137692"/>
          <w:sz w:val="28"/>
        </w:rPr>
      </w:pPr>
      <w:r>
        <w:rPr>
          <w:color w:val="4D4D4F"/>
          <w:w w:val="110"/>
          <w:sz w:val="22"/>
        </w:rPr>
        <w:t>Do the naloxone</w:t>
      </w:r>
      <w:r>
        <w:rPr>
          <w:color w:val="4D4D4F"/>
          <w:spacing w:val="-15"/>
          <w:w w:val="110"/>
          <w:sz w:val="22"/>
        </w:rPr>
        <w:t> </w:t>
      </w:r>
      <w:r>
        <w:rPr>
          <w:color w:val="4D4D4F"/>
          <w:w w:val="110"/>
          <w:sz w:val="22"/>
        </w:rPr>
        <w:t>challenge.</w:t>
      </w:r>
    </w:p>
    <w:p>
      <w:pPr>
        <w:pStyle w:val="ListParagraph"/>
        <w:numPr>
          <w:ilvl w:val="0"/>
          <w:numId w:val="4"/>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The </w:t>
      </w:r>
      <w:r>
        <w:rPr>
          <w:color w:val="4D4D4F"/>
          <w:spacing w:val="-3"/>
          <w:w w:val="110"/>
          <w:sz w:val="22"/>
        </w:rPr>
        <w:t>ﬁrst oral </w:t>
      </w:r>
      <w:r>
        <w:rPr>
          <w:color w:val="4D4D4F"/>
          <w:spacing w:val="-4"/>
          <w:w w:val="110"/>
          <w:sz w:val="22"/>
        </w:rPr>
        <w:t>naltrexone </w:t>
      </w:r>
      <w:r>
        <w:rPr>
          <w:color w:val="4D4D4F"/>
          <w:spacing w:val="-3"/>
          <w:w w:val="110"/>
          <w:sz w:val="22"/>
        </w:rPr>
        <w:t>dose should </w:t>
      </w:r>
      <w:r>
        <w:rPr>
          <w:color w:val="4D4D4F"/>
          <w:w w:val="110"/>
          <w:sz w:val="22"/>
        </w:rPr>
        <w:t>be 25</w:t>
      </w:r>
      <w:r>
        <w:rPr>
          <w:color w:val="4D4D4F"/>
          <w:spacing w:val="-45"/>
          <w:w w:val="110"/>
          <w:sz w:val="22"/>
        </w:rPr>
        <w:t> </w:t>
      </w:r>
      <w:r>
        <w:rPr>
          <w:color w:val="4D4D4F"/>
          <w:spacing w:val="-3"/>
          <w:w w:val="110"/>
          <w:sz w:val="22"/>
        </w:rPr>
        <w:t>mg.</w:t>
      </w:r>
    </w:p>
    <w:p>
      <w:pPr>
        <w:pStyle w:val="ListParagraph"/>
        <w:numPr>
          <w:ilvl w:val="0"/>
          <w:numId w:val="4"/>
        </w:numPr>
        <w:tabs>
          <w:tab w:pos="410" w:val="left" w:leader="none"/>
        </w:tabs>
        <w:spacing w:line="208" w:lineRule="auto" w:before="22" w:after="0"/>
        <w:ind w:left="409" w:right="226" w:hanging="270"/>
        <w:jc w:val="left"/>
        <w:rPr>
          <w:rFonts w:ascii="Arial" w:hAnsi="Arial"/>
          <w:color w:val="137692"/>
          <w:sz w:val="28"/>
        </w:rPr>
      </w:pPr>
      <w:r>
        <w:rPr>
          <w:color w:val="4D4D4F"/>
          <w:w w:val="115"/>
          <w:sz w:val="22"/>
        </w:rPr>
        <w:t>The</w:t>
      </w:r>
      <w:r>
        <w:rPr>
          <w:color w:val="4D4D4F"/>
          <w:spacing w:val="-20"/>
          <w:w w:val="115"/>
          <w:sz w:val="22"/>
        </w:rPr>
        <w:t> </w:t>
      </w:r>
      <w:r>
        <w:rPr>
          <w:color w:val="4D4D4F"/>
          <w:w w:val="115"/>
          <w:sz w:val="22"/>
        </w:rPr>
        <w:t>dose</w:t>
      </w:r>
      <w:r>
        <w:rPr>
          <w:color w:val="4D4D4F"/>
          <w:spacing w:val="-20"/>
          <w:w w:val="115"/>
          <w:sz w:val="22"/>
        </w:rPr>
        <w:t> </w:t>
      </w:r>
      <w:r>
        <w:rPr>
          <w:color w:val="4D4D4F"/>
          <w:w w:val="115"/>
          <w:sz w:val="22"/>
        </w:rPr>
        <w:t>can</w:t>
      </w:r>
      <w:r>
        <w:rPr>
          <w:color w:val="4D4D4F"/>
          <w:spacing w:val="-19"/>
          <w:w w:val="115"/>
          <w:sz w:val="22"/>
        </w:rPr>
        <w:t> </w:t>
      </w:r>
      <w:r>
        <w:rPr>
          <w:color w:val="4D4D4F"/>
          <w:w w:val="115"/>
          <w:sz w:val="22"/>
        </w:rPr>
        <w:t>be</w:t>
      </w:r>
      <w:r>
        <w:rPr>
          <w:color w:val="4D4D4F"/>
          <w:spacing w:val="-20"/>
          <w:w w:val="115"/>
          <w:sz w:val="22"/>
        </w:rPr>
        <w:t> </w:t>
      </w:r>
      <w:r>
        <w:rPr>
          <w:color w:val="4D4D4F"/>
          <w:w w:val="115"/>
          <w:sz w:val="22"/>
        </w:rPr>
        <w:t>increased</w:t>
      </w:r>
      <w:r>
        <w:rPr>
          <w:color w:val="4D4D4F"/>
          <w:spacing w:val="-19"/>
          <w:w w:val="115"/>
          <w:sz w:val="22"/>
        </w:rPr>
        <w:t> </w:t>
      </w:r>
      <w:r>
        <w:rPr>
          <w:color w:val="4D4D4F"/>
          <w:w w:val="115"/>
          <w:sz w:val="22"/>
        </w:rPr>
        <w:t>on</w:t>
      </w:r>
      <w:r>
        <w:rPr>
          <w:color w:val="4D4D4F"/>
          <w:spacing w:val="-20"/>
          <w:w w:val="115"/>
          <w:sz w:val="22"/>
        </w:rPr>
        <w:t> </w:t>
      </w:r>
      <w:r>
        <w:rPr>
          <w:color w:val="4D4D4F"/>
          <w:w w:val="115"/>
          <w:sz w:val="22"/>
        </w:rPr>
        <w:t>the</w:t>
      </w:r>
      <w:r>
        <w:rPr>
          <w:color w:val="4D4D4F"/>
          <w:spacing w:val="-19"/>
          <w:w w:val="115"/>
          <w:sz w:val="22"/>
        </w:rPr>
        <w:t> </w:t>
      </w:r>
      <w:r>
        <w:rPr>
          <w:color w:val="4D4D4F"/>
          <w:w w:val="115"/>
          <w:sz w:val="22"/>
        </w:rPr>
        <w:t>second</w:t>
      </w:r>
      <w:r>
        <w:rPr>
          <w:color w:val="4D4D4F"/>
          <w:spacing w:val="-20"/>
          <w:w w:val="115"/>
          <w:sz w:val="22"/>
        </w:rPr>
        <w:t> </w:t>
      </w:r>
      <w:r>
        <w:rPr>
          <w:color w:val="4D4D4F"/>
          <w:spacing w:val="-6"/>
          <w:w w:val="115"/>
          <w:sz w:val="22"/>
        </w:rPr>
        <w:t>day </w:t>
      </w:r>
      <w:r>
        <w:rPr>
          <w:color w:val="4D4D4F"/>
          <w:w w:val="115"/>
          <w:sz w:val="22"/>
        </w:rPr>
        <w:t>to</w:t>
      </w:r>
      <w:r>
        <w:rPr>
          <w:color w:val="4D4D4F"/>
          <w:spacing w:val="-11"/>
          <w:w w:val="115"/>
          <w:sz w:val="22"/>
        </w:rPr>
        <w:t> </w:t>
      </w:r>
      <w:r>
        <w:rPr>
          <w:color w:val="4D4D4F"/>
          <w:w w:val="115"/>
          <w:sz w:val="22"/>
        </w:rPr>
        <w:t>50</w:t>
      </w:r>
      <w:r>
        <w:rPr>
          <w:color w:val="4D4D4F"/>
          <w:spacing w:val="-10"/>
          <w:w w:val="115"/>
          <w:sz w:val="22"/>
        </w:rPr>
        <w:t> </w:t>
      </w:r>
      <w:r>
        <w:rPr>
          <w:color w:val="4D4D4F"/>
          <w:w w:val="115"/>
          <w:sz w:val="22"/>
        </w:rPr>
        <w:t>mg</w:t>
      </w:r>
      <w:r>
        <w:rPr>
          <w:color w:val="4D4D4F"/>
          <w:spacing w:val="-11"/>
          <w:w w:val="115"/>
          <w:sz w:val="22"/>
        </w:rPr>
        <w:t> </w:t>
      </w:r>
      <w:r>
        <w:rPr>
          <w:color w:val="4D4D4F"/>
          <w:w w:val="115"/>
          <w:sz w:val="22"/>
        </w:rPr>
        <w:t>daily</w:t>
      </w:r>
      <w:r>
        <w:rPr>
          <w:color w:val="4D4D4F"/>
          <w:spacing w:val="-10"/>
          <w:w w:val="115"/>
          <w:sz w:val="22"/>
        </w:rPr>
        <w:t> </w:t>
      </w:r>
      <w:r>
        <w:rPr>
          <w:color w:val="4D4D4F"/>
          <w:w w:val="115"/>
          <w:sz w:val="22"/>
        </w:rPr>
        <w:t>if</w:t>
      </w:r>
      <w:r>
        <w:rPr>
          <w:color w:val="4D4D4F"/>
          <w:spacing w:val="-11"/>
          <w:w w:val="115"/>
          <w:sz w:val="22"/>
        </w:rPr>
        <w:t> </w:t>
      </w:r>
      <w:r>
        <w:rPr>
          <w:color w:val="4D4D4F"/>
          <w:w w:val="115"/>
          <w:sz w:val="22"/>
        </w:rPr>
        <w:t>necessary.</w:t>
      </w:r>
    </w:p>
    <w:p>
      <w:pPr>
        <w:pStyle w:val="ListParagraph"/>
        <w:numPr>
          <w:ilvl w:val="0"/>
          <w:numId w:val="4"/>
        </w:numPr>
        <w:tabs>
          <w:tab w:pos="410" w:val="left" w:leader="none"/>
        </w:tabs>
        <w:spacing w:line="225" w:lineRule="auto" w:before="53" w:after="0"/>
        <w:ind w:left="409" w:right="223" w:hanging="270"/>
        <w:jc w:val="left"/>
        <w:rPr>
          <w:rFonts w:ascii="Arial" w:hAnsi="Arial"/>
          <w:color w:val="137692"/>
          <w:sz w:val="28"/>
        </w:rPr>
      </w:pPr>
      <w:r>
        <w:rPr>
          <w:color w:val="4D4D4F"/>
          <w:w w:val="110"/>
          <w:sz w:val="22"/>
        </w:rPr>
        <w:t>If desired, switch patients who tolerate a </w:t>
      </w:r>
      <w:r>
        <w:rPr>
          <w:color w:val="4D4D4F"/>
          <w:spacing w:val="-4"/>
          <w:w w:val="110"/>
          <w:sz w:val="22"/>
        </w:rPr>
        <w:t>daily </w:t>
      </w:r>
      <w:r>
        <w:rPr>
          <w:color w:val="4D4D4F"/>
          <w:w w:val="110"/>
          <w:sz w:val="22"/>
        </w:rPr>
        <w:t>dose of 50 mg to a 3-days-per-week regimen for a total weekly dose of 350</w:t>
      </w:r>
      <w:r>
        <w:rPr>
          <w:color w:val="4D4D4F"/>
          <w:spacing w:val="-27"/>
          <w:w w:val="110"/>
          <w:sz w:val="22"/>
        </w:rPr>
        <w:t> </w:t>
      </w:r>
      <w:r>
        <w:rPr>
          <w:color w:val="4D4D4F"/>
          <w:w w:val="110"/>
          <w:sz w:val="22"/>
        </w:rPr>
        <w:t>mg.</w:t>
      </w:r>
    </w:p>
    <w:p>
      <w:pPr>
        <w:spacing w:after="0" w:line="225" w:lineRule="auto"/>
        <w:jc w:val="left"/>
        <w:rPr>
          <w:rFonts w:ascii="Arial" w:hAnsi="Arial"/>
          <w:sz w:val="28"/>
        </w:rPr>
        <w:sectPr>
          <w:type w:val="continuous"/>
          <w:pgSz w:w="12240" w:h="15840"/>
          <w:pgMar w:top="540" w:bottom="280" w:left="940" w:right="920"/>
          <w:cols w:num="2" w:equalWidth="0">
            <w:col w:w="5035" w:space="185"/>
            <w:col w:w="5160"/>
          </w:cols>
        </w:sectPr>
      </w:pPr>
    </w:p>
    <w:p>
      <w:pPr>
        <w:pStyle w:val="BodyText"/>
        <w:spacing w:before="5"/>
        <w:rPr>
          <w:sz w:val="26"/>
        </w:rPr>
      </w:pPr>
    </w:p>
    <w:p>
      <w:pPr>
        <w:pStyle w:val="Heading2"/>
      </w:pPr>
      <w:bookmarkStart w:name="_TOC_250065" w:id="50"/>
      <w:bookmarkEnd w:id="50"/>
      <w:r>
        <w:rPr>
          <w:color w:val="137692"/>
          <w:w w:val="110"/>
        </w:rPr>
        <w:t>Chapter 3C Appendix</w:t>
      </w:r>
    </w:p>
    <w:p>
      <w:pPr>
        <w:pStyle w:val="Heading3"/>
        <w:spacing w:before="236"/>
      </w:pPr>
      <w:bookmarkStart w:name="_TOC_250064" w:id="51"/>
      <w:bookmarkEnd w:id="51"/>
      <w:r>
        <w:rPr>
          <w:color w:val="137692"/>
          <w:w w:val="110"/>
        </w:rPr>
        <w:t>Sample XR-NTX Treatment Agreement</w:t>
      </w:r>
    </w:p>
    <w:p>
      <w:pPr>
        <w:spacing w:line="247" w:lineRule="auto" w:before="37"/>
        <w:ind w:left="140" w:right="157" w:firstLine="0"/>
        <w:jc w:val="left"/>
        <w:rPr>
          <w:sz w:val="18"/>
        </w:rPr>
      </w:pPr>
      <w:r>
        <w:rPr>
          <w:color w:val="4D4D4F"/>
          <w:w w:val="110"/>
          <w:sz w:val="18"/>
        </w:rPr>
        <w:t>This form is for educational/informational purposes only. It doesn’t establish a legal or medical standard of care. Healthcare professionals should use their judgment in interpreting this form and applying it in the circumstances of their individual patients and practice arrangements. The information provided in this form is provided “as is” with no guarantee as to its accuracy or completeness.</w:t>
      </w:r>
    </w:p>
    <w:p>
      <w:pPr>
        <w:pStyle w:val="BodyText"/>
        <w:rPr>
          <w:sz w:val="27"/>
        </w:rPr>
      </w:pPr>
    </w:p>
    <w:p>
      <w:pPr>
        <w:spacing w:before="100"/>
        <w:ind w:left="415" w:right="0" w:firstLine="0"/>
        <w:jc w:val="left"/>
        <w:rPr>
          <w:rFonts w:ascii="Calibri"/>
          <w:b/>
          <w:sz w:val="18"/>
        </w:rPr>
      </w:pPr>
      <w:r>
        <w:rPr/>
        <w:pict>
          <v:rect style="position:absolute;margin-left:54.125pt;margin-top:-6.860052pt;width:504.001pt;height:558.955pt;mso-position-horizontal-relative:page;mso-position-vertical-relative:paragraph;z-index:-19558912" filled="false" stroked="true" strokeweight=".25pt" strokecolor="#88aabd">
            <v:stroke dashstyle="solid"/>
            <w10:wrap type="none"/>
          </v:rect>
        </w:pict>
      </w:r>
      <w:r>
        <w:rPr>
          <w:rFonts w:ascii="Calibri"/>
          <w:b/>
          <w:color w:val="4D4D4F"/>
          <w:w w:val="120"/>
          <w:sz w:val="18"/>
        </w:rPr>
        <w:t>TREATMENT AGREEMENT</w:t>
      </w:r>
    </w:p>
    <w:p>
      <w:pPr>
        <w:spacing w:before="65"/>
        <w:ind w:left="415" w:right="595" w:firstLine="0"/>
        <w:jc w:val="left"/>
        <w:rPr>
          <w:sz w:val="18"/>
        </w:rPr>
      </w:pPr>
      <w:r>
        <w:rPr>
          <w:color w:val="4D4D4F"/>
          <w:w w:val="110"/>
          <w:sz w:val="18"/>
        </w:rPr>
        <w:t>I agree to accept the following treatment agreement for extended-release injectable naltrexone ofﬁce-based opioid use disorder treatment:</w:t>
      </w:r>
    </w:p>
    <w:p>
      <w:pPr>
        <w:pStyle w:val="ListParagraph"/>
        <w:numPr>
          <w:ilvl w:val="0"/>
          <w:numId w:val="26"/>
        </w:numPr>
        <w:tabs>
          <w:tab w:pos="774" w:val="left" w:leader="none"/>
          <w:tab w:pos="775" w:val="left" w:leader="none"/>
        </w:tabs>
        <w:spacing w:line="240" w:lineRule="auto" w:before="87" w:after="0"/>
        <w:ind w:left="775" w:right="0" w:hanging="360"/>
        <w:jc w:val="left"/>
        <w:rPr>
          <w:sz w:val="18"/>
        </w:rPr>
      </w:pPr>
      <w:r>
        <w:rPr>
          <w:color w:val="4D4D4F"/>
          <w:w w:val="110"/>
          <w:sz w:val="18"/>
        </w:rPr>
        <w:t>The</w:t>
      </w:r>
      <w:r>
        <w:rPr>
          <w:color w:val="4D4D4F"/>
          <w:spacing w:val="-8"/>
          <w:w w:val="110"/>
          <w:sz w:val="18"/>
        </w:rPr>
        <w:t> </w:t>
      </w:r>
      <w:r>
        <w:rPr>
          <w:color w:val="4D4D4F"/>
          <w:w w:val="110"/>
          <w:sz w:val="18"/>
        </w:rPr>
        <w:t>risks</w:t>
      </w:r>
      <w:r>
        <w:rPr>
          <w:color w:val="4D4D4F"/>
          <w:spacing w:val="-7"/>
          <w:w w:val="110"/>
          <w:sz w:val="18"/>
        </w:rPr>
        <w:t> </w:t>
      </w:r>
      <w:r>
        <w:rPr>
          <w:color w:val="4D4D4F"/>
          <w:w w:val="110"/>
          <w:sz w:val="18"/>
        </w:rPr>
        <w:t>and</w:t>
      </w:r>
      <w:r>
        <w:rPr>
          <w:color w:val="4D4D4F"/>
          <w:spacing w:val="-7"/>
          <w:w w:val="110"/>
          <w:sz w:val="18"/>
        </w:rPr>
        <w:t> </w:t>
      </w:r>
      <w:r>
        <w:rPr>
          <w:color w:val="4D4D4F"/>
          <w:w w:val="110"/>
          <w:sz w:val="18"/>
        </w:rPr>
        <w:t>beneﬁts</w:t>
      </w:r>
      <w:r>
        <w:rPr>
          <w:color w:val="4D4D4F"/>
          <w:spacing w:val="-7"/>
          <w:w w:val="110"/>
          <w:sz w:val="18"/>
        </w:rPr>
        <w:t> </w:t>
      </w:r>
      <w:r>
        <w:rPr>
          <w:color w:val="4D4D4F"/>
          <w:w w:val="110"/>
          <w:sz w:val="18"/>
        </w:rPr>
        <w:t>of</w:t>
      </w:r>
      <w:r>
        <w:rPr>
          <w:color w:val="4D4D4F"/>
          <w:spacing w:val="-7"/>
          <w:w w:val="110"/>
          <w:sz w:val="18"/>
        </w:rPr>
        <w:t> </w:t>
      </w:r>
      <w:r>
        <w:rPr>
          <w:color w:val="4D4D4F"/>
          <w:spacing w:val="-3"/>
          <w:w w:val="110"/>
          <w:sz w:val="18"/>
        </w:rPr>
        <w:t>extended-release</w:t>
      </w:r>
      <w:r>
        <w:rPr>
          <w:color w:val="4D4D4F"/>
          <w:spacing w:val="-7"/>
          <w:w w:val="110"/>
          <w:sz w:val="18"/>
        </w:rPr>
        <w:t> </w:t>
      </w:r>
      <w:r>
        <w:rPr>
          <w:color w:val="4D4D4F"/>
          <w:w w:val="110"/>
          <w:sz w:val="18"/>
        </w:rPr>
        <w:t>injectable</w:t>
      </w:r>
      <w:r>
        <w:rPr>
          <w:color w:val="4D4D4F"/>
          <w:spacing w:val="-7"/>
          <w:w w:val="110"/>
          <w:sz w:val="18"/>
        </w:rPr>
        <w:t> </w:t>
      </w:r>
      <w:r>
        <w:rPr>
          <w:color w:val="4D4D4F"/>
          <w:spacing w:val="-3"/>
          <w:w w:val="110"/>
          <w:sz w:val="18"/>
        </w:rPr>
        <w:t>naltrexone</w:t>
      </w:r>
      <w:r>
        <w:rPr>
          <w:color w:val="4D4D4F"/>
          <w:spacing w:val="-7"/>
          <w:w w:val="110"/>
          <w:sz w:val="18"/>
        </w:rPr>
        <w:t> </w:t>
      </w:r>
      <w:r>
        <w:rPr>
          <w:color w:val="4D4D4F"/>
          <w:spacing w:val="-3"/>
          <w:w w:val="110"/>
          <w:sz w:val="18"/>
        </w:rPr>
        <w:t>treatment</w:t>
      </w:r>
      <w:r>
        <w:rPr>
          <w:color w:val="4D4D4F"/>
          <w:spacing w:val="-7"/>
          <w:w w:val="110"/>
          <w:sz w:val="18"/>
        </w:rPr>
        <w:t> </w:t>
      </w:r>
      <w:r>
        <w:rPr>
          <w:color w:val="4D4D4F"/>
          <w:w w:val="110"/>
          <w:sz w:val="18"/>
        </w:rPr>
        <w:t>have</w:t>
      </w:r>
      <w:r>
        <w:rPr>
          <w:color w:val="4D4D4F"/>
          <w:spacing w:val="-7"/>
          <w:w w:val="110"/>
          <w:sz w:val="18"/>
        </w:rPr>
        <w:t> </w:t>
      </w:r>
      <w:r>
        <w:rPr>
          <w:color w:val="4D4D4F"/>
          <w:w w:val="110"/>
          <w:sz w:val="18"/>
        </w:rPr>
        <w:t>been</w:t>
      </w:r>
      <w:r>
        <w:rPr>
          <w:color w:val="4D4D4F"/>
          <w:spacing w:val="-7"/>
          <w:w w:val="110"/>
          <w:sz w:val="18"/>
        </w:rPr>
        <w:t> </w:t>
      </w:r>
      <w:r>
        <w:rPr>
          <w:color w:val="4D4D4F"/>
          <w:w w:val="110"/>
          <w:sz w:val="18"/>
        </w:rPr>
        <w:t>explained</w:t>
      </w:r>
      <w:r>
        <w:rPr>
          <w:color w:val="4D4D4F"/>
          <w:spacing w:val="-7"/>
          <w:w w:val="110"/>
          <w:sz w:val="18"/>
        </w:rPr>
        <w:t> </w:t>
      </w:r>
      <w:r>
        <w:rPr>
          <w:color w:val="4D4D4F"/>
          <w:w w:val="110"/>
          <w:sz w:val="18"/>
        </w:rPr>
        <w:t>to</w:t>
      </w:r>
      <w:r>
        <w:rPr>
          <w:color w:val="4D4D4F"/>
          <w:spacing w:val="-7"/>
          <w:w w:val="110"/>
          <w:sz w:val="18"/>
        </w:rPr>
        <w:t> </w:t>
      </w:r>
      <w:r>
        <w:rPr>
          <w:color w:val="4D4D4F"/>
          <w:spacing w:val="-2"/>
          <w:w w:val="110"/>
          <w:sz w:val="18"/>
        </w:rPr>
        <w:t>me.</w:t>
      </w:r>
    </w:p>
    <w:p>
      <w:pPr>
        <w:pStyle w:val="ListParagraph"/>
        <w:numPr>
          <w:ilvl w:val="0"/>
          <w:numId w:val="26"/>
        </w:numPr>
        <w:tabs>
          <w:tab w:pos="774" w:val="left" w:leader="none"/>
          <w:tab w:pos="775" w:val="left" w:leader="none"/>
        </w:tabs>
        <w:spacing w:line="240" w:lineRule="auto" w:before="27" w:after="0"/>
        <w:ind w:left="775" w:right="887" w:hanging="360"/>
        <w:jc w:val="left"/>
        <w:rPr>
          <w:sz w:val="18"/>
        </w:rPr>
      </w:pPr>
      <w:r>
        <w:rPr>
          <w:color w:val="4D4D4F"/>
          <w:w w:val="110"/>
          <w:sz w:val="18"/>
        </w:rPr>
        <w:t>The risks and beneﬁts of other treatment for opioid use disorder (including methadone, buprenorphine, </w:t>
      </w:r>
      <w:r>
        <w:rPr>
          <w:color w:val="4D4D4F"/>
          <w:spacing w:val="-5"/>
          <w:w w:val="110"/>
          <w:sz w:val="18"/>
        </w:rPr>
        <w:t>and </w:t>
      </w:r>
      <w:r>
        <w:rPr>
          <w:color w:val="4D4D4F"/>
          <w:w w:val="110"/>
          <w:sz w:val="18"/>
        </w:rPr>
        <w:t>nonmedication treatments) have been explained to</w:t>
      </w:r>
      <w:r>
        <w:rPr>
          <w:color w:val="4D4D4F"/>
          <w:spacing w:val="-25"/>
          <w:w w:val="110"/>
          <w:sz w:val="18"/>
        </w:rPr>
        <w:t> </w:t>
      </w:r>
      <w:r>
        <w:rPr>
          <w:color w:val="4D4D4F"/>
          <w:w w:val="110"/>
          <w:sz w:val="18"/>
        </w:rPr>
        <w:t>me.</w:t>
      </w:r>
    </w:p>
    <w:p>
      <w:pPr>
        <w:pStyle w:val="ListParagraph"/>
        <w:numPr>
          <w:ilvl w:val="0"/>
          <w:numId w:val="26"/>
        </w:numPr>
        <w:tabs>
          <w:tab w:pos="774" w:val="left" w:leader="none"/>
          <w:tab w:pos="775" w:val="left" w:leader="none"/>
        </w:tabs>
        <w:spacing w:line="240" w:lineRule="auto" w:before="25" w:after="0"/>
        <w:ind w:left="775" w:right="0" w:hanging="360"/>
        <w:jc w:val="left"/>
        <w:rPr>
          <w:sz w:val="18"/>
        </w:rPr>
      </w:pPr>
      <w:r>
        <w:rPr>
          <w:color w:val="4D4D4F"/>
          <w:w w:val="110"/>
          <w:sz w:val="18"/>
        </w:rPr>
        <w:t>I</w:t>
      </w:r>
      <w:r>
        <w:rPr>
          <w:color w:val="4D4D4F"/>
          <w:spacing w:val="-4"/>
          <w:w w:val="110"/>
          <w:sz w:val="18"/>
        </w:rPr>
        <w:t> </w:t>
      </w:r>
      <w:r>
        <w:rPr>
          <w:color w:val="4D4D4F"/>
          <w:w w:val="110"/>
          <w:sz w:val="18"/>
        </w:rPr>
        <w:t>will</w:t>
      </w:r>
      <w:r>
        <w:rPr>
          <w:color w:val="4D4D4F"/>
          <w:spacing w:val="-3"/>
          <w:w w:val="110"/>
          <w:sz w:val="18"/>
        </w:rPr>
        <w:t> </w:t>
      </w:r>
      <w:r>
        <w:rPr>
          <w:color w:val="4D4D4F"/>
          <w:w w:val="110"/>
          <w:sz w:val="18"/>
        </w:rPr>
        <w:t>be</w:t>
      </w:r>
      <w:r>
        <w:rPr>
          <w:color w:val="4D4D4F"/>
          <w:spacing w:val="-3"/>
          <w:w w:val="110"/>
          <w:sz w:val="18"/>
        </w:rPr>
        <w:t> </w:t>
      </w:r>
      <w:r>
        <w:rPr>
          <w:color w:val="4D4D4F"/>
          <w:w w:val="110"/>
          <w:sz w:val="18"/>
        </w:rPr>
        <w:t>on</w:t>
      </w:r>
      <w:r>
        <w:rPr>
          <w:color w:val="4D4D4F"/>
          <w:spacing w:val="-3"/>
          <w:w w:val="110"/>
          <w:sz w:val="18"/>
        </w:rPr>
        <w:t> </w:t>
      </w:r>
      <w:r>
        <w:rPr>
          <w:color w:val="4D4D4F"/>
          <w:w w:val="110"/>
          <w:sz w:val="18"/>
        </w:rPr>
        <w:t>time</w:t>
      </w:r>
      <w:r>
        <w:rPr>
          <w:color w:val="4D4D4F"/>
          <w:spacing w:val="-4"/>
          <w:w w:val="110"/>
          <w:sz w:val="18"/>
        </w:rPr>
        <w:t> </w:t>
      </w:r>
      <w:r>
        <w:rPr>
          <w:color w:val="4D4D4F"/>
          <w:w w:val="110"/>
          <w:sz w:val="18"/>
        </w:rPr>
        <w:t>to</w:t>
      </w:r>
      <w:r>
        <w:rPr>
          <w:color w:val="4D4D4F"/>
          <w:spacing w:val="-3"/>
          <w:w w:val="110"/>
          <w:sz w:val="18"/>
        </w:rPr>
        <w:t> </w:t>
      </w:r>
      <w:r>
        <w:rPr>
          <w:color w:val="4D4D4F"/>
          <w:w w:val="110"/>
          <w:sz w:val="18"/>
        </w:rPr>
        <w:t>my</w:t>
      </w:r>
      <w:r>
        <w:rPr>
          <w:color w:val="4D4D4F"/>
          <w:spacing w:val="-3"/>
          <w:w w:val="110"/>
          <w:sz w:val="18"/>
        </w:rPr>
        <w:t> </w:t>
      </w:r>
      <w:r>
        <w:rPr>
          <w:color w:val="4D4D4F"/>
          <w:w w:val="110"/>
          <w:sz w:val="18"/>
        </w:rPr>
        <w:t>appointments</w:t>
      </w:r>
      <w:r>
        <w:rPr>
          <w:color w:val="4D4D4F"/>
          <w:spacing w:val="-3"/>
          <w:w w:val="110"/>
          <w:sz w:val="18"/>
        </w:rPr>
        <w:t> </w:t>
      </w:r>
      <w:r>
        <w:rPr>
          <w:color w:val="4D4D4F"/>
          <w:w w:val="110"/>
          <w:sz w:val="18"/>
        </w:rPr>
        <w:t>and</w:t>
      </w:r>
      <w:r>
        <w:rPr>
          <w:color w:val="4D4D4F"/>
          <w:spacing w:val="-4"/>
          <w:w w:val="110"/>
          <w:sz w:val="18"/>
        </w:rPr>
        <w:t> </w:t>
      </w:r>
      <w:r>
        <w:rPr>
          <w:color w:val="4D4D4F"/>
          <w:w w:val="110"/>
          <w:sz w:val="18"/>
        </w:rPr>
        <w:t>respectful</w:t>
      </w:r>
      <w:r>
        <w:rPr>
          <w:color w:val="4D4D4F"/>
          <w:spacing w:val="-3"/>
          <w:w w:val="110"/>
          <w:sz w:val="18"/>
        </w:rPr>
        <w:t> </w:t>
      </w:r>
      <w:r>
        <w:rPr>
          <w:color w:val="4D4D4F"/>
          <w:w w:val="110"/>
          <w:sz w:val="18"/>
        </w:rPr>
        <w:t>to</w:t>
      </w:r>
      <w:r>
        <w:rPr>
          <w:color w:val="4D4D4F"/>
          <w:spacing w:val="-3"/>
          <w:w w:val="110"/>
          <w:sz w:val="18"/>
        </w:rPr>
        <w:t> </w:t>
      </w:r>
      <w:r>
        <w:rPr>
          <w:color w:val="4D4D4F"/>
          <w:w w:val="110"/>
          <w:sz w:val="18"/>
        </w:rPr>
        <w:t>the</w:t>
      </w:r>
      <w:r>
        <w:rPr>
          <w:color w:val="4D4D4F"/>
          <w:spacing w:val="-3"/>
          <w:w w:val="110"/>
          <w:sz w:val="18"/>
        </w:rPr>
        <w:t> </w:t>
      </w:r>
      <w:r>
        <w:rPr>
          <w:color w:val="4D4D4F"/>
          <w:w w:val="110"/>
          <w:sz w:val="18"/>
        </w:rPr>
        <w:t>ofﬁce</w:t>
      </w:r>
      <w:r>
        <w:rPr>
          <w:color w:val="4D4D4F"/>
          <w:spacing w:val="-4"/>
          <w:w w:val="110"/>
          <w:sz w:val="18"/>
        </w:rPr>
        <w:t> </w:t>
      </w:r>
      <w:r>
        <w:rPr>
          <w:color w:val="4D4D4F"/>
          <w:w w:val="110"/>
          <w:sz w:val="18"/>
        </w:rPr>
        <w:t>staff</w:t>
      </w:r>
      <w:r>
        <w:rPr>
          <w:color w:val="4D4D4F"/>
          <w:spacing w:val="-3"/>
          <w:w w:val="110"/>
          <w:sz w:val="18"/>
        </w:rPr>
        <w:t> </w:t>
      </w:r>
      <w:r>
        <w:rPr>
          <w:color w:val="4D4D4F"/>
          <w:w w:val="110"/>
          <w:sz w:val="18"/>
        </w:rPr>
        <w:t>and</w:t>
      </w:r>
      <w:r>
        <w:rPr>
          <w:color w:val="4D4D4F"/>
          <w:spacing w:val="-3"/>
          <w:w w:val="110"/>
          <w:sz w:val="18"/>
        </w:rPr>
        <w:t> </w:t>
      </w:r>
      <w:r>
        <w:rPr>
          <w:color w:val="4D4D4F"/>
          <w:w w:val="110"/>
          <w:sz w:val="18"/>
        </w:rPr>
        <w:t>other</w:t>
      </w:r>
      <w:r>
        <w:rPr>
          <w:color w:val="4D4D4F"/>
          <w:spacing w:val="-3"/>
          <w:w w:val="110"/>
          <w:sz w:val="18"/>
        </w:rPr>
        <w:t> </w:t>
      </w:r>
      <w:r>
        <w:rPr>
          <w:color w:val="4D4D4F"/>
          <w:w w:val="110"/>
          <w:sz w:val="18"/>
        </w:rPr>
        <w:t>patients.</w:t>
      </w:r>
    </w:p>
    <w:p>
      <w:pPr>
        <w:pStyle w:val="ListParagraph"/>
        <w:numPr>
          <w:ilvl w:val="0"/>
          <w:numId w:val="26"/>
        </w:numPr>
        <w:tabs>
          <w:tab w:pos="775" w:val="left" w:leader="none"/>
        </w:tabs>
        <w:spacing w:line="240" w:lineRule="auto" w:before="27" w:after="0"/>
        <w:ind w:left="775" w:right="853" w:hanging="360"/>
        <w:jc w:val="left"/>
        <w:rPr>
          <w:sz w:val="18"/>
        </w:rPr>
      </w:pPr>
      <w:r>
        <w:rPr>
          <w:color w:val="4D4D4F"/>
          <w:w w:val="110"/>
          <w:sz w:val="18"/>
        </w:rPr>
        <w:t>I will keep my healthcare provider informed of all my medications (including herbs and vitamins) and </w:t>
      </w:r>
      <w:r>
        <w:rPr>
          <w:color w:val="4D4D4F"/>
          <w:spacing w:val="-3"/>
          <w:w w:val="110"/>
          <w:sz w:val="18"/>
        </w:rPr>
        <w:t>medical </w:t>
      </w:r>
      <w:r>
        <w:rPr>
          <w:color w:val="4D4D4F"/>
          <w:w w:val="110"/>
          <w:sz w:val="18"/>
        </w:rPr>
        <w:t>problems.</w:t>
      </w:r>
    </w:p>
    <w:p>
      <w:pPr>
        <w:pStyle w:val="ListParagraph"/>
        <w:numPr>
          <w:ilvl w:val="0"/>
          <w:numId w:val="26"/>
        </w:numPr>
        <w:tabs>
          <w:tab w:pos="774" w:val="left" w:leader="none"/>
          <w:tab w:pos="775" w:val="left" w:leader="none"/>
        </w:tabs>
        <w:spacing w:line="240" w:lineRule="auto" w:before="26" w:after="0"/>
        <w:ind w:left="775" w:right="453" w:hanging="360"/>
        <w:jc w:val="left"/>
        <w:rPr>
          <w:sz w:val="18"/>
        </w:rPr>
      </w:pPr>
      <w:r>
        <w:rPr>
          <w:color w:val="4D4D4F"/>
          <w:w w:val="110"/>
          <w:sz w:val="18"/>
        </w:rPr>
        <w:t>I</w:t>
      </w:r>
      <w:r>
        <w:rPr>
          <w:color w:val="4D4D4F"/>
          <w:spacing w:val="-4"/>
          <w:w w:val="110"/>
          <w:sz w:val="18"/>
        </w:rPr>
        <w:t> </w:t>
      </w:r>
      <w:r>
        <w:rPr>
          <w:color w:val="4D4D4F"/>
          <w:w w:val="110"/>
          <w:sz w:val="18"/>
        </w:rPr>
        <w:t>agree</w:t>
      </w:r>
      <w:r>
        <w:rPr>
          <w:color w:val="4D4D4F"/>
          <w:spacing w:val="-3"/>
          <w:w w:val="110"/>
          <w:sz w:val="18"/>
        </w:rPr>
        <w:t> </w:t>
      </w:r>
      <w:r>
        <w:rPr>
          <w:color w:val="4D4D4F"/>
          <w:w w:val="110"/>
          <w:sz w:val="18"/>
        </w:rPr>
        <w:t>not</w:t>
      </w:r>
      <w:r>
        <w:rPr>
          <w:color w:val="4D4D4F"/>
          <w:spacing w:val="-3"/>
          <w:w w:val="110"/>
          <w:sz w:val="18"/>
        </w:rPr>
        <w:t> </w:t>
      </w:r>
      <w:r>
        <w:rPr>
          <w:color w:val="4D4D4F"/>
          <w:w w:val="110"/>
          <w:sz w:val="18"/>
        </w:rPr>
        <w:t>to</w:t>
      </w:r>
      <w:r>
        <w:rPr>
          <w:color w:val="4D4D4F"/>
          <w:spacing w:val="-3"/>
          <w:w w:val="110"/>
          <w:sz w:val="18"/>
        </w:rPr>
        <w:t> </w:t>
      </w:r>
      <w:r>
        <w:rPr>
          <w:color w:val="4D4D4F"/>
          <w:w w:val="110"/>
          <w:sz w:val="18"/>
        </w:rPr>
        <w:t>obtain</w:t>
      </w:r>
      <w:r>
        <w:rPr>
          <w:color w:val="4D4D4F"/>
          <w:spacing w:val="-3"/>
          <w:w w:val="110"/>
          <w:sz w:val="18"/>
        </w:rPr>
        <w:t> </w:t>
      </w:r>
      <w:r>
        <w:rPr>
          <w:color w:val="4D4D4F"/>
          <w:w w:val="110"/>
          <w:sz w:val="18"/>
        </w:rPr>
        <w:t>or</w:t>
      </w:r>
      <w:r>
        <w:rPr>
          <w:color w:val="4D4D4F"/>
          <w:spacing w:val="-3"/>
          <w:w w:val="110"/>
          <w:sz w:val="18"/>
        </w:rPr>
        <w:t> </w:t>
      </w:r>
      <w:r>
        <w:rPr>
          <w:color w:val="4D4D4F"/>
          <w:w w:val="110"/>
          <w:sz w:val="18"/>
        </w:rPr>
        <w:t>take</w:t>
      </w:r>
      <w:r>
        <w:rPr>
          <w:color w:val="4D4D4F"/>
          <w:spacing w:val="-4"/>
          <w:w w:val="110"/>
          <w:sz w:val="18"/>
        </w:rPr>
        <w:t> </w:t>
      </w:r>
      <w:r>
        <w:rPr>
          <w:color w:val="4D4D4F"/>
          <w:w w:val="110"/>
          <w:sz w:val="18"/>
        </w:rPr>
        <w:t>prescription</w:t>
      </w:r>
      <w:r>
        <w:rPr>
          <w:color w:val="4D4D4F"/>
          <w:spacing w:val="-3"/>
          <w:w w:val="110"/>
          <w:sz w:val="18"/>
        </w:rPr>
        <w:t> </w:t>
      </w:r>
      <w:r>
        <w:rPr>
          <w:color w:val="4D4D4F"/>
          <w:w w:val="110"/>
          <w:sz w:val="18"/>
        </w:rPr>
        <w:t>opioid</w:t>
      </w:r>
      <w:r>
        <w:rPr>
          <w:color w:val="4D4D4F"/>
          <w:spacing w:val="-3"/>
          <w:w w:val="110"/>
          <w:sz w:val="18"/>
        </w:rPr>
        <w:t> </w:t>
      </w:r>
      <w:r>
        <w:rPr>
          <w:color w:val="4D4D4F"/>
          <w:w w:val="110"/>
          <w:sz w:val="18"/>
        </w:rPr>
        <w:t>medications</w:t>
      </w:r>
      <w:r>
        <w:rPr>
          <w:color w:val="4D4D4F"/>
          <w:spacing w:val="-3"/>
          <w:w w:val="110"/>
          <w:sz w:val="18"/>
        </w:rPr>
        <w:t> </w:t>
      </w:r>
      <w:r>
        <w:rPr>
          <w:color w:val="4D4D4F"/>
          <w:w w:val="110"/>
          <w:sz w:val="18"/>
        </w:rPr>
        <w:t>prescribed</w:t>
      </w:r>
      <w:r>
        <w:rPr>
          <w:color w:val="4D4D4F"/>
          <w:spacing w:val="-3"/>
          <w:w w:val="110"/>
          <w:sz w:val="18"/>
        </w:rPr>
        <w:t> </w:t>
      </w:r>
      <w:r>
        <w:rPr>
          <w:color w:val="4D4D4F"/>
          <w:w w:val="110"/>
          <w:sz w:val="18"/>
        </w:rPr>
        <w:t>by</w:t>
      </w:r>
      <w:r>
        <w:rPr>
          <w:color w:val="4D4D4F"/>
          <w:spacing w:val="-3"/>
          <w:w w:val="110"/>
          <w:sz w:val="18"/>
        </w:rPr>
        <w:t> </w:t>
      </w:r>
      <w:r>
        <w:rPr>
          <w:color w:val="4D4D4F"/>
          <w:w w:val="110"/>
          <w:sz w:val="18"/>
        </w:rPr>
        <w:t>any</w:t>
      </w:r>
      <w:r>
        <w:rPr>
          <w:color w:val="4D4D4F"/>
          <w:spacing w:val="-4"/>
          <w:w w:val="110"/>
          <w:sz w:val="18"/>
        </w:rPr>
        <w:t> </w:t>
      </w:r>
      <w:r>
        <w:rPr>
          <w:color w:val="4D4D4F"/>
          <w:w w:val="110"/>
          <w:sz w:val="18"/>
        </w:rPr>
        <w:t>other</w:t>
      </w:r>
      <w:r>
        <w:rPr>
          <w:color w:val="4D4D4F"/>
          <w:spacing w:val="-3"/>
          <w:w w:val="110"/>
          <w:sz w:val="18"/>
        </w:rPr>
        <w:t> </w:t>
      </w:r>
      <w:r>
        <w:rPr>
          <w:color w:val="4D4D4F"/>
          <w:w w:val="110"/>
          <w:sz w:val="18"/>
        </w:rPr>
        <w:t>healthcare</w:t>
      </w:r>
      <w:r>
        <w:rPr>
          <w:color w:val="4D4D4F"/>
          <w:spacing w:val="-3"/>
          <w:w w:val="110"/>
          <w:sz w:val="18"/>
        </w:rPr>
        <w:t> </w:t>
      </w:r>
      <w:r>
        <w:rPr>
          <w:color w:val="4D4D4F"/>
          <w:w w:val="110"/>
          <w:sz w:val="18"/>
        </w:rPr>
        <w:t>provider</w:t>
      </w:r>
      <w:r>
        <w:rPr>
          <w:color w:val="4D4D4F"/>
          <w:spacing w:val="-3"/>
          <w:w w:val="110"/>
          <w:sz w:val="18"/>
        </w:rPr>
        <w:t> </w:t>
      </w:r>
      <w:r>
        <w:rPr>
          <w:color w:val="4D4D4F"/>
          <w:w w:val="110"/>
          <w:sz w:val="18"/>
        </w:rPr>
        <w:t>without consultation from my naltrexone</w:t>
      </w:r>
      <w:r>
        <w:rPr>
          <w:color w:val="4D4D4F"/>
          <w:spacing w:val="-22"/>
          <w:w w:val="110"/>
          <w:sz w:val="18"/>
        </w:rPr>
        <w:t> </w:t>
      </w:r>
      <w:r>
        <w:rPr>
          <w:color w:val="4D4D4F"/>
          <w:w w:val="110"/>
          <w:sz w:val="18"/>
        </w:rPr>
        <w:t>prescriber.</w:t>
      </w:r>
    </w:p>
    <w:p>
      <w:pPr>
        <w:pStyle w:val="ListParagraph"/>
        <w:numPr>
          <w:ilvl w:val="0"/>
          <w:numId w:val="26"/>
        </w:numPr>
        <w:tabs>
          <w:tab w:pos="774" w:val="left" w:leader="none"/>
          <w:tab w:pos="775" w:val="left" w:leader="none"/>
        </w:tabs>
        <w:spacing w:line="240" w:lineRule="auto" w:before="26" w:after="0"/>
        <w:ind w:left="775" w:right="617" w:hanging="360"/>
        <w:jc w:val="left"/>
        <w:rPr>
          <w:sz w:val="18"/>
        </w:rPr>
      </w:pPr>
      <w:r>
        <w:rPr>
          <w:color w:val="4D4D4F"/>
          <w:w w:val="110"/>
          <w:sz w:val="18"/>
        </w:rPr>
        <w:t>If I am going to have a medical procedure that will cause pain, I will let my healthcare provider know in advance so that my pain will be adequately</w:t>
      </w:r>
      <w:r>
        <w:rPr>
          <w:color w:val="4D4D4F"/>
          <w:spacing w:val="-30"/>
          <w:w w:val="110"/>
          <w:sz w:val="18"/>
        </w:rPr>
        <w:t> </w:t>
      </w:r>
      <w:r>
        <w:rPr>
          <w:color w:val="4D4D4F"/>
          <w:w w:val="110"/>
          <w:sz w:val="18"/>
        </w:rPr>
        <w:t>treated.</w:t>
      </w:r>
    </w:p>
    <w:p>
      <w:pPr>
        <w:pStyle w:val="ListParagraph"/>
        <w:numPr>
          <w:ilvl w:val="0"/>
          <w:numId w:val="26"/>
        </w:numPr>
        <w:tabs>
          <w:tab w:pos="774" w:val="left" w:leader="none"/>
          <w:tab w:pos="775" w:val="left" w:leader="none"/>
        </w:tabs>
        <w:spacing w:line="240" w:lineRule="auto" w:before="26" w:after="0"/>
        <w:ind w:left="775" w:right="647" w:hanging="360"/>
        <w:jc w:val="left"/>
        <w:rPr>
          <w:sz w:val="18"/>
        </w:rPr>
      </w:pPr>
      <w:r>
        <w:rPr>
          <w:color w:val="4D4D4F"/>
          <w:w w:val="110"/>
          <w:sz w:val="18"/>
        </w:rPr>
        <w:t>If I miss a scheduled appointment for my next extended-release naltrexone injection, I understand that I </w:t>
      </w:r>
      <w:r>
        <w:rPr>
          <w:color w:val="4D4D4F"/>
          <w:spacing w:val="-3"/>
          <w:w w:val="110"/>
          <w:sz w:val="18"/>
        </w:rPr>
        <w:t>should </w:t>
      </w:r>
      <w:r>
        <w:rPr>
          <w:color w:val="4D4D4F"/>
          <w:w w:val="110"/>
          <w:sz w:val="18"/>
        </w:rPr>
        <w:t>reschedule the appointment as soon as possible because it is important to receive the medication on time to reduce</w:t>
      </w:r>
      <w:r>
        <w:rPr>
          <w:color w:val="4D4D4F"/>
          <w:spacing w:val="-6"/>
          <w:w w:val="110"/>
          <w:sz w:val="18"/>
        </w:rPr>
        <w:t> </w:t>
      </w:r>
      <w:r>
        <w:rPr>
          <w:color w:val="4D4D4F"/>
          <w:w w:val="110"/>
          <w:sz w:val="18"/>
        </w:rPr>
        <w:t>the</w:t>
      </w:r>
      <w:r>
        <w:rPr>
          <w:color w:val="4D4D4F"/>
          <w:spacing w:val="-5"/>
          <w:w w:val="110"/>
          <w:sz w:val="18"/>
        </w:rPr>
        <w:t> </w:t>
      </w:r>
      <w:r>
        <w:rPr>
          <w:color w:val="4D4D4F"/>
          <w:w w:val="110"/>
          <w:sz w:val="18"/>
        </w:rPr>
        <w:t>risk</w:t>
      </w:r>
      <w:r>
        <w:rPr>
          <w:color w:val="4D4D4F"/>
          <w:spacing w:val="-5"/>
          <w:w w:val="110"/>
          <w:sz w:val="18"/>
        </w:rPr>
        <w:t> </w:t>
      </w:r>
      <w:r>
        <w:rPr>
          <w:color w:val="4D4D4F"/>
          <w:w w:val="110"/>
          <w:sz w:val="18"/>
        </w:rPr>
        <w:t>of</w:t>
      </w:r>
      <w:r>
        <w:rPr>
          <w:color w:val="4D4D4F"/>
          <w:spacing w:val="-5"/>
          <w:w w:val="110"/>
          <w:sz w:val="18"/>
        </w:rPr>
        <w:t> </w:t>
      </w:r>
      <w:r>
        <w:rPr>
          <w:color w:val="4D4D4F"/>
          <w:w w:val="110"/>
          <w:sz w:val="18"/>
        </w:rPr>
        <w:t>opioid</w:t>
      </w:r>
      <w:r>
        <w:rPr>
          <w:color w:val="4D4D4F"/>
          <w:spacing w:val="-5"/>
          <w:w w:val="110"/>
          <w:sz w:val="18"/>
        </w:rPr>
        <w:t> </w:t>
      </w:r>
      <w:r>
        <w:rPr>
          <w:color w:val="4D4D4F"/>
          <w:w w:val="110"/>
          <w:sz w:val="18"/>
        </w:rPr>
        <w:t>overdose</w:t>
      </w:r>
      <w:r>
        <w:rPr>
          <w:color w:val="4D4D4F"/>
          <w:spacing w:val="-5"/>
          <w:w w:val="110"/>
          <w:sz w:val="18"/>
        </w:rPr>
        <w:t> </w:t>
      </w:r>
      <w:r>
        <w:rPr>
          <w:color w:val="4D4D4F"/>
          <w:w w:val="110"/>
          <w:sz w:val="18"/>
        </w:rPr>
        <w:t>should</w:t>
      </w:r>
      <w:r>
        <w:rPr>
          <w:color w:val="4D4D4F"/>
          <w:spacing w:val="-5"/>
          <w:w w:val="110"/>
          <w:sz w:val="18"/>
        </w:rPr>
        <w:t> </w:t>
      </w:r>
      <w:r>
        <w:rPr>
          <w:color w:val="4D4D4F"/>
          <w:w w:val="110"/>
          <w:sz w:val="18"/>
        </w:rPr>
        <w:t>I</w:t>
      </w:r>
      <w:r>
        <w:rPr>
          <w:color w:val="4D4D4F"/>
          <w:spacing w:val="-6"/>
          <w:w w:val="110"/>
          <w:sz w:val="18"/>
        </w:rPr>
        <w:t> </w:t>
      </w:r>
      <w:r>
        <w:rPr>
          <w:color w:val="4D4D4F"/>
          <w:w w:val="110"/>
          <w:sz w:val="18"/>
        </w:rPr>
        <w:t>return</w:t>
      </w:r>
      <w:r>
        <w:rPr>
          <w:color w:val="4D4D4F"/>
          <w:spacing w:val="-5"/>
          <w:w w:val="110"/>
          <w:sz w:val="18"/>
        </w:rPr>
        <w:t> </w:t>
      </w:r>
      <w:r>
        <w:rPr>
          <w:color w:val="4D4D4F"/>
          <w:w w:val="110"/>
          <w:sz w:val="18"/>
        </w:rPr>
        <w:t>to</w:t>
      </w:r>
      <w:r>
        <w:rPr>
          <w:color w:val="4D4D4F"/>
          <w:spacing w:val="-5"/>
          <w:w w:val="110"/>
          <w:sz w:val="18"/>
        </w:rPr>
        <w:t> </w:t>
      </w:r>
      <w:r>
        <w:rPr>
          <w:color w:val="4D4D4F"/>
          <w:w w:val="110"/>
          <w:sz w:val="18"/>
        </w:rPr>
        <w:t>use.</w:t>
      </w:r>
    </w:p>
    <w:p>
      <w:pPr>
        <w:pStyle w:val="ListParagraph"/>
        <w:numPr>
          <w:ilvl w:val="0"/>
          <w:numId w:val="26"/>
        </w:numPr>
        <w:tabs>
          <w:tab w:pos="775" w:val="left" w:leader="none"/>
        </w:tabs>
        <w:spacing w:line="240" w:lineRule="auto" w:before="25" w:after="0"/>
        <w:ind w:left="775" w:right="0" w:hanging="360"/>
        <w:jc w:val="left"/>
        <w:rPr>
          <w:sz w:val="18"/>
        </w:rPr>
      </w:pPr>
      <w:r>
        <w:rPr>
          <w:color w:val="4D4D4F"/>
          <w:w w:val="110"/>
          <w:sz w:val="18"/>
        </w:rPr>
        <w:t>If</w:t>
      </w:r>
      <w:r>
        <w:rPr>
          <w:color w:val="4D4D4F"/>
          <w:spacing w:val="-5"/>
          <w:w w:val="110"/>
          <w:sz w:val="18"/>
        </w:rPr>
        <w:t> </w:t>
      </w:r>
      <w:r>
        <w:rPr>
          <w:color w:val="4D4D4F"/>
          <w:w w:val="110"/>
          <w:sz w:val="18"/>
        </w:rPr>
        <w:t>I</w:t>
      </w:r>
      <w:r>
        <w:rPr>
          <w:color w:val="4D4D4F"/>
          <w:spacing w:val="-4"/>
          <w:w w:val="110"/>
          <w:sz w:val="18"/>
        </w:rPr>
        <w:t> </w:t>
      </w:r>
      <w:r>
        <w:rPr>
          <w:color w:val="4D4D4F"/>
          <w:w w:val="110"/>
          <w:sz w:val="18"/>
        </w:rPr>
        <w:t>come</w:t>
      </w:r>
      <w:r>
        <w:rPr>
          <w:color w:val="4D4D4F"/>
          <w:spacing w:val="-4"/>
          <w:w w:val="110"/>
          <w:sz w:val="18"/>
        </w:rPr>
        <w:t> </w:t>
      </w:r>
      <w:r>
        <w:rPr>
          <w:color w:val="4D4D4F"/>
          <w:w w:val="110"/>
          <w:sz w:val="18"/>
        </w:rPr>
        <w:t>to</w:t>
      </w:r>
      <w:r>
        <w:rPr>
          <w:color w:val="4D4D4F"/>
          <w:spacing w:val="-4"/>
          <w:w w:val="110"/>
          <w:sz w:val="18"/>
        </w:rPr>
        <w:t> </w:t>
      </w:r>
      <w:r>
        <w:rPr>
          <w:color w:val="4D4D4F"/>
          <w:w w:val="110"/>
          <w:sz w:val="18"/>
        </w:rPr>
        <w:t>the</w:t>
      </w:r>
      <w:r>
        <w:rPr>
          <w:color w:val="4D4D4F"/>
          <w:spacing w:val="-4"/>
          <w:w w:val="110"/>
          <w:sz w:val="18"/>
        </w:rPr>
        <w:t> </w:t>
      </w:r>
      <w:r>
        <w:rPr>
          <w:color w:val="4D4D4F"/>
          <w:w w:val="110"/>
          <w:sz w:val="18"/>
        </w:rPr>
        <w:t>ofﬁce</w:t>
      </w:r>
      <w:r>
        <w:rPr>
          <w:color w:val="4D4D4F"/>
          <w:spacing w:val="-4"/>
          <w:w w:val="110"/>
          <w:sz w:val="18"/>
        </w:rPr>
        <w:t> </w:t>
      </w:r>
      <w:r>
        <w:rPr>
          <w:color w:val="4D4D4F"/>
          <w:w w:val="110"/>
          <w:sz w:val="18"/>
        </w:rPr>
        <w:t>intoxicated,</w:t>
      </w:r>
      <w:r>
        <w:rPr>
          <w:color w:val="4D4D4F"/>
          <w:spacing w:val="-5"/>
          <w:w w:val="110"/>
          <w:sz w:val="18"/>
        </w:rPr>
        <w:t> </w:t>
      </w:r>
      <w:r>
        <w:rPr>
          <w:color w:val="4D4D4F"/>
          <w:w w:val="110"/>
          <w:sz w:val="18"/>
        </w:rPr>
        <w:t>I</w:t>
      </w:r>
      <w:r>
        <w:rPr>
          <w:color w:val="4D4D4F"/>
          <w:spacing w:val="-4"/>
          <w:w w:val="110"/>
          <w:sz w:val="18"/>
        </w:rPr>
        <w:t> </w:t>
      </w:r>
      <w:r>
        <w:rPr>
          <w:color w:val="4D4D4F"/>
          <w:w w:val="110"/>
          <w:sz w:val="18"/>
        </w:rPr>
        <w:t>understand</w:t>
      </w:r>
      <w:r>
        <w:rPr>
          <w:color w:val="4D4D4F"/>
          <w:spacing w:val="-4"/>
          <w:w w:val="110"/>
          <w:sz w:val="18"/>
        </w:rPr>
        <w:t> </w:t>
      </w:r>
      <w:r>
        <w:rPr>
          <w:color w:val="4D4D4F"/>
          <w:w w:val="110"/>
          <w:sz w:val="18"/>
        </w:rPr>
        <w:t>that</w:t>
      </w:r>
      <w:r>
        <w:rPr>
          <w:color w:val="4D4D4F"/>
          <w:spacing w:val="-4"/>
          <w:w w:val="110"/>
          <w:sz w:val="18"/>
        </w:rPr>
        <w:t> </w:t>
      </w:r>
      <w:r>
        <w:rPr>
          <w:color w:val="4D4D4F"/>
          <w:w w:val="110"/>
          <w:sz w:val="18"/>
        </w:rPr>
        <w:t>my</w:t>
      </w:r>
      <w:r>
        <w:rPr>
          <w:color w:val="4D4D4F"/>
          <w:spacing w:val="-4"/>
          <w:w w:val="110"/>
          <w:sz w:val="18"/>
        </w:rPr>
        <w:t> </w:t>
      </w:r>
      <w:r>
        <w:rPr>
          <w:color w:val="4D4D4F"/>
          <w:w w:val="110"/>
          <w:sz w:val="18"/>
        </w:rPr>
        <w:t>healthcare</w:t>
      </w:r>
      <w:r>
        <w:rPr>
          <w:color w:val="4D4D4F"/>
          <w:spacing w:val="-4"/>
          <w:w w:val="110"/>
          <w:sz w:val="18"/>
        </w:rPr>
        <w:t> </w:t>
      </w:r>
      <w:r>
        <w:rPr>
          <w:color w:val="4D4D4F"/>
          <w:w w:val="110"/>
          <w:sz w:val="18"/>
        </w:rPr>
        <w:t>provider</w:t>
      </w:r>
      <w:r>
        <w:rPr>
          <w:color w:val="4D4D4F"/>
          <w:spacing w:val="-5"/>
          <w:w w:val="110"/>
          <w:sz w:val="18"/>
        </w:rPr>
        <w:t> </w:t>
      </w:r>
      <w:r>
        <w:rPr>
          <w:color w:val="4D4D4F"/>
          <w:w w:val="110"/>
          <w:sz w:val="18"/>
        </w:rPr>
        <w:t>will</w:t>
      </w:r>
      <w:r>
        <w:rPr>
          <w:color w:val="4D4D4F"/>
          <w:spacing w:val="-4"/>
          <w:w w:val="110"/>
          <w:sz w:val="18"/>
        </w:rPr>
        <w:t> </w:t>
      </w:r>
      <w:r>
        <w:rPr>
          <w:color w:val="4D4D4F"/>
          <w:w w:val="110"/>
          <w:sz w:val="18"/>
        </w:rPr>
        <w:t>not</w:t>
      </w:r>
      <w:r>
        <w:rPr>
          <w:color w:val="4D4D4F"/>
          <w:spacing w:val="-4"/>
          <w:w w:val="110"/>
          <w:sz w:val="18"/>
        </w:rPr>
        <w:t> </w:t>
      </w:r>
      <w:r>
        <w:rPr>
          <w:color w:val="4D4D4F"/>
          <w:w w:val="110"/>
          <w:sz w:val="18"/>
        </w:rPr>
        <w:t>see</w:t>
      </w:r>
      <w:r>
        <w:rPr>
          <w:color w:val="4D4D4F"/>
          <w:spacing w:val="-4"/>
          <w:w w:val="110"/>
          <w:sz w:val="18"/>
        </w:rPr>
        <w:t> </w:t>
      </w:r>
      <w:r>
        <w:rPr>
          <w:color w:val="4D4D4F"/>
          <w:w w:val="110"/>
          <w:sz w:val="18"/>
        </w:rPr>
        <w:t>me.</w:t>
      </w:r>
    </w:p>
    <w:p>
      <w:pPr>
        <w:pStyle w:val="ListParagraph"/>
        <w:numPr>
          <w:ilvl w:val="0"/>
          <w:numId w:val="26"/>
        </w:numPr>
        <w:tabs>
          <w:tab w:pos="774" w:val="left" w:leader="none"/>
          <w:tab w:pos="775" w:val="left" w:leader="none"/>
        </w:tabs>
        <w:spacing w:line="240" w:lineRule="auto" w:before="26" w:after="0"/>
        <w:ind w:left="775" w:right="1098" w:hanging="360"/>
        <w:jc w:val="left"/>
        <w:rPr>
          <w:sz w:val="18"/>
        </w:rPr>
      </w:pPr>
      <w:r>
        <w:rPr>
          <w:color w:val="4D4D4F"/>
          <w:w w:val="110"/>
          <w:sz w:val="18"/>
        </w:rPr>
        <w:t>Violence, threatening language or behavior, or participation in any illegal activity at the ofﬁce will result </w:t>
      </w:r>
      <w:r>
        <w:rPr>
          <w:color w:val="4D4D4F"/>
          <w:spacing w:val="-7"/>
          <w:w w:val="110"/>
          <w:sz w:val="18"/>
        </w:rPr>
        <w:t>in </w:t>
      </w:r>
      <w:r>
        <w:rPr>
          <w:color w:val="4D4D4F"/>
          <w:w w:val="110"/>
          <w:sz w:val="18"/>
        </w:rPr>
        <w:t>treatment termination from the</w:t>
      </w:r>
      <w:r>
        <w:rPr>
          <w:color w:val="4D4D4F"/>
          <w:spacing w:val="-21"/>
          <w:w w:val="110"/>
          <w:sz w:val="18"/>
        </w:rPr>
        <w:t> </w:t>
      </w:r>
      <w:r>
        <w:rPr>
          <w:color w:val="4D4D4F"/>
          <w:w w:val="110"/>
          <w:sz w:val="18"/>
        </w:rPr>
        <w:t>clinic.</w:t>
      </w:r>
    </w:p>
    <w:p>
      <w:pPr>
        <w:pStyle w:val="ListParagraph"/>
        <w:numPr>
          <w:ilvl w:val="0"/>
          <w:numId w:val="26"/>
        </w:numPr>
        <w:tabs>
          <w:tab w:pos="775" w:val="left" w:leader="none"/>
        </w:tabs>
        <w:spacing w:line="240" w:lineRule="auto" w:before="26" w:after="0"/>
        <w:ind w:left="775" w:right="541" w:hanging="360"/>
        <w:jc w:val="left"/>
        <w:rPr>
          <w:sz w:val="18"/>
        </w:rPr>
      </w:pPr>
      <w:r>
        <w:rPr>
          <w:color w:val="4D4D4F"/>
          <w:w w:val="110"/>
          <w:sz w:val="18"/>
        </w:rPr>
        <w:t>I understand that random urine drug testing is a treatment requirement. If I do not provide a urine sample, it </w:t>
      </w:r>
      <w:r>
        <w:rPr>
          <w:color w:val="4D4D4F"/>
          <w:spacing w:val="-4"/>
          <w:w w:val="110"/>
          <w:sz w:val="18"/>
        </w:rPr>
        <w:t>will </w:t>
      </w:r>
      <w:r>
        <w:rPr>
          <w:color w:val="4D4D4F"/>
          <w:w w:val="110"/>
          <w:sz w:val="18"/>
        </w:rPr>
        <w:t>count as a positive drug</w:t>
      </w:r>
      <w:r>
        <w:rPr>
          <w:color w:val="4D4D4F"/>
          <w:spacing w:val="-24"/>
          <w:w w:val="110"/>
          <w:sz w:val="18"/>
        </w:rPr>
        <w:t> </w:t>
      </w:r>
      <w:r>
        <w:rPr>
          <w:color w:val="4D4D4F"/>
          <w:w w:val="110"/>
          <w:sz w:val="18"/>
        </w:rPr>
        <w:t>test.</w:t>
      </w:r>
    </w:p>
    <w:p>
      <w:pPr>
        <w:pStyle w:val="ListParagraph"/>
        <w:numPr>
          <w:ilvl w:val="0"/>
          <w:numId w:val="26"/>
        </w:numPr>
        <w:tabs>
          <w:tab w:pos="775" w:val="left" w:leader="none"/>
        </w:tabs>
        <w:spacing w:line="240" w:lineRule="auto" w:before="26" w:after="0"/>
        <w:ind w:left="775" w:right="0" w:hanging="360"/>
        <w:jc w:val="left"/>
        <w:rPr>
          <w:sz w:val="18"/>
        </w:rPr>
      </w:pPr>
      <w:r>
        <w:rPr>
          <w:color w:val="4D4D4F"/>
          <w:w w:val="110"/>
          <w:sz w:val="18"/>
        </w:rPr>
        <w:t>I</w:t>
      </w:r>
      <w:r>
        <w:rPr>
          <w:color w:val="4D4D4F"/>
          <w:spacing w:val="-5"/>
          <w:w w:val="110"/>
          <w:sz w:val="18"/>
        </w:rPr>
        <w:t> </w:t>
      </w:r>
      <w:r>
        <w:rPr>
          <w:color w:val="4D4D4F"/>
          <w:w w:val="110"/>
          <w:sz w:val="18"/>
        </w:rPr>
        <w:t>understand</w:t>
      </w:r>
      <w:r>
        <w:rPr>
          <w:color w:val="4D4D4F"/>
          <w:spacing w:val="-4"/>
          <w:w w:val="110"/>
          <w:sz w:val="18"/>
        </w:rPr>
        <w:t> </w:t>
      </w:r>
      <w:r>
        <w:rPr>
          <w:color w:val="4D4D4F"/>
          <w:w w:val="110"/>
          <w:sz w:val="18"/>
        </w:rPr>
        <w:t>that</w:t>
      </w:r>
      <w:r>
        <w:rPr>
          <w:color w:val="4D4D4F"/>
          <w:spacing w:val="-4"/>
          <w:w w:val="110"/>
          <w:sz w:val="18"/>
        </w:rPr>
        <w:t> </w:t>
      </w:r>
      <w:r>
        <w:rPr>
          <w:color w:val="4D4D4F"/>
          <w:w w:val="110"/>
          <w:sz w:val="18"/>
        </w:rPr>
        <w:t>initially</w:t>
      </w:r>
      <w:r>
        <w:rPr>
          <w:color w:val="4D4D4F"/>
          <w:spacing w:val="-4"/>
          <w:w w:val="110"/>
          <w:sz w:val="18"/>
        </w:rPr>
        <w:t> </w:t>
      </w:r>
      <w:r>
        <w:rPr>
          <w:color w:val="4D4D4F"/>
          <w:w w:val="110"/>
          <w:sz w:val="18"/>
        </w:rPr>
        <w:t>I</w:t>
      </w:r>
      <w:r>
        <w:rPr>
          <w:color w:val="4D4D4F"/>
          <w:spacing w:val="-4"/>
          <w:w w:val="110"/>
          <w:sz w:val="18"/>
        </w:rPr>
        <w:t> </w:t>
      </w:r>
      <w:r>
        <w:rPr>
          <w:color w:val="4D4D4F"/>
          <w:w w:val="110"/>
          <w:sz w:val="18"/>
        </w:rPr>
        <w:t>will</w:t>
      </w:r>
      <w:r>
        <w:rPr>
          <w:color w:val="4D4D4F"/>
          <w:spacing w:val="-4"/>
          <w:w w:val="110"/>
          <w:sz w:val="18"/>
        </w:rPr>
        <w:t> </w:t>
      </w:r>
      <w:r>
        <w:rPr>
          <w:color w:val="4D4D4F"/>
          <w:w w:val="110"/>
          <w:sz w:val="18"/>
        </w:rPr>
        <w:t>have</w:t>
      </w:r>
      <w:r>
        <w:rPr>
          <w:color w:val="4D4D4F"/>
          <w:spacing w:val="-5"/>
          <w:w w:val="110"/>
          <w:sz w:val="18"/>
        </w:rPr>
        <w:t> </w:t>
      </w:r>
      <w:r>
        <w:rPr>
          <w:color w:val="4D4D4F"/>
          <w:w w:val="110"/>
          <w:sz w:val="18"/>
        </w:rPr>
        <w:t>weekly</w:t>
      </w:r>
      <w:r>
        <w:rPr>
          <w:color w:val="4D4D4F"/>
          <w:spacing w:val="-4"/>
          <w:w w:val="110"/>
          <w:sz w:val="18"/>
        </w:rPr>
        <w:t> </w:t>
      </w:r>
      <w:r>
        <w:rPr>
          <w:color w:val="4D4D4F"/>
          <w:w w:val="110"/>
          <w:sz w:val="18"/>
        </w:rPr>
        <w:t>ofﬁce</w:t>
      </w:r>
      <w:r>
        <w:rPr>
          <w:color w:val="4D4D4F"/>
          <w:spacing w:val="-4"/>
          <w:w w:val="110"/>
          <w:sz w:val="18"/>
        </w:rPr>
        <w:t> </w:t>
      </w:r>
      <w:r>
        <w:rPr>
          <w:color w:val="4D4D4F"/>
          <w:w w:val="110"/>
          <w:sz w:val="18"/>
        </w:rPr>
        <w:t>visits</w:t>
      </w:r>
      <w:r>
        <w:rPr>
          <w:color w:val="4D4D4F"/>
          <w:spacing w:val="-4"/>
          <w:w w:val="110"/>
          <w:sz w:val="18"/>
        </w:rPr>
        <w:t> </w:t>
      </w:r>
      <w:r>
        <w:rPr>
          <w:color w:val="4D4D4F"/>
          <w:w w:val="110"/>
          <w:sz w:val="18"/>
        </w:rPr>
        <w:t>until</w:t>
      </w:r>
      <w:r>
        <w:rPr>
          <w:color w:val="4D4D4F"/>
          <w:spacing w:val="-4"/>
          <w:w w:val="110"/>
          <w:sz w:val="18"/>
        </w:rPr>
        <w:t> </w:t>
      </w:r>
      <w:r>
        <w:rPr>
          <w:color w:val="4D4D4F"/>
          <w:w w:val="110"/>
          <w:sz w:val="18"/>
        </w:rPr>
        <w:t>my</w:t>
      </w:r>
      <w:r>
        <w:rPr>
          <w:color w:val="4D4D4F"/>
          <w:spacing w:val="-4"/>
          <w:w w:val="110"/>
          <w:sz w:val="18"/>
        </w:rPr>
        <w:t> </w:t>
      </w:r>
      <w:r>
        <w:rPr>
          <w:color w:val="4D4D4F"/>
          <w:w w:val="110"/>
          <w:sz w:val="18"/>
        </w:rPr>
        <w:t>condition</w:t>
      </w:r>
      <w:r>
        <w:rPr>
          <w:color w:val="4D4D4F"/>
          <w:spacing w:val="-5"/>
          <w:w w:val="110"/>
          <w:sz w:val="18"/>
        </w:rPr>
        <w:t> </w:t>
      </w:r>
      <w:r>
        <w:rPr>
          <w:color w:val="4D4D4F"/>
          <w:w w:val="110"/>
          <w:sz w:val="18"/>
        </w:rPr>
        <w:t>is</w:t>
      </w:r>
      <w:r>
        <w:rPr>
          <w:color w:val="4D4D4F"/>
          <w:spacing w:val="-4"/>
          <w:w w:val="110"/>
          <w:sz w:val="18"/>
        </w:rPr>
        <w:t> </w:t>
      </w:r>
      <w:r>
        <w:rPr>
          <w:color w:val="4D4D4F"/>
          <w:w w:val="110"/>
          <w:sz w:val="18"/>
        </w:rPr>
        <w:t>stable.</w:t>
      </w:r>
    </w:p>
    <w:p>
      <w:pPr>
        <w:pStyle w:val="ListParagraph"/>
        <w:numPr>
          <w:ilvl w:val="0"/>
          <w:numId w:val="26"/>
        </w:numPr>
        <w:tabs>
          <w:tab w:pos="775" w:val="left" w:leader="none"/>
        </w:tabs>
        <w:spacing w:line="240" w:lineRule="auto" w:before="27" w:after="0"/>
        <w:ind w:left="775" w:right="439" w:hanging="360"/>
        <w:jc w:val="left"/>
        <w:rPr>
          <w:sz w:val="18"/>
        </w:rPr>
      </w:pPr>
      <w:r>
        <w:rPr>
          <w:color w:val="4D4D4F"/>
          <w:w w:val="110"/>
          <w:sz w:val="18"/>
        </w:rPr>
        <w:t>I can be seen every 2 weeks in the ofﬁce starting the second month of treatment if I have two negative urine </w:t>
      </w:r>
      <w:r>
        <w:rPr>
          <w:color w:val="4D4D4F"/>
          <w:spacing w:val="-4"/>
          <w:w w:val="110"/>
          <w:sz w:val="18"/>
        </w:rPr>
        <w:t>drug </w:t>
      </w:r>
      <w:r>
        <w:rPr>
          <w:color w:val="4D4D4F"/>
          <w:w w:val="110"/>
          <w:sz w:val="18"/>
        </w:rPr>
        <w:t>tests in a</w:t>
      </w:r>
      <w:r>
        <w:rPr>
          <w:color w:val="4D4D4F"/>
          <w:spacing w:val="-16"/>
          <w:w w:val="110"/>
          <w:sz w:val="18"/>
        </w:rPr>
        <w:t> </w:t>
      </w:r>
      <w:r>
        <w:rPr>
          <w:color w:val="4D4D4F"/>
          <w:spacing w:val="-4"/>
          <w:w w:val="110"/>
          <w:sz w:val="18"/>
        </w:rPr>
        <w:t>row.</w:t>
      </w:r>
    </w:p>
    <w:p>
      <w:pPr>
        <w:pStyle w:val="ListParagraph"/>
        <w:numPr>
          <w:ilvl w:val="0"/>
          <w:numId w:val="26"/>
        </w:numPr>
        <w:tabs>
          <w:tab w:pos="775" w:val="left" w:leader="none"/>
        </w:tabs>
        <w:spacing w:line="240" w:lineRule="auto" w:before="26" w:after="0"/>
        <w:ind w:left="775" w:right="0" w:hanging="360"/>
        <w:jc w:val="left"/>
        <w:rPr>
          <w:sz w:val="18"/>
        </w:rPr>
      </w:pPr>
      <w:r>
        <w:rPr>
          <w:color w:val="4D4D4F"/>
          <w:w w:val="110"/>
          <w:sz w:val="18"/>
        </w:rPr>
        <w:t>I may be seen less than every 2 weeks based on goals made by my healthcare provider and</w:t>
      </w:r>
      <w:r>
        <w:rPr>
          <w:color w:val="4D4D4F"/>
          <w:spacing w:val="-34"/>
          <w:w w:val="110"/>
          <w:sz w:val="18"/>
        </w:rPr>
        <w:t> </w:t>
      </w:r>
      <w:r>
        <w:rPr>
          <w:color w:val="4D4D4F"/>
          <w:w w:val="110"/>
          <w:sz w:val="18"/>
        </w:rPr>
        <w:t>me.</w:t>
      </w:r>
    </w:p>
    <w:p>
      <w:pPr>
        <w:pStyle w:val="ListParagraph"/>
        <w:numPr>
          <w:ilvl w:val="0"/>
          <w:numId w:val="26"/>
        </w:numPr>
        <w:tabs>
          <w:tab w:pos="775" w:val="left" w:leader="none"/>
        </w:tabs>
        <w:spacing w:line="240" w:lineRule="auto" w:before="26" w:after="0"/>
        <w:ind w:left="775" w:right="587" w:hanging="360"/>
        <w:jc w:val="left"/>
        <w:rPr>
          <w:sz w:val="18"/>
        </w:rPr>
      </w:pPr>
      <w:r>
        <w:rPr>
          <w:color w:val="4D4D4F"/>
          <w:w w:val="110"/>
          <w:sz w:val="18"/>
        </w:rPr>
        <w:t>I understand that people have died trying to overcome the naltrexone opioid blockade by taking large amounts of</w:t>
      </w:r>
      <w:r>
        <w:rPr>
          <w:color w:val="4D4D4F"/>
          <w:spacing w:val="-5"/>
          <w:w w:val="110"/>
          <w:sz w:val="18"/>
        </w:rPr>
        <w:t> </w:t>
      </w:r>
      <w:r>
        <w:rPr>
          <w:color w:val="4D4D4F"/>
          <w:w w:val="110"/>
          <w:sz w:val="18"/>
        </w:rPr>
        <w:t>opioids.</w:t>
      </w:r>
    </w:p>
    <w:p>
      <w:pPr>
        <w:pStyle w:val="ListParagraph"/>
        <w:numPr>
          <w:ilvl w:val="0"/>
          <w:numId w:val="26"/>
        </w:numPr>
        <w:tabs>
          <w:tab w:pos="775" w:val="left" w:leader="none"/>
        </w:tabs>
        <w:spacing w:line="240" w:lineRule="auto" w:before="26" w:after="0"/>
        <w:ind w:left="775" w:right="713" w:hanging="360"/>
        <w:jc w:val="left"/>
        <w:rPr>
          <w:sz w:val="18"/>
        </w:rPr>
      </w:pPr>
      <w:r>
        <w:rPr>
          <w:color w:val="4D4D4F"/>
          <w:w w:val="110"/>
          <w:sz w:val="18"/>
        </w:rPr>
        <w:t>I understand that treatment of opioid use disorder involves more than just taking medication. I agree to </w:t>
      </w:r>
      <w:r>
        <w:rPr>
          <w:color w:val="4D4D4F"/>
          <w:spacing w:val="-3"/>
          <w:w w:val="110"/>
          <w:sz w:val="18"/>
        </w:rPr>
        <w:t>follow </w:t>
      </w:r>
      <w:r>
        <w:rPr>
          <w:color w:val="4D4D4F"/>
          <w:w w:val="110"/>
          <w:sz w:val="18"/>
        </w:rPr>
        <w:t>my healthcare provider’s recommendations for additional counseling and/or for help with other</w:t>
      </w:r>
      <w:r>
        <w:rPr>
          <w:color w:val="4D4D4F"/>
          <w:spacing w:val="-23"/>
          <w:w w:val="110"/>
          <w:sz w:val="18"/>
        </w:rPr>
        <w:t> </w:t>
      </w:r>
      <w:r>
        <w:rPr>
          <w:color w:val="4D4D4F"/>
          <w:w w:val="110"/>
          <w:sz w:val="18"/>
        </w:rPr>
        <w:t>problems.</w:t>
      </w:r>
    </w:p>
    <w:p>
      <w:pPr>
        <w:pStyle w:val="ListParagraph"/>
        <w:numPr>
          <w:ilvl w:val="0"/>
          <w:numId w:val="26"/>
        </w:numPr>
        <w:tabs>
          <w:tab w:pos="775" w:val="left" w:leader="none"/>
        </w:tabs>
        <w:spacing w:line="240" w:lineRule="auto" w:before="26" w:after="0"/>
        <w:ind w:left="775" w:right="626" w:hanging="360"/>
        <w:jc w:val="left"/>
        <w:rPr>
          <w:sz w:val="18"/>
        </w:rPr>
      </w:pPr>
      <w:r>
        <w:rPr>
          <w:color w:val="4D4D4F"/>
          <w:w w:val="110"/>
          <w:sz w:val="18"/>
        </w:rPr>
        <w:t>I understand that there is no ﬁxed time for being on naltrexone and that the goal of treatment is for me to </w:t>
      </w:r>
      <w:r>
        <w:rPr>
          <w:color w:val="4D4D4F"/>
          <w:spacing w:val="-4"/>
          <w:w w:val="110"/>
          <w:sz w:val="18"/>
        </w:rPr>
        <w:t>stop </w:t>
      </w:r>
      <w:r>
        <w:rPr>
          <w:color w:val="4D4D4F"/>
          <w:w w:val="110"/>
          <w:sz w:val="18"/>
        </w:rPr>
        <w:t>using all illicit drugs and become successful in all aspects of my</w:t>
      </w:r>
      <w:r>
        <w:rPr>
          <w:color w:val="4D4D4F"/>
          <w:spacing w:val="-37"/>
          <w:w w:val="110"/>
          <w:sz w:val="18"/>
        </w:rPr>
        <w:t> </w:t>
      </w:r>
      <w:r>
        <w:rPr>
          <w:color w:val="4D4D4F"/>
          <w:w w:val="110"/>
          <w:sz w:val="18"/>
        </w:rPr>
        <w:t>life.</w:t>
      </w:r>
    </w:p>
    <w:p>
      <w:pPr>
        <w:pStyle w:val="ListParagraph"/>
        <w:numPr>
          <w:ilvl w:val="0"/>
          <w:numId w:val="26"/>
        </w:numPr>
        <w:tabs>
          <w:tab w:pos="775" w:val="left" w:leader="none"/>
        </w:tabs>
        <w:spacing w:line="240" w:lineRule="auto" w:before="26" w:after="0"/>
        <w:ind w:left="775" w:right="0" w:hanging="360"/>
        <w:jc w:val="left"/>
        <w:rPr>
          <w:sz w:val="18"/>
        </w:rPr>
      </w:pPr>
      <w:r>
        <w:rPr>
          <w:color w:val="4D4D4F"/>
          <w:w w:val="110"/>
          <w:sz w:val="18"/>
        </w:rPr>
        <w:t>I understand that my risk of overdose increases if I go back to using opioids after stopping</w:t>
      </w:r>
      <w:r>
        <w:rPr>
          <w:color w:val="4D4D4F"/>
          <w:spacing w:val="-36"/>
          <w:w w:val="110"/>
          <w:sz w:val="18"/>
        </w:rPr>
        <w:t> </w:t>
      </w:r>
      <w:r>
        <w:rPr>
          <w:color w:val="4D4D4F"/>
          <w:w w:val="110"/>
          <w:sz w:val="18"/>
        </w:rPr>
        <w:t>naltrexone.</w:t>
      </w:r>
    </w:p>
    <w:p>
      <w:pPr>
        <w:pStyle w:val="ListParagraph"/>
        <w:numPr>
          <w:ilvl w:val="0"/>
          <w:numId w:val="26"/>
        </w:numPr>
        <w:tabs>
          <w:tab w:pos="775" w:val="left" w:leader="none"/>
        </w:tabs>
        <w:spacing w:line="240" w:lineRule="auto" w:before="27" w:after="0"/>
        <w:ind w:left="775" w:right="1163" w:hanging="360"/>
        <w:jc w:val="left"/>
        <w:rPr>
          <w:sz w:val="18"/>
        </w:rPr>
      </w:pPr>
      <w:r>
        <w:rPr>
          <w:color w:val="4D4D4F"/>
          <w:w w:val="110"/>
          <w:sz w:val="18"/>
        </w:rPr>
        <w:t>I have been educated about the other two FDA-approved medications used to treat opioid use </w:t>
      </w:r>
      <w:r>
        <w:rPr>
          <w:color w:val="4D4D4F"/>
          <w:spacing w:val="-5"/>
          <w:w w:val="110"/>
          <w:sz w:val="18"/>
        </w:rPr>
        <w:t>disorder, </w:t>
      </w:r>
      <w:r>
        <w:rPr>
          <w:color w:val="4D4D4F"/>
          <w:w w:val="110"/>
          <w:sz w:val="18"/>
        </w:rPr>
        <w:t>methadone</w:t>
      </w:r>
      <w:r>
        <w:rPr>
          <w:color w:val="4D4D4F"/>
          <w:spacing w:val="-5"/>
          <w:w w:val="110"/>
          <w:sz w:val="18"/>
        </w:rPr>
        <w:t> </w:t>
      </w:r>
      <w:r>
        <w:rPr>
          <w:color w:val="4D4D4F"/>
          <w:w w:val="110"/>
          <w:sz w:val="18"/>
        </w:rPr>
        <w:t>and</w:t>
      </w:r>
      <w:r>
        <w:rPr>
          <w:color w:val="4D4D4F"/>
          <w:spacing w:val="-4"/>
          <w:w w:val="110"/>
          <w:sz w:val="18"/>
        </w:rPr>
        <w:t> </w:t>
      </w:r>
      <w:r>
        <w:rPr>
          <w:color w:val="4D4D4F"/>
          <w:w w:val="110"/>
          <w:sz w:val="18"/>
        </w:rPr>
        <w:t>buprenorphine,</w:t>
      </w:r>
      <w:r>
        <w:rPr>
          <w:color w:val="4D4D4F"/>
          <w:spacing w:val="-4"/>
          <w:w w:val="110"/>
          <w:sz w:val="18"/>
        </w:rPr>
        <w:t> </w:t>
      </w:r>
      <w:r>
        <w:rPr>
          <w:color w:val="4D4D4F"/>
          <w:w w:val="110"/>
          <w:sz w:val="18"/>
        </w:rPr>
        <w:t>and</w:t>
      </w:r>
      <w:r>
        <w:rPr>
          <w:color w:val="4D4D4F"/>
          <w:spacing w:val="-4"/>
          <w:w w:val="110"/>
          <w:sz w:val="18"/>
        </w:rPr>
        <w:t> </w:t>
      </w:r>
      <w:r>
        <w:rPr>
          <w:color w:val="4D4D4F"/>
          <w:w w:val="110"/>
          <w:sz w:val="18"/>
        </w:rPr>
        <w:t>I</w:t>
      </w:r>
      <w:r>
        <w:rPr>
          <w:color w:val="4D4D4F"/>
          <w:spacing w:val="-4"/>
          <w:w w:val="110"/>
          <w:sz w:val="18"/>
        </w:rPr>
        <w:t> </w:t>
      </w:r>
      <w:r>
        <w:rPr>
          <w:color w:val="4D4D4F"/>
          <w:w w:val="110"/>
          <w:sz w:val="18"/>
        </w:rPr>
        <w:t>prefer</w:t>
      </w:r>
      <w:r>
        <w:rPr>
          <w:color w:val="4D4D4F"/>
          <w:spacing w:val="-4"/>
          <w:w w:val="110"/>
          <w:sz w:val="18"/>
        </w:rPr>
        <w:t> </w:t>
      </w:r>
      <w:r>
        <w:rPr>
          <w:color w:val="4D4D4F"/>
          <w:w w:val="110"/>
          <w:sz w:val="18"/>
        </w:rPr>
        <w:t>to</w:t>
      </w:r>
      <w:r>
        <w:rPr>
          <w:color w:val="4D4D4F"/>
          <w:spacing w:val="-4"/>
          <w:w w:val="110"/>
          <w:sz w:val="18"/>
        </w:rPr>
        <w:t> </w:t>
      </w:r>
      <w:r>
        <w:rPr>
          <w:color w:val="4D4D4F"/>
          <w:w w:val="110"/>
          <w:sz w:val="18"/>
        </w:rPr>
        <w:t>receive</w:t>
      </w:r>
      <w:r>
        <w:rPr>
          <w:color w:val="4D4D4F"/>
          <w:spacing w:val="-4"/>
          <w:w w:val="110"/>
          <w:sz w:val="18"/>
        </w:rPr>
        <w:t> </w:t>
      </w:r>
      <w:r>
        <w:rPr>
          <w:color w:val="4D4D4F"/>
          <w:w w:val="110"/>
          <w:sz w:val="18"/>
        </w:rPr>
        <w:t>treatment</w:t>
      </w:r>
      <w:r>
        <w:rPr>
          <w:color w:val="4D4D4F"/>
          <w:spacing w:val="-4"/>
          <w:w w:val="110"/>
          <w:sz w:val="18"/>
        </w:rPr>
        <w:t> </w:t>
      </w:r>
      <w:r>
        <w:rPr>
          <w:color w:val="4D4D4F"/>
          <w:w w:val="110"/>
          <w:sz w:val="18"/>
        </w:rPr>
        <w:t>with</w:t>
      </w:r>
      <w:r>
        <w:rPr>
          <w:color w:val="4D4D4F"/>
          <w:spacing w:val="-4"/>
          <w:w w:val="110"/>
          <w:sz w:val="18"/>
        </w:rPr>
        <w:t> </w:t>
      </w:r>
      <w:r>
        <w:rPr>
          <w:color w:val="4D4D4F"/>
          <w:w w:val="110"/>
          <w:sz w:val="18"/>
        </w:rPr>
        <w:t>naltrexone.</w:t>
      </w:r>
    </w:p>
    <w:p>
      <w:pPr>
        <w:pStyle w:val="ListParagraph"/>
        <w:numPr>
          <w:ilvl w:val="0"/>
          <w:numId w:val="26"/>
        </w:numPr>
        <w:tabs>
          <w:tab w:pos="775" w:val="left" w:leader="none"/>
        </w:tabs>
        <w:spacing w:line="240" w:lineRule="auto" w:before="25" w:after="0"/>
        <w:ind w:left="775" w:right="881" w:hanging="360"/>
        <w:jc w:val="left"/>
        <w:rPr>
          <w:sz w:val="18"/>
        </w:rPr>
      </w:pPr>
      <w:r>
        <w:rPr>
          <w:color w:val="4D4D4F"/>
          <w:w w:val="115"/>
          <w:sz w:val="18"/>
        </w:rPr>
        <w:t>I</w:t>
      </w:r>
      <w:r>
        <w:rPr>
          <w:color w:val="4D4D4F"/>
          <w:spacing w:val="-15"/>
          <w:w w:val="115"/>
          <w:sz w:val="18"/>
        </w:rPr>
        <w:t> </w:t>
      </w:r>
      <w:r>
        <w:rPr>
          <w:color w:val="4D4D4F"/>
          <w:w w:val="115"/>
          <w:sz w:val="18"/>
        </w:rPr>
        <w:t>have</w:t>
      </w:r>
      <w:r>
        <w:rPr>
          <w:color w:val="4D4D4F"/>
          <w:spacing w:val="-14"/>
          <w:w w:val="115"/>
          <w:sz w:val="18"/>
        </w:rPr>
        <w:t> </w:t>
      </w:r>
      <w:r>
        <w:rPr>
          <w:color w:val="4D4D4F"/>
          <w:w w:val="115"/>
          <w:sz w:val="18"/>
        </w:rPr>
        <w:t>been</w:t>
      </w:r>
      <w:r>
        <w:rPr>
          <w:color w:val="4D4D4F"/>
          <w:spacing w:val="-14"/>
          <w:w w:val="115"/>
          <w:sz w:val="18"/>
        </w:rPr>
        <w:t> </w:t>
      </w:r>
      <w:r>
        <w:rPr>
          <w:color w:val="4D4D4F"/>
          <w:w w:val="115"/>
          <w:sz w:val="18"/>
        </w:rPr>
        <w:t>educated</w:t>
      </w:r>
      <w:r>
        <w:rPr>
          <w:color w:val="4D4D4F"/>
          <w:spacing w:val="-14"/>
          <w:w w:val="115"/>
          <w:sz w:val="18"/>
        </w:rPr>
        <w:t> </w:t>
      </w:r>
      <w:r>
        <w:rPr>
          <w:color w:val="4D4D4F"/>
          <w:w w:val="115"/>
          <w:sz w:val="18"/>
        </w:rPr>
        <w:t>about</w:t>
      </w:r>
      <w:r>
        <w:rPr>
          <w:color w:val="4D4D4F"/>
          <w:spacing w:val="-15"/>
          <w:w w:val="115"/>
          <w:sz w:val="18"/>
        </w:rPr>
        <w:t> </w:t>
      </w:r>
      <w:r>
        <w:rPr>
          <w:color w:val="4D4D4F"/>
          <w:w w:val="115"/>
          <w:sz w:val="18"/>
        </w:rPr>
        <w:t>the</w:t>
      </w:r>
      <w:r>
        <w:rPr>
          <w:color w:val="4D4D4F"/>
          <w:spacing w:val="-14"/>
          <w:w w:val="115"/>
          <w:sz w:val="18"/>
        </w:rPr>
        <w:t> </w:t>
      </w:r>
      <w:r>
        <w:rPr>
          <w:color w:val="4D4D4F"/>
          <w:w w:val="115"/>
          <w:sz w:val="18"/>
        </w:rPr>
        <w:t>increased</w:t>
      </w:r>
      <w:r>
        <w:rPr>
          <w:color w:val="4D4D4F"/>
          <w:spacing w:val="-14"/>
          <w:w w:val="115"/>
          <w:sz w:val="18"/>
        </w:rPr>
        <w:t> </w:t>
      </w:r>
      <w:r>
        <w:rPr>
          <w:color w:val="4D4D4F"/>
          <w:w w:val="115"/>
          <w:sz w:val="18"/>
        </w:rPr>
        <w:t>chance</w:t>
      </w:r>
      <w:r>
        <w:rPr>
          <w:color w:val="4D4D4F"/>
          <w:spacing w:val="-14"/>
          <w:w w:val="115"/>
          <w:sz w:val="18"/>
        </w:rPr>
        <w:t> </w:t>
      </w:r>
      <w:r>
        <w:rPr>
          <w:color w:val="4D4D4F"/>
          <w:w w:val="115"/>
          <w:sz w:val="18"/>
        </w:rPr>
        <w:t>of</w:t>
      </w:r>
      <w:r>
        <w:rPr>
          <w:color w:val="4D4D4F"/>
          <w:spacing w:val="-15"/>
          <w:w w:val="115"/>
          <w:sz w:val="18"/>
        </w:rPr>
        <w:t> </w:t>
      </w:r>
      <w:r>
        <w:rPr>
          <w:color w:val="4D4D4F"/>
          <w:w w:val="115"/>
          <w:sz w:val="18"/>
        </w:rPr>
        <w:t>pregnancy</w:t>
      </w:r>
      <w:r>
        <w:rPr>
          <w:color w:val="4D4D4F"/>
          <w:spacing w:val="-14"/>
          <w:w w:val="115"/>
          <w:sz w:val="18"/>
        </w:rPr>
        <w:t> </w:t>
      </w:r>
      <w:r>
        <w:rPr>
          <w:color w:val="4D4D4F"/>
          <w:w w:val="115"/>
          <w:sz w:val="18"/>
        </w:rPr>
        <w:t>when</w:t>
      </w:r>
      <w:r>
        <w:rPr>
          <w:color w:val="4D4D4F"/>
          <w:spacing w:val="-14"/>
          <w:w w:val="115"/>
          <w:sz w:val="18"/>
        </w:rPr>
        <w:t> </w:t>
      </w:r>
      <w:r>
        <w:rPr>
          <w:color w:val="4D4D4F"/>
          <w:w w:val="115"/>
          <w:sz w:val="18"/>
        </w:rPr>
        <w:t>stopping</w:t>
      </w:r>
      <w:r>
        <w:rPr>
          <w:color w:val="4D4D4F"/>
          <w:spacing w:val="-14"/>
          <w:w w:val="115"/>
          <w:sz w:val="18"/>
        </w:rPr>
        <w:t> </w:t>
      </w:r>
      <w:r>
        <w:rPr>
          <w:color w:val="4D4D4F"/>
          <w:w w:val="115"/>
          <w:sz w:val="18"/>
        </w:rPr>
        <w:t>illicit</w:t>
      </w:r>
      <w:r>
        <w:rPr>
          <w:color w:val="4D4D4F"/>
          <w:spacing w:val="-15"/>
          <w:w w:val="115"/>
          <w:sz w:val="18"/>
        </w:rPr>
        <w:t> </w:t>
      </w:r>
      <w:r>
        <w:rPr>
          <w:color w:val="4D4D4F"/>
          <w:w w:val="115"/>
          <w:sz w:val="18"/>
        </w:rPr>
        <w:t>opioid</w:t>
      </w:r>
      <w:r>
        <w:rPr>
          <w:color w:val="4D4D4F"/>
          <w:spacing w:val="-14"/>
          <w:w w:val="115"/>
          <w:sz w:val="18"/>
        </w:rPr>
        <w:t> </w:t>
      </w:r>
      <w:r>
        <w:rPr>
          <w:color w:val="4D4D4F"/>
          <w:w w:val="115"/>
          <w:sz w:val="18"/>
        </w:rPr>
        <w:t>use</w:t>
      </w:r>
      <w:r>
        <w:rPr>
          <w:color w:val="4D4D4F"/>
          <w:spacing w:val="-14"/>
          <w:w w:val="115"/>
          <w:sz w:val="18"/>
        </w:rPr>
        <w:t> </w:t>
      </w:r>
      <w:r>
        <w:rPr>
          <w:color w:val="4D4D4F"/>
          <w:w w:val="115"/>
          <w:sz w:val="18"/>
        </w:rPr>
        <w:t>and</w:t>
      </w:r>
      <w:r>
        <w:rPr>
          <w:color w:val="4D4D4F"/>
          <w:spacing w:val="-14"/>
          <w:w w:val="115"/>
          <w:sz w:val="18"/>
        </w:rPr>
        <w:t> </w:t>
      </w:r>
      <w:r>
        <w:rPr>
          <w:color w:val="4D4D4F"/>
          <w:w w:val="115"/>
          <w:sz w:val="18"/>
        </w:rPr>
        <w:t>starting naltrexone</w:t>
      </w:r>
      <w:r>
        <w:rPr>
          <w:color w:val="4D4D4F"/>
          <w:spacing w:val="-12"/>
          <w:w w:val="115"/>
          <w:sz w:val="18"/>
        </w:rPr>
        <w:t> </w:t>
      </w:r>
      <w:r>
        <w:rPr>
          <w:color w:val="4D4D4F"/>
          <w:w w:val="115"/>
          <w:sz w:val="18"/>
        </w:rPr>
        <w:t>treatment</w:t>
      </w:r>
      <w:r>
        <w:rPr>
          <w:color w:val="4D4D4F"/>
          <w:spacing w:val="-12"/>
          <w:w w:val="115"/>
          <w:sz w:val="18"/>
        </w:rPr>
        <w:t> </w:t>
      </w:r>
      <w:r>
        <w:rPr>
          <w:color w:val="4D4D4F"/>
          <w:w w:val="115"/>
          <w:sz w:val="18"/>
        </w:rPr>
        <w:t>and</w:t>
      </w:r>
      <w:r>
        <w:rPr>
          <w:color w:val="4D4D4F"/>
          <w:spacing w:val="-12"/>
          <w:w w:val="115"/>
          <w:sz w:val="18"/>
        </w:rPr>
        <w:t> </w:t>
      </w:r>
      <w:r>
        <w:rPr>
          <w:color w:val="4D4D4F"/>
          <w:w w:val="115"/>
          <w:sz w:val="18"/>
        </w:rPr>
        <w:t>have</w:t>
      </w:r>
      <w:r>
        <w:rPr>
          <w:color w:val="4D4D4F"/>
          <w:spacing w:val="-12"/>
          <w:w w:val="115"/>
          <w:sz w:val="18"/>
        </w:rPr>
        <w:t> </w:t>
      </w:r>
      <w:r>
        <w:rPr>
          <w:color w:val="4D4D4F"/>
          <w:w w:val="115"/>
          <w:sz w:val="18"/>
        </w:rPr>
        <w:t>been</w:t>
      </w:r>
      <w:r>
        <w:rPr>
          <w:color w:val="4D4D4F"/>
          <w:spacing w:val="-12"/>
          <w:w w:val="115"/>
          <w:sz w:val="18"/>
        </w:rPr>
        <w:t> </w:t>
      </w:r>
      <w:r>
        <w:rPr>
          <w:color w:val="4D4D4F"/>
          <w:w w:val="115"/>
          <w:sz w:val="18"/>
        </w:rPr>
        <w:t>informed</w:t>
      </w:r>
      <w:r>
        <w:rPr>
          <w:color w:val="4D4D4F"/>
          <w:spacing w:val="-12"/>
          <w:w w:val="115"/>
          <w:sz w:val="18"/>
        </w:rPr>
        <w:t> </w:t>
      </w:r>
      <w:r>
        <w:rPr>
          <w:color w:val="4D4D4F"/>
          <w:w w:val="115"/>
          <w:sz w:val="18"/>
        </w:rPr>
        <w:t>about</w:t>
      </w:r>
      <w:r>
        <w:rPr>
          <w:color w:val="4D4D4F"/>
          <w:spacing w:val="-11"/>
          <w:w w:val="115"/>
          <w:sz w:val="18"/>
        </w:rPr>
        <w:t> </w:t>
      </w:r>
      <w:r>
        <w:rPr>
          <w:color w:val="4D4D4F"/>
          <w:w w:val="115"/>
          <w:sz w:val="18"/>
        </w:rPr>
        <w:t>methods</w:t>
      </w:r>
      <w:r>
        <w:rPr>
          <w:color w:val="4D4D4F"/>
          <w:spacing w:val="-12"/>
          <w:w w:val="115"/>
          <w:sz w:val="18"/>
        </w:rPr>
        <w:t> </w:t>
      </w:r>
      <w:r>
        <w:rPr>
          <w:color w:val="4D4D4F"/>
          <w:w w:val="115"/>
          <w:sz w:val="18"/>
        </w:rPr>
        <w:t>for</w:t>
      </w:r>
      <w:r>
        <w:rPr>
          <w:color w:val="4D4D4F"/>
          <w:spacing w:val="-12"/>
          <w:w w:val="115"/>
          <w:sz w:val="18"/>
        </w:rPr>
        <w:t> </w:t>
      </w:r>
      <w:r>
        <w:rPr>
          <w:color w:val="4D4D4F"/>
          <w:w w:val="115"/>
          <w:sz w:val="18"/>
        </w:rPr>
        <w:t>preventing</w:t>
      </w:r>
      <w:r>
        <w:rPr>
          <w:color w:val="4D4D4F"/>
          <w:spacing w:val="-12"/>
          <w:w w:val="115"/>
          <w:sz w:val="18"/>
        </w:rPr>
        <w:t> </w:t>
      </w:r>
      <w:r>
        <w:rPr>
          <w:color w:val="4D4D4F"/>
          <w:w w:val="115"/>
          <w:sz w:val="18"/>
        </w:rPr>
        <w:t>pregnancy.</w:t>
      </w:r>
    </w:p>
    <w:p>
      <w:pPr>
        <w:pStyle w:val="ListParagraph"/>
        <w:numPr>
          <w:ilvl w:val="0"/>
          <w:numId w:val="26"/>
        </w:numPr>
        <w:tabs>
          <w:tab w:pos="775" w:val="left" w:leader="none"/>
        </w:tabs>
        <w:spacing w:line="240" w:lineRule="auto" w:before="26" w:after="0"/>
        <w:ind w:left="775" w:right="757" w:hanging="360"/>
        <w:jc w:val="left"/>
        <w:rPr>
          <w:sz w:val="18"/>
        </w:rPr>
      </w:pPr>
      <w:r>
        <w:rPr>
          <w:color w:val="4D4D4F"/>
          <w:w w:val="110"/>
          <w:sz w:val="18"/>
        </w:rPr>
        <w:t>I have been informed that if I become pregnant during naltrexone treatment, I should inform my provider </w:t>
      </w:r>
      <w:r>
        <w:rPr>
          <w:color w:val="4D4D4F"/>
          <w:spacing w:val="-4"/>
          <w:w w:val="110"/>
          <w:sz w:val="18"/>
        </w:rPr>
        <w:t>and </w:t>
      </w:r>
      <w:r>
        <w:rPr>
          <w:color w:val="4D4D4F"/>
          <w:w w:val="110"/>
          <w:sz w:val="18"/>
        </w:rPr>
        <w:t>have</w:t>
      </w:r>
      <w:r>
        <w:rPr>
          <w:color w:val="4D4D4F"/>
          <w:spacing w:val="-4"/>
          <w:w w:val="110"/>
          <w:sz w:val="18"/>
        </w:rPr>
        <w:t> </w:t>
      </w:r>
      <w:r>
        <w:rPr>
          <w:color w:val="4D4D4F"/>
          <w:w w:val="110"/>
          <w:sz w:val="18"/>
        </w:rPr>
        <w:t>a</w:t>
      </w:r>
      <w:r>
        <w:rPr>
          <w:color w:val="4D4D4F"/>
          <w:spacing w:val="-3"/>
          <w:w w:val="110"/>
          <w:sz w:val="18"/>
        </w:rPr>
        <w:t> </w:t>
      </w:r>
      <w:r>
        <w:rPr>
          <w:color w:val="4D4D4F"/>
          <w:w w:val="110"/>
          <w:sz w:val="18"/>
        </w:rPr>
        <w:t>discussion</w:t>
      </w:r>
      <w:r>
        <w:rPr>
          <w:color w:val="4D4D4F"/>
          <w:spacing w:val="-4"/>
          <w:w w:val="110"/>
          <w:sz w:val="18"/>
        </w:rPr>
        <w:t> </w:t>
      </w:r>
      <w:r>
        <w:rPr>
          <w:color w:val="4D4D4F"/>
          <w:w w:val="110"/>
          <w:sz w:val="18"/>
        </w:rPr>
        <w:t>about</w:t>
      </w:r>
      <w:r>
        <w:rPr>
          <w:color w:val="4D4D4F"/>
          <w:spacing w:val="-3"/>
          <w:w w:val="110"/>
          <w:sz w:val="18"/>
        </w:rPr>
        <w:t> </w:t>
      </w:r>
      <w:r>
        <w:rPr>
          <w:color w:val="4D4D4F"/>
          <w:w w:val="110"/>
          <w:sz w:val="18"/>
        </w:rPr>
        <w:t>the</w:t>
      </w:r>
      <w:r>
        <w:rPr>
          <w:color w:val="4D4D4F"/>
          <w:spacing w:val="-3"/>
          <w:w w:val="110"/>
          <w:sz w:val="18"/>
        </w:rPr>
        <w:t> </w:t>
      </w:r>
      <w:r>
        <w:rPr>
          <w:color w:val="4D4D4F"/>
          <w:w w:val="110"/>
          <w:sz w:val="18"/>
        </w:rPr>
        <w:t>risks</w:t>
      </w:r>
      <w:r>
        <w:rPr>
          <w:color w:val="4D4D4F"/>
          <w:spacing w:val="-4"/>
          <w:w w:val="110"/>
          <w:sz w:val="18"/>
        </w:rPr>
        <w:t> </w:t>
      </w:r>
      <w:r>
        <w:rPr>
          <w:color w:val="4D4D4F"/>
          <w:w w:val="110"/>
          <w:sz w:val="18"/>
        </w:rPr>
        <w:t>and</w:t>
      </w:r>
      <w:r>
        <w:rPr>
          <w:color w:val="4D4D4F"/>
          <w:spacing w:val="-3"/>
          <w:w w:val="110"/>
          <w:sz w:val="18"/>
        </w:rPr>
        <w:t> </w:t>
      </w:r>
      <w:r>
        <w:rPr>
          <w:color w:val="4D4D4F"/>
          <w:w w:val="110"/>
          <w:sz w:val="18"/>
        </w:rPr>
        <w:t>beneﬁts</w:t>
      </w:r>
      <w:r>
        <w:rPr>
          <w:color w:val="4D4D4F"/>
          <w:spacing w:val="-4"/>
          <w:w w:val="110"/>
          <w:sz w:val="18"/>
        </w:rPr>
        <w:t> </w:t>
      </w:r>
      <w:r>
        <w:rPr>
          <w:color w:val="4D4D4F"/>
          <w:w w:val="110"/>
          <w:sz w:val="18"/>
        </w:rPr>
        <w:t>of</w:t>
      </w:r>
      <w:r>
        <w:rPr>
          <w:color w:val="4D4D4F"/>
          <w:spacing w:val="-3"/>
          <w:w w:val="110"/>
          <w:sz w:val="18"/>
        </w:rPr>
        <w:t> </w:t>
      </w:r>
      <w:r>
        <w:rPr>
          <w:color w:val="4D4D4F"/>
          <w:w w:val="110"/>
          <w:sz w:val="18"/>
        </w:rPr>
        <w:t>continuing</w:t>
      </w:r>
      <w:r>
        <w:rPr>
          <w:color w:val="4D4D4F"/>
          <w:spacing w:val="-3"/>
          <w:w w:val="110"/>
          <w:sz w:val="18"/>
        </w:rPr>
        <w:t> </w:t>
      </w:r>
      <w:r>
        <w:rPr>
          <w:color w:val="4D4D4F"/>
          <w:w w:val="110"/>
          <w:sz w:val="18"/>
        </w:rPr>
        <w:t>to</w:t>
      </w:r>
      <w:r>
        <w:rPr>
          <w:color w:val="4D4D4F"/>
          <w:spacing w:val="-4"/>
          <w:w w:val="110"/>
          <w:sz w:val="18"/>
        </w:rPr>
        <w:t> </w:t>
      </w:r>
      <w:r>
        <w:rPr>
          <w:color w:val="4D4D4F"/>
          <w:w w:val="110"/>
          <w:sz w:val="18"/>
        </w:rPr>
        <w:t>take</w:t>
      </w:r>
      <w:r>
        <w:rPr>
          <w:color w:val="4D4D4F"/>
          <w:spacing w:val="-3"/>
          <w:w w:val="110"/>
          <w:sz w:val="18"/>
        </w:rPr>
        <w:t> </w:t>
      </w:r>
      <w:r>
        <w:rPr>
          <w:color w:val="4D4D4F"/>
          <w:w w:val="110"/>
          <w:sz w:val="18"/>
        </w:rPr>
        <w:t>naltrexone.</w:t>
      </w:r>
    </w:p>
    <w:p>
      <w:pPr>
        <w:spacing w:before="151"/>
        <w:ind w:left="415" w:right="0" w:firstLine="0"/>
        <w:jc w:val="left"/>
        <w:rPr>
          <w:sz w:val="18"/>
        </w:rPr>
      </w:pPr>
      <w:r>
        <w:rPr>
          <w:color w:val="4D4D4F"/>
          <w:w w:val="110"/>
          <w:sz w:val="18"/>
        </w:rPr>
        <w:t>Other speciﬁc items unique to my treatment include:</w:t>
      </w:r>
    </w:p>
    <w:p>
      <w:pPr>
        <w:pStyle w:val="BodyText"/>
        <w:spacing w:before="1"/>
        <w:rPr>
          <w:sz w:val="16"/>
        </w:rPr>
      </w:pPr>
    </w:p>
    <w:p>
      <w:pPr>
        <w:tabs>
          <w:tab w:pos="7035" w:val="left" w:leader="none"/>
        </w:tabs>
        <w:spacing w:before="1"/>
        <w:ind w:left="415" w:right="0" w:firstLine="0"/>
        <w:jc w:val="left"/>
        <w:rPr>
          <w:sz w:val="18"/>
        </w:rPr>
      </w:pPr>
      <w:r>
        <w:rPr>
          <w:color w:val="4D4D4F"/>
          <w:w w:val="110"/>
          <w:sz w:val="18"/>
        </w:rPr>
        <w:t>Patient’s Name</w:t>
      </w:r>
      <w:r>
        <w:rPr>
          <w:color w:val="4D4D4F"/>
          <w:spacing w:val="-28"/>
          <w:w w:val="110"/>
          <w:sz w:val="18"/>
        </w:rPr>
        <w:t> </w:t>
      </w:r>
      <w:r>
        <w:rPr>
          <w:color w:val="4D4D4F"/>
          <w:w w:val="110"/>
          <w:sz w:val="18"/>
        </w:rPr>
        <w:t>(print):</w:t>
      </w:r>
      <w:r>
        <w:rPr>
          <w:color w:val="4D4D4F"/>
          <w:sz w:val="18"/>
        </w:rPr>
        <w:t> </w:t>
      </w:r>
      <w:r>
        <w:rPr>
          <w:color w:val="4D4D4F"/>
          <w:w w:val="100"/>
          <w:sz w:val="18"/>
          <w:u w:val="single" w:color="7F8184"/>
        </w:rPr>
        <w:t> </w:t>
      </w:r>
      <w:r>
        <w:rPr>
          <w:color w:val="4D4D4F"/>
          <w:sz w:val="18"/>
          <w:u w:val="single" w:color="7F8184"/>
        </w:rPr>
        <w:tab/>
      </w:r>
    </w:p>
    <w:p>
      <w:pPr>
        <w:pStyle w:val="BodyText"/>
        <w:spacing w:before="1"/>
        <w:rPr>
          <w:sz w:val="16"/>
        </w:rPr>
      </w:pPr>
    </w:p>
    <w:p>
      <w:pPr>
        <w:tabs>
          <w:tab w:pos="7059" w:val="left" w:leader="none"/>
          <w:tab w:pos="9499" w:val="left" w:leader="none"/>
        </w:tabs>
        <w:spacing w:before="0"/>
        <w:ind w:left="415" w:right="0" w:firstLine="0"/>
        <w:jc w:val="left"/>
        <w:rPr>
          <w:sz w:val="18"/>
        </w:rPr>
      </w:pPr>
      <w:r>
        <w:rPr>
          <w:color w:val="4D4D4F"/>
          <w:w w:val="115"/>
          <w:sz w:val="18"/>
        </w:rPr>
        <w:t>Patient’s</w:t>
      </w:r>
      <w:r>
        <w:rPr>
          <w:color w:val="4D4D4F"/>
          <w:spacing w:val="-15"/>
          <w:w w:val="115"/>
          <w:sz w:val="18"/>
        </w:rPr>
        <w:t> </w:t>
      </w:r>
      <w:r>
        <w:rPr>
          <w:color w:val="4D4D4F"/>
          <w:w w:val="115"/>
          <w:sz w:val="18"/>
        </w:rPr>
        <w:t>Signature:</w:t>
      </w:r>
      <w:r>
        <w:rPr>
          <w:color w:val="4D4D4F"/>
          <w:w w:val="115"/>
          <w:sz w:val="18"/>
          <w:u w:val="single" w:color="7F8184"/>
        </w:rPr>
        <w:t> </w:t>
        <w:tab/>
      </w:r>
      <w:r>
        <w:rPr>
          <w:color w:val="4D4D4F"/>
          <w:w w:val="115"/>
          <w:sz w:val="18"/>
        </w:rPr>
        <w:t>Date:</w:t>
      </w:r>
      <w:r>
        <w:rPr>
          <w:color w:val="4D4D4F"/>
          <w:spacing w:val="-1"/>
          <w:sz w:val="18"/>
        </w:rPr>
        <w:t> </w:t>
      </w:r>
      <w:r>
        <w:rPr>
          <w:color w:val="4D4D4F"/>
          <w:w w:val="100"/>
          <w:sz w:val="18"/>
          <w:u w:val="single" w:color="7F8184"/>
        </w:rPr>
        <w:t> </w:t>
      </w:r>
      <w:r>
        <w:rPr>
          <w:color w:val="4D4D4F"/>
          <w:sz w:val="18"/>
          <w:u w:val="single" w:color="7F8184"/>
        </w:rPr>
        <w:tab/>
      </w:r>
    </w:p>
    <w:p>
      <w:pPr>
        <w:spacing w:line="247" w:lineRule="auto" w:before="114"/>
        <w:ind w:left="415" w:right="595" w:firstLine="0"/>
        <w:jc w:val="left"/>
        <w:rPr>
          <w:sz w:val="16"/>
        </w:rPr>
      </w:pPr>
      <w:r>
        <w:rPr>
          <w:color w:val="4D4D4F"/>
          <w:w w:val="110"/>
          <w:sz w:val="16"/>
        </w:rPr>
        <w:t>This form is adapted from the American Society of Addiction Medicine’s Sample Treatment Agreement, which is updated periodically; the most current version of the agreement is available online (</w:t>
      </w:r>
      <w:hyperlink r:id="rId54">
        <w:r>
          <w:rPr>
            <w:color w:val="205E9F"/>
            <w:w w:val="110"/>
            <w:sz w:val="16"/>
            <w:u w:val="single" w:color="205E9F"/>
          </w:rPr>
          <w:t>www.asam.org/docs/default-source/advocacy/sample</w:t>
        </w:r>
      </w:hyperlink>
    </w:p>
    <w:p>
      <w:pPr>
        <w:spacing w:before="2"/>
        <w:ind w:left="415" w:right="0" w:firstLine="0"/>
        <w:jc w:val="left"/>
        <w:rPr>
          <w:sz w:val="16"/>
        </w:rPr>
      </w:pPr>
      <w:r>
        <w:rPr>
          <w:color w:val="205E9F"/>
          <w:w w:val="115"/>
          <w:sz w:val="16"/>
          <w:u w:val="single" w:color="205E9F"/>
        </w:rPr>
        <w:t>-treatment-agreement30fa159472bc604ca5b7ff000030b21a.pdf?sfvrsn=0</w:t>
      </w:r>
      <w:r>
        <w:rPr>
          <w:color w:val="4D4D4F"/>
          <w:w w:val="115"/>
          <w:sz w:val="16"/>
        </w:rPr>
        <w:t>).</w:t>
      </w:r>
    </w:p>
    <w:p>
      <w:pPr>
        <w:spacing w:before="63"/>
        <w:ind w:left="415" w:right="0" w:firstLine="0"/>
        <w:jc w:val="left"/>
        <w:rPr>
          <w:rFonts w:ascii="Arial"/>
          <w:i/>
          <w:sz w:val="9"/>
        </w:rPr>
      </w:pPr>
      <w:r>
        <w:rPr>
          <w:rFonts w:ascii="Arial"/>
          <w:i/>
          <w:color w:val="4D4D4F"/>
          <w:w w:val="105"/>
          <w:sz w:val="16"/>
        </w:rPr>
        <w:t>Adapted with permission.</w:t>
      </w:r>
      <w:r>
        <w:rPr>
          <w:rFonts w:ascii="Arial"/>
          <w:i/>
          <w:color w:val="4D4D4F"/>
          <w:w w:val="105"/>
          <w:position w:val="5"/>
          <w:sz w:val="9"/>
        </w:rPr>
        <w:t>213</w:t>
      </w:r>
    </w:p>
    <w:p>
      <w:pPr>
        <w:spacing w:after="0"/>
        <w:jc w:val="left"/>
        <w:rPr>
          <w:rFonts w:ascii="Arial"/>
          <w:sz w:val="9"/>
        </w:rPr>
        <w:sectPr>
          <w:pgSz w:w="12240" w:h="15840"/>
          <w:pgMar w:header="576" w:footer="677" w:top="1340" w:bottom="860" w:left="940" w:right="920"/>
        </w:sectPr>
      </w:pPr>
    </w:p>
    <w:p>
      <w:pPr>
        <w:pStyle w:val="BodyText"/>
        <w:spacing w:before="5"/>
        <w:rPr>
          <w:rFonts w:ascii="Arial"/>
          <w:i/>
          <w:sz w:val="27"/>
        </w:rPr>
      </w:pPr>
    </w:p>
    <w:p>
      <w:pPr>
        <w:pStyle w:val="Heading3"/>
        <w:spacing w:before="89"/>
      </w:pPr>
      <w:r>
        <w:rPr/>
        <w:pict>
          <v:shape style="position:absolute;margin-left:75.109001pt;margin-top:25.088804pt;width:461.8pt;height:57.75pt;mso-position-horizontal-relative:page;mso-position-vertical-relative:paragraph;z-index:-15699456;mso-wrap-distance-left:0;mso-wrap-distance-right:0" type="#_x0000_t202" filled="true" fillcolor="#004a61" stroked="false">
            <v:textbox inset="0,0,0,0">
              <w:txbxContent>
                <w:p>
                  <w:pPr>
                    <w:spacing w:before="223"/>
                    <w:ind w:left="1155" w:right="1159" w:firstLine="0"/>
                    <w:jc w:val="center"/>
                    <w:rPr>
                      <w:rFonts w:ascii="Calibri"/>
                      <w:b/>
                      <w:sz w:val="30"/>
                    </w:rPr>
                  </w:pPr>
                  <w:r>
                    <w:rPr>
                      <w:rFonts w:ascii="Calibri"/>
                      <w:b/>
                      <w:color w:val="FFFFFF"/>
                      <w:spacing w:val="-6"/>
                      <w:sz w:val="30"/>
                    </w:rPr>
                    <w:t>Patient </w:t>
                  </w:r>
                  <w:r>
                    <w:rPr>
                      <w:rFonts w:ascii="Calibri"/>
                      <w:b/>
                      <w:color w:val="FFFFFF"/>
                      <w:spacing w:val="-7"/>
                      <w:sz w:val="30"/>
                    </w:rPr>
                    <w:t>Counseling</w:t>
                  </w:r>
                  <w:r>
                    <w:rPr>
                      <w:rFonts w:ascii="Calibri"/>
                      <w:b/>
                      <w:color w:val="FFFFFF"/>
                      <w:spacing w:val="-21"/>
                      <w:sz w:val="30"/>
                    </w:rPr>
                    <w:t> </w:t>
                  </w:r>
                  <w:r>
                    <w:rPr>
                      <w:rFonts w:ascii="Calibri"/>
                      <w:b/>
                      <w:color w:val="FFFFFF"/>
                      <w:spacing w:val="-13"/>
                      <w:sz w:val="30"/>
                    </w:rPr>
                    <w:t>Tool</w:t>
                  </w:r>
                </w:p>
                <w:p>
                  <w:pPr>
                    <w:spacing w:before="58"/>
                    <w:ind w:left="1156" w:right="1159" w:firstLine="0"/>
                    <w:jc w:val="center"/>
                    <w:rPr>
                      <w:rFonts w:ascii="Calibri" w:hAnsi="Calibri"/>
                      <w:b/>
                      <w:sz w:val="25"/>
                    </w:rPr>
                  </w:pPr>
                  <w:r>
                    <w:rPr>
                      <w:rFonts w:ascii="Calibri" w:hAnsi="Calibri"/>
                      <w:b/>
                      <w:color w:val="FFFFFF"/>
                      <w:sz w:val="25"/>
                    </w:rPr>
                    <w:t>VIVITROL</w:t>
                  </w:r>
                  <w:r>
                    <w:rPr>
                      <w:rFonts w:ascii="Calibri" w:hAnsi="Calibri"/>
                      <w:b/>
                      <w:color w:val="FFFFFF"/>
                      <w:position w:val="9"/>
                      <w:sz w:val="15"/>
                    </w:rPr>
                    <w:t>® </w:t>
                  </w:r>
                  <w:r>
                    <w:rPr>
                      <w:rFonts w:ascii="Calibri" w:hAnsi="Calibri"/>
                      <w:b/>
                      <w:color w:val="FFFFFF"/>
                      <w:sz w:val="25"/>
                    </w:rPr>
                    <w:t>(naltrexone for extended-release injectable suspension)</w:t>
                  </w:r>
                </w:p>
              </w:txbxContent>
            </v:textbox>
            <v:fill type="solid"/>
            <w10:wrap type="topAndBottom"/>
          </v:shape>
        </w:pict>
      </w:r>
      <w:bookmarkStart w:name="_TOC_250063" w:id="52"/>
      <w:bookmarkEnd w:id="52"/>
      <w:r>
        <w:rPr>
          <w:color w:val="137692"/>
          <w:w w:val="110"/>
        </w:rPr>
        <w:t>Patient Counseling Tool for XR-NTX</w:t>
      </w:r>
    </w:p>
    <w:p>
      <w:pPr>
        <w:spacing w:line="251" w:lineRule="exact" w:before="153"/>
        <w:ind w:left="1089" w:right="0" w:firstLine="0"/>
        <w:jc w:val="both"/>
        <w:rPr>
          <w:rFonts w:ascii="Calibri"/>
          <w:b/>
          <w:sz w:val="21"/>
        </w:rPr>
      </w:pPr>
      <w:r>
        <w:rPr>
          <w:rFonts w:ascii="Calibri"/>
          <w:b/>
          <w:color w:val="04A94E"/>
          <w:sz w:val="21"/>
        </w:rPr>
        <w:t>Risk of sudden opioid withdrawal during initiation and re-initiation of VIVITROL</w:t>
      </w:r>
    </w:p>
    <w:p>
      <w:pPr>
        <w:spacing w:line="237" w:lineRule="auto" w:before="0"/>
        <w:ind w:left="1089" w:right="1292" w:firstLine="0"/>
        <w:jc w:val="both"/>
        <w:rPr>
          <w:rFonts w:ascii="Calibri"/>
          <w:sz w:val="18"/>
        </w:rPr>
      </w:pPr>
      <w:r>
        <w:rPr>
          <w:rFonts w:ascii="Calibri"/>
          <w:color w:val="004A61"/>
          <w:sz w:val="18"/>
        </w:rPr>
        <w:t>Using</w:t>
      </w:r>
      <w:r>
        <w:rPr>
          <w:rFonts w:ascii="Calibri"/>
          <w:color w:val="004A61"/>
          <w:spacing w:val="-5"/>
          <w:sz w:val="18"/>
        </w:rPr>
        <w:t> </w:t>
      </w:r>
      <w:r>
        <w:rPr>
          <w:rFonts w:ascii="Calibri"/>
          <w:color w:val="004A61"/>
          <w:sz w:val="18"/>
        </w:rPr>
        <w:t>any</w:t>
      </w:r>
      <w:r>
        <w:rPr>
          <w:rFonts w:ascii="Calibri"/>
          <w:color w:val="004A61"/>
          <w:spacing w:val="-5"/>
          <w:sz w:val="18"/>
        </w:rPr>
        <w:t> </w:t>
      </w:r>
      <w:r>
        <w:rPr>
          <w:rFonts w:ascii="Calibri"/>
          <w:color w:val="004A61"/>
          <w:sz w:val="18"/>
        </w:rPr>
        <w:t>type</w:t>
      </w:r>
      <w:r>
        <w:rPr>
          <w:rFonts w:ascii="Calibri"/>
          <w:color w:val="004A61"/>
          <w:spacing w:val="-5"/>
          <w:sz w:val="18"/>
        </w:rPr>
        <w:t> </w:t>
      </w:r>
      <w:r>
        <w:rPr>
          <w:rFonts w:ascii="Calibri"/>
          <w:color w:val="004A61"/>
          <w:sz w:val="18"/>
        </w:rPr>
        <w:t>of</w:t>
      </w:r>
      <w:r>
        <w:rPr>
          <w:rFonts w:ascii="Calibri"/>
          <w:color w:val="004A61"/>
          <w:spacing w:val="-5"/>
          <w:sz w:val="18"/>
        </w:rPr>
        <w:t> </w:t>
      </w:r>
      <w:r>
        <w:rPr>
          <w:rFonts w:ascii="Calibri"/>
          <w:color w:val="004A61"/>
          <w:sz w:val="18"/>
        </w:rPr>
        <w:t>opioid</w:t>
      </w:r>
      <w:r>
        <w:rPr>
          <w:rFonts w:ascii="Calibri"/>
          <w:color w:val="004A61"/>
          <w:spacing w:val="-5"/>
          <w:sz w:val="18"/>
        </w:rPr>
        <w:t> </w:t>
      </w:r>
      <w:r>
        <w:rPr>
          <w:rFonts w:ascii="Calibri"/>
          <w:color w:val="004A61"/>
          <w:sz w:val="18"/>
        </w:rPr>
        <w:t>including</w:t>
      </w:r>
      <w:r>
        <w:rPr>
          <w:rFonts w:ascii="Calibri"/>
          <w:color w:val="004A61"/>
          <w:spacing w:val="-5"/>
          <w:sz w:val="18"/>
        </w:rPr>
        <w:t> </w:t>
      </w:r>
      <w:r>
        <w:rPr>
          <w:rFonts w:ascii="Calibri"/>
          <w:color w:val="004A61"/>
          <w:sz w:val="18"/>
        </w:rPr>
        <w:t>street</w:t>
      </w:r>
      <w:r>
        <w:rPr>
          <w:rFonts w:ascii="Calibri"/>
          <w:color w:val="004A61"/>
          <w:spacing w:val="-5"/>
          <w:sz w:val="18"/>
        </w:rPr>
        <w:t> </w:t>
      </w:r>
      <w:r>
        <w:rPr>
          <w:rFonts w:ascii="Calibri"/>
          <w:color w:val="004A61"/>
          <w:sz w:val="18"/>
        </w:rPr>
        <w:t>drugs,</w:t>
      </w:r>
      <w:r>
        <w:rPr>
          <w:rFonts w:ascii="Calibri"/>
          <w:color w:val="004A61"/>
          <w:spacing w:val="-5"/>
          <w:sz w:val="18"/>
        </w:rPr>
        <w:t> </w:t>
      </w:r>
      <w:r>
        <w:rPr>
          <w:rFonts w:ascii="Calibri"/>
          <w:color w:val="004A61"/>
          <w:sz w:val="18"/>
        </w:rPr>
        <w:t>prescription</w:t>
      </w:r>
      <w:r>
        <w:rPr>
          <w:rFonts w:ascii="Calibri"/>
          <w:color w:val="004A61"/>
          <w:spacing w:val="-5"/>
          <w:sz w:val="18"/>
        </w:rPr>
        <w:t> </w:t>
      </w:r>
      <w:r>
        <w:rPr>
          <w:rFonts w:ascii="Calibri"/>
          <w:color w:val="004A61"/>
          <w:sz w:val="18"/>
        </w:rPr>
        <w:t>pain</w:t>
      </w:r>
      <w:r>
        <w:rPr>
          <w:rFonts w:ascii="Calibri"/>
          <w:color w:val="004A61"/>
          <w:spacing w:val="-5"/>
          <w:sz w:val="18"/>
        </w:rPr>
        <w:t> </w:t>
      </w:r>
      <w:r>
        <w:rPr>
          <w:rFonts w:ascii="Calibri"/>
          <w:color w:val="004A61"/>
          <w:sz w:val="18"/>
        </w:rPr>
        <w:t>medicines,</w:t>
      </w:r>
      <w:r>
        <w:rPr>
          <w:rFonts w:ascii="Calibri"/>
          <w:color w:val="004A61"/>
          <w:spacing w:val="-5"/>
          <w:sz w:val="18"/>
        </w:rPr>
        <w:t> </w:t>
      </w:r>
      <w:r>
        <w:rPr>
          <w:rFonts w:ascii="Calibri"/>
          <w:color w:val="004A61"/>
          <w:sz w:val="18"/>
        </w:rPr>
        <w:t>cough,</w:t>
      </w:r>
      <w:r>
        <w:rPr>
          <w:rFonts w:ascii="Calibri"/>
          <w:color w:val="004A61"/>
          <w:spacing w:val="-5"/>
          <w:sz w:val="18"/>
        </w:rPr>
        <w:t> </w:t>
      </w:r>
      <w:r>
        <w:rPr>
          <w:rFonts w:ascii="Calibri"/>
          <w:color w:val="004A61"/>
          <w:sz w:val="18"/>
        </w:rPr>
        <w:t>cold</w:t>
      </w:r>
      <w:r>
        <w:rPr>
          <w:rFonts w:ascii="Calibri"/>
          <w:color w:val="004A61"/>
          <w:spacing w:val="-5"/>
          <w:sz w:val="18"/>
        </w:rPr>
        <w:t> </w:t>
      </w:r>
      <w:r>
        <w:rPr>
          <w:rFonts w:ascii="Calibri"/>
          <w:color w:val="004A61"/>
          <w:sz w:val="18"/>
        </w:rPr>
        <w:t>or</w:t>
      </w:r>
      <w:r>
        <w:rPr>
          <w:rFonts w:ascii="Calibri"/>
          <w:color w:val="004A61"/>
          <w:spacing w:val="-5"/>
          <w:sz w:val="18"/>
        </w:rPr>
        <w:t> </w:t>
      </w:r>
      <w:r>
        <w:rPr>
          <w:rFonts w:ascii="Calibri"/>
          <w:color w:val="004A61"/>
          <w:sz w:val="18"/>
        </w:rPr>
        <w:t>diarrhea</w:t>
      </w:r>
      <w:r>
        <w:rPr>
          <w:rFonts w:ascii="Calibri"/>
          <w:color w:val="004A61"/>
          <w:spacing w:val="-5"/>
          <w:sz w:val="18"/>
        </w:rPr>
        <w:t> </w:t>
      </w:r>
      <w:r>
        <w:rPr>
          <w:rFonts w:ascii="Calibri"/>
          <w:color w:val="004A61"/>
          <w:sz w:val="18"/>
        </w:rPr>
        <w:t>medicines that</w:t>
      </w:r>
      <w:r>
        <w:rPr>
          <w:rFonts w:ascii="Calibri"/>
          <w:color w:val="004A61"/>
          <w:spacing w:val="-16"/>
          <w:sz w:val="18"/>
        </w:rPr>
        <w:t> </w:t>
      </w:r>
      <w:r>
        <w:rPr>
          <w:rFonts w:ascii="Calibri"/>
          <w:color w:val="004A61"/>
          <w:sz w:val="18"/>
        </w:rPr>
        <w:t>contain</w:t>
      </w:r>
      <w:r>
        <w:rPr>
          <w:rFonts w:ascii="Calibri"/>
          <w:color w:val="004A61"/>
          <w:spacing w:val="-15"/>
          <w:sz w:val="18"/>
        </w:rPr>
        <w:t> </w:t>
      </w:r>
      <w:r>
        <w:rPr>
          <w:rFonts w:ascii="Calibri"/>
          <w:color w:val="004A61"/>
          <w:sz w:val="18"/>
        </w:rPr>
        <w:t>opioids,</w:t>
      </w:r>
      <w:r>
        <w:rPr>
          <w:rFonts w:ascii="Calibri"/>
          <w:color w:val="004A61"/>
          <w:spacing w:val="-15"/>
          <w:sz w:val="18"/>
        </w:rPr>
        <w:t> </w:t>
      </w:r>
      <w:r>
        <w:rPr>
          <w:rFonts w:ascii="Calibri"/>
          <w:color w:val="004A61"/>
          <w:sz w:val="18"/>
        </w:rPr>
        <w:t>or</w:t>
      </w:r>
      <w:r>
        <w:rPr>
          <w:rFonts w:ascii="Calibri"/>
          <w:color w:val="004A61"/>
          <w:spacing w:val="-15"/>
          <w:sz w:val="18"/>
        </w:rPr>
        <w:t> </w:t>
      </w:r>
      <w:r>
        <w:rPr>
          <w:rFonts w:ascii="Calibri"/>
          <w:color w:val="004A61"/>
          <w:sz w:val="18"/>
        </w:rPr>
        <w:t>opioid</w:t>
      </w:r>
      <w:r>
        <w:rPr>
          <w:rFonts w:ascii="Calibri"/>
          <w:color w:val="004A61"/>
          <w:spacing w:val="-16"/>
          <w:sz w:val="18"/>
        </w:rPr>
        <w:t> </w:t>
      </w:r>
      <w:r>
        <w:rPr>
          <w:rFonts w:ascii="Calibri"/>
          <w:color w:val="004A61"/>
          <w:sz w:val="18"/>
        </w:rPr>
        <w:t>dependence</w:t>
      </w:r>
      <w:r>
        <w:rPr>
          <w:rFonts w:ascii="Calibri"/>
          <w:color w:val="004A61"/>
          <w:spacing w:val="-15"/>
          <w:sz w:val="18"/>
        </w:rPr>
        <w:t> </w:t>
      </w:r>
      <w:r>
        <w:rPr>
          <w:rFonts w:ascii="Calibri"/>
          <w:color w:val="004A61"/>
          <w:sz w:val="18"/>
        </w:rPr>
        <w:t>treatments</w:t>
      </w:r>
      <w:r>
        <w:rPr>
          <w:rFonts w:ascii="Calibri"/>
          <w:color w:val="004A61"/>
          <w:spacing w:val="-15"/>
          <w:sz w:val="18"/>
        </w:rPr>
        <w:t> </w:t>
      </w:r>
      <w:r>
        <w:rPr>
          <w:rFonts w:ascii="Calibri"/>
          <w:color w:val="004A61"/>
          <w:sz w:val="18"/>
        </w:rPr>
        <w:t>buprenorphine</w:t>
      </w:r>
      <w:r>
        <w:rPr>
          <w:rFonts w:ascii="Calibri"/>
          <w:color w:val="004A61"/>
          <w:spacing w:val="-15"/>
          <w:sz w:val="18"/>
        </w:rPr>
        <w:t> </w:t>
      </w:r>
      <w:r>
        <w:rPr>
          <w:rFonts w:ascii="Calibri"/>
          <w:color w:val="004A61"/>
          <w:sz w:val="18"/>
        </w:rPr>
        <w:t>or</w:t>
      </w:r>
      <w:r>
        <w:rPr>
          <w:rFonts w:ascii="Calibri"/>
          <w:color w:val="004A61"/>
          <w:spacing w:val="-15"/>
          <w:sz w:val="18"/>
        </w:rPr>
        <w:t> </w:t>
      </w:r>
      <w:r>
        <w:rPr>
          <w:rFonts w:ascii="Calibri"/>
          <w:color w:val="004A61"/>
          <w:sz w:val="18"/>
        </w:rPr>
        <w:t>methadone,</w:t>
      </w:r>
      <w:r>
        <w:rPr>
          <w:rFonts w:ascii="Calibri"/>
          <w:color w:val="004A61"/>
          <w:spacing w:val="-16"/>
          <w:sz w:val="18"/>
        </w:rPr>
        <w:t> </w:t>
      </w:r>
      <w:r>
        <w:rPr>
          <w:rFonts w:ascii="Calibri"/>
          <w:color w:val="004A61"/>
          <w:sz w:val="18"/>
        </w:rPr>
        <w:t>in</w:t>
      </w:r>
      <w:r>
        <w:rPr>
          <w:rFonts w:ascii="Calibri"/>
          <w:color w:val="004A61"/>
          <w:spacing w:val="-15"/>
          <w:sz w:val="18"/>
        </w:rPr>
        <w:t> </w:t>
      </w:r>
      <w:r>
        <w:rPr>
          <w:rFonts w:ascii="Calibri"/>
          <w:color w:val="004A61"/>
          <w:sz w:val="18"/>
        </w:rPr>
        <w:t>the</w:t>
      </w:r>
      <w:r>
        <w:rPr>
          <w:rFonts w:ascii="Calibri"/>
          <w:color w:val="004A61"/>
          <w:spacing w:val="-15"/>
          <w:sz w:val="18"/>
        </w:rPr>
        <w:t> </w:t>
      </w:r>
      <w:r>
        <w:rPr>
          <w:rFonts w:ascii="Calibri"/>
          <w:color w:val="004A61"/>
          <w:sz w:val="18"/>
        </w:rPr>
        <w:t>7</w:t>
      </w:r>
      <w:r>
        <w:rPr>
          <w:rFonts w:ascii="Calibri"/>
          <w:color w:val="004A61"/>
          <w:spacing w:val="-15"/>
          <w:sz w:val="18"/>
        </w:rPr>
        <w:t> </w:t>
      </w:r>
      <w:r>
        <w:rPr>
          <w:rFonts w:ascii="Calibri"/>
          <w:color w:val="004A61"/>
          <w:sz w:val="18"/>
        </w:rPr>
        <w:t>to</w:t>
      </w:r>
      <w:r>
        <w:rPr>
          <w:rFonts w:ascii="Calibri"/>
          <w:color w:val="004A61"/>
          <w:spacing w:val="-15"/>
          <w:sz w:val="18"/>
        </w:rPr>
        <w:t> </w:t>
      </w:r>
      <w:r>
        <w:rPr>
          <w:rFonts w:ascii="Calibri"/>
          <w:color w:val="004A61"/>
          <w:sz w:val="18"/>
        </w:rPr>
        <w:t>14</w:t>
      </w:r>
      <w:r>
        <w:rPr>
          <w:rFonts w:ascii="Calibri"/>
          <w:color w:val="004A61"/>
          <w:spacing w:val="-16"/>
          <w:sz w:val="18"/>
        </w:rPr>
        <w:t> </w:t>
      </w:r>
      <w:r>
        <w:rPr>
          <w:rFonts w:ascii="Calibri"/>
          <w:color w:val="004A61"/>
          <w:sz w:val="18"/>
        </w:rPr>
        <w:t>days</w:t>
      </w:r>
      <w:r>
        <w:rPr>
          <w:rFonts w:ascii="Calibri"/>
          <w:color w:val="004A61"/>
          <w:spacing w:val="-15"/>
          <w:sz w:val="18"/>
        </w:rPr>
        <w:t> </w:t>
      </w:r>
      <w:r>
        <w:rPr>
          <w:rFonts w:ascii="Calibri"/>
          <w:color w:val="004A61"/>
          <w:sz w:val="18"/>
        </w:rPr>
        <w:t>before starting VIVITROL may cause severe and potentially dangerous sudden opioid</w:t>
      </w:r>
      <w:r>
        <w:rPr>
          <w:rFonts w:ascii="Calibri"/>
          <w:color w:val="004A61"/>
          <w:spacing w:val="-20"/>
          <w:sz w:val="18"/>
        </w:rPr>
        <w:t> </w:t>
      </w:r>
      <w:r>
        <w:rPr>
          <w:rFonts w:ascii="Calibri"/>
          <w:color w:val="004A61"/>
          <w:sz w:val="18"/>
        </w:rPr>
        <w:t>withdrawal.</w:t>
      </w:r>
    </w:p>
    <w:p>
      <w:pPr>
        <w:pStyle w:val="BodyText"/>
        <w:spacing w:before="11"/>
        <w:rPr>
          <w:rFonts w:ascii="Calibri"/>
          <w:sz w:val="17"/>
        </w:rPr>
      </w:pPr>
    </w:p>
    <w:p>
      <w:pPr>
        <w:spacing w:line="251" w:lineRule="exact" w:before="1"/>
        <w:ind w:left="1089" w:right="0" w:firstLine="0"/>
        <w:jc w:val="both"/>
        <w:rPr>
          <w:rFonts w:ascii="Calibri"/>
          <w:b/>
          <w:sz w:val="21"/>
        </w:rPr>
      </w:pPr>
      <w:r>
        <w:rPr>
          <w:rFonts w:ascii="Calibri"/>
          <w:b/>
          <w:color w:val="04A94E"/>
          <w:sz w:val="21"/>
        </w:rPr>
        <w:t>Risk of opioid overdose</w:t>
      </w:r>
    </w:p>
    <w:p>
      <w:pPr>
        <w:spacing w:line="214" w:lineRule="exact" w:before="0"/>
        <w:ind w:left="1089" w:right="0" w:firstLine="0"/>
        <w:jc w:val="both"/>
        <w:rPr>
          <w:rFonts w:ascii="Calibri"/>
          <w:b/>
          <w:sz w:val="18"/>
        </w:rPr>
      </w:pPr>
      <w:r>
        <w:rPr>
          <w:rFonts w:ascii="Calibri"/>
          <w:b/>
          <w:color w:val="004A61"/>
          <w:sz w:val="18"/>
        </w:rPr>
        <w:t>Patients may be more sensitive to the effects of lower amounts of opioids:</w:t>
      </w:r>
    </w:p>
    <w:p>
      <w:pPr>
        <w:pStyle w:val="ListParagraph"/>
        <w:numPr>
          <w:ilvl w:val="0"/>
          <w:numId w:val="27"/>
        </w:numPr>
        <w:tabs>
          <w:tab w:pos="1847" w:val="left" w:leader="none"/>
          <w:tab w:pos="5454" w:val="left" w:leader="none"/>
        </w:tabs>
        <w:spacing w:line="240" w:lineRule="auto" w:before="116" w:after="0"/>
        <w:ind w:left="1846" w:right="0" w:hanging="193"/>
        <w:jc w:val="left"/>
        <w:rPr>
          <w:rFonts w:ascii="Calibri" w:hAnsi="Calibri"/>
          <w:sz w:val="18"/>
        </w:rPr>
      </w:pPr>
      <w:r>
        <w:rPr>
          <w:rFonts w:ascii="Calibri" w:hAnsi="Calibri"/>
          <w:color w:val="004A61"/>
          <w:sz w:val="18"/>
        </w:rPr>
        <w:t>After stopping</w:t>
      </w:r>
      <w:r>
        <w:rPr>
          <w:rFonts w:ascii="Calibri" w:hAnsi="Calibri"/>
          <w:color w:val="004A61"/>
          <w:spacing w:val="-24"/>
          <w:sz w:val="18"/>
        </w:rPr>
        <w:t> </w:t>
      </w:r>
      <w:r>
        <w:rPr>
          <w:rFonts w:ascii="Calibri" w:hAnsi="Calibri"/>
          <w:color w:val="004A61"/>
          <w:sz w:val="18"/>
        </w:rPr>
        <w:t>opioids</w:t>
      </w:r>
      <w:r>
        <w:rPr>
          <w:rFonts w:ascii="Calibri" w:hAnsi="Calibri"/>
          <w:color w:val="004A61"/>
          <w:spacing w:val="-11"/>
          <w:sz w:val="18"/>
        </w:rPr>
        <w:t> </w:t>
      </w:r>
      <w:r>
        <w:rPr>
          <w:rFonts w:ascii="Calibri" w:hAnsi="Calibri"/>
          <w:color w:val="004A61"/>
          <w:sz w:val="18"/>
        </w:rPr>
        <w:t>(detoxification)</w:t>
        <w:tab/>
        <w:t>• If a dose of VIVITROL is</w:t>
      </w:r>
      <w:r>
        <w:rPr>
          <w:rFonts w:ascii="Calibri" w:hAnsi="Calibri"/>
          <w:color w:val="004A61"/>
          <w:spacing w:val="-3"/>
          <w:sz w:val="18"/>
        </w:rPr>
        <w:t> </w:t>
      </w:r>
      <w:r>
        <w:rPr>
          <w:rFonts w:ascii="Calibri" w:hAnsi="Calibri"/>
          <w:color w:val="004A61"/>
          <w:sz w:val="18"/>
        </w:rPr>
        <w:t>missed</w:t>
      </w:r>
    </w:p>
    <w:p>
      <w:pPr>
        <w:pStyle w:val="ListParagraph"/>
        <w:numPr>
          <w:ilvl w:val="0"/>
          <w:numId w:val="27"/>
        </w:numPr>
        <w:tabs>
          <w:tab w:pos="1847" w:val="left" w:leader="none"/>
          <w:tab w:pos="5454" w:val="left" w:leader="none"/>
        </w:tabs>
        <w:spacing w:line="240" w:lineRule="auto" w:before="85" w:after="0"/>
        <w:ind w:left="1846" w:right="0" w:hanging="193"/>
        <w:jc w:val="left"/>
        <w:rPr>
          <w:rFonts w:ascii="Calibri" w:hAnsi="Calibri"/>
          <w:sz w:val="18"/>
        </w:rPr>
      </w:pPr>
      <w:r>
        <w:rPr>
          <w:rFonts w:ascii="Calibri" w:hAnsi="Calibri"/>
          <w:color w:val="004A61"/>
          <w:sz w:val="18"/>
        </w:rPr>
        <w:t>When the next VIVITROL dose</w:t>
      </w:r>
      <w:r>
        <w:rPr>
          <w:rFonts w:ascii="Calibri" w:hAnsi="Calibri"/>
          <w:color w:val="004A61"/>
          <w:spacing w:val="-15"/>
          <w:sz w:val="18"/>
        </w:rPr>
        <w:t> </w:t>
      </w:r>
      <w:r>
        <w:rPr>
          <w:rFonts w:ascii="Calibri" w:hAnsi="Calibri"/>
          <w:color w:val="004A61"/>
          <w:sz w:val="18"/>
        </w:rPr>
        <w:t>is</w:t>
      </w:r>
      <w:r>
        <w:rPr>
          <w:rFonts w:ascii="Calibri" w:hAnsi="Calibri"/>
          <w:color w:val="004A61"/>
          <w:spacing w:val="-3"/>
          <w:sz w:val="18"/>
        </w:rPr>
        <w:t> </w:t>
      </w:r>
      <w:r>
        <w:rPr>
          <w:rFonts w:ascii="Calibri" w:hAnsi="Calibri"/>
          <w:color w:val="004A61"/>
          <w:sz w:val="18"/>
        </w:rPr>
        <w:t>due</w:t>
        <w:tab/>
        <w:t>• After VIVITROL treatment</w:t>
      </w:r>
      <w:r>
        <w:rPr>
          <w:rFonts w:ascii="Calibri" w:hAnsi="Calibri"/>
          <w:color w:val="004A61"/>
          <w:spacing w:val="-5"/>
          <w:sz w:val="18"/>
        </w:rPr>
        <w:t> </w:t>
      </w:r>
      <w:r>
        <w:rPr>
          <w:rFonts w:ascii="Calibri" w:hAnsi="Calibri"/>
          <w:color w:val="004A61"/>
          <w:sz w:val="18"/>
        </w:rPr>
        <w:t>stops</w:t>
      </w:r>
    </w:p>
    <w:p>
      <w:pPr>
        <w:pStyle w:val="BodyText"/>
        <w:spacing w:before="8"/>
        <w:rPr>
          <w:rFonts w:ascii="Calibri"/>
          <w:sz w:val="18"/>
        </w:rPr>
      </w:pPr>
    </w:p>
    <w:p>
      <w:pPr>
        <w:spacing w:line="237" w:lineRule="auto" w:before="0"/>
        <w:ind w:left="1089" w:right="1512" w:firstLine="0"/>
        <w:jc w:val="left"/>
        <w:rPr>
          <w:rFonts w:ascii="Calibri"/>
          <w:sz w:val="18"/>
        </w:rPr>
      </w:pPr>
      <w:r>
        <w:rPr>
          <w:rFonts w:ascii="Calibri"/>
          <w:color w:val="004A61"/>
          <w:sz w:val="18"/>
        </w:rPr>
        <w:t>Patients</w:t>
      </w:r>
      <w:r>
        <w:rPr>
          <w:rFonts w:ascii="Calibri"/>
          <w:color w:val="004A61"/>
          <w:spacing w:val="-9"/>
          <w:sz w:val="18"/>
        </w:rPr>
        <w:t> </w:t>
      </w:r>
      <w:r>
        <w:rPr>
          <w:rFonts w:ascii="Calibri"/>
          <w:color w:val="004A61"/>
          <w:sz w:val="18"/>
        </w:rPr>
        <w:t>should</w:t>
      </w:r>
      <w:r>
        <w:rPr>
          <w:rFonts w:ascii="Calibri"/>
          <w:color w:val="004A61"/>
          <w:spacing w:val="-9"/>
          <w:sz w:val="18"/>
        </w:rPr>
        <w:t> </w:t>
      </w:r>
      <w:r>
        <w:rPr>
          <w:rFonts w:ascii="Calibri"/>
          <w:color w:val="004A61"/>
          <w:sz w:val="18"/>
        </w:rPr>
        <w:t>tell</w:t>
      </w:r>
      <w:r>
        <w:rPr>
          <w:rFonts w:ascii="Calibri"/>
          <w:color w:val="004A61"/>
          <w:spacing w:val="-8"/>
          <w:sz w:val="18"/>
        </w:rPr>
        <w:t> </w:t>
      </w:r>
      <w:r>
        <w:rPr>
          <w:rFonts w:ascii="Calibri"/>
          <w:color w:val="004A61"/>
          <w:sz w:val="18"/>
        </w:rPr>
        <w:t>their</w:t>
      </w:r>
      <w:r>
        <w:rPr>
          <w:rFonts w:ascii="Calibri"/>
          <w:color w:val="004A61"/>
          <w:spacing w:val="-9"/>
          <w:sz w:val="18"/>
        </w:rPr>
        <w:t> </w:t>
      </w:r>
      <w:r>
        <w:rPr>
          <w:rFonts w:ascii="Calibri"/>
          <w:color w:val="004A61"/>
          <w:sz w:val="18"/>
        </w:rPr>
        <w:t>family</w:t>
      </w:r>
      <w:r>
        <w:rPr>
          <w:rFonts w:ascii="Calibri"/>
          <w:color w:val="004A61"/>
          <w:spacing w:val="-8"/>
          <w:sz w:val="18"/>
        </w:rPr>
        <w:t> </w:t>
      </w:r>
      <w:r>
        <w:rPr>
          <w:rFonts w:ascii="Calibri"/>
          <w:color w:val="004A61"/>
          <w:sz w:val="18"/>
        </w:rPr>
        <w:t>and</w:t>
      </w:r>
      <w:r>
        <w:rPr>
          <w:rFonts w:ascii="Calibri"/>
          <w:color w:val="004A61"/>
          <w:spacing w:val="-9"/>
          <w:sz w:val="18"/>
        </w:rPr>
        <w:t> </w:t>
      </w:r>
      <w:r>
        <w:rPr>
          <w:rFonts w:ascii="Calibri"/>
          <w:color w:val="004A61"/>
          <w:sz w:val="18"/>
        </w:rPr>
        <w:t>people</w:t>
      </w:r>
      <w:r>
        <w:rPr>
          <w:rFonts w:ascii="Calibri"/>
          <w:color w:val="004A61"/>
          <w:spacing w:val="-8"/>
          <w:sz w:val="18"/>
        </w:rPr>
        <w:t> </w:t>
      </w:r>
      <w:r>
        <w:rPr>
          <w:rFonts w:ascii="Calibri"/>
          <w:color w:val="004A61"/>
          <w:sz w:val="18"/>
        </w:rPr>
        <w:t>close</w:t>
      </w:r>
      <w:r>
        <w:rPr>
          <w:rFonts w:ascii="Calibri"/>
          <w:color w:val="004A61"/>
          <w:spacing w:val="-9"/>
          <w:sz w:val="18"/>
        </w:rPr>
        <w:t> </w:t>
      </w:r>
      <w:r>
        <w:rPr>
          <w:rFonts w:ascii="Calibri"/>
          <w:color w:val="004A61"/>
          <w:sz w:val="18"/>
        </w:rPr>
        <w:t>to</w:t>
      </w:r>
      <w:r>
        <w:rPr>
          <w:rFonts w:ascii="Calibri"/>
          <w:color w:val="004A61"/>
          <w:spacing w:val="-8"/>
          <w:sz w:val="18"/>
        </w:rPr>
        <w:t> </w:t>
      </w:r>
      <w:r>
        <w:rPr>
          <w:rFonts w:ascii="Calibri"/>
          <w:color w:val="004A61"/>
          <w:sz w:val="18"/>
        </w:rPr>
        <w:t>them</w:t>
      </w:r>
      <w:r>
        <w:rPr>
          <w:rFonts w:ascii="Calibri"/>
          <w:color w:val="004A61"/>
          <w:spacing w:val="-9"/>
          <w:sz w:val="18"/>
        </w:rPr>
        <w:t> </w:t>
      </w:r>
      <w:r>
        <w:rPr>
          <w:rFonts w:ascii="Calibri"/>
          <w:color w:val="004A61"/>
          <w:sz w:val="18"/>
        </w:rPr>
        <w:t>about</w:t>
      </w:r>
      <w:r>
        <w:rPr>
          <w:rFonts w:ascii="Calibri"/>
          <w:color w:val="004A61"/>
          <w:spacing w:val="-9"/>
          <w:sz w:val="18"/>
        </w:rPr>
        <w:t> </w:t>
      </w:r>
      <w:r>
        <w:rPr>
          <w:rFonts w:ascii="Calibri"/>
          <w:color w:val="004A61"/>
          <w:sz w:val="18"/>
        </w:rPr>
        <w:t>the</w:t>
      </w:r>
      <w:r>
        <w:rPr>
          <w:rFonts w:ascii="Calibri"/>
          <w:color w:val="004A61"/>
          <w:spacing w:val="-8"/>
          <w:sz w:val="18"/>
        </w:rPr>
        <w:t> </w:t>
      </w:r>
      <w:r>
        <w:rPr>
          <w:rFonts w:ascii="Calibri"/>
          <w:color w:val="004A61"/>
          <w:sz w:val="18"/>
        </w:rPr>
        <w:t>increased</w:t>
      </w:r>
      <w:r>
        <w:rPr>
          <w:rFonts w:ascii="Calibri"/>
          <w:color w:val="004A61"/>
          <w:spacing w:val="-9"/>
          <w:sz w:val="18"/>
        </w:rPr>
        <w:t> </w:t>
      </w:r>
      <w:r>
        <w:rPr>
          <w:rFonts w:ascii="Calibri"/>
          <w:color w:val="004A61"/>
          <w:sz w:val="18"/>
        </w:rPr>
        <w:t>sensitivity</w:t>
      </w:r>
      <w:r>
        <w:rPr>
          <w:rFonts w:ascii="Calibri"/>
          <w:color w:val="004A61"/>
          <w:spacing w:val="-8"/>
          <w:sz w:val="18"/>
        </w:rPr>
        <w:t> </w:t>
      </w:r>
      <w:r>
        <w:rPr>
          <w:rFonts w:ascii="Calibri"/>
          <w:color w:val="004A61"/>
          <w:sz w:val="18"/>
        </w:rPr>
        <w:t>to</w:t>
      </w:r>
      <w:r>
        <w:rPr>
          <w:rFonts w:ascii="Calibri"/>
          <w:color w:val="004A61"/>
          <w:spacing w:val="-9"/>
          <w:sz w:val="18"/>
        </w:rPr>
        <w:t> </w:t>
      </w:r>
      <w:r>
        <w:rPr>
          <w:rFonts w:ascii="Calibri"/>
          <w:color w:val="004A61"/>
          <w:sz w:val="18"/>
        </w:rPr>
        <w:t>opioids</w:t>
      </w:r>
      <w:r>
        <w:rPr>
          <w:rFonts w:ascii="Calibri"/>
          <w:color w:val="004A61"/>
          <w:spacing w:val="-8"/>
          <w:sz w:val="18"/>
        </w:rPr>
        <w:t> </w:t>
      </w:r>
      <w:r>
        <w:rPr>
          <w:rFonts w:ascii="Calibri"/>
          <w:color w:val="004A61"/>
          <w:sz w:val="18"/>
        </w:rPr>
        <w:t>and</w:t>
      </w:r>
      <w:r>
        <w:rPr>
          <w:rFonts w:ascii="Calibri"/>
          <w:color w:val="004A61"/>
          <w:spacing w:val="-9"/>
          <w:sz w:val="18"/>
        </w:rPr>
        <w:t> </w:t>
      </w:r>
      <w:r>
        <w:rPr>
          <w:rFonts w:ascii="Calibri"/>
          <w:color w:val="004A61"/>
          <w:sz w:val="18"/>
        </w:rPr>
        <w:t>the risk</w:t>
      </w:r>
      <w:r>
        <w:rPr>
          <w:rFonts w:ascii="Calibri"/>
          <w:color w:val="004A61"/>
          <w:spacing w:val="-9"/>
          <w:sz w:val="18"/>
        </w:rPr>
        <w:t> </w:t>
      </w:r>
      <w:r>
        <w:rPr>
          <w:rFonts w:ascii="Calibri"/>
          <w:color w:val="004A61"/>
          <w:sz w:val="18"/>
        </w:rPr>
        <w:t>of</w:t>
      </w:r>
      <w:r>
        <w:rPr>
          <w:rFonts w:ascii="Calibri"/>
          <w:color w:val="004A61"/>
          <w:spacing w:val="-9"/>
          <w:sz w:val="18"/>
        </w:rPr>
        <w:t> </w:t>
      </w:r>
      <w:r>
        <w:rPr>
          <w:rFonts w:ascii="Calibri"/>
          <w:color w:val="004A61"/>
          <w:sz w:val="18"/>
        </w:rPr>
        <w:t>overdose</w:t>
      </w:r>
      <w:r>
        <w:rPr>
          <w:rFonts w:ascii="Calibri"/>
          <w:color w:val="004A61"/>
          <w:spacing w:val="-9"/>
          <w:sz w:val="18"/>
        </w:rPr>
        <w:t> </w:t>
      </w:r>
      <w:r>
        <w:rPr>
          <w:rFonts w:ascii="Calibri"/>
          <w:color w:val="004A61"/>
          <w:sz w:val="18"/>
        </w:rPr>
        <w:t>even</w:t>
      </w:r>
      <w:r>
        <w:rPr>
          <w:rFonts w:ascii="Calibri"/>
          <w:color w:val="004A61"/>
          <w:spacing w:val="-9"/>
          <w:sz w:val="18"/>
        </w:rPr>
        <w:t> </w:t>
      </w:r>
      <w:r>
        <w:rPr>
          <w:rFonts w:ascii="Calibri"/>
          <w:color w:val="004A61"/>
          <w:sz w:val="18"/>
        </w:rPr>
        <w:t>when</w:t>
      </w:r>
      <w:r>
        <w:rPr>
          <w:rFonts w:ascii="Calibri"/>
          <w:color w:val="004A61"/>
          <w:spacing w:val="-8"/>
          <w:sz w:val="18"/>
        </w:rPr>
        <w:t> </w:t>
      </w:r>
      <w:r>
        <w:rPr>
          <w:rFonts w:ascii="Calibri"/>
          <w:color w:val="004A61"/>
          <w:sz w:val="18"/>
        </w:rPr>
        <w:t>using</w:t>
      </w:r>
      <w:r>
        <w:rPr>
          <w:rFonts w:ascii="Calibri"/>
          <w:color w:val="004A61"/>
          <w:spacing w:val="-9"/>
          <w:sz w:val="18"/>
        </w:rPr>
        <w:t> </w:t>
      </w:r>
      <w:r>
        <w:rPr>
          <w:rFonts w:ascii="Calibri"/>
          <w:color w:val="004A61"/>
          <w:sz w:val="18"/>
        </w:rPr>
        <w:t>lower</w:t>
      </w:r>
      <w:r>
        <w:rPr>
          <w:rFonts w:ascii="Calibri"/>
          <w:color w:val="004A61"/>
          <w:spacing w:val="-9"/>
          <w:sz w:val="18"/>
        </w:rPr>
        <w:t> </w:t>
      </w:r>
      <w:r>
        <w:rPr>
          <w:rFonts w:ascii="Calibri"/>
          <w:color w:val="004A61"/>
          <w:sz w:val="18"/>
        </w:rPr>
        <w:t>doses</w:t>
      </w:r>
      <w:r>
        <w:rPr>
          <w:rFonts w:ascii="Calibri"/>
          <w:color w:val="004A61"/>
          <w:spacing w:val="-9"/>
          <w:sz w:val="18"/>
        </w:rPr>
        <w:t> </w:t>
      </w:r>
      <w:r>
        <w:rPr>
          <w:rFonts w:ascii="Calibri"/>
          <w:color w:val="004A61"/>
          <w:sz w:val="18"/>
        </w:rPr>
        <w:t>of</w:t>
      </w:r>
      <w:r>
        <w:rPr>
          <w:rFonts w:ascii="Calibri"/>
          <w:color w:val="004A61"/>
          <w:spacing w:val="-8"/>
          <w:sz w:val="18"/>
        </w:rPr>
        <w:t> </w:t>
      </w:r>
      <w:r>
        <w:rPr>
          <w:rFonts w:ascii="Calibri"/>
          <w:color w:val="004A61"/>
          <w:sz w:val="18"/>
        </w:rPr>
        <w:t>opioids</w:t>
      </w:r>
      <w:r>
        <w:rPr>
          <w:rFonts w:ascii="Calibri"/>
          <w:color w:val="004A61"/>
          <w:spacing w:val="-9"/>
          <w:sz w:val="18"/>
        </w:rPr>
        <w:t> </w:t>
      </w:r>
      <w:r>
        <w:rPr>
          <w:rFonts w:ascii="Calibri"/>
          <w:color w:val="004A61"/>
          <w:sz w:val="18"/>
        </w:rPr>
        <w:t>or</w:t>
      </w:r>
      <w:r>
        <w:rPr>
          <w:rFonts w:ascii="Calibri"/>
          <w:color w:val="004A61"/>
          <w:spacing w:val="-9"/>
          <w:sz w:val="18"/>
        </w:rPr>
        <w:t> </w:t>
      </w:r>
      <w:r>
        <w:rPr>
          <w:rFonts w:ascii="Calibri"/>
          <w:color w:val="004A61"/>
          <w:sz w:val="18"/>
        </w:rPr>
        <w:t>amounts</w:t>
      </w:r>
      <w:r>
        <w:rPr>
          <w:rFonts w:ascii="Calibri"/>
          <w:color w:val="004A61"/>
          <w:spacing w:val="-9"/>
          <w:sz w:val="18"/>
        </w:rPr>
        <w:t> </w:t>
      </w:r>
      <w:r>
        <w:rPr>
          <w:rFonts w:ascii="Calibri"/>
          <w:color w:val="004A61"/>
          <w:sz w:val="18"/>
        </w:rPr>
        <w:t>that</w:t>
      </w:r>
      <w:r>
        <w:rPr>
          <w:rFonts w:ascii="Calibri"/>
          <w:color w:val="004A61"/>
          <w:spacing w:val="-8"/>
          <w:sz w:val="18"/>
        </w:rPr>
        <w:t> </w:t>
      </w:r>
      <w:r>
        <w:rPr>
          <w:rFonts w:ascii="Calibri"/>
          <w:color w:val="004A61"/>
          <w:sz w:val="18"/>
        </w:rPr>
        <w:t>they</w:t>
      </w:r>
      <w:r>
        <w:rPr>
          <w:rFonts w:ascii="Calibri"/>
          <w:color w:val="004A61"/>
          <w:spacing w:val="-9"/>
          <w:sz w:val="18"/>
        </w:rPr>
        <w:t> </w:t>
      </w:r>
      <w:r>
        <w:rPr>
          <w:rFonts w:ascii="Calibri"/>
          <w:color w:val="004A61"/>
          <w:sz w:val="18"/>
        </w:rPr>
        <w:t>used</w:t>
      </w:r>
      <w:r>
        <w:rPr>
          <w:rFonts w:ascii="Calibri"/>
          <w:color w:val="004A61"/>
          <w:spacing w:val="-9"/>
          <w:sz w:val="18"/>
        </w:rPr>
        <w:t> </w:t>
      </w:r>
      <w:r>
        <w:rPr>
          <w:rFonts w:ascii="Calibri"/>
          <w:color w:val="004A61"/>
          <w:sz w:val="18"/>
        </w:rPr>
        <w:t>before</w:t>
      </w:r>
      <w:r>
        <w:rPr>
          <w:rFonts w:ascii="Calibri"/>
          <w:color w:val="004A61"/>
          <w:spacing w:val="-9"/>
          <w:sz w:val="18"/>
        </w:rPr>
        <w:t> </w:t>
      </w:r>
      <w:r>
        <w:rPr>
          <w:rFonts w:ascii="Calibri"/>
          <w:color w:val="004A61"/>
          <w:sz w:val="18"/>
        </w:rPr>
        <w:t>treatment.</w:t>
      </w:r>
      <w:r>
        <w:rPr>
          <w:rFonts w:ascii="Calibri"/>
          <w:color w:val="004A61"/>
          <w:spacing w:val="-8"/>
          <w:sz w:val="18"/>
        </w:rPr>
        <w:t> </w:t>
      </w:r>
      <w:r>
        <w:rPr>
          <w:rFonts w:ascii="Calibri"/>
          <w:color w:val="004A61"/>
          <w:sz w:val="18"/>
        </w:rPr>
        <w:t>Using</w:t>
      </w:r>
    </w:p>
    <w:p>
      <w:pPr>
        <w:spacing w:line="237" w:lineRule="auto" w:before="0"/>
        <w:ind w:left="1089" w:right="1208" w:firstLine="0"/>
        <w:jc w:val="left"/>
        <w:rPr>
          <w:rFonts w:ascii="Calibri"/>
          <w:sz w:val="18"/>
        </w:rPr>
      </w:pPr>
      <w:r>
        <w:rPr>
          <w:rFonts w:ascii="Calibri"/>
          <w:color w:val="004A61"/>
          <w:sz w:val="18"/>
        </w:rPr>
        <w:t>large amounts of opioids, such as prescription pain pills or heroin, to overcome effects of VIVITROL can lead to serious injury, coma, and death.</w:t>
      </w:r>
    </w:p>
    <w:p>
      <w:pPr>
        <w:pStyle w:val="BodyText"/>
        <w:spacing w:before="2"/>
        <w:rPr>
          <w:rFonts w:ascii="Calibri"/>
          <w:sz w:val="18"/>
        </w:rPr>
      </w:pPr>
    </w:p>
    <w:p>
      <w:pPr>
        <w:spacing w:line="251" w:lineRule="exact" w:before="1"/>
        <w:ind w:left="1089" w:right="0" w:firstLine="0"/>
        <w:jc w:val="both"/>
        <w:rPr>
          <w:rFonts w:ascii="Calibri"/>
          <w:b/>
          <w:sz w:val="21"/>
        </w:rPr>
      </w:pPr>
      <w:r>
        <w:rPr>
          <w:rFonts w:ascii="Calibri"/>
          <w:b/>
          <w:color w:val="04A94E"/>
          <w:sz w:val="21"/>
        </w:rPr>
        <w:t>Risk of severe reactions at the injection site</w:t>
      </w:r>
    </w:p>
    <w:p>
      <w:pPr>
        <w:spacing w:line="214" w:lineRule="exact" w:before="0"/>
        <w:ind w:left="1089" w:right="0" w:firstLine="0"/>
        <w:jc w:val="both"/>
        <w:rPr>
          <w:rFonts w:ascii="Calibri"/>
          <w:b/>
          <w:sz w:val="18"/>
        </w:rPr>
      </w:pPr>
      <w:r>
        <w:rPr>
          <w:rFonts w:ascii="Calibri"/>
          <w:color w:val="004A61"/>
          <w:sz w:val="18"/>
        </w:rPr>
        <w:t>Remind patients of these </w:t>
      </w:r>
      <w:r>
        <w:rPr>
          <w:rFonts w:ascii="Calibri"/>
          <w:b/>
          <w:color w:val="004A61"/>
          <w:sz w:val="18"/>
        </w:rPr>
        <w:t>possible </w:t>
      </w:r>
      <w:r>
        <w:rPr>
          <w:rFonts w:ascii="Calibri"/>
          <w:color w:val="004A61"/>
          <w:sz w:val="18"/>
        </w:rPr>
        <w:t>symptoms at the </w:t>
      </w:r>
      <w:r>
        <w:rPr>
          <w:rFonts w:ascii="Calibri"/>
          <w:b/>
          <w:color w:val="004A61"/>
          <w:sz w:val="18"/>
        </w:rPr>
        <w:t>injection site:</w:t>
      </w:r>
    </w:p>
    <w:p>
      <w:pPr>
        <w:spacing w:after="0" w:line="214" w:lineRule="exact"/>
        <w:jc w:val="both"/>
        <w:rPr>
          <w:rFonts w:ascii="Calibri"/>
          <w:sz w:val="18"/>
        </w:rPr>
        <w:sectPr>
          <w:pgSz w:w="12240" w:h="15840"/>
          <w:pgMar w:header="576" w:footer="677" w:top="1340" w:bottom="860" w:left="940" w:right="920"/>
        </w:sectPr>
      </w:pPr>
    </w:p>
    <w:p>
      <w:pPr>
        <w:pStyle w:val="ListParagraph"/>
        <w:numPr>
          <w:ilvl w:val="0"/>
          <w:numId w:val="27"/>
        </w:numPr>
        <w:tabs>
          <w:tab w:pos="1836" w:val="left" w:leader="none"/>
        </w:tabs>
        <w:spacing w:line="240" w:lineRule="auto" w:before="85" w:after="0"/>
        <w:ind w:left="1835" w:right="0" w:hanging="192"/>
        <w:jc w:val="left"/>
        <w:rPr>
          <w:rFonts w:ascii="Calibri" w:hAnsi="Calibri"/>
          <w:sz w:val="18"/>
        </w:rPr>
      </w:pPr>
      <w:r>
        <w:rPr>
          <w:rFonts w:ascii="Calibri" w:hAnsi="Calibri"/>
          <w:color w:val="004A61"/>
          <w:sz w:val="18"/>
        </w:rPr>
        <w:t>Intense</w:t>
      </w:r>
      <w:r>
        <w:rPr>
          <w:rFonts w:ascii="Calibri" w:hAnsi="Calibri"/>
          <w:color w:val="004A61"/>
          <w:spacing w:val="-2"/>
          <w:sz w:val="18"/>
        </w:rPr>
        <w:t> </w:t>
      </w:r>
      <w:r>
        <w:rPr>
          <w:rFonts w:ascii="Calibri" w:hAnsi="Calibri"/>
          <w:color w:val="004A61"/>
          <w:sz w:val="18"/>
        </w:rPr>
        <w:t>pain</w:t>
      </w:r>
    </w:p>
    <w:p>
      <w:pPr>
        <w:pStyle w:val="ListParagraph"/>
        <w:numPr>
          <w:ilvl w:val="0"/>
          <w:numId w:val="27"/>
        </w:numPr>
        <w:tabs>
          <w:tab w:pos="1836" w:val="left" w:leader="none"/>
        </w:tabs>
        <w:spacing w:line="240" w:lineRule="auto" w:before="84" w:after="0"/>
        <w:ind w:left="1835" w:right="0" w:hanging="192"/>
        <w:jc w:val="left"/>
        <w:rPr>
          <w:rFonts w:ascii="Calibri" w:hAnsi="Calibri"/>
          <w:sz w:val="18"/>
        </w:rPr>
      </w:pPr>
      <w:r>
        <w:rPr>
          <w:rFonts w:ascii="Calibri" w:hAnsi="Calibri"/>
          <w:color w:val="004A61"/>
          <w:sz w:val="18"/>
        </w:rPr>
        <w:t>The area feels</w:t>
      </w:r>
      <w:r>
        <w:rPr>
          <w:rFonts w:ascii="Calibri" w:hAnsi="Calibri"/>
          <w:color w:val="004A61"/>
          <w:spacing w:val="-2"/>
          <w:sz w:val="18"/>
        </w:rPr>
        <w:t> </w:t>
      </w:r>
      <w:r>
        <w:rPr>
          <w:rFonts w:ascii="Calibri" w:hAnsi="Calibri"/>
          <w:color w:val="004A61"/>
          <w:sz w:val="18"/>
        </w:rPr>
        <w:t>hard</w:t>
      </w:r>
    </w:p>
    <w:p>
      <w:pPr>
        <w:pStyle w:val="ListParagraph"/>
        <w:numPr>
          <w:ilvl w:val="0"/>
          <w:numId w:val="27"/>
        </w:numPr>
        <w:tabs>
          <w:tab w:pos="1836" w:val="left" w:leader="none"/>
        </w:tabs>
        <w:spacing w:line="240" w:lineRule="auto" w:before="85" w:after="0"/>
        <w:ind w:left="1835" w:right="0" w:hanging="192"/>
        <w:jc w:val="left"/>
        <w:rPr>
          <w:rFonts w:ascii="Calibri" w:hAnsi="Calibri"/>
          <w:sz w:val="18"/>
        </w:rPr>
      </w:pPr>
      <w:r>
        <w:rPr>
          <w:rFonts w:ascii="Calibri" w:hAnsi="Calibri"/>
          <w:color w:val="004A61"/>
          <w:sz w:val="18"/>
        </w:rPr>
        <w:t>Large areas of</w:t>
      </w:r>
      <w:r>
        <w:rPr>
          <w:rFonts w:ascii="Calibri" w:hAnsi="Calibri"/>
          <w:color w:val="004A61"/>
          <w:spacing w:val="21"/>
          <w:sz w:val="18"/>
        </w:rPr>
        <w:t> </w:t>
      </w:r>
      <w:r>
        <w:rPr>
          <w:rFonts w:ascii="Calibri" w:hAnsi="Calibri"/>
          <w:color w:val="004A61"/>
          <w:sz w:val="18"/>
        </w:rPr>
        <w:t>swelling</w:t>
      </w:r>
    </w:p>
    <w:p>
      <w:pPr>
        <w:pStyle w:val="ListParagraph"/>
        <w:numPr>
          <w:ilvl w:val="0"/>
          <w:numId w:val="27"/>
        </w:numPr>
        <w:tabs>
          <w:tab w:pos="1836" w:val="left" w:leader="none"/>
        </w:tabs>
        <w:spacing w:line="240" w:lineRule="auto" w:before="84" w:after="0"/>
        <w:ind w:left="1835" w:right="0" w:hanging="192"/>
        <w:jc w:val="left"/>
        <w:rPr>
          <w:rFonts w:ascii="Calibri" w:hAnsi="Calibri"/>
          <w:sz w:val="18"/>
        </w:rPr>
      </w:pPr>
      <w:r>
        <w:rPr>
          <w:rFonts w:ascii="Calibri" w:hAnsi="Calibri"/>
          <w:color w:val="004A61"/>
          <w:sz w:val="18"/>
        </w:rPr>
        <w:t>Lumps</w:t>
      </w:r>
    </w:p>
    <w:p>
      <w:pPr>
        <w:pStyle w:val="ListParagraph"/>
        <w:numPr>
          <w:ilvl w:val="0"/>
          <w:numId w:val="27"/>
        </w:numPr>
        <w:tabs>
          <w:tab w:pos="1836" w:val="left" w:leader="none"/>
        </w:tabs>
        <w:spacing w:line="240" w:lineRule="auto" w:before="85" w:after="0"/>
        <w:ind w:left="1835" w:right="0" w:hanging="192"/>
        <w:jc w:val="left"/>
        <w:rPr>
          <w:rFonts w:ascii="Calibri" w:hAnsi="Calibri"/>
          <w:sz w:val="18"/>
        </w:rPr>
      </w:pPr>
      <w:r>
        <w:rPr>
          <w:rFonts w:ascii="Calibri" w:hAnsi="Calibri"/>
          <w:color w:val="004A61"/>
          <w:w w:val="103"/>
          <w:sz w:val="18"/>
        </w:rPr>
        <w:br w:type="column"/>
      </w:r>
      <w:r>
        <w:rPr>
          <w:rFonts w:ascii="Calibri" w:hAnsi="Calibri"/>
          <w:color w:val="004A61"/>
          <w:w w:val="105"/>
          <w:sz w:val="18"/>
        </w:rPr>
        <w:t>Blisters</w:t>
      </w:r>
    </w:p>
    <w:p>
      <w:pPr>
        <w:pStyle w:val="ListParagraph"/>
        <w:numPr>
          <w:ilvl w:val="0"/>
          <w:numId w:val="27"/>
        </w:numPr>
        <w:tabs>
          <w:tab w:pos="1836" w:val="left" w:leader="none"/>
        </w:tabs>
        <w:spacing w:line="240" w:lineRule="auto" w:before="84" w:after="0"/>
        <w:ind w:left="1835" w:right="0" w:hanging="192"/>
        <w:jc w:val="left"/>
        <w:rPr>
          <w:rFonts w:ascii="Calibri" w:hAnsi="Calibri"/>
          <w:sz w:val="18"/>
        </w:rPr>
      </w:pPr>
      <w:r>
        <w:rPr>
          <w:rFonts w:ascii="Calibri" w:hAnsi="Calibri"/>
          <w:color w:val="004A61"/>
          <w:sz w:val="18"/>
        </w:rPr>
        <w:t>Open</w:t>
      </w:r>
      <w:r>
        <w:rPr>
          <w:rFonts w:ascii="Calibri" w:hAnsi="Calibri"/>
          <w:color w:val="004A61"/>
          <w:spacing w:val="-2"/>
          <w:sz w:val="18"/>
        </w:rPr>
        <w:t> </w:t>
      </w:r>
      <w:r>
        <w:rPr>
          <w:rFonts w:ascii="Calibri" w:hAnsi="Calibri"/>
          <w:color w:val="004A61"/>
          <w:sz w:val="18"/>
        </w:rPr>
        <w:t>wound</w:t>
      </w:r>
    </w:p>
    <w:p>
      <w:pPr>
        <w:pStyle w:val="ListParagraph"/>
        <w:numPr>
          <w:ilvl w:val="0"/>
          <w:numId w:val="27"/>
        </w:numPr>
        <w:tabs>
          <w:tab w:pos="1836" w:val="left" w:leader="none"/>
        </w:tabs>
        <w:spacing w:line="240" w:lineRule="auto" w:before="85" w:after="0"/>
        <w:ind w:left="1835" w:right="0" w:hanging="192"/>
        <w:jc w:val="left"/>
        <w:rPr>
          <w:rFonts w:ascii="Calibri" w:hAnsi="Calibri"/>
          <w:sz w:val="18"/>
        </w:rPr>
      </w:pPr>
      <w:r>
        <w:rPr>
          <w:rFonts w:ascii="Calibri" w:hAnsi="Calibri"/>
          <w:color w:val="004A61"/>
          <w:w w:val="105"/>
          <w:sz w:val="18"/>
        </w:rPr>
        <w:t>Dark</w:t>
      </w:r>
      <w:r>
        <w:rPr>
          <w:rFonts w:ascii="Calibri" w:hAnsi="Calibri"/>
          <w:color w:val="004A61"/>
          <w:spacing w:val="-4"/>
          <w:w w:val="105"/>
          <w:sz w:val="18"/>
        </w:rPr>
        <w:t> </w:t>
      </w:r>
      <w:r>
        <w:rPr>
          <w:rFonts w:ascii="Calibri" w:hAnsi="Calibri"/>
          <w:color w:val="004A61"/>
          <w:w w:val="105"/>
          <w:sz w:val="18"/>
        </w:rPr>
        <w:t>scab</w:t>
      </w:r>
    </w:p>
    <w:p>
      <w:pPr>
        <w:spacing w:after="0" w:line="240" w:lineRule="auto"/>
        <w:jc w:val="left"/>
        <w:rPr>
          <w:rFonts w:ascii="Calibri" w:hAnsi="Calibri"/>
          <w:sz w:val="18"/>
        </w:rPr>
        <w:sectPr>
          <w:type w:val="continuous"/>
          <w:pgSz w:w="12240" w:h="15840"/>
          <w:pgMar w:top="540" w:bottom="280" w:left="940" w:right="920"/>
          <w:cols w:num="2" w:equalWidth="0">
            <w:col w:w="3565" w:space="234"/>
            <w:col w:w="6581"/>
          </w:cols>
        </w:sectPr>
      </w:pPr>
    </w:p>
    <w:p>
      <w:pPr>
        <w:spacing w:line="219" w:lineRule="exact" w:before="152"/>
        <w:ind w:left="1089" w:right="0" w:firstLine="0"/>
        <w:jc w:val="left"/>
        <w:rPr>
          <w:rFonts w:ascii="Calibri"/>
          <w:sz w:val="18"/>
        </w:rPr>
      </w:pPr>
      <w:r>
        <w:rPr>
          <w:rFonts w:ascii="Calibri"/>
          <w:color w:val="004A61"/>
          <w:sz w:val="18"/>
        </w:rPr>
        <w:t>Some of these injection site reactions have required surgery.</w:t>
      </w:r>
    </w:p>
    <w:p>
      <w:pPr>
        <w:spacing w:line="219" w:lineRule="exact" w:before="0"/>
        <w:ind w:left="1089" w:right="0" w:firstLine="0"/>
        <w:jc w:val="left"/>
        <w:rPr>
          <w:rFonts w:ascii="Calibri"/>
          <w:sz w:val="18"/>
        </w:rPr>
      </w:pPr>
      <w:r>
        <w:rPr>
          <w:rFonts w:ascii="Calibri"/>
          <w:color w:val="004A61"/>
          <w:sz w:val="18"/>
        </w:rPr>
        <w:t>Tell your patients to contact a healthcare provider if they have any reactions at the injection site.</w:t>
      </w:r>
    </w:p>
    <w:p>
      <w:pPr>
        <w:pStyle w:val="BodyText"/>
        <w:spacing w:before="3"/>
        <w:rPr>
          <w:rFonts w:ascii="Calibri"/>
          <w:sz w:val="18"/>
        </w:rPr>
      </w:pPr>
    </w:p>
    <w:p>
      <w:pPr>
        <w:spacing w:line="251" w:lineRule="exact" w:before="0"/>
        <w:ind w:left="1089" w:right="0" w:firstLine="0"/>
        <w:jc w:val="left"/>
        <w:rPr>
          <w:rFonts w:ascii="Calibri"/>
          <w:b/>
          <w:sz w:val="21"/>
        </w:rPr>
      </w:pPr>
      <w:r>
        <w:rPr>
          <w:rFonts w:ascii="Calibri"/>
          <w:b/>
          <w:color w:val="04A94E"/>
          <w:sz w:val="21"/>
        </w:rPr>
        <w:t>Risk of liver injury, including liver damage or hepatitis</w:t>
      </w:r>
    </w:p>
    <w:p>
      <w:pPr>
        <w:spacing w:line="214" w:lineRule="exact" w:before="0"/>
        <w:ind w:left="1089" w:right="0" w:firstLine="0"/>
        <w:jc w:val="left"/>
        <w:rPr>
          <w:rFonts w:ascii="Calibri"/>
          <w:b/>
          <w:sz w:val="18"/>
        </w:rPr>
      </w:pPr>
      <w:r>
        <w:rPr>
          <w:rFonts w:ascii="Calibri"/>
          <w:b/>
          <w:color w:val="004A61"/>
          <w:sz w:val="18"/>
        </w:rPr>
        <w:t>Remind patients of the possible symptoms of liver damage or hepatitis.</w:t>
      </w:r>
    </w:p>
    <w:p>
      <w:pPr>
        <w:spacing w:after="0" w:line="214" w:lineRule="exact"/>
        <w:jc w:val="left"/>
        <w:rPr>
          <w:rFonts w:ascii="Calibri"/>
          <w:sz w:val="18"/>
        </w:rPr>
        <w:sectPr>
          <w:type w:val="continuous"/>
          <w:pgSz w:w="12240" w:h="15840"/>
          <w:pgMar w:top="540" w:bottom="280" w:left="940" w:right="920"/>
        </w:sectPr>
      </w:pPr>
    </w:p>
    <w:p>
      <w:pPr>
        <w:pStyle w:val="ListParagraph"/>
        <w:numPr>
          <w:ilvl w:val="0"/>
          <w:numId w:val="27"/>
        </w:numPr>
        <w:tabs>
          <w:tab w:pos="1846" w:val="left" w:leader="none"/>
        </w:tabs>
        <w:spacing w:line="240" w:lineRule="auto" w:before="57" w:after="0"/>
        <w:ind w:left="1845" w:right="0" w:hanging="192"/>
        <w:jc w:val="left"/>
        <w:rPr>
          <w:rFonts w:ascii="Calibri" w:hAnsi="Calibri"/>
          <w:sz w:val="18"/>
        </w:rPr>
      </w:pPr>
      <w:r>
        <w:rPr>
          <w:rFonts w:ascii="Calibri" w:hAnsi="Calibri"/>
          <w:color w:val="004A61"/>
          <w:sz w:val="18"/>
        </w:rPr>
        <w:t>Stomach area pain lasting more than a few</w:t>
      </w:r>
      <w:r>
        <w:rPr>
          <w:rFonts w:ascii="Calibri" w:hAnsi="Calibri"/>
          <w:color w:val="004A61"/>
          <w:spacing w:val="-17"/>
          <w:sz w:val="18"/>
        </w:rPr>
        <w:t> </w:t>
      </w:r>
      <w:r>
        <w:rPr>
          <w:rFonts w:ascii="Calibri" w:hAnsi="Calibri"/>
          <w:color w:val="004A61"/>
          <w:spacing w:val="-4"/>
          <w:sz w:val="18"/>
        </w:rPr>
        <w:t>days</w:t>
      </w:r>
    </w:p>
    <w:p>
      <w:pPr>
        <w:pStyle w:val="ListParagraph"/>
        <w:numPr>
          <w:ilvl w:val="0"/>
          <w:numId w:val="27"/>
        </w:numPr>
        <w:tabs>
          <w:tab w:pos="1846" w:val="left" w:leader="none"/>
        </w:tabs>
        <w:spacing w:line="240" w:lineRule="auto" w:before="84" w:after="0"/>
        <w:ind w:left="1845" w:right="0" w:hanging="192"/>
        <w:jc w:val="left"/>
        <w:rPr>
          <w:rFonts w:ascii="Calibri" w:hAnsi="Calibri"/>
          <w:sz w:val="18"/>
        </w:rPr>
      </w:pPr>
      <w:r>
        <w:rPr>
          <w:rFonts w:ascii="Calibri" w:hAnsi="Calibri"/>
          <w:color w:val="004A61"/>
          <w:sz w:val="18"/>
        </w:rPr>
        <w:t>Dark</w:t>
      </w:r>
      <w:r>
        <w:rPr>
          <w:rFonts w:ascii="Calibri" w:hAnsi="Calibri"/>
          <w:color w:val="004A61"/>
          <w:spacing w:val="-2"/>
          <w:sz w:val="18"/>
        </w:rPr>
        <w:t> </w:t>
      </w:r>
      <w:r>
        <w:rPr>
          <w:rFonts w:ascii="Calibri" w:hAnsi="Calibri"/>
          <w:color w:val="004A61"/>
          <w:sz w:val="18"/>
        </w:rPr>
        <w:t>urine</w:t>
      </w:r>
    </w:p>
    <w:p>
      <w:pPr>
        <w:pStyle w:val="ListParagraph"/>
        <w:numPr>
          <w:ilvl w:val="0"/>
          <w:numId w:val="28"/>
        </w:numPr>
        <w:tabs>
          <w:tab w:pos="273" w:val="left" w:leader="none"/>
        </w:tabs>
        <w:spacing w:line="240" w:lineRule="auto" w:before="57" w:after="0"/>
        <w:ind w:left="272" w:right="0" w:hanging="193"/>
        <w:jc w:val="left"/>
        <w:rPr>
          <w:rFonts w:ascii="Calibri" w:hAnsi="Calibri"/>
          <w:sz w:val="18"/>
        </w:rPr>
      </w:pPr>
      <w:r>
        <w:rPr>
          <w:rFonts w:ascii="Calibri" w:hAnsi="Calibri"/>
          <w:color w:val="004A61"/>
          <w:spacing w:val="-13"/>
          <w:w w:val="103"/>
          <w:sz w:val="18"/>
        </w:rPr>
        <w:br w:type="column"/>
      </w:r>
      <w:r>
        <w:rPr>
          <w:rFonts w:ascii="Calibri" w:hAnsi="Calibri"/>
          <w:color w:val="004A61"/>
          <w:sz w:val="18"/>
        </w:rPr>
        <w:t>Yellowing of the whites of</w:t>
      </w:r>
      <w:r>
        <w:rPr>
          <w:rFonts w:ascii="Calibri" w:hAnsi="Calibri"/>
          <w:color w:val="004A61"/>
          <w:spacing w:val="-8"/>
          <w:sz w:val="18"/>
        </w:rPr>
        <w:t> </w:t>
      </w:r>
      <w:r>
        <w:rPr>
          <w:rFonts w:ascii="Calibri" w:hAnsi="Calibri"/>
          <w:color w:val="004A61"/>
          <w:sz w:val="18"/>
        </w:rPr>
        <w:t>eyes</w:t>
      </w:r>
    </w:p>
    <w:p>
      <w:pPr>
        <w:pStyle w:val="ListParagraph"/>
        <w:numPr>
          <w:ilvl w:val="0"/>
          <w:numId w:val="28"/>
        </w:numPr>
        <w:tabs>
          <w:tab w:pos="272" w:val="left" w:leader="none"/>
        </w:tabs>
        <w:spacing w:line="240" w:lineRule="auto" w:before="84" w:after="0"/>
        <w:ind w:left="271" w:right="0" w:hanging="192"/>
        <w:jc w:val="left"/>
        <w:rPr>
          <w:rFonts w:ascii="Calibri" w:hAnsi="Calibri"/>
          <w:sz w:val="18"/>
        </w:rPr>
      </w:pPr>
      <w:r>
        <w:rPr>
          <w:rFonts w:ascii="Calibri" w:hAnsi="Calibri"/>
          <w:color w:val="004A61"/>
          <w:sz w:val="18"/>
        </w:rPr>
        <w:t>Tiredness</w:t>
      </w:r>
    </w:p>
    <w:p>
      <w:pPr>
        <w:spacing w:after="0" w:line="240" w:lineRule="auto"/>
        <w:jc w:val="left"/>
        <w:rPr>
          <w:rFonts w:ascii="Calibri" w:hAnsi="Calibri"/>
          <w:sz w:val="18"/>
        </w:rPr>
        <w:sectPr>
          <w:type w:val="continuous"/>
          <w:pgSz w:w="12240" w:h="15840"/>
          <w:pgMar w:top="540" w:bottom="280" w:left="940" w:right="920"/>
          <w:cols w:num="2" w:equalWidth="0">
            <w:col w:w="5335" w:space="40"/>
            <w:col w:w="5005"/>
          </w:cols>
        </w:sectPr>
      </w:pPr>
    </w:p>
    <w:p>
      <w:pPr>
        <w:spacing w:line="237" w:lineRule="auto" w:before="183"/>
        <w:ind w:left="1089" w:right="1230" w:firstLine="0"/>
        <w:jc w:val="left"/>
        <w:rPr>
          <w:rFonts w:ascii="Calibri"/>
          <w:b/>
          <w:sz w:val="21"/>
        </w:rPr>
      </w:pPr>
      <w:r>
        <w:rPr>
          <w:rFonts w:ascii="Calibri"/>
          <w:b/>
          <w:color w:val="04A94E"/>
          <w:sz w:val="21"/>
        </w:rPr>
        <w:t>Patients</w:t>
      </w:r>
      <w:r>
        <w:rPr>
          <w:rFonts w:ascii="Calibri"/>
          <w:b/>
          <w:color w:val="04A94E"/>
          <w:spacing w:val="-14"/>
          <w:sz w:val="21"/>
        </w:rPr>
        <w:t> </w:t>
      </w:r>
      <w:r>
        <w:rPr>
          <w:rFonts w:ascii="Calibri"/>
          <w:b/>
          <w:color w:val="04A94E"/>
          <w:sz w:val="21"/>
        </w:rPr>
        <w:t>may</w:t>
      </w:r>
      <w:r>
        <w:rPr>
          <w:rFonts w:ascii="Calibri"/>
          <w:b/>
          <w:color w:val="04A94E"/>
          <w:spacing w:val="-13"/>
          <w:sz w:val="21"/>
        </w:rPr>
        <w:t> </w:t>
      </w:r>
      <w:r>
        <w:rPr>
          <w:rFonts w:ascii="Calibri"/>
          <w:b/>
          <w:color w:val="04A94E"/>
          <w:sz w:val="21"/>
        </w:rPr>
        <w:t>not</w:t>
      </w:r>
      <w:r>
        <w:rPr>
          <w:rFonts w:ascii="Calibri"/>
          <w:b/>
          <w:color w:val="04A94E"/>
          <w:spacing w:val="-14"/>
          <w:sz w:val="21"/>
        </w:rPr>
        <w:t> </w:t>
      </w:r>
      <w:r>
        <w:rPr>
          <w:rFonts w:ascii="Calibri"/>
          <w:b/>
          <w:color w:val="04A94E"/>
          <w:sz w:val="21"/>
        </w:rPr>
        <w:t>feel</w:t>
      </w:r>
      <w:r>
        <w:rPr>
          <w:rFonts w:ascii="Calibri"/>
          <w:b/>
          <w:color w:val="04A94E"/>
          <w:spacing w:val="-13"/>
          <w:sz w:val="21"/>
        </w:rPr>
        <w:t> </w:t>
      </w:r>
      <w:r>
        <w:rPr>
          <w:rFonts w:ascii="Calibri"/>
          <w:b/>
          <w:color w:val="04A94E"/>
          <w:sz w:val="21"/>
        </w:rPr>
        <w:t>the</w:t>
      </w:r>
      <w:r>
        <w:rPr>
          <w:rFonts w:ascii="Calibri"/>
          <w:b/>
          <w:color w:val="04A94E"/>
          <w:spacing w:val="-14"/>
          <w:sz w:val="21"/>
        </w:rPr>
        <w:t> </w:t>
      </w:r>
      <w:r>
        <w:rPr>
          <w:rFonts w:ascii="Calibri"/>
          <w:b/>
          <w:color w:val="04A94E"/>
          <w:sz w:val="21"/>
        </w:rPr>
        <w:t>therapeutic</w:t>
      </w:r>
      <w:r>
        <w:rPr>
          <w:rFonts w:ascii="Calibri"/>
          <w:b/>
          <w:color w:val="04A94E"/>
          <w:spacing w:val="-13"/>
          <w:sz w:val="21"/>
        </w:rPr>
        <w:t> </w:t>
      </w:r>
      <w:r>
        <w:rPr>
          <w:rFonts w:ascii="Calibri"/>
          <w:b/>
          <w:color w:val="04A94E"/>
          <w:sz w:val="21"/>
        </w:rPr>
        <w:t>effects</w:t>
      </w:r>
      <w:r>
        <w:rPr>
          <w:rFonts w:ascii="Calibri"/>
          <w:b/>
          <w:color w:val="04A94E"/>
          <w:spacing w:val="-14"/>
          <w:sz w:val="21"/>
        </w:rPr>
        <w:t> </w:t>
      </w:r>
      <w:r>
        <w:rPr>
          <w:rFonts w:ascii="Calibri"/>
          <w:b/>
          <w:color w:val="04A94E"/>
          <w:sz w:val="21"/>
        </w:rPr>
        <w:t>of</w:t>
      </w:r>
      <w:r>
        <w:rPr>
          <w:rFonts w:ascii="Calibri"/>
          <w:b/>
          <w:color w:val="04A94E"/>
          <w:spacing w:val="-13"/>
          <w:sz w:val="21"/>
        </w:rPr>
        <w:t> </w:t>
      </w:r>
      <w:r>
        <w:rPr>
          <w:rFonts w:ascii="Calibri"/>
          <w:b/>
          <w:color w:val="04A94E"/>
          <w:sz w:val="21"/>
        </w:rPr>
        <w:t>opioid-containing</w:t>
      </w:r>
      <w:r>
        <w:rPr>
          <w:rFonts w:ascii="Calibri"/>
          <w:b/>
          <w:color w:val="04A94E"/>
          <w:spacing w:val="-13"/>
          <w:sz w:val="21"/>
        </w:rPr>
        <w:t> </w:t>
      </w:r>
      <w:r>
        <w:rPr>
          <w:rFonts w:ascii="Calibri"/>
          <w:b/>
          <w:color w:val="04A94E"/>
          <w:sz w:val="21"/>
        </w:rPr>
        <w:t>medicines</w:t>
      </w:r>
      <w:r>
        <w:rPr>
          <w:rFonts w:ascii="Calibri"/>
          <w:b/>
          <w:color w:val="04A94E"/>
          <w:spacing w:val="-14"/>
          <w:sz w:val="21"/>
        </w:rPr>
        <w:t> </w:t>
      </w:r>
      <w:r>
        <w:rPr>
          <w:rFonts w:ascii="Calibri"/>
          <w:b/>
          <w:color w:val="04A94E"/>
          <w:sz w:val="21"/>
        </w:rPr>
        <w:t>for</w:t>
      </w:r>
      <w:r>
        <w:rPr>
          <w:rFonts w:ascii="Calibri"/>
          <w:b/>
          <w:color w:val="04A94E"/>
          <w:spacing w:val="-13"/>
          <w:sz w:val="21"/>
        </w:rPr>
        <w:t> </w:t>
      </w:r>
      <w:r>
        <w:rPr>
          <w:rFonts w:ascii="Calibri"/>
          <w:b/>
          <w:color w:val="04A94E"/>
          <w:sz w:val="21"/>
        </w:rPr>
        <w:t>pain,</w:t>
      </w:r>
      <w:r>
        <w:rPr>
          <w:rFonts w:ascii="Calibri"/>
          <w:b/>
          <w:color w:val="04A94E"/>
          <w:spacing w:val="-14"/>
          <w:sz w:val="21"/>
        </w:rPr>
        <w:t> </w:t>
      </w:r>
      <w:r>
        <w:rPr>
          <w:rFonts w:ascii="Calibri"/>
          <w:b/>
          <w:color w:val="04A94E"/>
          <w:sz w:val="21"/>
        </w:rPr>
        <w:t>cough</w:t>
      </w:r>
      <w:r>
        <w:rPr>
          <w:rFonts w:ascii="Calibri"/>
          <w:b/>
          <w:color w:val="04A94E"/>
          <w:spacing w:val="-13"/>
          <w:sz w:val="21"/>
        </w:rPr>
        <w:t> </w:t>
      </w:r>
      <w:r>
        <w:rPr>
          <w:rFonts w:ascii="Calibri"/>
          <w:b/>
          <w:color w:val="04A94E"/>
          <w:spacing w:val="-6"/>
          <w:sz w:val="21"/>
        </w:rPr>
        <w:t>or </w:t>
      </w:r>
      <w:r>
        <w:rPr>
          <w:rFonts w:ascii="Calibri"/>
          <w:b/>
          <w:color w:val="04A94E"/>
          <w:sz w:val="21"/>
        </w:rPr>
        <w:t>cold, or diarrhea while taking</w:t>
      </w:r>
      <w:r>
        <w:rPr>
          <w:rFonts w:ascii="Calibri"/>
          <w:b/>
          <w:color w:val="04A94E"/>
          <w:spacing w:val="-7"/>
          <w:sz w:val="21"/>
        </w:rPr>
        <w:t> </w:t>
      </w:r>
      <w:r>
        <w:rPr>
          <w:rFonts w:ascii="Calibri"/>
          <w:b/>
          <w:color w:val="04A94E"/>
          <w:sz w:val="21"/>
        </w:rPr>
        <w:t>VIVITROL.</w:t>
      </w:r>
    </w:p>
    <w:p>
      <w:pPr>
        <w:pStyle w:val="BodyText"/>
        <w:spacing w:before="3"/>
        <w:rPr>
          <w:rFonts w:ascii="Calibri"/>
          <w:b/>
          <w:sz w:val="8"/>
        </w:rPr>
      </w:pPr>
      <w:r>
        <w:rPr/>
        <w:pict>
          <v:shape style="position:absolute;margin-left:93.309998pt;margin-top:7.405482pt;width:420.2pt;height:49.25pt;mso-position-horizontal-relative:page;mso-position-vertical-relative:paragraph;z-index:-15698944;mso-wrap-distance-left:0;mso-wrap-distance-right:0" type="#_x0000_t202" filled="false" stroked="true" strokeweight=".755pt" strokecolor="#d2232a">
            <v:textbox inset="0,0,0,0">
              <w:txbxContent>
                <w:p>
                  <w:pPr>
                    <w:spacing w:line="237" w:lineRule="auto" w:before="53"/>
                    <w:ind w:left="156" w:right="481" w:firstLine="0"/>
                    <w:jc w:val="left"/>
                    <w:rPr>
                      <w:rFonts w:ascii="Calibri"/>
                      <w:b/>
                      <w:sz w:val="18"/>
                    </w:rPr>
                  </w:pPr>
                  <w:r>
                    <w:rPr>
                      <w:rFonts w:ascii="Calibri"/>
                      <w:b/>
                      <w:color w:val="D2232A"/>
                      <w:sz w:val="18"/>
                    </w:rPr>
                    <w:t>Patients</w:t>
                  </w:r>
                  <w:r>
                    <w:rPr>
                      <w:rFonts w:ascii="Calibri"/>
                      <w:b/>
                      <w:color w:val="D2232A"/>
                      <w:spacing w:val="-16"/>
                      <w:sz w:val="18"/>
                    </w:rPr>
                    <w:t> </w:t>
                  </w:r>
                  <w:r>
                    <w:rPr>
                      <w:rFonts w:ascii="Calibri"/>
                      <w:b/>
                      <w:color w:val="D2232A"/>
                      <w:sz w:val="18"/>
                    </w:rPr>
                    <w:t>should</w:t>
                  </w:r>
                  <w:r>
                    <w:rPr>
                      <w:rFonts w:ascii="Calibri"/>
                      <w:b/>
                      <w:color w:val="D2232A"/>
                      <w:spacing w:val="-15"/>
                      <w:sz w:val="18"/>
                    </w:rPr>
                    <w:t> </w:t>
                  </w:r>
                  <w:r>
                    <w:rPr>
                      <w:rFonts w:ascii="Calibri"/>
                      <w:b/>
                      <w:color w:val="D2232A"/>
                      <w:sz w:val="18"/>
                    </w:rPr>
                    <w:t>carry</w:t>
                  </w:r>
                  <w:r>
                    <w:rPr>
                      <w:rFonts w:ascii="Calibri"/>
                      <w:b/>
                      <w:color w:val="D2232A"/>
                      <w:spacing w:val="-15"/>
                      <w:sz w:val="18"/>
                    </w:rPr>
                    <w:t> </w:t>
                  </w:r>
                  <w:r>
                    <w:rPr>
                      <w:rFonts w:ascii="Calibri"/>
                      <w:b/>
                      <w:color w:val="D2232A"/>
                      <w:sz w:val="18"/>
                    </w:rPr>
                    <w:t>written</w:t>
                  </w:r>
                  <w:r>
                    <w:rPr>
                      <w:rFonts w:ascii="Calibri"/>
                      <w:b/>
                      <w:color w:val="D2232A"/>
                      <w:spacing w:val="-15"/>
                      <w:sz w:val="18"/>
                    </w:rPr>
                    <w:t> </w:t>
                  </w:r>
                  <w:r>
                    <w:rPr>
                      <w:rFonts w:ascii="Calibri"/>
                      <w:b/>
                      <w:color w:val="D2232A"/>
                      <w:sz w:val="18"/>
                    </w:rPr>
                    <w:t>information</w:t>
                  </w:r>
                  <w:r>
                    <w:rPr>
                      <w:rFonts w:ascii="Calibri"/>
                      <w:b/>
                      <w:color w:val="D2232A"/>
                      <w:spacing w:val="-15"/>
                      <w:sz w:val="18"/>
                    </w:rPr>
                    <w:t> </w:t>
                  </w:r>
                  <w:r>
                    <w:rPr>
                      <w:rFonts w:ascii="Calibri"/>
                      <w:b/>
                      <w:color w:val="D2232A"/>
                      <w:sz w:val="18"/>
                    </w:rPr>
                    <w:t>with</w:t>
                  </w:r>
                  <w:r>
                    <w:rPr>
                      <w:rFonts w:ascii="Calibri"/>
                      <w:b/>
                      <w:color w:val="D2232A"/>
                      <w:spacing w:val="-16"/>
                      <w:sz w:val="18"/>
                    </w:rPr>
                    <w:t> </w:t>
                  </w:r>
                  <w:r>
                    <w:rPr>
                      <w:rFonts w:ascii="Calibri"/>
                      <w:b/>
                      <w:color w:val="D2232A"/>
                      <w:sz w:val="18"/>
                    </w:rPr>
                    <w:t>them</w:t>
                  </w:r>
                  <w:r>
                    <w:rPr>
                      <w:rFonts w:ascii="Calibri"/>
                      <w:b/>
                      <w:color w:val="D2232A"/>
                      <w:spacing w:val="-15"/>
                      <w:sz w:val="18"/>
                    </w:rPr>
                    <w:t> </w:t>
                  </w:r>
                  <w:r>
                    <w:rPr>
                      <w:rFonts w:ascii="Calibri"/>
                      <w:b/>
                      <w:color w:val="D2232A"/>
                      <w:sz w:val="18"/>
                    </w:rPr>
                    <w:t>at</w:t>
                  </w:r>
                  <w:r>
                    <w:rPr>
                      <w:rFonts w:ascii="Calibri"/>
                      <w:b/>
                      <w:color w:val="D2232A"/>
                      <w:spacing w:val="-15"/>
                      <w:sz w:val="18"/>
                    </w:rPr>
                    <w:t> </w:t>
                  </w:r>
                  <w:r>
                    <w:rPr>
                      <w:rFonts w:ascii="Calibri"/>
                      <w:b/>
                      <w:color w:val="D2232A"/>
                      <w:sz w:val="18"/>
                    </w:rPr>
                    <w:t>all</w:t>
                  </w:r>
                  <w:r>
                    <w:rPr>
                      <w:rFonts w:ascii="Calibri"/>
                      <w:b/>
                      <w:color w:val="D2232A"/>
                      <w:spacing w:val="-15"/>
                      <w:sz w:val="18"/>
                    </w:rPr>
                    <w:t> </w:t>
                  </w:r>
                  <w:r>
                    <w:rPr>
                      <w:rFonts w:ascii="Calibri"/>
                      <w:b/>
                      <w:color w:val="D2232A"/>
                      <w:sz w:val="18"/>
                    </w:rPr>
                    <w:t>times</w:t>
                  </w:r>
                  <w:r>
                    <w:rPr>
                      <w:rFonts w:ascii="Calibri"/>
                      <w:b/>
                      <w:color w:val="D2232A"/>
                      <w:spacing w:val="-15"/>
                      <w:sz w:val="18"/>
                    </w:rPr>
                    <w:t> </w:t>
                  </w:r>
                  <w:r>
                    <w:rPr>
                      <w:rFonts w:ascii="Calibri"/>
                      <w:b/>
                      <w:color w:val="D2232A"/>
                      <w:sz w:val="18"/>
                    </w:rPr>
                    <w:t>to</w:t>
                  </w:r>
                  <w:r>
                    <w:rPr>
                      <w:rFonts w:ascii="Calibri"/>
                      <w:b/>
                      <w:color w:val="D2232A"/>
                      <w:spacing w:val="-16"/>
                      <w:sz w:val="18"/>
                    </w:rPr>
                    <w:t> </w:t>
                  </w:r>
                  <w:r>
                    <w:rPr>
                      <w:rFonts w:ascii="Calibri"/>
                      <w:b/>
                      <w:color w:val="D2232A"/>
                      <w:sz w:val="18"/>
                    </w:rPr>
                    <w:t>alert</w:t>
                  </w:r>
                  <w:r>
                    <w:rPr>
                      <w:rFonts w:ascii="Calibri"/>
                      <w:b/>
                      <w:color w:val="D2232A"/>
                      <w:spacing w:val="-15"/>
                      <w:sz w:val="18"/>
                    </w:rPr>
                    <w:t> </w:t>
                  </w:r>
                  <w:r>
                    <w:rPr>
                      <w:rFonts w:ascii="Calibri"/>
                      <w:b/>
                      <w:color w:val="D2232A"/>
                      <w:sz w:val="18"/>
                    </w:rPr>
                    <w:t>healthcare</w:t>
                  </w:r>
                  <w:r>
                    <w:rPr>
                      <w:rFonts w:ascii="Calibri"/>
                      <w:b/>
                      <w:color w:val="D2232A"/>
                      <w:spacing w:val="-15"/>
                      <w:sz w:val="18"/>
                    </w:rPr>
                    <w:t> </w:t>
                  </w:r>
                  <w:r>
                    <w:rPr>
                      <w:rFonts w:ascii="Calibri"/>
                      <w:b/>
                      <w:color w:val="D2232A"/>
                      <w:sz w:val="18"/>
                    </w:rPr>
                    <w:t>providers</w:t>
                  </w:r>
                  <w:r>
                    <w:rPr>
                      <w:rFonts w:ascii="Calibri"/>
                      <w:b/>
                      <w:color w:val="D2232A"/>
                      <w:spacing w:val="-15"/>
                      <w:sz w:val="18"/>
                    </w:rPr>
                    <w:t> </w:t>
                  </w:r>
                  <w:r>
                    <w:rPr>
                      <w:rFonts w:ascii="Calibri"/>
                      <w:b/>
                      <w:color w:val="D2232A"/>
                      <w:sz w:val="18"/>
                    </w:rPr>
                    <w:t>that</w:t>
                  </w:r>
                  <w:r>
                    <w:rPr>
                      <w:rFonts w:ascii="Calibri"/>
                      <w:b/>
                      <w:color w:val="D2232A"/>
                      <w:spacing w:val="-15"/>
                      <w:sz w:val="18"/>
                    </w:rPr>
                    <w:t> </w:t>
                  </w:r>
                  <w:r>
                    <w:rPr>
                      <w:rFonts w:ascii="Calibri"/>
                      <w:b/>
                      <w:color w:val="D2232A"/>
                      <w:sz w:val="18"/>
                    </w:rPr>
                    <w:t>they</w:t>
                  </w:r>
                  <w:r>
                    <w:rPr>
                      <w:rFonts w:ascii="Calibri"/>
                      <w:b/>
                      <w:color w:val="D2232A"/>
                      <w:spacing w:val="-15"/>
                      <w:sz w:val="18"/>
                    </w:rPr>
                    <w:t> </w:t>
                  </w:r>
                  <w:r>
                    <w:rPr>
                      <w:rFonts w:ascii="Calibri"/>
                      <w:b/>
                      <w:color w:val="D2232A"/>
                      <w:sz w:val="18"/>
                    </w:rPr>
                    <w:t>are taking VIVITROL, so they can be treated properly in an</w:t>
                  </w:r>
                  <w:r>
                    <w:rPr>
                      <w:rFonts w:ascii="Calibri"/>
                      <w:b/>
                      <w:color w:val="D2232A"/>
                      <w:spacing w:val="-25"/>
                      <w:sz w:val="18"/>
                    </w:rPr>
                    <w:t> </w:t>
                  </w:r>
                  <w:r>
                    <w:rPr>
                      <w:rFonts w:ascii="Calibri"/>
                      <w:b/>
                      <w:color w:val="D2232A"/>
                      <w:sz w:val="18"/>
                    </w:rPr>
                    <w:t>emergency.</w:t>
                  </w:r>
                </w:p>
                <w:p>
                  <w:pPr>
                    <w:pStyle w:val="BodyText"/>
                    <w:spacing w:before="7"/>
                    <w:rPr>
                      <w:rFonts w:ascii="Calibri"/>
                      <w:b/>
                      <w:sz w:val="17"/>
                    </w:rPr>
                  </w:pPr>
                </w:p>
                <w:p>
                  <w:pPr>
                    <w:spacing w:before="0"/>
                    <w:ind w:left="156" w:right="0" w:firstLine="0"/>
                    <w:jc w:val="left"/>
                    <w:rPr>
                      <w:rFonts w:ascii="Calibri"/>
                      <w:b/>
                      <w:sz w:val="18"/>
                    </w:rPr>
                  </w:pPr>
                  <w:r>
                    <w:rPr>
                      <w:rFonts w:ascii="Calibri"/>
                      <w:b/>
                      <w:color w:val="D2232A"/>
                      <w:sz w:val="18"/>
                    </w:rPr>
                    <w:t>A Patient Wallet Card or Medical Alert Bracelet can be ordered from: 1-800-848-4876, Option #1.</w:t>
                  </w:r>
                </w:p>
              </w:txbxContent>
            </v:textbox>
            <v:stroke dashstyle="solid"/>
            <w10:wrap type="topAndBottom"/>
          </v:shape>
        </w:pict>
      </w:r>
    </w:p>
    <w:p>
      <w:pPr>
        <w:spacing w:before="160"/>
        <w:ind w:left="1089" w:right="0" w:firstLine="0"/>
        <w:jc w:val="left"/>
        <w:rPr>
          <w:rFonts w:ascii="Calibri"/>
          <w:b/>
          <w:sz w:val="18"/>
        </w:rPr>
      </w:pPr>
      <w:r>
        <w:rPr>
          <w:rFonts w:ascii="Calibri"/>
          <w:b/>
          <w:color w:val="004A61"/>
          <w:w w:val="105"/>
          <w:sz w:val="18"/>
        </w:rPr>
        <w:t>PLEASE SEE PRESCRIBING INFORMATION AND MEDICATION GUIDE.</w:t>
      </w:r>
    </w:p>
    <w:p>
      <w:pPr>
        <w:pStyle w:val="BodyText"/>
        <w:spacing w:before="12"/>
        <w:rPr>
          <w:rFonts w:ascii="Calibri"/>
          <w:b/>
          <w:sz w:val="10"/>
        </w:rPr>
      </w:pPr>
      <w:r>
        <w:rPr/>
        <w:pict>
          <v:group style="position:absolute;margin-left:101.558998pt;margin-top:8.657297pt;width:52.75pt;height:13.4pt;mso-position-horizontal-relative:page;mso-position-vertical-relative:paragraph;z-index:-15698432;mso-wrap-distance-left:0;mso-wrap-distance-right:0" coordorigin="2031,173" coordsize="1055,268">
            <v:shape style="position:absolute;left:2031;top:173;width:196;height:268" coordorigin="2031,173" coordsize="196,268" path="m2158,173l2085,222,2035,323,2031,372,2041,411,2066,436,2086,441,2109,438,2133,426,2157,408,2136,421,2116,428,2096,429,2079,425,2057,403,2048,368,2052,324,2069,276,2096,234,2128,204,2162,190,2192,194,2207,205,2217,222,2224,243,2226,268,2226,238,2221,211,2209,191,2192,177,2158,173xe" filled="true" fillcolor="#e13a3e" stroked="false">
              <v:path arrowok="t"/>
              <v:fill type="solid"/>
            </v:shape>
            <v:shape style="position:absolute;left:2057;top:214;width:1028;height:166" coordorigin="2058,214" coordsize="1028,166" path="m2217,357l2211,356,2209,347,2208,335,2205,313,2199,265,2195,225,2166,225,2166,313,2127,313,2160,265,2166,313,2166,225,2165,225,2080,347,2072,356,2066,357,2058,377,2101,377,2106,357,2097,356,2112,335,2168,335,2170,356,2160,357,2153,377,2212,377,2217,357xm2311,215l2258,216,2252,236,2261,237,2259,246,2227,347,2216,377,2269,377,2275,357,2266,356,2268,347,2299,246,2311,215xm2418,267l2417,265,2417,262,2376,264,2379,267,2379,273,2377,289,2370,296,2355,308,2349,312,2343,315,2338,315,2360,246,2372,214,2319,216,2313,236,2322,237,2320,246,2287,347,2277,377,2318,377,2336,324,2340,324,2360,377,2397,377,2403,357,2395,356,2376,315,2389,307,2401,296,2412,283,2417,270,2418,267xm2525,279l2521,272,2516,267,2510,262,2502,261,2494,261,2487,262,2487,289,2485,303,2480,309,2466,317,2451,318,2454,308,2460,297,2468,288,2478,284,2484,284,2487,289,2487,262,2478,263,2463,268,2448,276,2435,287,2425,299,2416,312,2409,327,2405,342,2407,359,2417,371,2431,378,2448,380,2464,379,2479,376,2494,372,2509,367,2513,356,2518,341,2505,347,2492,351,2478,355,2465,356,2453,356,2444,350,2446,338,2470,335,2494,325,2503,318,2514,309,2524,287,2524,284,2525,279xm2645,264l2643,262,2640,262,2636,262,2619,267,2602,279,2587,296,2577,312,2575,312,2593,262,2541,264,2536,284,2544,285,2543,290,2526,344,2515,377,2556,377,2570,337,2579,325,2590,312,2603,302,2617,297,2621,297,2624,299,2627,301,2645,264xm2831,272l2825,261,2813,261,2803,263,2792,267,2783,274,2775,281,2765,290,2758,301,2752,312,2749,312,2759,286,2761,270,2755,261,2743,261,2733,263,2722,268,2713,274,2705,281,2695,290,2689,301,2683,312,2680,312,2698,262,2649,264,2644,284,2652,285,2650,294,2633,347,2622,377,2662,377,2675,335,2684,324,2695,311,2706,300,2714,296,2719,296,2692,377,2731,377,2744,335,2754,324,2764,311,2775,300,2784,296,2788,296,2788,299,2772,347,2761,377,2812,377,2817,357,2808,356,2810,347,2829,288,2831,272xm2943,279l2940,272,2934,267,2928,262,2921,261,2913,261,2905,262,2905,289,2904,303,2898,309,2885,317,2869,318,2873,308,2879,297,2887,288,2896,284,2903,284,2905,289,2905,262,2897,263,2881,268,2867,276,2854,287,2843,299,2834,312,2827,327,2824,342,2826,359,2835,371,2850,378,2867,380,2882,379,2898,376,2913,372,2928,367,2932,356,2936,341,2924,347,2910,351,2897,355,2884,356,2872,356,2863,350,2865,338,2888,335,2913,325,2921,318,2932,309,2942,287,2943,284,2943,279xm3053,264l3043,262,3032,261,3009,261,2996,263,2985,268,2974,274,2966,285,2964,297,2965,307,2969,316,2976,323,2988,335,2994,340,2992,356,2986,360,2972,360,2965,358,2961,355,2963,344,2944,342,2933,373,2943,376,2953,378,2964,379,2975,380,2987,380,3001,378,3022,365,3031,354,3032,342,3031,332,3026,323,3020,316,3007,305,3000,299,3002,284,3009,281,3019,281,3025,284,3023,294,3043,296,3053,264xm3079,283l3078,282,3078,281,3078,278,3077,277,3077,276,3076,276,3076,276,3077,275,3078,275,3078,274,3078,271,3078,270,3076,269,3075,268,3075,271,3075,274,3074,275,3071,275,3071,271,3071,271,3074,271,3075,271,3075,268,3075,268,3070,268,3068,269,3068,283,3071,283,3071,277,3074,277,3074,278,3075,281,3075,282,3076,283,3079,283xm3085,282l3085,268,3083,265,3083,270,3083,281,3078,286,3073,286,3068,286,3063,281,3063,270,3068,265,3078,265,3083,270,3083,265,3082,265,3080,263,3066,263,3060,268,3060,282,3066,288,3080,288,3082,286,3085,282xe" filled="true" fillcolor="#231f20" stroked="false">
              <v:path arrowok="t"/>
              <v:fill type="solid"/>
            </v:shape>
            <w10:wrap type="topAndBottom"/>
          </v:group>
        </w:pict>
      </w:r>
    </w:p>
    <w:p>
      <w:pPr>
        <w:spacing w:before="56"/>
        <w:ind w:left="1089" w:right="0" w:firstLine="0"/>
        <w:jc w:val="left"/>
        <w:rPr>
          <w:rFonts w:ascii="Tahoma" w:hAnsi="Tahoma"/>
          <w:sz w:val="10"/>
        </w:rPr>
      </w:pPr>
      <w:r>
        <w:rPr>
          <w:rFonts w:ascii="Tahoma" w:hAnsi="Tahoma"/>
          <w:color w:val="231F20"/>
          <w:w w:val="105"/>
          <w:sz w:val="10"/>
        </w:rPr>
        <w:t>Alkermes® and VIVITROL® are registered trademarks of Alkermes, Inc.</w:t>
      </w:r>
    </w:p>
    <w:p>
      <w:pPr>
        <w:spacing w:before="8"/>
        <w:ind w:left="1089" w:right="0" w:firstLine="0"/>
        <w:jc w:val="left"/>
        <w:rPr>
          <w:rFonts w:ascii="Tahoma" w:hAnsi="Tahoma"/>
          <w:sz w:val="10"/>
        </w:rPr>
      </w:pPr>
      <w:r>
        <w:rPr/>
        <w:pict>
          <v:group style="position:absolute;margin-left:318.334991pt;margin-top:-10.95662pt;width:195.55pt;height:32.6pt;mso-position-horizontal-relative:page;mso-position-vertical-relative:paragraph;z-index:15759360" coordorigin="6367,-219" coordsize="3911,652">
            <v:rect style="position:absolute;left:6604;top:231;width:17;height:164" filled="true" fillcolor="#808285" stroked="false">
              <v:fill type="solid"/>
            </v:rect>
            <v:shape style="position:absolute;left:6366;top:-220;width:3911;height:652" type="#_x0000_t75" stroked="false">
              <v:imagedata r:id="rId55" o:title=""/>
            </v:shape>
            <w10:wrap type="none"/>
          </v:group>
        </w:pict>
      </w:r>
      <w:r>
        <w:rPr>
          <w:rFonts w:ascii="Tahoma" w:hAnsi="Tahoma"/>
          <w:color w:val="231F20"/>
          <w:sz w:val="10"/>
        </w:rPr>
        <w:t>©2013 Alkermes, Inc.</w:t>
      </w:r>
    </w:p>
    <w:p>
      <w:pPr>
        <w:spacing w:before="9"/>
        <w:ind w:left="1089" w:right="0" w:firstLine="0"/>
        <w:jc w:val="left"/>
        <w:rPr>
          <w:rFonts w:ascii="Tahoma"/>
          <w:sz w:val="10"/>
        </w:rPr>
      </w:pPr>
      <w:r>
        <w:rPr>
          <w:rFonts w:ascii="Tahoma"/>
          <w:color w:val="231F20"/>
          <w:w w:val="110"/>
          <w:sz w:val="10"/>
        </w:rPr>
        <w:t>All rights reserved VIV-001317 Printed in U.S.A</w:t>
      </w:r>
    </w:p>
    <w:p>
      <w:pPr>
        <w:spacing w:before="17"/>
        <w:ind w:left="1089" w:right="0" w:firstLine="0"/>
        <w:jc w:val="left"/>
        <w:rPr>
          <w:rFonts w:ascii="Calibri"/>
          <w:b/>
          <w:sz w:val="15"/>
        </w:rPr>
      </w:pPr>
      <w:hyperlink r:id="rId56">
        <w:r>
          <w:rPr>
            <w:rFonts w:ascii="Calibri"/>
            <w:b/>
            <w:color w:val="231F20"/>
            <w:sz w:val="15"/>
          </w:rPr>
          <w:t>www.vivitrol.com</w:t>
        </w:r>
      </w:hyperlink>
    </w:p>
    <w:p>
      <w:pPr>
        <w:pStyle w:val="BodyText"/>
        <w:spacing w:before="4"/>
        <w:rPr>
          <w:rFonts w:ascii="Calibri"/>
          <w:b/>
          <w:sz w:val="20"/>
        </w:rPr>
      </w:pPr>
    </w:p>
    <w:p>
      <w:pPr>
        <w:spacing w:before="100"/>
        <w:ind w:left="140" w:right="0" w:firstLine="0"/>
        <w:jc w:val="left"/>
        <w:rPr>
          <w:sz w:val="18"/>
        </w:rPr>
      </w:pPr>
      <w:r>
        <w:rPr>
          <w:color w:val="4D4D4F"/>
          <w:w w:val="115"/>
          <w:sz w:val="18"/>
        </w:rPr>
        <w:t>Available online (</w:t>
      </w:r>
      <w:hyperlink r:id="rId57">
        <w:r>
          <w:rPr>
            <w:color w:val="205E9F"/>
            <w:w w:val="115"/>
            <w:sz w:val="18"/>
            <w:u w:val="single" w:color="205E9F"/>
          </w:rPr>
          <w:t>www.vivitrolrems.com/content/pdf/patinfo-counseling-tool.pdf</w:t>
        </w:r>
        <w:r>
          <w:rPr>
            <w:color w:val="4D4D4F"/>
            <w:w w:val="115"/>
            <w:sz w:val="18"/>
          </w:rPr>
          <w:t>).</w:t>
        </w:r>
      </w:hyperlink>
    </w:p>
    <w:p>
      <w:pPr>
        <w:spacing w:before="63"/>
        <w:ind w:left="140" w:right="0" w:firstLine="0"/>
        <w:jc w:val="left"/>
        <w:rPr>
          <w:rFonts w:ascii="Arial"/>
          <w:i/>
          <w:sz w:val="10"/>
        </w:rPr>
      </w:pPr>
      <w:r>
        <w:rPr>
          <w:rFonts w:ascii="Arial"/>
          <w:i/>
          <w:color w:val="4D4D4F"/>
          <w:w w:val="105"/>
          <w:sz w:val="18"/>
        </w:rPr>
        <w:t>Reprinted with permission.</w:t>
      </w:r>
      <w:r>
        <w:rPr>
          <w:rFonts w:ascii="Arial"/>
          <w:i/>
          <w:color w:val="4D4D4F"/>
          <w:w w:val="105"/>
          <w:position w:val="6"/>
          <w:sz w:val="10"/>
        </w:rPr>
        <w:t>214</w:t>
      </w:r>
    </w:p>
    <w:p>
      <w:pPr>
        <w:spacing w:after="0"/>
        <w:jc w:val="left"/>
        <w:rPr>
          <w:rFonts w:ascii="Arial"/>
          <w:sz w:val="10"/>
        </w:rPr>
        <w:sectPr>
          <w:type w:val="continuous"/>
          <w:pgSz w:w="12240" w:h="15840"/>
          <w:pgMar w:top="540" w:bottom="280" w:left="940" w:right="920"/>
        </w:sectPr>
      </w:pPr>
    </w:p>
    <w:p>
      <w:pPr>
        <w:pStyle w:val="BodyText"/>
        <w:spacing w:before="5"/>
        <w:rPr>
          <w:rFonts w:ascii="Arial"/>
          <w:i/>
          <w:sz w:val="27"/>
        </w:rPr>
      </w:pPr>
    </w:p>
    <w:p>
      <w:pPr>
        <w:pStyle w:val="Heading3"/>
        <w:spacing w:before="89"/>
        <w:rPr>
          <w:sz w:val="15"/>
        </w:rPr>
      </w:pPr>
      <w:r>
        <w:rPr>
          <w:color w:val="137692"/>
          <w:w w:val="110"/>
        </w:rPr>
        <w:t>Key Techniques for Reducing Injection Site Reactions</w:t>
      </w:r>
      <w:r>
        <w:rPr>
          <w:color w:val="137692"/>
          <w:w w:val="110"/>
          <w:position w:val="9"/>
          <w:sz w:val="15"/>
        </w:rPr>
        <w:t>215</w:t>
      </w:r>
    </w:p>
    <w:p>
      <w:pPr>
        <w:pStyle w:val="BodyText"/>
        <w:spacing w:line="247" w:lineRule="auto" w:before="48"/>
        <w:ind w:left="140" w:right="380"/>
      </w:pPr>
      <w:r>
        <w:rPr>
          <w:color w:val="4D4D4F"/>
          <w:spacing w:val="-13"/>
          <w:w w:val="110"/>
        </w:rPr>
        <w:t>To</w:t>
      </w:r>
      <w:r>
        <w:rPr>
          <w:color w:val="4D4D4F"/>
          <w:spacing w:val="-14"/>
          <w:w w:val="110"/>
        </w:rPr>
        <w:t> </w:t>
      </w:r>
      <w:r>
        <w:rPr>
          <w:color w:val="4D4D4F"/>
          <w:w w:val="110"/>
        </w:rPr>
        <w:t>reduce</w:t>
      </w:r>
      <w:r>
        <w:rPr>
          <w:color w:val="4D4D4F"/>
          <w:spacing w:val="-13"/>
          <w:w w:val="110"/>
        </w:rPr>
        <w:t> </w:t>
      </w:r>
      <w:r>
        <w:rPr>
          <w:color w:val="4D4D4F"/>
          <w:w w:val="110"/>
        </w:rPr>
        <w:t>severe</w:t>
      </w:r>
      <w:r>
        <w:rPr>
          <w:color w:val="4D4D4F"/>
          <w:spacing w:val="-13"/>
          <w:w w:val="110"/>
        </w:rPr>
        <w:t> </w:t>
      </w:r>
      <w:r>
        <w:rPr>
          <w:color w:val="4D4D4F"/>
          <w:w w:val="110"/>
        </w:rPr>
        <w:t>injection</w:t>
      </w:r>
      <w:r>
        <w:rPr>
          <w:color w:val="4D4D4F"/>
          <w:spacing w:val="-13"/>
          <w:w w:val="110"/>
        </w:rPr>
        <w:t> </w:t>
      </w:r>
      <w:r>
        <w:rPr>
          <w:color w:val="4D4D4F"/>
          <w:w w:val="110"/>
        </w:rPr>
        <w:t>site</w:t>
      </w:r>
      <w:r>
        <w:rPr>
          <w:color w:val="4D4D4F"/>
          <w:spacing w:val="-14"/>
          <w:w w:val="110"/>
        </w:rPr>
        <w:t> </w:t>
      </w:r>
      <w:r>
        <w:rPr>
          <w:color w:val="4D4D4F"/>
          <w:w w:val="110"/>
        </w:rPr>
        <w:t>reactions</w:t>
      </w:r>
      <w:r>
        <w:rPr>
          <w:color w:val="4D4D4F"/>
          <w:spacing w:val="-13"/>
          <w:w w:val="110"/>
        </w:rPr>
        <w:t> </w:t>
      </w:r>
      <w:r>
        <w:rPr>
          <w:color w:val="4D4D4F"/>
          <w:w w:val="110"/>
        </w:rPr>
        <w:t>when</w:t>
      </w:r>
      <w:r>
        <w:rPr>
          <w:color w:val="4D4D4F"/>
          <w:spacing w:val="-13"/>
          <w:w w:val="110"/>
        </w:rPr>
        <w:t> </w:t>
      </w:r>
      <w:r>
        <w:rPr>
          <w:color w:val="4D4D4F"/>
          <w:w w:val="110"/>
        </w:rPr>
        <w:t>administering</w:t>
      </w:r>
      <w:r>
        <w:rPr>
          <w:color w:val="4D4D4F"/>
          <w:spacing w:val="-13"/>
          <w:w w:val="110"/>
        </w:rPr>
        <w:t> </w:t>
      </w:r>
      <w:r>
        <w:rPr>
          <w:color w:val="4D4D4F"/>
          <w:w w:val="110"/>
        </w:rPr>
        <w:t>XR-NTX</w:t>
      </w:r>
      <w:r>
        <w:rPr>
          <w:color w:val="4D4D4F"/>
          <w:spacing w:val="-13"/>
          <w:w w:val="110"/>
        </w:rPr>
        <w:t> </w:t>
      </w:r>
      <w:r>
        <w:rPr>
          <w:color w:val="4D4D4F"/>
          <w:w w:val="110"/>
        </w:rPr>
        <w:t>via</w:t>
      </w:r>
      <w:r>
        <w:rPr>
          <w:color w:val="4D4D4F"/>
          <w:spacing w:val="-14"/>
          <w:w w:val="110"/>
        </w:rPr>
        <w:t> </w:t>
      </w:r>
      <w:r>
        <w:rPr>
          <w:color w:val="4D4D4F"/>
          <w:w w:val="110"/>
        </w:rPr>
        <w:t>intramuscular</w:t>
      </w:r>
      <w:r>
        <w:rPr>
          <w:color w:val="4D4D4F"/>
          <w:spacing w:val="-13"/>
          <w:w w:val="110"/>
        </w:rPr>
        <w:t> </w:t>
      </w:r>
      <w:r>
        <w:rPr>
          <w:color w:val="4D4D4F"/>
          <w:w w:val="110"/>
        </w:rPr>
        <w:t>injection,</w:t>
      </w:r>
      <w:r>
        <w:rPr>
          <w:color w:val="4D4D4F"/>
          <w:spacing w:val="-13"/>
          <w:w w:val="110"/>
        </w:rPr>
        <w:t> </w:t>
      </w:r>
      <w:r>
        <w:rPr>
          <w:color w:val="4D4D4F"/>
          <w:spacing w:val="-6"/>
          <w:w w:val="110"/>
        </w:rPr>
        <w:t>use </w:t>
      </w:r>
      <w:r>
        <w:rPr>
          <w:color w:val="4D4D4F"/>
          <w:w w:val="110"/>
        </w:rPr>
        <w:t>the following</w:t>
      </w:r>
      <w:r>
        <w:rPr>
          <w:color w:val="4D4D4F"/>
          <w:spacing w:val="-12"/>
          <w:w w:val="110"/>
        </w:rPr>
        <w:t> </w:t>
      </w:r>
      <w:r>
        <w:rPr>
          <w:color w:val="4D4D4F"/>
          <w:w w:val="110"/>
        </w:rPr>
        <w:t>techniques:</w:t>
      </w:r>
    </w:p>
    <w:p>
      <w:pPr>
        <w:pStyle w:val="ListParagraph"/>
        <w:numPr>
          <w:ilvl w:val="0"/>
          <w:numId w:val="29"/>
        </w:numPr>
        <w:tabs>
          <w:tab w:pos="410" w:val="left" w:leader="none"/>
        </w:tabs>
        <w:spacing w:line="264" w:lineRule="exact" w:before="175" w:after="0"/>
        <w:ind w:left="410" w:right="316" w:hanging="270"/>
        <w:jc w:val="left"/>
        <w:rPr>
          <w:rFonts w:ascii="Arial" w:hAnsi="Arial"/>
          <w:color w:val="137692"/>
          <w:sz w:val="28"/>
        </w:rPr>
      </w:pPr>
      <w:r>
        <w:rPr>
          <w:rFonts w:ascii="Calibri" w:hAnsi="Calibri"/>
          <w:b/>
          <w:color w:val="4D4D4F"/>
          <w:w w:val="110"/>
          <w:sz w:val="22"/>
        </w:rPr>
        <w:t>Use one of the administration needles provided with the XR-NTX kit to ensure that  the injection reaches the gluteal muscle. </w:t>
      </w:r>
      <w:r>
        <w:rPr>
          <w:color w:val="4D4D4F"/>
          <w:w w:val="110"/>
          <w:sz w:val="22"/>
        </w:rPr>
        <w:t>Use the 2-inch needle for patients who have more subcuta- neous adipose tissue. Use the 1.5-inch needle for patients with less subcutaneous adipose tissue. Either needle is appropriate for use with patients who have average amounts of subcutaneous adipose</w:t>
      </w:r>
      <w:r>
        <w:rPr>
          <w:color w:val="4D4D4F"/>
          <w:spacing w:val="-6"/>
          <w:w w:val="110"/>
          <w:sz w:val="22"/>
        </w:rPr>
        <w:t> </w:t>
      </w:r>
      <w:r>
        <w:rPr>
          <w:color w:val="4D4D4F"/>
          <w:w w:val="110"/>
          <w:sz w:val="22"/>
        </w:rPr>
        <w:t>tissue.</w:t>
      </w:r>
    </w:p>
    <w:p>
      <w:pPr>
        <w:pStyle w:val="ListParagraph"/>
        <w:numPr>
          <w:ilvl w:val="0"/>
          <w:numId w:val="29"/>
        </w:numPr>
        <w:tabs>
          <w:tab w:pos="410" w:val="left" w:leader="none"/>
        </w:tabs>
        <w:spacing w:line="225" w:lineRule="auto" w:before="92" w:after="0"/>
        <w:ind w:left="410" w:right="542" w:hanging="270"/>
        <w:jc w:val="left"/>
        <w:rPr>
          <w:rFonts w:ascii="Arial" w:hAnsi="Arial"/>
          <w:color w:val="137692"/>
          <w:sz w:val="28"/>
        </w:rPr>
      </w:pPr>
      <w:r>
        <w:rPr>
          <w:rFonts w:ascii="Calibri" w:hAnsi="Calibri"/>
          <w:b/>
          <w:color w:val="4D4D4F"/>
          <w:w w:val="110"/>
          <w:sz w:val="22"/>
        </w:rPr>
        <w:t>Use aseptic technique when administering intramuscularly. </w:t>
      </w:r>
      <w:r>
        <w:rPr>
          <w:color w:val="4D4D4F"/>
          <w:w w:val="110"/>
          <w:sz w:val="22"/>
        </w:rPr>
        <w:t>Using a circular motion, clean </w:t>
      </w:r>
      <w:r>
        <w:rPr>
          <w:color w:val="4D4D4F"/>
          <w:spacing w:val="-5"/>
          <w:w w:val="110"/>
          <w:sz w:val="22"/>
        </w:rPr>
        <w:t>the </w:t>
      </w:r>
      <w:r>
        <w:rPr>
          <w:color w:val="4D4D4F"/>
          <w:w w:val="110"/>
          <w:sz w:val="22"/>
        </w:rPr>
        <w:t>injection site with an alcohol swab. Let the area dry before administering the injection. Do not touch this area again before</w:t>
      </w:r>
      <w:r>
        <w:rPr>
          <w:color w:val="4D4D4F"/>
          <w:spacing w:val="-26"/>
          <w:w w:val="110"/>
          <w:sz w:val="22"/>
        </w:rPr>
        <w:t> </w:t>
      </w:r>
      <w:r>
        <w:rPr>
          <w:color w:val="4D4D4F"/>
          <w:w w:val="110"/>
          <w:sz w:val="22"/>
        </w:rPr>
        <w:t>administration.</w:t>
      </w:r>
    </w:p>
    <w:p>
      <w:pPr>
        <w:pStyle w:val="ListParagraph"/>
        <w:numPr>
          <w:ilvl w:val="0"/>
          <w:numId w:val="29"/>
        </w:numPr>
        <w:tabs>
          <w:tab w:pos="410" w:val="left" w:leader="none"/>
        </w:tabs>
        <w:spacing w:line="225" w:lineRule="auto" w:before="100" w:after="0"/>
        <w:ind w:left="410" w:right="158" w:hanging="270"/>
        <w:jc w:val="left"/>
        <w:rPr>
          <w:rFonts w:ascii="Arial" w:hAnsi="Arial"/>
          <w:color w:val="137692"/>
          <w:sz w:val="28"/>
        </w:rPr>
      </w:pPr>
      <w:r>
        <w:rPr>
          <w:rFonts w:ascii="Calibri" w:hAnsi="Calibri"/>
          <w:b/>
          <w:color w:val="4D4D4F"/>
          <w:w w:val="115"/>
          <w:sz w:val="22"/>
        </w:rPr>
        <w:t>Use</w:t>
      </w:r>
      <w:r>
        <w:rPr>
          <w:rFonts w:ascii="Calibri" w:hAnsi="Calibri"/>
          <w:b/>
          <w:color w:val="4D4D4F"/>
          <w:spacing w:val="-17"/>
          <w:w w:val="115"/>
          <w:sz w:val="22"/>
        </w:rPr>
        <w:t> </w:t>
      </w:r>
      <w:r>
        <w:rPr>
          <w:rFonts w:ascii="Calibri" w:hAnsi="Calibri"/>
          <w:b/>
          <w:color w:val="4D4D4F"/>
          <w:w w:val="115"/>
          <w:sz w:val="22"/>
        </w:rPr>
        <w:t>proper</w:t>
      </w:r>
      <w:r>
        <w:rPr>
          <w:rFonts w:ascii="Calibri" w:hAnsi="Calibri"/>
          <w:b/>
          <w:color w:val="4D4D4F"/>
          <w:spacing w:val="-17"/>
          <w:w w:val="115"/>
          <w:sz w:val="22"/>
        </w:rPr>
        <w:t> </w:t>
      </w:r>
      <w:r>
        <w:rPr>
          <w:rFonts w:ascii="Calibri" w:hAnsi="Calibri"/>
          <w:b/>
          <w:color w:val="4D4D4F"/>
          <w:w w:val="115"/>
          <w:sz w:val="22"/>
        </w:rPr>
        <w:t>deep</w:t>
      </w:r>
      <w:r>
        <w:rPr>
          <w:rFonts w:ascii="Calibri" w:hAnsi="Calibri"/>
          <w:b/>
          <w:color w:val="4D4D4F"/>
          <w:spacing w:val="-17"/>
          <w:w w:val="115"/>
          <w:sz w:val="22"/>
        </w:rPr>
        <w:t> </w:t>
      </w:r>
      <w:r>
        <w:rPr>
          <w:rFonts w:ascii="Calibri" w:hAnsi="Calibri"/>
          <w:b/>
          <w:color w:val="4D4D4F"/>
          <w:w w:val="115"/>
          <w:sz w:val="22"/>
        </w:rPr>
        <w:t>intramuscular</w:t>
      </w:r>
      <w:r>
        <w:rPr>
          <w:rFonts w:ascii="Calibri" w:hAnsi="Calibri"/>
          <w:b/>
          <w:color w:val="4D4D4F"/>
          <w:spacing w:val="-17"/>
          <w:w w:val="115"/>
          <w:sz w:val="22"/>
        </w:rPr>
        <w:t> </w:t>
      </w:r>
      <w:r>
        <w:rPr>
          <w:rFonts w:ascii="Calibri" w:hAnsi="Calibri"/>
          <w:b/>
          <w:color w:val="4D4D4F"/>
          <w:w w:val="115"/>
          <w:sz w:val="22"/>
        </w:rPr>
        <w:t>injection</w:t>
      </w:r>
      <w:r>
        <w:rPr>
          <w:rFonts w:ascii="Calibri" w:hAnsi="Calibri"/>
          <w:b/>
          <w:color w:val="4D4D4F"/>
          <w:spacing w:val="-17"/>
          <w:w w:val="115"/>
          <w:sz w:val="22"/>
        </w:rPr>
        <w:t> </w:t>
      </w:r>
      <w:r>
        <w:rPr>
          <w:rFonts w:ascii="Calibri" w:hAnsi="Calibri"/>
          <w:b/>
          <w:color w:val="4D4D4F"/>
          <w:w w:val="115"/>
          <w:sz w:val="22"/>
        </w:rPr>
        <w:t>technique</w:t>
      </w:r>
      <w:r>
        <w:rPr>
          <w:rFonts w:ascii="Calibri" w:hAnsi="Calibri"/>
          <w:b/>
          <w:color w:val="4D4D4F"/>
          <w:spacing w:val="-17"/>
          <w:w w:val="115"/>
          <w:sz w:val="22"/>
        </w:rPr>
        <w:t> </w:t>
      </w:r>
      <w:r>
        <w:rPr>
          <w:rFonts w:ascii="Calibri" w:hAnsi="Calibri"/>
          <w:b/>
          <w:color w:val="4D4D4F"/>
          <w:w w:val="115"/>
          <w:sz w:val="22"/>
        </w:rPr>
        <w:t>into</w:t>
      </w:r>
      <w:r>
        <w:rPr>
          <w:rFonts w:ascii="Calibri" w:hAnsi="Calibri"/>
          <w:b/>
          <w:color w:val="4D4D4F"/>
          <w:spacing w:val="-17"/>
          <w:w w:val="115"/>
          <w:sz w:val="22"/>
        </w:rPr>
        <w:t> </w:t>
      </w:r>
      <w:r>
        <w:rPr>
          <w:rFonts w:ascii="Calibri" w:hAnsi="Calibri"/>
          <w:b/>
          <w:color w:val="4D4D4F"/>
          <w:w w:val="115"/>
          <w:sz w:val="22"/>
        </w:rPr>
        <w:t>the</w:t>
      </w:r>
      <w:r>
        <w:rPr>
          <w:rFonts w:ascii="Calibri" w:hAnsi="Calibri"/>
          <w:b/>
          <w:color w:val="4D4D4F"/>
          <w:spacing w:val="-17"/>
          <w:w w:val="115"/>
          <w:sz w:val="22"/>
        </w:rPr>
        <w:t> </w:t>
      </w:r>
      <w:r>
        <w:rPr>
          <w:rFonts w:ascii="Calibri" w:hAnsi="Calibri"/>
          <w:b/>
          <w:color w:val="4D4D4F"/>
          <w:w w:val="115"/>
          <w:sz w:val="22"/>
        </w:rPr>
        <w:t>gluteal</w:t>
      </w:r>
      <w:r>
        <w:rPr>
          <w:rFonts w:ascii="Calibri" w:hAnsi="Calibri"/>
          <w:b/>
          <w:color w:val="4D4D4F"/>
          <w:spacing w:val="-17"/>
          <w:w w:val="115"/>
          <w:sz w:val="22"/>
        </w:rPr>
        <w:t> </w:t>
      </w:r>
      <w:r>
        <w:rPr>
          <w:rFonts w:ascii="Calibri" w:hAnsi="Calibri"/>
          <w:b/>
          <w:color w:val="4D4D4F"/>
          <w:w w:val="115"/>
          <w:sz w:val="22"/>
        </w:rPr>
        <w:t>muscle.</w:t>
      </w:r>
      <w:r>
        <w:rPr>
          <w:rFonts w:ascii="Calibri" w:hAnsi="Calibri"/>
          <w:b/>
          <w:color w:val="4D4D4F"/>
          <w:spacing w:val="-20"/>
          <w:w w:val="115"/>
          <w:sz w:val="22"/>
        </w:rPr>
        <w:t> </w:t>
      </w:r>
      <w:r>
        <w:rPr>
          <w:color w:val="4D4D4F"/>
          <w:w w:val="115"/>
          <w:sz w:val="22"/>
        </w:rPr>
        <w:t>XR-NTX</w:t>
      </w:r>
      <w:r>
        <w:rPr>
          <w:color w:val="4D4D4F"/>
          <w:spacing w:val="-32"/>
          <w:w w:val="115"/>
          <w:sz w:val="22"/>
        </w:rPr>
        <w:t> </w:t>
      </w:r>
      <w:r>
        <w:rPr>
          <w:color w:val="4D4D4F"/>
          <w:w w:val="115"/>
          <w:sz w:val="22"/>
        </w:rPr>
        <w:t>must</w:t>
      </w:r>
      <w:r>
        <w:rPr>
          <w:color w:val="4D4D4F"/>
          <w:spacing w:val="-33"/>
          <w:w w:val="115"/>
          <w:sz w:val="22"/>
        </w:rPr>
        <w:t> </w:t>
      </w:r>
      <w:r>
        <w:rPr>
          <w:color w:val="4D4D4F"/>
          <w:w w:val="115"/>
          <w:sz w:val="22"/>
        </w:rPr>
        <w:t>not be</w:t>
      </w:r>
      <w:r>
        <w:rPr>
          <w:color w:val="4D4D4F"/>
          <w:spacing w:val="-38"/>
          <w:w w:val="115"/>
          <w:sz w:val="22"/>
        </w:rPr>
        <w:t> </w:t>
      </w:r>
      <w:r>
        <w:rPr>
          <w:color w:val="4D4D4F"/>
          <w:w w:val="115"/>
          <w:sz w:val="22"/>
        </w:rPr>
        <w:t>injected</w:t>
      </w:r>
      <w:r>
        <w:rPr>
          <w:color w:val="4D4D4F"/>
          <w:spacing w:val="-38"/>
          <w:w w:val="115"/>
          <w:sz w:val="22"/>
        </w:rPr>
        <w:t> </w:t>
      </w:r>
      <w:r>
        <w:rPr>
          <w:color w:val="4D4D4F"/>
          <w:w w:val="115"/>
          <w:sz w:val="22"/>
        </w:rPr>
        <w:t>intravenously,</w:t>
      </w:r>
      <w:r>
        <w:rPr>
          <w:color w:val="4D4D4F"/>
          <w:spacing w:val="-37"/>
          <w:w w:val="115"/>
          <w:sz w:val="22"/>
        </w:rPr>
        <w:t> </w:t>
      </w:r>
      <w:r>
        <w:rPr>
          <w:color w:val="4D4D4F"/>
          <w:w w:val="115"/>
          <w:sz w:val="22"/>
        </w:rPr>
        <w:t>subcutaneously,</w:t>
      </w:r>
      <w:r>
        <w:rPr>
          <w:color w:val="4D4D4F"/>
          <w:spacing w:val="-38"/>
          <w:w w:val="115"/>
          <w:sz w:val="22"/>
        </w:rPr>
        <w:t> </w:t>
      </w:r>
      <w:r>
        <w:rPr>
          <w:color w:val="4D4D4F"/>
          <w:w w:val="115"/>
          <w:sz w:val="22"/>
        </w:rPr>
        <w:t>or</w:t>
      </w:r>
      <w:r>
        <w:rPr>
          <w:color w:val="4D4D4F"/>
          <w:spacing w:val="-38"/>
          <w:w w:val="115"/>
          <w:sz w:val="22"/>
        </w:rPr>
        <w:t> </w:t>
      </w:r>
      <w:r>
        <w:rPr>
          <w:color w:val="4D4D4F"/>
          <w:w w:val="115"/>
          <w:sz w:val="22"/>
        </w:rPr>
        <w:t>into</w:t>
      </w:r>
      <w:r>
        <w:rPr>
          <w:color w:val="4D4D4F"/>
          <w:spacing w:val="-37"/>
          <w:w w:val="115"/>
          <w:sz w:val="22"/>
        </w:rPr>
        <w:t> </w:t>
      </w:r>
      <w:r>
        <w:rPr>
          <w:color w:val="4D4D4F"/>
          <w:w w:val="115"/>
          <w:sz w:val="22"/>
        </w:rPr>
        <w:t>adipose</w:t>
      </w:r>
      <w:r>
        <w:rPr>
          <w:color w:val="4D4D4F"/>
          <w:spacing w:val="-38"/>
          <w:w w:val="115"/>
          <w:sz w:val="22"/>
        </w:rPr>
        <w:t> </w:t>
      </w:r>
      <w:r>
        <w:rPr>
          <w:color w:val="4D4D4F"/>
          <w:w w:val="115"/>
          <w:sz w:val="22"/>
        </w:rPr>
        <w:t>tissue.</w:t>
      </w:r>
      <w:r>
        <w:rPr>
          <w:color w:val="4D4D4F"/>
          <w:spacing w:val="-38"/>
          <w:w w:val="115"/>
          <w:sz w:val="22"/>
        </w:rPr>
        <w:t> </w:t>
      </w:r>
      <w:r>
        <w:rPr>
          <w:color w:val="4D4D4F"/>
          <w:w w:val="115"/>
          <w:sz w:val="22"/>
        </w:rPr>
        <w:t>Accidental</w:t>
      </w:r>
      <w:r>
        <w:rPr>
          <w:color w:val="4D4D4F"/>
          <w:spacing w:val="-37"/>
          <w:w w:val="115"/>
          <w:sz w:val="22"/>
        </w:rPr>
        <w:t> </w:t>
      </w:r>
      <w:r>
        <w:rPr>
          <w:color w:val="4D4D4F"/>
          <w:w w:val="115"/>
          <w:sz w:val="22"/>
        </w:rPr>
        <w:t>subcutaneous</w:t>
      </w:r>
      <w:r>
        <w:rPr>
          <w:color w:val="4D4D4F"/>
          <w:spacing w:val="-38"/>
          <w:w w:val="115"/>
          <w:sz w:val="22"/>
        </w:rPr>
        <w:t> </w:t>
      </w:r>
      <w:r>
        <w:rPr>
          <w:color w:val="4D4D4F"/>
          <w:w w:val="115"/>
          <w:sz w:val="22"/>
        </w:rPr>
        <w:t>injection may</w:t>
      </w:r>
      <w:r>
        <w:rPr>
          <w:color w:val="4D4D4F"/>
          <w:spacing w:val="-12"/>
          <w:w w:val="115"/>
          <w:sz w:val="22"/>
        </w:rPr>
        <w:t> </w:t>
      </w:r>
      <w:r>
        <w:rPr>
          <w:color w:val="4D4D4F"/>
          <w:w w:val="115"/>
          <w:sz w:val="22"/>
        </w:rPr>
        <w:t>increase</w:t>
      </w:r>
      <w:r>
        <w:rPr>
          <w:color w:val="4D4D4F"/>
          <w:spacing w:val="-12"/>
          <w:w w:val="115"/>
          <w:sz w:val="22"/>
        </w:rPr>
        <w:t> </w:t>
      </w:r>
      <w:r>
        <w:rPr>
          <w:color w:val="4D4D4F"/>
          <w:w w:val="115"/>
          <w:sz w:val="22"/>
        </w:rPr>
        <w:t>the</w:t>
      </w:r>
      <w:r>
        <w:rPr>
          <w:color w:val="4D4D4F"/>
          <w:spacing w:val="-12"/>
          <w:w w:val="115"/>
          <w:sz w:val="22"/>
        </w:rPr>
        <w:t> </w:t>
      </w:r>
      <w:r>
        <w:rPr>
          <w:color w:val="4D4D4F"/>
          <w:w w:val="115"/>
          <w:sz w:val="22"/>
        </w:rPr>
        <w:t>risk</w:t>
      </w:r>
      <w:r>
        <w:rPr>
          <w:color w:val="4D4D4F"/>
          <w:spacing w:val="-12"/>
          <w:w w:val="115"/>
          <w:sz w:val="22"/>
        </w:rPr>
        <w:t> </w:t>
      </w:r>
      <w:r>
        <w:rPr>
          <w:color w:val="4D4D4F"/>
          <w:w w:val="115"/>
          <w:sz w:val="22"/>
        </w:rPr>
        <w:t>of</w:t>
      </w:r>
      <w:r>
        <w:rPr>
          <w:color w:val="4D4D4F"/>
          <w:spacing w:val="-12"/>
          <w:w w:val="115"/>
          <w:sz w:val="22"/>
        </w:rPr>
        <w:t> </w:t>
      </w:r>
      <w:r>
        <w:rPr>
          <w:color w:val="4D4D4F"/>
          <w:w w:val="115"/>
          <w:sz w:val="22"/>
        </w:rPr>
        <w:t>severe</w:t>
      </w:r>
      <w:r>
        <w:rPr>
          <w:color w:val="4D4D4F"/>
          <w:spacing w:val="-12"/>
          <w:w w:val="115"/>
          <w:sz w:val="22"/>
        </w:rPr>
        <w:t> </w:t>
      </w:r>
      <w:r>
        <w:rPr>
          <w:color w:val="4D4D4F"/>
          <w:w w:val="115"/>
          <w:sz w:val="22"/>
        </w:rPr>
        <w:t>injection</w:t>
      </w:r>
      <w:r>
        <w:rPr>
          <w:color w:val="4D4D4F"/>
          <w:spacing w:val="-11"/>
          <w:w w:val="115"/>
          <w:sz w:val="22"/>
        </w:rPr>
        <w:t> </w:t>
      </w:r>
      <w:r>
        <w:rPr>
          <w:color w:val="4D4D4F"/>
          <w:w w:val="115"/>
          <w:sz w:val="22"/>
        </w:rPr>
        <w:t>site</w:t>
      </w:r>
      <w:r>
        <w:rPr>
          <w:color w:val="4D4D4F"/>
          <w:spacing w:val="-12"/>
          <w:w w:val="115"/>
          <w:sz w:val="22"/>
        </w:rPr>
        <w:t> </w:t>
      </w:r>
      <w:r>
        <w:rPr>
          <w:color w:val="4D4D4F"/>
          <w:w w:val="115"/>
          <w:sz w:val="22"/>
        </w:rPr>
        <w:t>reactions.</w:t>
      </w:r>
    </w:p>
    <w:p>
      <w:pPr>
        <w:pStyle w:val="ListParagraph"/>
        <w:numPr>
          <w:ilvl w:val="1"/>
          <w:numId w:val="29"/>
        </w:numPr>
        <w:tabs>
          <w:tab w:pos="716" w:val="left" w:leader="none"/>
        </w:tabs>
        <w:spacing w:line="235" w:lineRule="auto" w:before="88" w:after="0"/>
        <w:ind w:left="716" w:right="374" w:hanging="270"/>
        <w:jc w:val="left"/>
        <w:rPr>
          <w:rFonts w:ascii="Arial" w:hAnsi="Arial"/>
          <w:color w:val="137692"/>
          <w:sz w:val="24"/>
        </w:rPr>
      </w:pPr>
      <w:r>
        <w:rPr>
          <w:rFonts w:ascii="Calibri" w:hAnsi="Calibri"/>
          <w:b/>
          <w:color w:val="4D4D4F"/>
          <w:w w:val="110"/>
          <w:sz w:val="22"/>
        </w:rPr>
        <w:t>Administer the suspension by deep intramuscular injection into the upper outer quadrant  of gluteal muscle, </w:t>
      </w:r>
      <w:r>
        <w:rPr>
          <w:color w:val="4D4D4F"/>
          <w:w w:val="110"/>
          <w:sz w:val="22"/>
        </w:rPr>
        <w:t>alternating buttocks per monthly</w:t>
      </w:r>
      <w:r>
        <w:rPr>
          <w:color w:val="4D4D4F"/>
          <w:spacing w:val="11"/>
          <w:w w:val="110"/>
          <w:sz w:val="22"/>
        </w:rPr>
        <w:t> </w:t>
      </w:r>
      <w:r>
        <w:rPr>
          <w:color w:val="4D4D4F"/>
          <w:w w:val="110"/>
          <w:sz w:val="22"/>
        </w:rPr>
        <w:t>injection.</w:t>
      </w:r>
    </w:p>
    <w:p>
      <w:pPr>
        <w:pStyle w:val="ListParagraph"/>
        <w:numPr>
          <w:ilvl w:val="1"/>
          <w:numId w:val="29"/>
        </w:numPr>
        <w:tabs>
          <w:tab w:pos="716" w:val="left" w:leader="none"/>
        </w:tabs>
        <w:spacing w:line="244" w:lineRule="auto" w:before="25" w:after="0"/>
        <w:ind w:left="716" w:right="213" w:hanging="270"/>
        <w:jc w:val="left"/>
        <w:rPr>
          <w:rFonts w:ascii="Arial" w:hAnsi="Arial"/>
          <w:color w:val="137692"/>
          <w:sz w:val="24"/>
        </w:rPr>
      </w:pPr>
      <w:r>
        <w:rPr>
          <w:rFonts w:ascii="Calibri" w:hAnsi="Calibri"/>
          <w:b/>
          <w:color w:val="4D4D4F"/>
          <w:w w:val="110"/>
          <w:sz w:val="22"/>
        </w:rPr>
        <w:t>Remember to aspirate for blood before  injection. </w:t>
      </w:r>
      <w:r>
        <w:rPr>
          <w:color w:val="4D4D4F"/>
          <w:w w:val="110"/>
          <w:sz w:val="22"/>
        </w:rPr>
        <w:t>If blood aspirates or the needle clogs, do not inject. Change to the spare needle provided in the package and administer into an </w:t>
      </w:r>
      <w:r>
        <w:rPr>
          <w:color w:val="4D4D4F"/>
          <w:spacing w:val="-3"/>
          <w:w w:val="110"/>
          <w:sz w:val="22"/>
        </w:rPr>
        <w:t>adjacent </w:t>
      </w:r>
      <w:r>
        <w:rPr>
          <w:color w:val="4D4D4F"/>
          <w:w w:val="110"/>
          <w:sz w:val="22"/>
        </w:rPr>
        <w:t>site in the same gluteal region, again aspirating for blood before</w:t>
      </w:r>
      <w:r>
        <w:rPr>
          <w:color w:val="4D4D4F"/>
          <w:spacing w:val="-14"/>
          <w:w w:val="110"/>
          <w:sz w:val="22"/>
        </w:rPr>
        <w:t> </w:t>
      </w:r>
      <w:r>
        <w:rPr>
          <w:color w:val="4D4D4F"/>
          <w:w w:val="110"/>
          <w:sz w:val="22"/>
        </w:rPr>
        <w:t>injection.</w:t>
      </w:r>
    </w:p>
    <w:p>
      <w:pPr>
        <w:pStyle w:val="Heading7"/>
        <w:numPr>
          <w:ilvl w:val="1"/>
          <w:numId w:val="29"/>
        </w:numPr>
        <w:tabs>
          <w:tab w:pos="716" w:val="left" w:leader="none"/>
        </w:tabs>
        <w:spacing w:line="240" w:lineRule="auto" w:before="25" w:after="0"/>
        <w:ind w:left="716" w:right="0" w:hanging="271"/>
        <w:jc w:val="left"/>
        <w:rPr>
          <w:rFonts w:ascii="Arial" w:hAnsi="Arial"/>
          <w:color w:val="137692"/>
          <w:sz w:val="24"/>
        </w:rPr>
      </w:pPr>
      <w:r>
        <w:rPr>
          <w:color w:val="4D4D4F"/>
          <w:w w:val="110"/>
        </w:rPr>
        <w:t>Inject the suspension in a smooth, continuous</w:t>
      </w:r>
      <w:r>
        <w:rPr>
          <w:color w:val="4D4D4F"/>
          <w:spacing w:val="20"/>
          <w:w w:val="110"/>
        </w:rPr>
        <w:t> </w:t>
      </w:r>
      <w:r>
        <w:rPr>
          <w:color w:val="4D4D4F"/>
          <w:w w:val="110"/>
        </w:rPr>
        <w:t>motion.</w:t>
      </w:r>
    </w:p>
    <w:p>
      <w:pPr>
        <w:pStyle w:val="BodyText"/>
        <w:spacing w:line="247" w:lineRule="auto" w:before="181"/>
        <w:ind w:left="140" w:right="453"/>
      </w:pPr>
      <w:r>
        <w:rPr>
          <w:color w:val="4D4D4F"/>
          <w:w w:val="110"/>
        </w:rPr>
        <w:t>A patient counseling tool is available to help you counsel your patients before administration about the serious risks associated with XR-NTX.</w:t>
      </w:r>
    </w:p>
    <w:p>
      <w:pPr>
        <w:pStyle w:val="BodyText"/>
        <w:spacing w:line="247" w:lineRule="auto" w:before="182"/>
        <w:ind w:left="140" w:right="235"/>
      </w:pPr>
      <w:r>
        <w:rPr>
          <w:color w:val="4D4D4F"/>
          <w:w w:val="110"/>
        </w:rPr>
        <w:t>The above information is a selection of key safety information about the XR-NTX injection. For complete safety information, refer to the directions for use and the prescribing information provided in the medication kit. </w:t>
      </w:r>
      <w:r>
        <w:rPr>
          <w:color w:val="4D4D4F"/>
          <w:spacing w:val="-9"/>
          <w:w w:val="110"/>
        </w:rPr>
        <w:t>You </w:t>
      </w:r>
      <w:r>
        <w:rPr>
          <w:color w:val="4D4D4F"/>
          <w:w w:val="110"/>
        </w:rPr>
        <w:t>can also obtain this information online (</w:t>
      </w:r>
      <w:r>
        <w:rPr>
          <w:color w:val="205E9F"/>
          <w:w w:val="110"/>
          <w:u w:val="single" w:color="205E9F"/>
        </w:rPr>
        <w:t>www.vivitrolrems.com</w:t>
      </w:r>
      <w:r>
        <w:rPr>
          <w:color w:val="4D4D4F"/>
          <w:w w:val="110"/>
        </w:rPr>
        <w:t>) or by </w:t>
      </w:r>
      <w:r>
        <w:rPr>
          <w:color w:val="4D4D4F"/>
          <w:spacing w:val="-3"/>
          <w:w w:val="110"/>
        </w:rPr>
        <w:t>calling </w:t>
      </w:r>
      <w:r>
        <w:rPr>
          <w:color w:val="4D4D4F"/>
          <w:w w:val="110"/>
        </w:rPr>
        <w:t>1-800-VIVITROL.</w:t>
      </w:r>
    </w:p>
    <w:p>
      <w:pPr>
        <w:spacing w:before="174"/>
        <w:ind w:left="140" w:right="0" w:firstLine="0"/>
        <w:jc w:val="left"/>
        <w:rPr>
          <w:sz w:val="18"/>
        </w:rPr>
      </w:pPr>
      <w:r>
        <w:rPr>
          <w:color w:val="4D4D4F"/>
          <w:w w:val="110"/>
          <w:sz w:val="18"/>
        </w:rPr>
        <w:t>Available online (</w:t>
      </w:r>
      <w:hyperlink r:id="rId58">
        <w:r>
          <w:rPr>
            <w:color w:val="205E9F"/>
            <w:w w:val="110"/>
            <w:sz w:val="18"/>
            <w:u w:val="single" w:color="205E9F"/>
          </w:rPr>
          <w:t>www.vivitrolrems.com/content/pdf/patinfo-injection-poster.pdf</w:t>
        </w:r>
        <w:r>
          <w:rPr>
            <w:color w:val="4D4D4F"/>
            <w:w w:val="110"/>
            <w:sz w:val="18"/>
          </w:rPr>
          <w:t>).</w:t>
        </w:r>
      </w:hyperlink>
    </w:p>
    <w:p>
      <w:pPr>
        <w:spacing w:after="0"/>
        <w:jc w:val="left"/>
        <w:rPr>
          <w:sz w:val="18"/>
        </w:rPr>
        <w:sectPr>
          <w:pgSz w:w="12240" w:h="15840"/>
          <w:pgMar w:header="576" w:footer="677" w:top="1340" w:bottom="860" w:left="940" w:right="920"/>
        </w:sectPr>
      </w:pPr>
    </w:p>
    <w:p>
      <w:pPr>
        <w:pStyle w:val="BodyText"/>
        <w:spacing w:before="1"/>
        <w:rPr>
          <w:sz w:val="24"/>
        </w:rPr>
      </w:pPr>
    </w:p>
    <w:p>
      <w:pPr>
        <w:pStyle w:val="Heading1"/>
        <w:spacing w:before="79"/>
      </w:pPr>
      <w:bookmarkStart w:name="_TOC_250062" w:id="53"/>
      <w:bookmarkEnd w:id="53"/>
      <w:r>
        <w:rPr>
          <w:color w:val="414142"/>
          <w:w w:val="105"/>
        </w:rPr>
        <w:t>Chapter 3D: Buprenorphine</w:t>
      </w:r>
    </w:p>
    <w:p>
      <w:pPr>
        <w:pStyle w:val="BodyText"/>
        <w:spacing w:before="2"/>
        <w:rPr>
          <w:rFonts w:ascii="Calibri"/>
          <w:b/>
          <w:sz w:val="18"/>
        </w:rPr>
      </w:pPr>
      <w:r>
        <w:rPr/>
        <w:pict>
          <v:shape style="position:absolute;margin-left:53.75pt;margin-top:13.312407pt;width:504.05pt;height:49.05pt;mso-position-horizontal-relative:page;mso-position-vertical-relative:paragraph;z-index:-15697408;mso-wrap-distance-left:0;mso-wrap-distance-right:0" type="#_x0000_t202" filled="false" stroked="true" strokeweight=".5pt" strokecolor="#88aabd">
            <v:textbox inset="0,0,0,0">
              <w:txbxContent>
                <w:p>
                  <w:pPr>
                    <w:spacing w:line="247" w:lineRule="auto" w:before="229"/>
                    <w:ind w:left="270" w:right="336" w:firstLine="0"/>
                    <w:jc w:val="left"/>
                    <w:rPr>
                      <w:rFonts w:ascii="Trebuchet MS" w:hAnsi="Trebuchet MS"/>
                      <w:b/>
                      <w:i/>
                      <w:sz w:val="22"/>
                    </w:rPr>
                  </w:pPr>
                  <w:r>
                    <w:rPr>
                      <w:rFonts w:ascii="Trebuchet MS" w:hAnsi="Trebuchet MS"/>
                      <w:b/>
                      <w:i/>
                      <w:color w:val="137692"/>
                      <w:sz w:val="22"/>
                    </w:rPr>
                    <w:t>Chapter 3D is </w:t>
                  </w:r>
                  <w:r>
                    <w:rPr>
                      <w:rFonts w:ascii="Trebuchet MS" w:hAnsi="Trebuchet MS"/>
                      <w:b/>
                      <w:i/>
                      <w:color w:val="4D4D4F"/>
                      <w:sz w:val="22"/>
                    </w:rPr>
                    <w:t>an overview of buprenorphine pharmacology and speciﬁc dosing guidance </w:t>
                  </w:r>
                  <w:r>
                    <w:rPr>
                      <w:rFonts w:ascii="Trebuchet MS" w:hAnsi="Trebuchet MS"/>
                      <w:b/>
                      <w:i/>
                      <w:color w:val="4D4D4F"/>
                      <w:sz w:val="22"/>
                    </w:rPr>
                    <w:t>for sublingual and buccal formulations and buprenorphine implants and injections.</w:t>
                  </w:r>
                </w:p>
              </w:txbxContent>
            </v:textbox>
            <v:stroke dashstyle="solid"/>
            <w10:wrap type="topAndBottom"/>
          </v:shape>
        </w:pict>
      </w:r>
    </w:p>
    <w:p>
      <w:pPr>
        <w:pStyle w:val="BodyText"/>
        <w:spacing w:before="2"/>
        <w:rPr>
          <w:rFonts w:ascii="Calibri"/>
          <w:b/>
          <w:sz w:val="26"/>
        </w:rPr>
      </w:pPr>
    </w:p>
    <w:p>
      <w:pPr>
        <w:spacing w:after="0"/>
        <w:rPr>
          <w:rFonts w:ascii="Calibri"/>
          <w:sz w:val="26"/>
        </w:rPr>
        <w:sectPr>
          <w:pgSz w:w="12240" w:h="15840"/>
          <w:pgMar w:header="576" w:footer="677" w:top="1340" w:bottom="860" w:left="940" w:right="920"/>
        </w:sectPr>
      </w:pPr>
    </w:p>
    <w:p>
      <w:pPr>
        <w:pStyle w:val="BodyText"/>
        <w:spacing w:line="247" w:lineRule="auto" w:before="109"/>
        <w:ind w:left="129"/>
      </w:pPr>
      <w:r>
        <w:rPr>
          <w:color w:val="4D4D4F"/>
          <w:w w:val="110"/>
        </w:rPr>
        <w:t>Buprenorphine and buprenorphine/naloxone formulations are effective treatments for opioid use disorder (OUD). Numerous clinical studies and randomized clinical trials have demonstrated buprenorphine’s efﬁcacy in retaining patients</w:t>
      </w:r>
    </w:p>
    <w:p>
      <w:pPr>
        <w:pStyle w:val="BodyText"/>
        <w:spacing w:line="247" w:lineRule="auto" w:before="6"/>
        <w:ind w:left="129" w:right="115"/>
        <w:rPr>
          <w:sz w:val="13"/>
        </w:rPr>
      </w:pPr>
      <w:r>
        <w:rPr>
          <w:color w:val="4D4D4F"/>
          <w:w w:val="110"/>
        </w:rPr>
        <w:t>in treatment and reducing illicit opioid use compared with treatment without medication and medically supervised withdrawal.</w:t>
      </w:r>
      <w:r>
        <w:rPr>
          <w:color w:val="4D4D4F"/>
          <w:w w:val="110"/>
          <w:position w:val="7"/>
          <w:sz w:val="13"/>
        </w:rPr>
        <w:t>216,217,218 </w:t>
      </w:r>
      <w:r>
        <w:rPr>
          <w:color w:val="4D4D4F"/>
          <w:w w:val="110"/>
        </w:rPr>
        <w:t>Other research has associated it with reduction in HIV risk behavior and risk of overdose death, and its effectiveness has been shown in primary care settings.</w:t>
      </w:r>
      <w:r>
        <w:rPr>
          <w:color w:val="4D4D4F"/>
          <w:w w:val="110"/>
          <w:position w:val="7"/>
          <w:sz w:val="13"/>
        </w:rPr>
        <w:t>219,220,221,222,223 </w:t>
      </w:r>
      <w:r>
        <w:rPr>
          <w:color w:val="4D4D4F"/>
          <w:w w:val="110"/>
        </w:rPr>
        <w:t>Buprenorphine is on the World Health Organization (WHO) list of essential medications.</w:t>
      </w:r>
      <w:r>
        <w:rPr>
          <w:color w:val="4D4D4F"/>
          <w:w w:val="110"/>
          <w:position w:val="7"/>
          <w:sz w:val="13"/>
        </w:rPr>
        <w:t>224</w:t>
      </w:r>
    </w:p>
    <w:p>
      <w:pPr>
        <w:spacing w:line="240" w:lineRule="auto" w:before="186"/>
        <w:ind w:left="130" w:right="115" w:firstLine="0"/>
        <w:jc w:val="left"/>
        <w:rPr>
          <w:sz w:val="13"/>
        </w:rPr>
      </w:pPr>
      <w:r>
        <w:rPr>
          <w:rFonts w:ascii="Calibri"/>
          <w:b/>
          <w:color w:val="4D4D4F"/>
          <w:w w:val="110"/>
          <w:sz w:val="22"/>
        </w:rPr>
        <w:t>The Treatment Improvement Protocol (TIP) expert panel recommends offering the option of Food and Drug Administration (FDA)- approved buprenorphine formulations to appropriate patients with OUD, </w:t>
      </w:r>
      <w:r>
        <w:rPr>
          <w:color w:val="4D4D4F"/>
          <w:w w:val="110"/>
          <w:sz w:val="22"/>
        </w:rPr>
        <w:t>considering patient preferences for and experience with other medications or no medication. These recommendations align with recent Department of Veterans Affairs guidelines.</w:t>
      </w:r>
      <w:r>
        <w:rPr>
          <w:color w:val="4D4D4F"/>
          <w:w w:val="110"/>
          <w:position w:val="7"/>
          <w:sz w:val="13"/>
        </w:rPr>
        <w:t>225</w:t>
      </w:r>
    </w:p>
    <w:p>
      <w:pPr>
        <w:pStyle w:val="Heading2"/>
        <w:spacing w:before="231"/>
        <w:ind w:left="130"/>
      </w:pPr>
      <w:bookmarkStart w:name="_TOC_250061" w:id="54"/>
      <w:bookmarkEnd w:id="54"/>
      <w:r>
        <w:rPr>
          <w:color w:val="137692"/>
          <w:w w:val="105"/>
        </w:rPr>
        <w:t>Formulations</w:t>
      </w:r>
    </w:p>
    <w:p>
      <w:pPr>
        <w:pStyle w:val="Heading3"/>
        <w:spacing w:before="115"/>
        <w:ind w:left="130"/>
      </w:pPr>
      <w:bookmarkStart w:name="_TOC_250060" w:id="55"/>
      <w:bookmarkEnd w:id="55"/>
      <w:r>
        <w:rPr>
          <w:color w:val="137692"/>
          <w:w w:val="110"/>
        </w:rPr>
        <w:t>History of Approvals</w:t>
      </w:r>
    </w:p>
    <w:p>
      <w:pPr>
        <w:spacing w:line="237" w:lineRule="auto" w:before="44"/>
        <w:ind w:left="130" w:right="35" w:firstLine="0"/>
        <w:jc w:val="left"/>
        <w:rPr>
          <w:sz w:val="22"/>
        </w:rPr>
      </w:pPr>
      <w:r>
        <w:rPr>
          <w:rFonts w:ascii="Calibri"/>
          <w:b/>
          <w:color w:val="4D4D4F"/>
          <w:w w:val="110"/>
          <w:sz w:val="22"/>
        </w:rPr>
        <w:t>FDA originally approved buprenorphine for analgesia.</w:t>
      </w:r>
      <w:r>
        <w:rPr>
          <w:rFonts w:ascii="Calibri"/>
          <w:b/>
          <w:color w:val="4D4D4F"/>
          <w:spacing w:val="-3"/>
          <w:w w:val="110"/>
          <w:sz w:val="22"/>
        </w:rPr>
        <w:t> </w:t>
      </w:r>
      <w:r>
        <w:rPr>
          <w:color w:val="4D4D4F"/>
          <w:w w:val="110"/>
          <w:sz w:val="22"/>
        </w:rPr>
        <w:t>Formulations</w:t>
      </w:r>
      <w:r>
        <w:rPr>
          <w:color w:val="4D4D4F"/>
          <w:spacing w:val="-18"/>
          <w:w w:val="110"/>
          <w:sz w:val="22"/>
        </w:rPr>
        <w:t> </w:t>
      </w:r>
      <w:r>
        <w:rPr>
          <w:color w:val="4D4D4F"/>
          <w:w w:val="110"/>
          <w:sz w:val="22"/>
        </w:rPr>
        <w:t>for</w:t>
      </w:r>
      <w:r>
        <w:rPr>
          <w:color w:val="4D4D4F"/>
          <w:spacing w:val="-19"/>
          <w:w w:val="110"/>
          <w:sz w:val="22"/>
        </w:rPr>
        <w:t> </w:t>
      </w:r>
      <w:r>
        <w:rPr>
          <w:color w:val="4D4D4F"/>
          <w:w w:val="110"/>
          <w:sz w:val="22"/>
        </w:rPr>
        <w:t>OUD</w:t>
      </w:r>
      <w:r>
        <w:rPr>
          <w:color w:val="4D4D4F"/>
          <w:spacing w:val="-18"/>
          <w:w w:val="110"/>
          <w:sz w:val="22"/>
        </w:rPr>
        <w:t> </w:t>
      </w:r>
      <w:r>
        <w:rPr>
          <w:color w:val="4D4D4F"/>
          <w:w w:val="110"/>
          <w:sz w:val="22"/>
        </w:rPr>
        <w:t>treatment</w:t>
      </w:r>
      <w:r>
        <w:rPr>
          <w:color w:val="4D4D4F"/>
          <w:spacing w:val="-18"/>
          <w:w w:val="110"/>
          <w:sz w:val="22"/>
        </w:rPr>
        <w:t> </w:t>
      </w:r>
      <w:r>
        <w:rPr>
          <w:color w:val="4D4D4F"/>
          <w:spacing w:val="-6"/>
          <w:w w:val="110"/>
          <w:sz w:val="22"/>
        </w:rPr>
        <w:t>were </w:t>
      </w:r>
      <w:r>
        <w:rPr>
          <w:color w:val="4D4D4F"/>
          <w:w w:val="110"/>
          <w:sz w:val="22"/>
        </w:rPr>
        <w:t>approved</w:t>
      </w:r>
      <w:r>
        <w:rPr>
          <w:color w:val="4D4D4F"/>
          <w:spacing w:val="-6"/>
          <w:w w:val="110"/>
          <w:sz w:val="22"/>
        </w:rPr>
        <w:t> </w:t>
      </w:r>
      <w:r>
        <w:rPr>
          <w:color w:val="4D4D4F"/>
          <w:w w:val="110"/>
          <w:sz w:val="22"/>
        </w:rPr>
        <w:t>in:</w:t>
      </w:r>
    </w:p>
    <w:p>
      <w:pPr>
        <w:pStyle w:val="ListParagraph"/>
        <w:numPr>
          <w:ilvl w:val="0"/>
          <w:numId w:val="29"/>
        </w:numPr>
        <w:tabs>
          <w:tab w:pos="400" w:val="left" w:leader="none"/>
        </w:tabs>
        <w:spacing w:line="264" w:lineRule="exact" w:before="184" w:after="0"/>
        <w:ind w:left="400" w:right="204" w:hanging="270"/>
        <w:jc w:val="left"/>
        <w:rPr>
          <w:rFonts w:ascii="Arial" w:hAnsi="Arial"/>
          <w:color w:val="137692"/>
          <w:sz w:val="28"/>
        </w:rPr>
      </w:pPr>
      <w:r>
        <w:rPr>
          <w:color w:val="4D4D4F"/>
          <w:w w:val="110"/>
          <w:sz w:val="22"/>
        </w:rPr>
        <w:t>2002: Sublingual buprenorphine/naloxone sublingual tablets (Suboxone); sublingual buprenorphine tablets (Subutex). The manu- facturer discontinued the tablet formulations of both from the U.S. market after the </w:t>
      </w:r>
      <w:r>
        <w:rPr>
          <w:color w:val="4D4D4F"/>
          <w:spacing w:val="-4"/>
          <w:w w:val="110"/>
          <w:sz w:val="22"/>
        </w:rPr>
        <w:t>ﬁlm’s </w:t>
      </w:r>
      <w:r>
        <w:rPr>
          <w:color w:val="4D4D4F"/>
          <w:w w:val="110"/>
          <w:sz w:val="22"/>
        </w:rPr>
        <w:t>approval, but generic tablet formulations </w:t>
      </w:r>
      <w:r>
        <w:rPr>
          <w:color w:val="4D4D4F"/>
          <w:spacing w:val="-8"/>
          <w:w w:val="110"/>
          <w:sz w:val="22"/>
        </w:rPr>
        <w:t>are </w:t>
      </w:r>
      <w:r>
        <w:rPr>
          <w:color w:val="4D4D4F"/>
          <w:w w:val="110"/>
          <w:sz w:val="22"/>
        </w:rPr>
        <w:t>still available (Exhibit 3A.5, Chapter</w:t>
      </w:r>
      <w:r>
        <w:rPr>
          <w:color w:val="4D4D4F"/>
          <w:spacing w:val="-18"/>
          <w:w w:val="110"/>
          <w:sz w:val="22"/>
        </w:rPr>
        <w:t> </w:t>
      </w:r>
      <w:r>
        <w:rPr>
          <w:color w:val="4D4D4F"/>
          <w:w w:val="110"/>
          <w:sz w:val="22"/>
        </w:rPr>
        <w:t>3A).</w:t>
      </w:r>
    </w:p>
    <w:p>
      <w:pPr>
        <w:pStyle w:val="ListParagraph"/>
        <w:numPr>
          <w:ilvl w:val="0"/>
          <w:numId w:val="29"/>
        </w:numPr>
        <w:tabs>
          <w:tab w:pos="400" w:val="left" w:leader="none"/>
        </w:tabs>
        <w:spacing w:line="315" w:lineRule="exact" w:before="91" w:after="0"/>
        <w:ind w:left="399" w:right="0" w:hanging="271"/>
        <w:jc w:val="left"/>
        <w:rPr>
          <w:rFonts w:ascii="Arial" w:hAnsi="Arial"/>
          <w:color w:val="137692"/>
          <w:sz w:val="28"/>
        </w:rPr>
      </w:pPr>
      <w:r>
        <w:rPr>
          <w:color w:val="4D4D4F"/>
          <w:spacing w:val="-4"/>
          <w:w w:val="112"/>
          <w:sz w:val="22"/>
        </w:rPr>
        <w:br w:type="column"/>
      </w:r>
      <w:r>
        <w:rPr>
          <w:color w:val="4D4D4F"/>
          <w:spacing w:val="-4"/>
          <w:w w:val="115"/>
          <w:sz w:val="22"/>
        </w:rPr>
        <w:t>2010:</w:t>
      </w:r>
      <w:r>
        <w:rPr>
          <w:color w:val="4D4D4F"/>
          <w:spacing w:val="-30"/>
          <w:w w:val="115"/>
          <w:sz w:val="22"/>
        </w:rPr>
        <w:t> </w:t>
      </w:r>
      <w:r>
        <w:rPr>
          <w:color w:val="4D4D4F"/>
          <w:spacing w:val="-4"/>
          <w:w w:val="115"/>
          <w:sz w:val="22"/>
        </w:rPr>
        <w:t>Buprenorphine/naloxone</w:t>
      </w:r>
      <w:r>
        <w:rPr>
          <w:color w:val="4D4D4F"/>
          <w:spacing w:val="-29"/>
          <w:w w:val="115"/>
          <w:sz w:val="22"/>
        </w:rPr>
        <w:t> </w:t>
      </w:r>
      <w:r>
        <w:rPr>
          <w:color w:val="4D4D4F"/>
          <w:spacing w:val="-4"/>
          <w:w w:val="115"/>
          <w:sz w:val="22"/>
        </w:rPr>
        <w:t>sublingual</w:t>
      </w:r>
      <w:r>
        <w:rPr>
          <w:color w:val="4D4D4F"/>
          <w:spacing w:val="-29"/>
          <w:w w:val="115"/>
          <w:sz w:val="22"/>
        </w:rPr>
        <w:t> </w:t>
      </w:r>
      <w:r>
        <w:rPr>
          <w:color w:val="4D4D4F"/>
          <w:spacing w:val="-4"/>
          <w:w w:val="115"/>
          <w:sz w:val="22"/>
        </w:rPr>
        <w:t>ﬁlms.</w:t>
      </w:r>
    </w:p>
    <w:p>
      <w:pPr>
        <w:pStyle w:val="ListParagraph"/>
        <w:numPr>
          <w:ilvl w:val="0"/>
          <w:numId w:val="29"/>
        </w:numPr>
        <w:tabs>
          <w:tab w:pos="400" w:val="left" w:leader="none"/>
        </w:tabs>
        <w:spacing w:line="208" w:lineRule="auto" w:before="22" w:after="0"/>
        <w:ind w:left="399" w:right="610" w:hanging="270"/>
        <w:jc w:val="left"/>
        <w:rPr>
          <w:rFonts w:ascii="Arial" w:hAnsi="Arial"/>
          <w:color w:val="137692"/>
          <w:sz w:val="28"/>
        </w:rPr>
      </w:pPr>
      <w:r>
        <w:rPr>
          <w:color w:val="4D4D4F"/>
          <w:w w:val="110"/>
          <w:sz w:val="22"/>
        </w:rPr>
        <w:t>2013: Buprenorphine/naloxone sublingual tablets</w:t>
      </w:r>
      <w:r>
        <w:rPr>
          <w:color w:val="4D4D4F"/>
          <w:spacing w:val="-7"/>
          <w:w w:val="110"/>
          <w:sz w:val="22"/>
        </w:rPr>
        <w:t> </w:t>
      </w:r>
      <w:r>
        <w:rPr>
          <w:color w:val="4D4D4F"/>
          <w:w w:val="110"/>
          <w:sz w:val="22"/>
        </w:rPr>
        <w:t>(Zubsolv).</w:t>
      </w:r>
      <w:r>
        <w:rPr>
          <w:color w:val="4D4D4F"/>
          <w:w w:val="110"/>
          <w:position w:val="7"/>
          <w:sz w:val="13"/>
        </w:rPr>
        <w:t>226</w:t>
      </w:r>
    </w:p>
    <w:p>
      <w:pPr>
        <w:pStyle w:val="ListParagraph"/>
        <w:numPr>
          <w:ilvl w:val="0"/>
          <w:numId w:val="29"/>
        </w:numPr>
        <w:tabs>
          <w:tab w:pos="400" w:val="left" w:leader="none"/>
        </w:tabs>
        <w:spacing w:line="208" w:lineRule="auto" w:before="69" w:after="0"/>
        <w:ind w:left="399" w:right="463" w:hanging="270"/>
        <w:jc w:val="left"/>
        <w:rPr>
          <w:rFonts w:ascii="Arial" w:hAnsi="Arial"/>
          <w:color w:val="137692"/>
          <w:sz w:val="28"/>
        </w:rPr>
      </w:pPr>
      <w:r>
        <w:rPr>
          <w:color w:val="4D4D4F"/>
          <w:w w:val="110"/>
          <w:sz w:val="22"/>
        </w:rPr>
        <w:t>2014: Buprenorphine/naloxone buccal </w:t>
      </w:r>
      <w:r>
        <w:rPr>
          <w:color w:val="4D4D4F"/>
          <w:spacing w:val="-4"/>
          <w:w w:val="110"/>
          <w:sz w:val="22"/>
        </w:rPr>
        <w:t>ﬁlms </w:t>
      </w:r>
      <w:r>
        <w:rPr>
          <w:color w:val="4D4D4F"/>
          <w:w w:val="110"/>
          <w:sz w:val="22"/>
        </w:rPr>
        <w:t>(Bunavail).</w:t>
      </w:r>
      <w:r>
        <w:rPr>
          <w:color w:val="4D4D4F"/>
          <w:w w:val="110"/>
          <w:position w:val="7"/>
          <w:sz w:val="13"/>
        </w:rPr>
        <w:t>227</w:t>
      </w:r>
    </w:p>
    <w:p>
      <w:pPr>
        <w:pStyle w:val="ListParagraph"/>
        <w:numPr>
          <w:ilvl w:val="0"/>
          <w:numId w:val="29"/>
        </w:numPr>
        <w:tabs>
          <w:tab w:pos="400" w:val="left" w:leader="none"/>
        </w:tabs>
        <w:spacing w:line="315" w:lineRule="exact" w:before="40" w:after="0"/>
        <w:ind w:left="399" w:right="0" w:hanging="271"/>
        <w:jc w:val="left"/>
        <w:rPr>
          <w:rFonts w:ascii="Arial" w:hAnsi="Arial"/>
          <w:color w:val="137692"/>
          <w:sz w:val="28"/>
        </w:rPr>
      </w:pPr>
      <w:r>
        <w:rPr>
          <w:color w:val="4D4D4F"/>
          <w:w w:val="110"/>
          <w:sz w:val="22"/>
        </w:rPr>
        <w:t>2016: Buprenorphine implants</w:t>
      </w:r>
      <w:r>
        <w:rPr>
          <w:color w:val="4D4D4F"/>
          <w:spacing w:val="-8"/>
          <w:w w:val="110"/>
          <w:sz w:val="22"/>
        </w:rPr>
        <w:t> </w:t>
      </w:r>
      <w:r>
        <w:rPr>
          <w:color w:val="4D4D4F"/>
          <w:w w:val="110"/>
          <w:sz w:val="22"/>
        </w:rPr>
        <w:t>(Probuphine).</w:t>
      </w:r>
    </w:p>
    <w:p>
      <w:pPr>
        <w:pStyle w:val="ListParagraph"/>
        <w:numPr>
          <w:ilvl w:val="0"/>
          <w:numId w:val="29"/>
        </w:numPr>
        <w:tabs>
          <w:tab w:pos="400" w:val="left" w:leader="none"/>
        </w:tabs>
        <w:spacing w:line="208" w:lineRule="auto" w:before="22" w:after="0"/>
        <w:ind w:left="399" w:right="879" w:hanging="270"/>
        <w:jc w:val="left"/>
        <w:rPr>
          <w:rFonts w:ascii="Arial" w:hAnsi="Arial"/>
          <w:color w:val="137692"/>
          <w:sz w:val="28"/>
        </w:rPr>
      </w:pPr>
      <w:r>
        <w:rPr>
          <w:color w:val="4D4D4F"/>
          <w:w w:val="110"/>
          <w:sz w:val="22"/>
        </w:rPr>
        <w:t>2017: Buprenorphine extended-release injection</w:t>
      </w:r>
      <w:r>
        <w:rPr>
          <w:color w:val="4D4D4F"/>
          <w:spacing w:val="-6"/>
          <w:w w:val="110"/>
          <w:sz w:val="22"/>
        </w:rPr>
        <w:t> </w:t>
      </w:r>
      <w:r>
        <w:rPr>
          <w:color w:val="4D4D4F"/>
          <w:w w:val="110"/>
          <w:sz w:val="22"/>
        </w:rPr>
        <w:t>(Sublocade).</w:t>
      </w:r>
    </w:p>
    <w:p>
      <w:pPr>
        <w:pStyle w:val="BodyText"/>
        <w:spacing w:line="247" w:lineRule="auto" w:before="195"/>
        <w:ind w:left="129" w:right="325"/>
      </w:pPr>
      <w:r>
        <w:rPr>
          <w:color w:val="4D4D4F"/>
          <w:w w:val="110"/>
        </w:rPr>
        <w:t>FDA approved generic buprenorphine and buprenorphine/naloxone formulations  based on evidence that they produce similar (within 90 percent conﬁdence intervals) bioequivalence on pharmacokinetic measures, such as</w:t>
      </w:r>
      <w:r>
        <w:rPr>
          <w:color w:val="4D4D4F"/>
          <w:spacing w:val="-3"/>
          <w:w w:val="110"/>
        </w:rPr>
        <w:t> </w:t>
      </w:r>
      <w:r>
        <w:rPr>
          <w:color w:val="4D4D4F"/>
          <w:w w:val="110"/>
        </w:rPr>
        <w:t>peak</w:t>
      </w:r>
    </w:p>
    <w:p>
      <w:pPr>
        <w:pStyle w:val="BodyText"/>
        <w:spacing w:line="247" w:lineRule="auto" w:before="6"/>
        <w:ind w:left="129"/>
      </w:pPr>
      <w:r>
        <w:rPr>
          <w:color w:val="4D4D4F"/>
          <w:w w:val="110"/>
        </w:rPr>
        <w:t>serum concentration, compared with the original sublingual buprenorphine/naloxone product.</w:t>
      </w:r>
    </w:p>
    <w:p>
      <w:pPr>
        <w:spacing w:line="240" w:lineRule="auto" w:before="177"/>
        <w:ind w:left="129" w:right="374" w:firstLine="0"/>
        <w:jc w:val="left"/>
        <w:rPr>
          <w:sz w:val="22"/>
        </w:rPr>
      </w:pPr>
      <w:r>
        <w:rPr>
          <w:rFonts w:ascii="Calibri"/>
          <w:b/>
          <w:color w:val="4D4D4F"/>
          <w:w w:val="115"/>
          <w:sz w:val="22"/>
        </w:rPr>
        <w:t>The 2013 and 2014 branded formulations have greater bioavailability than Suboxone, meaning they deliver more buprenorphine to</w:t>
      </w:r>
      <w:r>
        <w:rPr>
          <w:rFonts w:ascii="Calibri"/>
          <w:b/>
          <w:color w:val="4D4D4F"/>
          <w:spacing w:val="-8"/>
          <w:w w:val="115"/>
          <w:sz w:val="22"/>
        </w:rPr>
        <w:t> </w:t>
      </w:r>
      <w:r>
        <w:rPr>
          <w:rFonts w:ascii="Calibri"/>
          <w:b/>
          <w:color w:val="4D4D4F"/>
          <w:w w:val="115"/>
          <w:sz w:val="22"/>
        </w:rPr>
        <w:t>the</w:t>
      </w:r>
      <w:r>
        <w:rPr>
          <w:rFonts w:ascii="Calibri"/>
          <w:b/>
          <w:color w:val="4D4D4F"/>
          <w:spacing w:val="-8"/>
          <w:w w:val="115"/>
          <w:sz w:val="22"/>
        </w:rPr>
        <w:t> </w:t>
      </w:r>
      <w:r>
        <w:rPr>
          <w:rFonts w:ascii="Calibri"/>
          <w:b/>
          <w:color w:val="4D4D4F"/>
          <w:w w:val="115"/>
          <w:sz w:val="22"/>
        </w:rPr>
        <w:t>bloodstream,</w:t>
      </w:r>
      <w:r>
        <w:rPr>
          <w:rFonts w:ascii="Calibri"/>
          <w:b/>
          <w:color w:val="4D4D4F"/>
          <w:spacing w:val="-7"/>
          <w:w w:val="115"/>
          <w:sz w:val="22"/>
        </w:rPr>
        <w:t> </w:t>
      </w:r>
      <w:r>
        <w:rPr>
          <w:rFonts w:ascii="Calibri"/>
          <w:b/>
          <w:color w:val="4D4D4F"/>
          <w:w w:val="115"/>
          <w:sz w:val="22"/>
        </w:rPr>
        <w:t>thus</w:t>
      </w:r>
      <w:r>
        <w:rPr>
          <w:rFonts w:ascii="Calibri"/>
          <w:b/>
          <w:color w:val="4D4D4F"/>
          <w:spacing w:val="-8"/>
          <w:w w:val="115"/>
          <w:sz w:val="22"/>
        </w:rPr>
        <w:t> </w:t>
      </w:r>
      <w:r>
        <w:rPr>
          <w:rFonts w:ascii="Calibri"/>
          <w:b/>
          <w:color w:val="4D4D4F"/>
          <w:w w:val="115"/>
          <w:sz w:val="22"/>
        </w:rPr>
        <w:t>achieving</w:t>
      </w:r>
      <w:r>
        <w:rPr>
          <w:rFonts w:ascii="Calibri"/>
          <w:b/>
          <w:color w:val="4D4D4F"/>
          <w:spacing w:val="-7"/>
          <w:w w:val="115"/>
          <w:sz w:val="22"/>
        </w:rPr>
        <w:t> </w:t>
      </w:r>
      <w:r>
        <w:rPr>
          <w:rFonts w:ascii="Calibri"/>
          <w:b/>
          <w:color w:val="4D4D4F"/>
          <w:w w:val="115"/>
          <w:sz w:val="22"/>
        </w:rPr>
        <w:t>the</w:t>
      </w:r>
      <w:r>
        <w:rPr>
          <w:rFonts w:ascii="Calibri"/>
          <w:b/>
          <w:color w:val="4D4D4F"/>
          <w:spacing w:val="-8"/>
          <w:w w:val="115"/>
          <w:sz w:val="22"/>
        </w:rPr>
        <w:t> </w:t>
      </w:r>
      <w:r>
        <w:rPr>
          <w:rFonts w:ascii="Calibri"/>
          <w:b/>
          <w:color w:val="4D4D4F"/>
          <w:spacing w:val="-4"/>
          <w:w w:val="115"/>
          <w:sz w:val="22"/>
        </w:rPr>
        <w:t>same </w:t>
      </w:r>
      <w:r>
        <w:rPr>
          <w:rFonts w:ascii="Calibri"/>
          <w:b/>
          <w:color w:val="4D4D4F"/>
          <w:w w:val="115"/>
          <w:sz w:val="22"/>
        </w:rPr>
        <w:t>effect as the original product with lower doses.</w:t>
      </w:r>
      <w:r>
        <w:rPr>
          <w:rFonts w:ascii="Calibri"/>
          <w:b/>
          <w:color w:val="4D4D4F"/>
          <w:spacing w:val="-5"/>
          <w:w w:val="115"/>
          <w:sz w:val="22"/>
        </w:rPr>
        <w:t> </w:t>
      </w:r>
      <w:r>
        <w:rPr>
          <w:color w:val="4D4D4F"/>
          <w:w w:val="115"/>
          <w:sz w:val="22"/>
        </w:rPr>
        <w:t>For</w:t>
      </w:r>
      <w:r>
        <w:rPr>
          <w:color w:val="4D4D4F"/>
          <w:spacing w:val="-17"/>
          <w:w w:val="115"/>
          <w:sz w:val="22"/>
        </w:rPr>
        <w:t> </w:t>
      </w:r>
      <w:r>
        <w:rPr>
          <w:color w:val="4D4D4F"/>
          <w:w w:val="115"/>
          <w:sz w:val="22"/>
        </w:rPr>
        <w:t>example,</w:t>
      </w:r>
      <w:r>
        <w:rPr>
          <w:color w:val="4D4D4F"/>
          <w:spacing w:val="-17"/>
          <w:w w:val="115"/>
          <w:sz w:val="22"/>
        </w:rPr>
        <w:t> </w:t>
      </w:r>
      <w:r>
        <w:rPr>
          <w:color w:val="4D4D4F"/>
          <w:w w:val="115"/>
          <w:sz w:val="22"/>
        </w:rPr>
        <w:t>5.7</w:t>
      </w:r>
      <w:r>
        <w:rPr>
          <w:color w:val="4D4D4F"/>
          <w:spacing w:val="-17"/>
          <w:w w:val="115"/>
          <w:sz w:val="22"/>
        </w:rPr>
        <w:t> </w:t>
      </w:r>
      <w:r>
        <w:rPr>
          <w:color w:val="4D4D4F"/>
          <w:w w:val="115"/>
          <w:sz w:val="22"/>
        </w:rPr>
        <w:t>mg/1.4</w:t>
      </w:r>
      <w:r>
        <w:rPr>
          <w:color w:val="4D4D4F"/>
          <w:spacing w:val="-17"/>
          <w:w w:val="115"/>
          <w:sz w:val="22"/>
        </w:rPr>
        <w:t> </w:t>
      </w:r>
      <w:r>
        <w:rPr>
          <w:color w:val="4D4D4F"/>
          <w:w w:val="115"/>
          <w:sz w:val="22"/>
        </w:rPr>
        <w:t>mg</w:t>
      </w:r>
      <w:r>
        <w:rPr>
          <w:color w:val="4D4D4F"/>
          <w:spacing w:val="-17"/>
          <w:w w:val="115"/>
          <w:sz w:val="22"/>
        </w:rPr>
        <w:t> </w:t>
      </w:r>
      <w:r>
        <w:rPr>
          <w:color w:val="4D4D4F"/>
          <w:w w:val="115"/>
          <w:sz w:val="22"/>
        </w:rPr>
        <w:t>of</w:t>
      </w:r>
      <w:r>
        <w:rPr>
          <w:color w:val="4D4D4F"/>
          <w:spacing w:val="-17"/>
          <w:w w:val="115"/>
          <w:sz w:val="22"/>
        </w:rPr>
        <w:t> </w:t>
      </w:r>
      <w:r>
        <w:rPr>
          <w:color w:val="4D4D4F"/>
          <w:w w:val="115"/>
          <w:sz w:val="22"/>
        </w:rPr>
        <w:t>Zubsolv and 4.2 mg/0.7 mg of Bunavail provide the same buprenorphine exposure as 8 mg/2 mg of</w:t>
      </w:r>
      <w:r>
        <w:rPr>
          <w:color w:val="4D4D4F"/>
          <w:spacing w:val="-10"/>
          <w:w w:val="115"/>
          <w:sz w:val="22"/>
        </w:rPr>
        <w:t> </w:t>
      </w:r>
      <w:r>
        <w:rPr>
          <w:color w:val="4D4D4F"/>
          <w:w w:val="115"/>
          <w:sz w:val="22"/>
        </w:rPr>
        <w:t>Suboxone.</w:t>
      </w:r>
    </w:p>
    <w:p>
      <w:pPr>
        <w:pStyle w:val="BodyText"/>
        <w:spacing w:before="10"/>
        <w:rPr>
          <w:sz w:val="29"/>
        </w:rPr>
      </w:pPr>
    </w:p>
    <w:p>
      <w:pPr>
        <w:pStyle w:val="Heading7"/>
        <w:spacing w:line="304" w:lineRule="auto"/>
        <w:ind w:left="427" w:right="203"/>
        <w:rPr>
          <w:rFonts w:ascii="Arial" w:hAnsi="Arial"/>
        </w:rPr>
      </w:pPr>
      <w:r>
        <w:rPr/>
        <w:pict>
          <v:line style="position:absolute;mso-position-horizontal-relative:page;mso-position-vertical-relative:paragraph;z-index:15760384" from="315.501007pt,154.322274pt" to="315.501007pt,-.325726pt" stroked="true" strokeweight="1pt" strokecolor="#759eb4">
            <v:stroke dashstyle="solid"/>
            <w10:wrap type="none"/>
          </v:line>
        </w:pict>
      </w:r>
      <w:r>
        <w:rPr>
          <w:rFonts w:ascii="Arial" w:hAnsi="Arial"/>
          <w:color w:val="B15651"/>
          <w:w w:val="110"/>
        </w:rPr>
        <w:t>Opioid treatment programs (OTPs) may administer or dispense buprenorphine, but only  providers with Substance Abuse and Mental Health Services Administration (SAMHSA) waivers can prescribe buprenorphine</w:t>
      </w:r>
      <w:r>
        <w:rPr>
          <w:rFonts w:ascii="Arial" w:hAnsi="Arial"/>
          <w:color w:val="B15651"/>
          <w:spacing w:val="-14"/>
          <w:w w:val="110"/>
        </w:rPr>
        <w:t> </w:t>
      </w:r>
      <w:r>
        <w:rPr>
          <w:rFonts w:ascii="Arial" w:hAnsi="Arial"/>
          <w:color w:val="B15651"/>
          <w:w w:val="110"/>
        </w:rPr>
        <w:t>for</w:t>
      </w:r>
      <w:r>
        <w:rPr>
          <w:rFonts w:ascii="Arial" w:hAnsi="Arial"/>
          <w:color w:val="B15651"/>
          <w:spacing w:val="-14"/>
          <w:w w:val="110"/>
        </w:rPr>
        <w:t> </w:t>
      </w:r>
      <w:r>
        <w:rPr>
          <w:rFonts w:ascii="Arial" w:hAnsi="Arial"/>
          <w:color w:val="B15651"/>
          <w:w w:val="110"/>
        </w:rPr>
        <w:t>OUD.</w:t>
      </w:r>
      <w:r>
        <w:rPr>
          <w:rFonts w:ascii="Arial" w:hAnsi="Arial"/>
          <w:color w:val="B15651"/>
          <w:spacing w:val="-14"/>
          <w:w w:val="110"/>
        </w:rPr>
        <w:t> </w:t>
      </w:r>
      <w:r>
        <w:rPr>
          <w:rFonts w:ascii="Arial" w:hAnsi="Arial"/>
          <w:color w:val="B15651"/>
          <w:w w:val="110"/>
        </w:rPr>
        <w:t>See</w:t>
      </w:r>
      <w:r>
        <w:rPr>
          <w:rFonts w:ascii="Arial" w:hAnsi="Arial"/>
          <w:color w:val="B15651"/>
          <w:spacing w:val="-16"/>
          <w:w w:val="110"/>
        </w:rPr>
        <w:t> </w:t>
      </w:r>
      <w:r>
        <w:rPr>
          <w:rFonts w:ascii="Arial" w:hAnsi="Arial"/>
          <w:color w:val="B15651"/>
          <w:w w:val="110"/>
        </w:rPr>
        <w:t>“Resource Alert: How </w:t>
      </w:r>
      <w:r>
        <w:rPr>
          <w:rFonts w:ascii="Arial" w:hAnsi="Arial"/>
          <w:color w:val="B15651"/>
          <w:spacing w:val="-7"/>
          <w:w w:val="110"/>
        </w:rPr>
        <w:t>To </w:t>
      </w:r>
      <w:r>
        <w:rPr>
          <w:rFonts w:ascii="Arial" w:hAnsi="Arial"/>
          <w:color w:val="B15651"/>
          <w:w w:val="110"/>
        </w:rPr>
        <w:t>Obtain a </w:t>
      </w:r>
      <w:r>
        <w:rPr>
          <w:rFonts w:ascii="Arial" w:hAnsi="Arial"/>
          <w:color w:val="B15651"/>
          <w:spacing w:val="-3"/>
          <w:w w:val="110"/>
        </w:rPr>
        <w:t>Waiver </w:t>
      </w:r>
      <w:r>
        <w:rPr>
          <w:rFonts w:ascii="Arial" w:hAnsi="Arial"/>
          <w:color w:val="B15651"/>
          <w:spacing w:val="-7"/>
          <w:w w:val="110"/>
        </w:rPr>
        <w:t>To </w:t>
      </w:r>
      <w:r>
        <w:rPr>
          <w:rFonts w:ascii="Arial" w:hAnsi="Arial"/>
          <w:color w:val="B15651"/>
          <w:w w:val="110"/>
        </w:rPr>
        <w:t>Prescribe Buprenorphine” in Chapter 3A of this</w:t>
      </w:r>
      <w:r>
        <w:rPr>
          <w:rFonts w:ascii="Arial" w:hAnsi="Arial"/>
          <w:color w:val="B15651"/>
          <w:spacing w:val="-26"/>
          <w:w w:val="110"/>
        </w:rPr>
        <w:t> </w:t>
      </w:r>
      <w:r>
        <w:rPr>
          <w:rFonts w:ascii="Arial" w:hAnsi="Arial"/>
          <w:color w:val="B15651"/>
          <w:w w:val="110"/>
        </w:rPr>
        <w:t>TIP.</w:t>
      </w:r>
    </w:p>
    <w:p>
      <w:pPr>
        <w:spacing w:after="0" w:line="304" w:lineRule="auto"/>
        <w:rPr>
          <w:rFonts w:ascii="Arial" w:hAnsi="Arial"/>
        </w:rPr>
        <w:sectPr>
          <w:type w:val="continuous"/>
          <w:pgSz w:w="12240" w:h="15840"/>
          <w:pgMar w:top="540" w:bottom="280" w:left="940" w:right="920"/>
          <w:cols w:num="2" w:equalWidth="0">
            <w:col w:w="5026" w:space="204"/>
            <w:col w:w="5150"/>
          </w:cols>
        </w:sectPr>
      </w:pPr>
    </w:p>
    <w:p>
      <w:pPr>
        <w:pStyle w:val="BodyText"/>
        <w:spacing w:before="5"/>
        <w:rPr>
          <w:rFonts w:ascii="Arial"/>
          <w:b/>
          <w:sz w:val="27"/>
        </w:rPr>
      </w:pPr>
    </w:p>
    <w:p>
      <w:pPr>
        <w:spacing w:after="0"/>
        <w:rPr>
          <w:rFonts w:ascii="Arial"/>
          <w:sz w:val="27"/>
        </w:rPr>
        <w:sectPr>
          <w:pgSz w:w="12240" w:h="15840"/>
          <w:pgMar w:header="576" w:footer="677" w:top="1340" w:bottom="860" w:left="940" w:right="920"/>
        </w:sectPr>
      </w:pPr>
    </w:p>
    <w:p>
      <w:pPr>
        <w:pStyle w:val="BodyText"/>
        <w:spacing w:line="247" w:lineRule="auto" w:before="102"/>
        <w:ind w:left="145" w:right="236"/>
      </w:pPr>
      <w:r>
        <w:rPr>
          <w:color w:val="4D4D4F"/>
          <w:w w:val="115"/>
        </w:rPr>
        <w:t>Exhibit</w:t>
      </w:r>
      <w:r>
        <w:rPr>
          <w:color w:val="4D4D4F"/>
          <w:spacing w:val="-40"/>
          <w:w w:val="115"/>
        </w:rPr>
        <w:t> </w:t>
      </w:r>
      <w:r>
        <w:rPr>
          <w:color w:val="4D4D4F"/>
          <w:w w:val="115"/>
        </w:rPr>
        <w:t>3D.1</w:t>
      </w:r>
      <w:r>
        <w:rPr>
          <w:color w:val="4D4D4F"/>
          <w:spacing w:val="-39"/>
          <w:w w:val="115"/>
        </w:rPr>
        <w:t> </w:t>
      </w:r>
      <w:r>
        <w:rPr>
          <w:color w:val="4D4D4F"/>
          <w:w w:val="115"/>
        </w:rPr>
        <w:t>lists</w:t>
      </w:r>
      <w:r>
        <w:rPr>
          <w:color w:val="4D4D4F"/>
          <w:spacing w:val="-39"/>
          <w:w w:val="115"/>
        </w:rPr>
        <w:t> </w:t>
      </w:r>
      <w:r>
        <w:rPr>
          <w:color w:val="4D4D4F"/>
          <w:spacing w:val="-3"/>
          <w:w w:val="115"/>
        </w:rPr>
        <w:t>product</w:t>
      </w:r>
      <w:r>
        <w:rPr>
          <w:color w:val="4D4D4F"/>
          <w:spacing w:val="-39"/>
          <w:w w:val="115"/>
        </w:rPr>
        <w:t> </w:t>
      </w:r>
      <w:r>
        <w:rPr>
          <w:color w:val="4D4D4F"/>
          <w:spacing w:val="-3"/>
          <w:w w:val="115"/>
        </w:rPr>
        <w:t>strengths</w:t>
      </w:r>
      <w:r>
        <w:rPr>
          <w:color w:val="4D4D4F"/>
          <w:spacing w:val="-39"/>
          <w:w w:val="115"/>
        </w:rPr>
        <w:t> </w:t>
      </w:r>
      <w:r>
        <w:rPr>
          <w:color w:val="4D4D4F"/>
          <w:w w:val="115"/>
        </w:rPr>
        <w:t>and</w:t>
      </w:r>
      <w:r>
        <w:rPr>
          <w:color w:val="4D4D4F"/>
          <w:spacing w:val="-39"/>
          <w:w w:val="115"/>
        </w:rPr>
        <w:t> </w:t>
      </w:r>
      <w:r>
        <w:rPr>
          <w:color w:val="4D4D4F"/>
          <w:spacing w:val="-3"/>
          <w:w w:val="115"/>
        </w:rPr>
        <w:t>recom- </w:t>
      </w:r>
      <w:r>
        <w:rPr>
          <w:color w:val="4D4D4F"/>
          <w:w w:val="115"/>
        </w:rPr>
        <w:t>mended once-daily maintenance doses. For simplicity, dosing information here refers to sublingual Suboxone or generic equivalents. An 8 mg/2 mg dosage of sublingual</w:t>
      </w:r>
      <w:r>
        <w:rPr>
          <w:color w:val="4D4D4F"/>
          <w:spacing w:val="-32"/>
          <w:w w:val="115"/>
        </w:rPr>
        <w:t> </w:t>
      </w:r>
      <w:r>
        <w:rPr>
          <w:color w:val="4D4D4F"/>
          <w:w w:val="115"/>
        </w:rPr>
        <w:t>Suboxone is equivalent to 5.7 mg/1.4 mg of sublingual Zubsolv</w:t>
      </w:r>
      <w:r>
        <w:rPr>
          <w:color w:val="4D4D4F"/>
          <w:spacing w:val="-14"/>
          <w:w w:val="115"/>
        </w:rPr>
        <w:t> </w:t>
      </w:r>
      <w:r>
        <w:rPr>
          <w:color w:val="4D4D4F"/>
          <w:w w:val="115"/>
        </w:rPr>
        <w:t>and</w:t>
      </w:r>
      <w:r>
        <w:rPr>
          <w:color w:val="4D4D4F"/>
          <w:spacing w:val="-13"/>
          <w:w w:val="115"/>
        </w:rPr>
        <w:t> </w:t>
      </w:r>
      <w:r>
        <w:rPr>
          <w:color w:val="4D4D4F"/>
          <w:w w:val="115"/>
        </w:rPr>
        <w:t>4.2</w:t>
      </w:r>
      <w:r>
        <w:rPr>
          <w:color w:val="4D4D4F"/>
          <w:spacing w:val="-13"/>
          <w:w w:val="115"/>
        </w:rPr>
        <w:t> </w:t>
      </w:r>
      <w:r>
        <w:rPr>
          <w:color w:val="4D4D4F"/>
          <w:w w:val="115"/>
        </w:rPr>
        <w:t>mg/0.7</w:t>
      </w:r>
      <w:r>
        <w:rPr>
          <w:color w:val="4D4D4F"/>
          <w:spacing w:val="-14"/>
          <w:w w:val="115"/>
        </w:rPr>
        <w:t> </w:t>
      </w:r>
      <w:r>
        <w:rPr>
          <w:color w:val="4D4D4F"/>
          <w:w w:val="115"/>
        </w:rPr>
        <w:t>mg</w:t>
      </w:r>
      <w:r>
        <w:rPr>
          <w:color w:val="4D4D4F"/>
          <w:spacing w:val="-13"/>
          <w:w w:val="115"/>
        </w:rPr>
        <w:t> </w:t>
      </w:r>
      <w:r>
        <w:rPr>
          <w:color w:val="4D4D4F"/>
          <w:w w:val="115"/>
        </w:rPr>
        <w:t>of</w:t>
      </w:r>
      <w:r>
        <w:rPr>
          <w:color w:val="4D4D4F"/>
          <w:spacing w:val="-13"/>
          <w:w w:val="115"/>
        </w:rPr>
        <w:t> </w:t>
      </w:r>
      <w:r>
        <w:rPr>
          <w:color w:val="4D4D4F"/>
          <w:w w:val="115"/>
        </w:rPr>
        <w:t>buccal</w:t>
      </w:r>
      <w:r>
        <w:rPr>
          <w:color w:val="4D4D4F"/>
          <w:spacing w:val="-13"/>
          <w:w w:val="115"/>
        </w:rPr>
        <w:t> </w:t>
      </w:r>
      <w:r>
        <w:rPr>
          <w:color w:val="4D4D4F"/>
          <w:w w:val="115"/>
        </w:rPr>
        <w:t>Bunavail.</w:t>
      </w:r>
    </w:p>
    <w:p>
      <w:pPr>
        <w:pStyle w:val="BodyText"/>
        <w:spacing w:line="247" w:lineRule="auto" w:before="188"/>
        <w:ind w:left="145"/>
      </w:pPr>
      <w:r>
        <w:rPr/>
        <w:pict>
          <v:group style="position:absolute;margin-left:53.5pt;margin-top:106.444016pt;width:504.55pt;height:408.5pt;mso-position-horizontal-relative:page;mso-position-vertical-relative:paragraph;z-index:-19555328" coordorigin="1070,2129" coordsize="10091,8170">
            <v:rect style="position:absolute;left:1075;top:2133;width:10081;height:8160" filled="true" fillcolor="#fff7f2" stroked="false">
              <v:fill type="solid"/>
            </v:rect>
            <v:rect style="position:absolute;left:1075;top:2133;width:10081;height:8160" filled="false" stroked="true" strokeweight=".5pt" strokecolor="#88aabd">
              <v:stroke dashstyle="solid"/>
            </v:rect>
            <v:shape style="position:absolute;left:1260;top:2230;width:8378;height:669" type="#_x0000_t202" filled="false" stroked="false">
              <v:textbox inset="0,0,0,0">
                <w:txbxContent>
                  <w:p>
                    <w:pPr>
                      <w:spacing w:line="256" w:lineRule="auto" w:before="36"/>
                      <w:ind w:left="0" w:right="0" w:firstLine="0"/>
                      <w:jc w:val="left"/>
                      <w:rPr>
                        <w:rFonts w:ascii="Arial"/>
                        <w:b/>
                        <w:sz w:val="26"/>
                      </w:rPr>
                    </w:pPr>
                    <w:r>
                      <w:rPr>
                        <w:rFonts w:ascii="Arial"/>
                        <w:b/>
                        <w:color w:val="137692"/>
                        <w:w w:val="110"/>
                        <w:sz w:val="26"/>
                      </w:rPr>
                      <w:t>EXHIBIT</w:t>
                    </w:r>
                    <w:r>
                      <w:rPr>
                        <w:rFonts w:ascii="Arial"/>
                        <w:b/>
                        <w:color w:val="137692"/>
                        <w:spacing w:val="-31"/>
                        <w:w w:val="110"/>
                        <w:sz w:val="26"/>
                      </w:rPr>
                      <w:t> </w:t>
                    </w:r>
                    <w:r>
                      <w:rPr>
                        <w:rFonts w:ascii="Arial"/>
                        <w:b/>
                        <w:color w:val="137692"/>
                        <w:spacing w:val="-3"/>
                        <w:w w:val="110"/>
                        <w:sz w:val="26"/>
                      </w:rPr>
                      <w:t>3D.1.</w:t>
                    </w:r>
                    <w:r>
                      <w:rPr>
                        <w:rFonts w:ascii="Arial"/>
                        <w:b/>
                        <w:color w:val="137692"/>
                        <w:spacing w:val="-31"/>
                        <w:w w:val="110"/>
                        <w:sz w:val="26"/>
                      </w:rPr>
                      <w:t> </w:t>
                    </w:r>
                    <w:r>
                      <w:rPr>
                        <w:rFonts w:ascii="Arial"/>
                        <w:b/>
                        <w:color w:val="137692"/>
                        <w:w w:val="110"/>
                        <w:sz w:val="26"/>
                      </w:rPr>
                      <w:t>Buprenorphine</w:t>
                    </w:r>
                    <w:r>
                      <w:rPr>
                        <w:rFonts w:ascii="Arial"/>
                        <w:b/>
                        <w:color w:val="137692"/>
                        <w:spacing w:val="-31"/>
                        <w:w w:val="110"/>
                        <w:sz w:val="26"/>
                      </w:rPr>
                      <w:t> </w:t>
                    </w:r>
                    <w:r>
                      <w:rPr>
                        <w:rFonts w:ascii="Arial"/>
                        <w:b/>
                        <w:color w:val="137692"/>
                        <w:w w:val="110"/>
                        <w:sz w:val="26"/>
                      </w:rPr>
                      <w:t>Transmucosal</w:t>
                    </w:r>
                    <w:r>
                      <w:rPr>
                        <w:rFonts w:ascii="Arial"/>
                        <w:b/>
                        <w:color w:val="137692"/>
                        <w:spacing w:val="-31"/>
                        <w:w w:val="110"/>
                        <w:sz w:val="26"/>
                      </w:rPr>
                      <w:t> </w:t>
                    </w:r>
                    <w:r>
                      <w:rPr>
                        <w:rFonts w:ascii="Arial"/>
                        <w:b/>
                        <w:color w:val="137692"/>
                        <w:w w:val="110"/>
                        <w:sz w:val="26"/>
                      </w:rPr>
                      <w:t>Products</w:t>
                    </w:r>
                    <w:r>
                      <w:rPr>
                        <w:rFonts w:ascii="Arial"/>
                        <w:b/>
                        <w:color w:val="137692"/>
                        <w:spacing w:val="-31"/>
                        <w:w w:val="110"/>
                        <w:sz w:val="26"/>
                      </w:rPr>
                      <w:t> </w:t>
                    </w:r>
                    <w:r>
                      <w:rPr>
                        <w:rFonts w:ascii="Arial"/>
                        <w:b/>
                        <w:color w:val="137692"/>
                        <w:w w:val="110"/>
                        <w:sz w:val="26"/>
                      </w:rPr>
                      <w:t>for</w:t>
                    </w:r>
                    <w:r>
                      <w:rPr>
                        <w:rFonts w:ascii="Arial"/>
                        <w:b/>
                        <w:color w:val="137692"/>
                        <w:spacing w:val="-31"/>
                        <w:w w:val="110"/>
                        <w:sz w:val="26"/>
                      </w:rPr>
                      <w:t> </w:t>
                    </w:r>
                    <w:r>
                      <w:rPr>
                        <w:rFonts w:ascii="Arial"/>
                        <w:b/>
                        <w:color w:val="137692"/>
                        <w:w w:val="110"/>
                        <w:sz w:val="26"/>
                      </w:rPr>
                      <w:t>OUD Treatment</w:t>
                    </w:r>
                  </w:p>
                </w:txbxContent>
              </v:textbox>
              <w10:wrap type="none"/>
            </v:shape>
            <v:shape style="position:absolute;left:1260;top:9467;width:8870;height:683" type="#_x0000_t202" filled="false" stroked="false">
              <v:textbox inset="0,0,0,0">
                <w:txbxContent>
                  <w:p>
                    <w:pPr>
                      <w:spacing w:line="235" w:lineRule="auto" w:before="17"/>
                      <w:ind w:left="0" w:right="0" w:firstLine="0"/>
                      <w:jc w:val="left"/>
                      <w:rPr>
                        <w:rFonts w:ascii="Calibri"/>
                        <w:sz w:val="9"/>
                      </w:rPr>
                    </w:pPr>
                    <w:r>
                      <w:rPr>
                        <w:rFonts w:ascii="Calibri"/>
                        <w:color w:val="606163"/>
                        <w:w w:val="125"/>
                        <w:sz w:val="16"/>
                      </w:rPr>
                      <w:t>*Dosages</w:t>
                    </w:r>
                    <w:r>
                      <w:rPr>
                        <w:rFonts w:ascii="Calibri"/>
                        <w:color w:val="606163"/>
                        <w:spacing w:val="-12"/>
                        <w:w w:val="125"/>
                        <w:sz w:val="16"/>
                      </w:rPr>
                      <w:t> </w:t>
                    </w:r>
                    <w:r>
                      <w:rPr>
                        <w:rFonts w:ascii="Calibri"/>
                        <w:color w:val="606163"/>
                        <w:w w:val="125"/>
                        <w:sz w:val="16"/>
                      </w:rPr>
                      <w:t>above</w:t>
                    </w:r>
                    <w:r>
                      <w:rPr>
                        <w:rFonts w:ascii="Calibri"/>
                        <w:color w:val="606163"/>
                        <w:spacing w:val="-12"/>
                        <w:w w:val="125"/>
                        <w:sz w:val="16"/>
                      </w:rPr>
                      <w:t> </w:t>
                    </w:r>
                    <w:r>
                      <w:rPr>
                        <w:rFonts w:ascii="Calibri"/>
                        <w:color w:val="606163"/>
                        <w:w w:val="125"/>
                        <w:sz w:val="16"/>
                      </w:rPr>
                      <w:t>24</w:t>
                    </w:r>
                    <w:r>
                      <w:rPr>
                        <w:rFonts w:ascii="Calibri"/>
                        <w:color w:val="606163"/>
                        <w:spacing w:val="-11"/>
                        <w:w w:val="125"/>
                        <w:sz w:val="16"/>
                      </w:rPr>
                      <w:t> </w:t>
                    </w:r>
                    <w:r>
                      <w:rPr>
                        <w:rFonts w:ascii="Calibri"/>
                        <w:color w:val="606163"/>
                        <w:w w:val="125"/>
                        <w:sz w:val="16"/>
                      </w:rPr>
                      <w:t>mg</w:t>
                    </w:r>
                    <w:r>
                      <w:rPr>
                        <w:rFonts w:ascii="Calibri"/>
                        <w:color w:val="606163"/>
                        <w:spacing w:val="-12"/>
                        <w:w w:val="125"/>
                        <w:sz w:val="16"/>
                      </w:rPr>
                      <w:t> </w:t>
                    </w:r>
                    <w:r>
                      <w:rPr>
                        <w:rFonts w:ascii="Calibri"/>
                        <w:color w:val="606163"/>
                        <w:w w:val="125"/>
                        <w:sz w:val="16"/>
                      </w:rPr>
                      <w:t>buprenorphine</w:t>
                    </w:r>
                    <w:r>
                      <w:rPr>
                        <w:rFonts w:ascii="Calibri"/>
                        <w:color w:val="606163"/>
                        <w:spacing w:val="-11"/>
                        <w:w w:val="125"/>
                        <w:sz w:val="16"/>
                      </w:rPr>
                      <w:t> </w:t>
                    </w:r>
                    <w:r>
                      <w:rPr>
                        <w:rFonts w:ascii="Calibri"/>
                        <w:color w:val="606163"/>
                        <w:w w:val="125"/>
                        <w:sz w:val="16"/>
                      </w:rPr>
                      <w:t>or</w:t>
                    </w:r>
                    <w:r>
                      <w:rPr>
                        <w:rFonts w:ascii="Calibri"/>
                        <w:color w:val="606163"/>
                        <w:spacing w:val="-12"/>
                        <w:w w:val="125"/>
                        <w:sz w:val="16"/>
                      </w:rPr>
                      <w:t> </w:t>
                    </w:r>
                    <w:r>
                      <w:rPr>
                        <w:rFonts w:ascii="Calibri"/>
                        <w:color w:val="606163"/>
                        <w:w w:val="125"/>
                        <w:sz w:val="16"/>
                      </w:rPr>
                      <w:t>24</w:t>
                    </w:r>
                    <w:r>
                      <w:rPr>
                        <w:rFonts w:ascii="Calibri"/>
                        <w:color w:val="606163"/>
                        <w:spacing w:val="-12"/>
                        <w:w w:val="125"/>
                        <w:sz w:val="16"/>
                      </w:rPr>
                      <w:t> </w:t>
                    </w:r>
                    <w:r>
                      <w:rPr>
                        <w:rFonts w:ascii="Calibri"/>
                        <w:color w:val="606163"/>
                        <w:w w:val="125"/>
                        <w:sz w:val="16"/>
                      </w:rPr>
                      <w:t>mg/6</w:t>
                    </w:r>
                    <w:r>
                      <w:rPr>
                        <w:rFonts w:ascii="Calibri"/>
                        <w:color w:val="606163"/>
                        <w:spacing w:val="-11"/>
                        <w:w w:val="125"/>
                        <w:sz w:val="16"/>
                      </w:rPr>
                      <w:t> </w:t>
                    </w:r>
                    <w:r>
                      <w:rPr>
                        <w:rFonts w:ascii="Calibri"/>
                        <w:color w:val="606163"/>
                        <w:w w:val="125"/>
                        <w:sz w:val="16"/>
                      </w:rPr>
                      <w:t>mg</w:t>
                    </w:r>
                    <w:r>
                      <w:rPr>
                        <w:rFonts w:ascii="Calibri"/>
                        <w:color w:val="606163"/>
                        <w:spacing w:val="-12"/>
                        <w:w w:val="125"/>
                        <w:sz w:val="16"/>
                      </w:rPr>
                      <w:t> </w:t>
                    </w:r>
                    <w:r>
                      <w:rPr>
                        <w:rFonts w:ascii="Calibri"/>
                        <w:color w:val="606163"/>
                        <w:w w:val="125"/>
                        <w:sz w:val="16"/>
                      </w:rPr>
                      <w:t>buprenorphine/naloxone</w:t>
                    </w:r>
                    <w:r>
                      <w:rPr>
                        <w:rFonts w:ascii="Calibri"/>
                        <w:color w:val="606163"/>
                        <w:spacing w:val="-11"/>
                        <w:w w:val="125"/>
                        <w:sz w:val="16"/>
                      </w:rPr>
                      <w:t> </w:t>
                    </w:r>
                    <w:r>
                      <w:rPr>
                        <w:rFonts w:ascii="Calibri"/>
                        <w:color w:val="606163"/>
                        <w:w w:val="125"/>
                        <w:sz w:val="16"/>
                      </w:rPr>
                      <w:t>per</w:t>
                    </w:r>
                    <w:r>
                      <w:rPr>
                        <w:rFonts w:ascii="Calibri"/>
                        <w:color w:val="606163"/>
                        <w:spacing w:val="-12"/>
                        <w:w w:val="125"/>
                        <w:sz w:val="16"/>
                      </w:rPr>
                      <w:t> </w:t>
                    </w:r>
                    <w:r>
                      <w:rPr>
                        <w:rFonts w:ascii="Calibri"/>
                        <w:color w:val="606163"/>
                        <w:w w:val="125"/>
                        <w:sz w:val="16"/>
                      </w:rPr>
                      <w:t>day</w:t>
                    </w:r>
                    <w:r>
                      <w:rPr>
                        <w:rFonts w:ascii="Calibri"/>
                        <w:color w:val="606163"/>
                        <w:spacing w:val="-12"/>
                        <w:w w:val="125"/>
                        <w:sz w:val="16"/>
                      </w:rPr>
                      <w:t> </w:t>
                    </w:r>
                    <w:r>
                      <w:rPr>
                        <w:rFonts w:ascii="Calibri"/>
                        <w:color w:val="606163"/>
                        <w:w w:val="125"/>
                        <w:sz w:val="16"/>
                      </w:rPr>
                      <w:t>have</w:t>
                    </w:r>
                    <w:r>
                      <w:rPr>
                        <w:rFonts w:ascii="Calibri"/>
                        <w:color w:val="606163"/>
                        <w:spacing w:val="-11"/>
                        <w:w w:val="125"/>
                        <w:sz w:val="16"/>
                      </w:rPr>
                      <w:t> </w:t>
                    </w:r>
                    <w:r>
                      <w:rPr>
                        <w:rFonts w:ascii="Calibri"/>
                        <w:color w:val="606163"/>
                        <w:w w:val="125"/>
                        <w:sz w:val="16"/>
                      </w:rPr>
                      <w:t>shown</w:t>
                    </w:r>
                    <w:r>
                      <w:rPr>
                        <w:rFonts w:ascii="Calibri"/>
                        <w:color w:val="606163"/>
                        <w:spacing w:val="-12"/>
                        <w:w w:val="125"/>
                        <w:sz w:val="16"/>
                      </w:rPr>
                      <w:t> </w:t>
                    </w:r>
                    <w:r>
                      <w:rPr>
                        <w:rFonts w:ascii="Calibri"/>
                        <w:color w:val="606163"/>
                        <w:w w:val="125"/>
                        <w:sz w:val="16"/>
                      </w:rPr>
                      <w:t>no</w:t>
                    </w:r>
                    <w:r>
                      <w:rPr>
                        <w:rFonts w:ascii="Calibri"/>
                        <w:color w:val="606163"/>
                        <w:spacing w:val="-11"/>
                        <w:w w:val="125"/>
                        <w:sz w:val="16"/>
                      </w:rPr>
                      <w:t> </w:t>
                    </w:r>
                    <w:r>
                      <w:rPr>
                        <w:rFonts w:ascii="Calibri"/>
                        <w:color w:val="606163"/>
                        <w:w w:val="125"/>
                        <w:sz w:val="16"/>
                      </w:rPr>
                      <w:t>clinical advantage.</w:t>
                    </w:r>
                    <w:r>
                      <w:rPr>
                        <w:rFonts w:ascii="Calibri"/>
                        <w:color w:val="606163"/>
                        <w:w w:val="125"/>
                        <w:position w:val="5"/>
                        <w:sz w:val="9"/>
                      </w:rPr>
                      <w:t>237,238</w:t>
                    </w:r>
                  </w:p>
                  <w:p>
                    <w:pPr>
                      <w:spacing w:line="194" w:lineRule="exact" w:before="88"/>
                      <w:ind w:left="0" w:right="0" w:firstLine="0"/>
                      <w:jc w:val="left"/>
                      <w:rPr>
                        <w:rFonts w:ascii="Calibri"/>
                        <w:i/>
                        <w:sz w:val="9"/>
                      </w:rPr>
                    </w:pPr>
                    <w:r>
                      <w:rPr>
                        <w:rFonts w:ascii="Calibri"/>
                        <w:i/>
                        <w:color w:val="4D4D4F"/>
                        <w:w w:val="125"/>
                        <w:sz w:val="16"/>
                      </w:rPr>
                      <w:t>Adapted from material in the public domain.</w:t>
                    </w:r>
                    <w:r>
                      <w:rPr>
                        <w:rFonts w:ascii="Calibri"/>
                        <w:i/>
                        <w:color w:val="4D4D4F"/>
                        <w:w w:val="125"/>
                        <w:position w:val="5"/>
                        <w:sz w:val="9"/>
                      </w:rPr>
                      <w:t>239</w:t>
                    </w:r>
                  </w:p>
                </w:txbxContent>
              </v:textbox>
              <w10:wrap type="none"/>
            </v:shape>
            <w10:wrap type="none"/>
          </v:group>
        </w:pict>
      </w:r>
      <w:r>
        <w:rPr>
          <w:color w:val="4D4D4F"/>
          <w:spacing w:val="-3"/>
          <w:w w:val="110"/>
        </w:rPr>
        <w:t>Patients </w:t>
      </w:r>
      <w:r>
        <w:rPr>
          <w:color w:val="4D4D4F"/>
          <w:w w:val="110"/>
        </w:rPr>
        <w:t>who </w:t>
      </w:r>
      <w:r>
        <w:rPr>
          <w:color w:val="4D4D4F"/>
          <w:spacing w:val="-3"/>
          <w:w w:val="110"/>
        </w:rPr>
        <w:t>switch formulations </w:t>
      </w:r>
      <w:r>
        <w:rPr>
          <w:color w:val="4D4D4F"/>
          <w:w w:val="110"/>
        </w:rPr>
        <w:t>may </w:t>
      </w:r>
      <w:r>
        <w:rPr>
          <w:color w:val="4D4D4F"/>
          <w:spacing w:val="-3"/>
          <w:w w:val="110"/>
        </w:rPr>
        <w:t>experience clinically signiﬁcant plasma concentration changes </w:t>
      </w:r>
      <w:r>
        <w:rPr>
          <w:color w:val="4D4D4F"/>
          <w:w w:val="110"/>
        </w:rPr>
        <w:t>that may require dose adjustments; bioavail- ability is </w:t>
      </w:r>
      <w:r>
        <w:rPr>
          <w:color w:val="4D4D4F"/>
          <w:spacing w:val="-3"/>
          <w:w w:val="110"/>
        </w:rPr>
        <w:t>similar, </w:t>
      </w:r>
      <w:r>
        <w:rPr>
          <w:color w:val="4D4D4F"/>
          <w:w w:val="110"/>
        </w:rPr>
        <w:t>but not identical, between formulations.</w:t>
      </w:r>
    </w:p>
    <w:p>
      <w:pPr>
        <w:pStyle w:val="Heading3"/>
        <w:spacing w:before="89"/>
        <w:ind w:left="145"/>
      </w:pPr>
      <w:bookmarkStart w:name="_TOC_250059" w:id="56"/>
      <w:r>
        <w:rPr>
          <w:b w:val="0"/>
        </w:rPr>
        <w:br w:type="column"/>
      </w:r>
      <w:bookmarkEnd w:id="56"/>
      <w:r>
        <w:rPr>
          <w:color w:val="137692"/>
          <w:w w:val="110"/>
        </w:rPr>
        <w:t>Implants</w:t>
      </w:r>
    </w:p>
    <w:p>
      <w:pPr>
        <w:spacing w:line="244" w:lineRule="auto" w:before="43"/>
        <w:ind w:left="145" w:right="327" w:firstLine="0"/>
        <w:jc w:val="left"/>
        <w:rPr>
          <w:sz w:val="22"/>
        </w:rPr>
      </w:pPr>
      <w:r>
        <w:rPr>
          <w:rFonts w:ascii="Calibri"/>
          <w:b/>
          <w:color w:val="4D4D4F"/>
          <w:w w:val="110"/>
          <w:sz w:val="22"/>
        </w:rPr>
        <w:t>In 2016, FDA approved buprenorphine implants for OUD maintenance treatment </w:t>
      </w:r>
      <w:r>
        <w:rPr>
          <w:color w:val="4D4D4F"/>
          <w:w w:val="110"/>
          <w:sz w:val="22"/>
        </w:rPr>
        <w:t>in patients who have achieved sustained clinical stability (e.g., periods of abstinence, minimal or no desire to use illicit opioids, stable housing, social support) while taking no more than 8</w:t>
      </w:r>
    </w:p>
    <w:p>
      <w:pPr>
        <w:pStyle w:val="BodyText"/>
        <w:spacing w:line="247" w:lineRule="auto"/>
        <w:ind w:left="145" w:right="497"/>
      </w:pPr>
      <w:r>
        <w:rPr>
          <w:color w:val="4D4D4F"/>
          <w:w w:val="110"/>
        </w:rPr>
        <w:t>mg of Suboxone or generic equivalents. The implants are a set of four rods, each 2.5 mm in diameter and 26 mm in length. Each rod contains the equivalent of 80 mg of </w:t>
      </w:r>
      <w:r>
        <w:rPr>
          <w:color w:val="4D4D4F"/>
          <w:spacing w:val="-4"/>
          <w:w w:val="110"/>
        </w:rPr>
        <w:t>buprenor- </w:t>
      </w:r>
      <w:r>
        <w:rPr>
          <w:color w:val="4D4D4F"/>
          <w:w w:val="110"/>
        </w:rPr>
        <w:t>phine hydrochloride. The implants are</w:t>
      </w:r>
      <w:r>
        <w:rPr>
          <w:color w:val="4D4D4F"/>
          <w:spacing w:val="-28"/>
          <w:w w:val="110"/>
        </w:rPr>
        <w:t> </w:t>
      </w:r>
      <w:r>
        <w:rPr>
          <w:color w:val="4D4D4F"/>
          <w:w w:val="110"/>
        </w:rPr>
        <w:t>for</w:t>
      </w:r>
    </w:p>
    <w:p>
      <w:pPr>
        <w:spacing w:after="0" w:line="247" w:lineRule="auto"/>
        <w:sectPr>
          <w:type w:val="continuous"/>
          <w:pgSz w:w="12240" w:h="15840"/>
          <w:pgMar w:top="540" w:bottom="280" w:left="940" w:right="920"/>
          <w:cols w:num="2" w:equalWidth="0">
            <w:col w:w="5007" w:space="213"/>
            <w:col w:w="516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4"/>
        </w:rPr>
      </w:pPr>
    </w:p>
    <w:tbl>
      <w:tblPr>
        <w:tblW w:w="0" w:type="auto"/>
        <w:jc w:val="left"/>
        <w:tblInd w:w="31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3371"/>
        <w:gridCol w:w="2016"/>
        <w:gridCol w:w="1973"/>
        <w:gridCol w:w="2363"/>
      </w:tblGrid>
      <w:tr>
        <w:trPr>
          <w:trHeight w:val="973" w:hRule="atLeast"/>
        </w:trPr>
        <w:tc>
          <w:tcPr>
            <w:tcW w:w="3371" w:type="dxa"/>
            <w:tcBorders>
              <w:right w:val="nil"/>
            </w:tcBorders>
            <w:shd w:val="clear" w:color="auto" w:fill="377F9A"/>
          </w:tcPr>
          <w:p>
            <w:pPr>
              <w:pStyle w:val="TableParagraph"/>
              <w:rPr>
                <w:rFonts w:ascii="Gill Sans MT"/>
                <w:sz w:val="22"/>
              </w:rPr>
            </w:pPr>
          </w:p>
          <w:p>
            <w:pPr>
              <w:pStyle w:val="TableParagraph"/>
              <w:spacing w:line="319" w:lineRule="auto" w:before="156"/>
              <w:ind w:left="98" w:right="1025"/>
              <w:rPr>
                <w:rFonts w:ascii="Arial"/>
                <w:b/>
                <w:sz w:val="17"/>
              </w:rPr>
            </w:pPr>
            <w:r>
              <w:rPr>
                <w:rFonts w:ascii="Arial"/>
                <w:b/>
                <w:color w:val="FFFFFF"/>
                <w:w w:val="110"/>
                <w:sz w:val="17"/>
              </w:rPr>
              <w:t>PRODUCT NAME/ ACTIVE INGREDIENT</w:t>
            </w:r>
          </w:p>
        </w:tc>
        <w:tc>
          <w:tcPr>
            <w:tcW w:w="2016" w:type="dxa"/>
            <w:tcBorders>
              <w:left w:val="nil"/>
              <w:right w:val="nil"/>
            </w:tcBorders>
            <w:shd w:val="clear" w:color="auto" w:fill="377F9A"/>
          </w:tcPr>
          <w:p>
            <w:pPr>
              <w:pStyle w:val="TableParagraph"/>
              <w:spacing w:line="319" w:lineRule="auto" w:before="151"/>
              <w:ind w:left="177" w:right="136" w:hanging="1"/>
              <w:jc w:val="center"/>
              <w:rPr>
                <w:rFonts w:ascii="Arial"/>
                <w:b/>
                <w:sz w:val="17"/>
              </w:rPr>
            </w:pPr>
            <w:r>
              <w:rPr>
                <w:rFonts w:ascii="Arial"/>
                <w:b/>
                <w:color w:val="FFFFFF"/>
                <w:w w:val="110"/>
                <w:sz w:val="17"/>
              </w:rPr>
              <w:t>ROUTE OF ADMINISTRATION/ FORM</w:t>
            </w:r>
          </w:p>
        </w:tc>
        <w:tc>
          <w:tcPr>
            <w:tcW w:w="1973" w:type="dxa"/>
            <w:tcBorders>
              <w:left w:val="nil"/>
              <w:right w:val="nil"/>
            </w:tcBorders>
            <w:shd w:val="clear" w:color="auto" w:fill="377F9A"/>
          </w:tcPr>
          <w:p>
            <w:pPr>
              <w:pStyle w:val="TableParagraph"/>
              <w:rPr>
                <w:rFonts w:ascii="Gill Sans MT"/>
                <w:sz w:val="22"/>
              </w:rPr>
            </w:pPr>
          </w:p>
          <w:p>
            <w:pPr>
              <w:pStyle w:val="TableParagraph"/>
              <w:spacing w:line="319" w:lineRule="auto" w:before="156"/>
              <w:ind w:left="455" w:right="397" w:firstLine="30"/>
              <w:rPr>
                <w:rFonts w:ascii="Arial"/>
                <w:b/>
                <w:sz w:val="17"/>
              </w:rPr>
            </w:pPr>
            <w:r>
              <w:rPr>
                <w:rFonts w:ascii="Arial"/>
                <w:b/>
                <w:color w:val="FFFFFF"/>
                <w:w w:val="105"/>
                <w:sz w:val="17"/>
              </w:rPr>
              <w:t>AVAILABLE STRENGTHS</w:t>
            </w:r>
          </w:p>
        </w:tc>
        <w:tc>
          <w:tcPr>
            <w:tcW w:w="2363" w:type="dxa"/>
            <w:tcBorders>
              <w:left w:val="nil"/>
            </w:tcBorders>
            <w:shd w:val="clear" w:color="auto" w:fill="377F9A"/>
          </w:tcPr>
          <w:p>
            <w:pPr>
              <w:pStyle w:val="TableParagraph"/>
              <w:spacing w:line="319" w:lineRule="auto" w:before="151"/>
              <w:ind w:left="113" w:right="71"/>
              <w:jc w:val="center"/>
              <w:rPr>
                <w:rFonts w:ascii="Arial"/>
                <w:b/>
                <w:sz w:val="17"/>
              </w:rPr>
            </w:pPr>
            <w:r>
              <w:rPr>
                <w:rFonts w:ascii="Arial"/>
                <w:b/>
                <w:color w:val="FFFFFF"/>
                <w:w w:val="110"/>
                <w:sz w:val="17"/>
              </w:rPr>
              <w:t>RECOMMENDED ONCE- DAILY MAINTENANCE DOSE</w:t>
            </w:r>
          </w:p>
        </w:tc>
      </w:tr>
      <w:tr>
        <w:trPr>
          <w:trHeight w:val="1013" w:hRule="atLeast"/>
        </w:trPr>
        <w:tc>
          <w:tcPr>
            <w:tcW w:w="3371"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0"/>
              </w:rPr>
            </w:pPr>
            <w:r>
              <w:rPr>
                <w:rFonts w:ascii="Arial"/>
                <w:b/>
                <w:color w:val="231F20"/>
                <w:w w:val="110"/>
                <w:sz w:val="18"/>
              </w:rPr>
              <w:t>Bunavail</w:t>
            </w:r>
            <w:r>
              <w:rPr>
                <w:rFonts w:ascii="Arial"/>
                <w:b/>
                <w:color w:val="231F20"/>
                <w:w w:val="110"/>
                <w:position w:val="6"/>
                <w:sz w:val="10"/>
              </w:rPr>
              <w:t>228</w:t>
            </w:r>
          </w:p>
          <w:p>
            <w:pPr>
              <w:pStyle w:val="TableParagraph"/>
              <w:numPr>
                <w:ilvl w:val="0"/>
                <w:numId w:val="30"/>
              </w:numPr>
              <w:tabs>
                <w:tab w:pos="282" w:val="left" w:leader="none"/>
              </w:tabs>
              <w:spacing w:line="314" w:lineRule="exact" w:before="46" w:after="0"/>
              <w:ind w:left="281" w:right="0" w:hanging="181"/>
              <w:jc w:val="left"/>
              <w:rPr>
                <w:sz w:val="18"/>
              </w:rPr>
            </w:pPr>
            <w:r>
              <w:rPr>
                <w:color w:val="414142"/>
                <w:w w:val="125"/>
                <w:sz w:val="18"/>
              </w:rPr>
              <w:t>Buprenorphine</w:t>
            </w:r>
            <w:r>
              <w:rPr>
                <w:color w:val="414142"/>
                <w:spacing w:val="-7"/>
                <w:w w:val="125"/>
                <w:sz w:val="18"/>
              </w:rPr>
              <w:t> </w:t>
            </w:r>
            <w:r>
              <w:rPr>
                <w:color w:val="414142"/>
                <w:w w:val="125"/>
                <w:sz w:val="18"/>
              </w:rPr>
              <w:t>hydrochloride</w:t>
            </w:r>
          </w:p>
          <w:p>
            <w:pPr>
              <w:pStyle w:val="TableParagraph"/>
              <w:numPr>
                <w:ilvl w:val="0"/>
                <w:numId w:val="30"/>
              </w:numPr>
              <w:tabs>
                <w:tab w:pos="282" w:val="left" w:leader="none"/>
              </w:tabs>
              <w:spacing w:line="314" w:lineRule="exact" w:before="0" w:after="0"/>
              <w:ind w:left="281" w:right="0" w:hanging="181"/>
              <w:jc w:val="left"/>
              <w:rPr>
                <w:sz w:val="18"/>
              </w:rPr>
            </w:pPr>
            <w:r>
              <w:rPr>
                <w:color w:val="414142"/>
                <w:w w:val="125"/>
                <w:sz w:val="18"/>
              </w:rPr>
              <w:t>Naloxone</w:t>
            </w:r>
            <w:r>
              <w:rPr>
                <w:color w:val="414142"/>
                <w:spacing w:val="-7"/>
                <w:w w:val="125"/>
                <w:sz w:val="18"/>
              </w:rPr>
              <w:t> </w:t>
            </w:r>
            <w:r>
              <w:rPr>
                <w:color w:val="414142"/>
                <w:w w:val="125"/>
                <w:sz w:val="18"/>
              </w:rPr>
              <w:t>hydrochloride</w:t>
            </w:r>
          </w:p>
        </w:tc>
        <w:tc>
          <w:tcPr>
            <w:tcW w:w="2016" w:type="dxa"/>
            <w:tcBorders>
              <w:left w:val="single" w:sz="2" w:space="0" w:color="759EB4"/>
              <w:bottom w:val="single" w:sz="2" w:space="0" w:color="759EB4"/>
              <w:right w:val="single" w:sz="2" w:space="0" w:color="759EB4"/>
            </w:tcBorders>
            <w:shd w:val="clear" w:color="auto" w:fill="FFF7F2"/>
          </w:tcPr>
          <w:p>
            <w:pPr>
              <w:pStyle w:val="TableParagraph"/>
              <w:spacing w:before="89"/>
              <w:ind w:left="96"/>
              <w:rPr>
                <w:sz w:val="18"/>
              </w:rPr>
            </w:pPr>
            <w:r>
              <w:rPr>
                <w:color w:val="414142"/>
                <w:w w:val="130"/>
                <w:sz w:val="18"/>
              </w:rPr>
              <w:t>Buccal ﬁlm</w:t>
            </w:r>
          </w:p>
        </w:tc>
        <w:tc>
          <w:tcPr>
            <w:tcW w:w="1973" w:type="dxa"/>
            <w:tcBorders>
              <w:left w:val="single" w:sz="2" w:space="0" w:color="759EB4"/>
              <w:bottom w:val="single" w:sz="2" w:space="0" w:color="759EB4"/>
              <w:right w:val="single" w:sz="2" w:space="0" w:color="759EB4"/>
            </w:tcBorders>
            <w:shd w:val="clear" w:color="auto" w:fill="FFF7F2"/>
          </w:tcPr>
          <w:p>
            <w:pPr>
              <w:pStyle w:val="TableParagraph"/>
              <w:spacing w:line="218" w:lineRule="exact" w:before="89"/>
              <w:ind w:left="97"/>
              <w:rPr>
                <w:sz w:val="18"/>
              </w:rPr>
            </w:pPr>
            <w:r>
              <w:rPr>
                <w:color w:val="414142"/>
                <w:w w:val="110"/>
                <w:sz w:val="18"/>
              </w:rPr>
              <w:t>2.1 </w:t>
            </w:r>
            <w:r>
              <w:rPr>
                <w:color w:val="414142"/>
                <w:w w:val="115"/>
                <w:sz w:val="18"/>
              </w:rPr>
              <w:t>mg/0.3 mg</w:t>
            </w:r>
          </w:p>
          <w:p>
            <w:pPr>
              <w:pStyle w:val="TableParagraph"/>
              <w:spacing w:line="216" w:lineRule="exact"/>
              <w:ind w:left="96"/>
              <w:rPr>
                <w:sz w:val="18"/>
              </w:rPr>
            </w:pPr>
            <w:r>
              <w:rPr>
                <w:color w:val="414142"/>
                <w:w w:val="120"/>
                <w:sz w:val="18"/>
              </w:rPr>
              <w:t>4.2 mg/0.7 mg</w:t>
            </w:r>
          </w:p>
          <w:p>
            <w:pPr>
              <w:pStyle w:val="TableParagraph"/>
              <w:spacing w:line="218" w:lineRule="exact"/>
              <w:ind w:left="96"/>
              <w:rPr>
                <w:sz w:val="18"/>
              </w:rPr>
            </w:pPr>
            <w:r>
              <w:rPr>
                <w:color w:val="414142"/>
                <w:spacing w:val="1"/>
                <w:w w:val="109"/>
                <w:sz w:val="18"/>
              </w:rPr>
              <w:t>6.</w:t>
            </w:r>
            <w:r>
              <w:rPr>
                <w:color w:val="414142"/>
                <w:w w:val="109"/>
                <w:sz w:val="18"/>
              </w:rPr>
              <w:t>3</w:t>
            </w:r>
            <w:r>
              <w:rPr>
                <w:color w:val="414142"/>
                <w:spacing w:val="6"/>
                <w:sz w:val="18"/>
              </w:rPr>
              <w:t> </w:t>
            </w:r>
            <w:r>
              <w:rPr>
                <w:color w:val="414142"/>
                <w:w w:val="132"/>
                <w:sz w:val="18"/>
              </w:rPr>
              <w:t>m</w:t>
            </w:r>
            <w:r>
              <w:rPr>
                <w:color w:val="414142"/>
                <w:w w:val="145"/>
                <w:sz w:val="18"/>
              </w:rPr>
              <w:t>g</w:t>
            </w:r>
            <w:r>
              <w:rPr>
                <w:color w:val="414142"/>
                <w:spacing w:val="5"/>
                <w:w w:val="86"/>
                <w:sz w:val="18"/>
              </w:rPr>
              <w:t>/</w:t>
            </w:r>
            <w:r>
              <w:rPr>
                <w:color w:val="414142"/>
                <w:w w:val="71"/>
                <w:sz w:val="18"/>
              </w:rPr>
              <w:t>1</w:t>
            </w:r>
            <w:r>
              <w:rPr>
                <w:color w:val="414142"/>
                <w:spacing w:val="6"/>
                <w:sz w:val="18"/>
              </w:rPr>
              <w:t> </w:t>
            </w:r>
            <w:r>
              <w:rPr>
                <w:color w:val="414142"/>
                <w:w w:val="132"/>
                <w:sz w:val="18"/>
              </w:rPr>
              <w:t>m</w:t>
            </w:r>
            <w:r>
              <w:rPr>
                <w:color w:val="414142"/>
                <w:w w:val="145"/>
                <w:sz w:val="18"/>
              </w:rPr>
              <w:t>g</w:t>
            </w:r>
          </w:p>
        </w:tc>
        <w:tc>
          <w:tcPr>
            <w:tcW w:w="2363" w:type="dxa"/>
            <w:tcBorders>
              <w:left w:val="single" w:sz="2" w:space="0" w:color="759EB4"/>
              <w:bottom w:val="single" w:sz="2" w:space="0" w:color="759EB4"/>
              <w:right w:val="nil"/>
            </w:tcBorders>
            <w:shd w:val="clear" w:color="auto" w:fill="FFF7F2"/>
          </w:tcPr>
          <w:p>
            <w:pPr>
              <w:pStyle w:val="TableParagraph"/>
              <w:spacing w:before="89"/>
              <w:ind w:left="96"/>
              <w:rPr>
                <w:sz w:val="18"/>
              </w:rPr>
            </w:pPr>
            <w:r>
              <w:rPr>
                <w:rFonts w:ascii="Arial"/>
                <w:b/>
                <w:color w:val="414142"/>
                <w:w w:val="115"/>
                <w:sz w:val="18"/>
              </w:rPr>
              <w:t>Target: </w:t>
            </w:r>
            <w:r>
              <w:rPr>
                <w:color w:val="414142"/>
                <w:w w:val="115"/>
                <w:sz w:val="18"/>
              </w:rPr>
              <w:t>8.4 mg/1.4 mg</w:t>
            </w:r>
          </w:p>
          <w:p>
            <w:pPr>
              <w:pStyle w:val="TableParagraph"/>
              <w:spacing w:line="218" w:lineRule="exact" w:before="86"/>
              <w:ind w:left="96"/>
              <w:rPr>
                <w:sz w:val="18"/>
              </w:rPr>
            </w:pPr>
            <w:r>
              <w:rPr>
                <w:rFonts w:ascii="Arial"/>
                <w:b/>
                <w:color w:val="4D4D4F"/>
                <w:w w:val="115"/>
                <w:sz w:val="18"/>
              </w:rPr>
              <w:t>Range: </w:t>
            </w:r>
            <w:r>
              <w:rPr>
                <w:color w:val="4D4D4F"/>
                <w:w w:val="110"/>
                <w:sz w:val="18"/>
              </w:rPr>
              <w:t>2.1 </w:t>
            </w:r>
            <w:r>
              <w:rPr>
                <w:color w:val="4D4D4F"/>
                <w:w w:val="115"/>
                <w:sz w:val="18"/>
              </w:rPr>
              <w:t>mg/0.3 mg to</w:t>
            </w:r>
          </w:p>
          <w:p>
            <w:pPr>
              <w:pStyle w:val="TableParagraph"/>
              <w:spacing w:line="218" w:lineRule="exact"/>
              <w:ind w:left="788"/>
              <w:rPr>
                <w:sz w:val="18"/>
              </w:rPr>
            </w:pPr>
            <w:r>
              <w:rPr>
                <w:color w:val="4D4D4F"/>
                <w:w w:val="115"/>
                <w:sz w:val="18"/>
              </w:rPr>
              <w:t>12.6 mg/2.1 mg</w:t>
            </w:r>
          </w:p>
        </w:tc>
      </w:tr>
      <w:tr>
        <w:trPr>
          <w:trHeight w:val="1015" w:hRule="atLeast"/>
        </w:trPr>
        <w:tc>
          <w:tcPr>
            <w:tcW w:w="3371"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0"/>
              </w:rPr>
            </w:pPr>
            <w:r>
              <w:rPr>
                <w:rFonts w:ascii="Arial"/>
                <w:b/>
                <w:color w:val="231F20"/>
                <w:w w:val="110"/>
                <w:sz w:val="18"/>
              </w:rPr>
              <w:t>Generic combination</w:t>
            </w:r>
            <w:r>
              <w:rPr>
                <w:rFonts w:ascii="Arial"/>
                <w:b/>
                <w:color w:val="231F20"/>
                <w:spacing w:val="-32"/>
                <w:w w:val="110"/>
                <w:sz w:val="18"/>
              </w:rPr>
              <w:t> </w:t>
            </w:r>
            <w:r>
              <w:rPr>
                <w:rFonts w:ascii="Arial"/>
                <w:b/>
                <w:color w:val="231F20"/>
                <w:w w:val="110"/>
                <w:sz w:val="18"/>
              </w:rPr>
              <w:t>product</w:t>
            </w:r>
            <w:r>
              <w:rPr>
                <w:rFonts w:ascii="Arial"/>
                <w:b/>
                <w:color w:val="231F20"/>
                <w:w w:val="110"/>
                <w:position w:val="6"/>
                <w:sz w:val="10"/>
              </w:rPr>
              <w:t>229,230</w:t>
            </w:r>
          </w:p>
          <w:p>
            <w:pPr>
              <w:pStyle w:val="TableParagraph"/>
              <w:numPr>
                <w:ilvl w:val="0"/>
                <w:numId w:val="31"/>
              </w:numPr>
              <w:tabs>
                <w:tab w:pos="282" w:val="left" w:leader="none"/>
              </w:tabs>
              <w:spacing w:line="314" w:lineRule="exact" w:before="45" w:after="0"/>
              <w:ind w:left="281" w:right="0" w:hanging="181"/>
              <w:jc w:val="left"/>
              <w:rPr>
                <w:sz w:val="18"/>
              </w:rPr>
            </w:pPr>
            <w:r>
              <w:rPr>
                <w:color w:val="414142"/>
                <w:w w:val="125"/>
                <w:sz w:val="18"/>
              </w:rPr>
              <w:t>Buprenorphine</w:t>
            </w:r>
            <w:r>
              <w:rPr>
                <w:color w:val="414142"/>
                <w:spacing w:val="-32"/>
                <w:w w:val="125"/>
                <w:sz w:val="18"/>
              </w:rPr>
              <w:t> </w:t>
            </w:r>
            <w:r>
              <w:rPr>
                <w:color w:val="414142"/>
                <w:w w:val="125"/>
                <w:sz w:val="18"/>
              </w:rPr>
              <w:t>hydrochloride</w:t>
            </w:r>
          </w:p>
          <w:p>
            <w:pPr>
              <w:pStyle w:val="TableParagraph"/>
              <w:numPr>
                <w:ilvl w:val="0"/>
                <w:numId w:val="31"/>
              </w:numPr>
              <w:tabs>
                <w:tab w:pos="282" w:val="left" w:leader="none"/>
              </w:tabs>
              <w:spacing w:line="314" w:lineRule="exact" w:before="0" w:after="0"/>
              <w:ind w:left="281" w:right="0" w:hanging="181"/>
              <w:jc w:val="left"/>
              <w:rPr>
                <w:sz w:val="18"/>
              </w:rPr>
            </w:pPr>
            <w:r>
              <w:rPr>
                <w:color w:val="414142"/>
                <w:w w:val="125"/>
                <w:sz w:val="18"/>
              </w:rPr>
              <w:t>Naloxone</w:t>
            </w:r>
            <w:r>
              <w:rPr>
                <w:color w:val="414142"/>
                <w:spacing w:val="-7"/>
                <w:w w:val="125"/>
                <w:sz w:val="18"/>
              </w:rPr>
              <w:t> </w:t>
            </w:r>
            <w:r>
              <w:rPr>
                <w:color w:val="414142"/>
                <w:w w:val="125"/>
                <w:sz w:val="18"/>
              </w:rPr>
              <w:t>hydrochloride</w:t>
            </w:r>
          </w:p>
        </w:tc>
        <w:tc>
          <w:tcPr>
            <w:tcW w:w="201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6" w:right="302"/>
              <w:rPr>
                <w:sz w:val="18"/>
              </w:rPr>
            </w:pPr>
            <w:r>
              <w:rPr>
                <w:color w:val="414142"/>
                <w:w w:val="125"/>
                <w:sz w:val="18"/>
              </w:rPr>
              <w:t>Sublingual tablet, ﬁlm</w:t>
            </w:r>
          </w:p>
        </w:tc>
        <w:tc>
          <w:tcPr>
            <w:tcW w:w="1973"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18" w:lineRule="exact" w:before="90"/>
              <w:ind w:left="96"/>
              <w:rPr>
                <w:sz w:val="18"/>
              </w:rPr>
            </w:pPr>
            <w:r>
              <w:rPr>
                <w:color w:val="414142"/>
                <w:w w:val="125"/>
                <w:sz w:val="18"/>
              </w:rPr>
              <w:t>2 mg/0.5 mg</w:t>
            </w:r>
          </w:p>
          <w:p>
            <w:pPr>
              <w:pStyle w:val="TableParagraph"/>
              <w:spacing w:line="218" w:lineRule="exact"/>
              <w:ind w:left="96"/>
              <w:rPr>
                <w:sz w:val="18"/>
              </w:rPr>
            </w:pPr>
            <w:r>
              <w:rPr>
                <w:color w:val="414142"/>
                <w:w w:val="125"/>
                <w:sz w:val="18"/>
              </w:rPr>
              <w:t>8 mg/2 mg</w:t>
            </w:r>
          </w:p>
        </w:tc>
        <w:tc>
          <w:tcPr>
            <w:tcW w:w="2363"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6"/>
              <w:rPr>
                <w:sz w:val="18"/>
              </w:rPr>
            </w:pPr>
            <w:r>
              <w:rPr>
                <w:rFonts w:ascii="Arial"/>
                <w:b/>
                <w:color w:val="414142"/>
                <w:w w:val="120"/>
                <w:sz w:val="18"/>
              </w:rPr>
              <w:t>Target: </w:t>
            </w:r>
            <w:r>
              <w:rPr>
                <w:color w:val="414142"/>
                <w:w w:val="120"/>
                <w:sz w:val="18"/>
              </w:rPr>
              <w:t>16 mg/4 mg</w:t>
            </w:r>
          </w:p>
          <w:p>
            <w:pPr>
              <w:pStyle w:val="TableParagraph"/>
              <w:spacing w:line="218" w:lineRule="exact" w:before="86"/>
              <w:ind w:right="366"/>
              <w:jc w:val="right"/>
              <w:rPr>
                <w:sz w:val="18"/>
              </w:rPr>
            </w:pPr>
            <w:r>
              <w:rPr>
                <w:rFonts w:ascii="Arial"/>
                <w:b/>
                <w:color w:val="4D4D4F"/>
                <w:w w:val="120"/>
                <w:sz w:val="18"/>
              </w:rPr>
              <w:t>Range:</w:t>
            </w:r>
            <w:r>
              <w:rPr>
                <w:rFonts w:ascii="Arial"/>
                <w:b/>
                <w:color w:val="4D4D4F"/>
                <w:spacing w:val="-30"/>
                <w:w w:val="120"/>
                <w:sz w:val="18"/>
              </w:rPr>
              <w:t> </w:t>
            </w:r>
            <w:r>
              <w:rPr>
                <w:color w:val="4D4D4F"/>
                <w:w w:val="120"/>
                <w:sz w:val="18"/>
              </w:rPr>
              <w:t>4</w:t>
            </w:r>
            <w:r>
              <w:rPr>
                <w:color w:val="4D4D4F"/>
                <w:spacing w:val="-18"/>
                <w:w w:val="120"/>
                <w:sz w:val="18"/>
              </w:rPr>
              <w:t> </w:t>
            </w:r>
            <w:r>
              <w:rPr>
                <w:color w:val="4D4D4F"/>
                <w:w w:val="120"/>
                <w:sz w:val="18"/>
              </w:rPr>
              <w:t>mg/1</w:t>
            </w:r>
            <w:r>
              <w:rPr>
                <w:color w:val="4D4D4F"/>
                <w:spacing w:val="-18"/>
                <w:w w:val="120"/>
                <w:sz w:val="18"/>
              </w:rPr>
              <w:t> </w:t>
            </w:r>
            <w:r>
              <w:rPr>
                <w:color w:val="4D4D4F"/>
                <w:w w:val="120"/>
                <w:sz w:val="18"/>
              </w:rPr>
              <w:t>mg</w:t>
            </w:r>
            <w:r>
              <w:rPr>
                <w:color w:val="4D4D4F"/>
                <w:spacing w:val="-18"/>
                <w:w w:val="120"/>
                <w:sz w:val="18"/>
              </w:rPr>
              <w:t> </w:t>
            </w:r>
            <w:r>
              <w:rPr>
                <w:color w:val="4D4D4F"/>
                <w:w w:val="120"/>
                <w:sz w:val="18"/>
              </w:rPr>
              <w:t>to</w:t>
            </w:r>
          </w:p>
          <w:p>
            <w:pPr>
              <w:pStyle w:val="TableParagraph"/>
              <w:spacing w:line="218" w:lineRule="exact"/>
              <w:ind w:right="393"/>
              <w:jc w:val="right"/>
              <w:rPr>
                <w:sz w:val="18"/>
              </w:rPr>
            </w:pPr>
            <w:r>
              <w:rPr>
                <w:color w:val="4D4D4F"/>
                <w:spacing w:val="-3"/>
                <w:w w:val="120"/>
                <w:sz w:val="18"/>
              </w:rPr>
              <w:t>24 </w:t>
            </w:r>
            <w:r>
              <w:rPr>
                <w:color w:val="4D4D4F"/>
                <w:w w:val="120"/>
                <w:sz w:val="18"/>
              </w:rPr>
              <w:t>mg/6</w:t>
            </w:r>
            <w:r>
              <w:rPr>
                <w:color w:val="4D4D4F"/>
                <w:spacing w:val="17"/>
                <w:w w:val="120"/>
                <w:sz w:val="18"/>
              </w:rPr>
              <w:t> </w:t>
            </w:r>
            <w:r>
              <w:rPr>
                <w:color w:val="4D4D4F"/>
                <w:w w:val="120"/>
                <w:sz w:val="18"/>
              </w:rPr>
              <w:t>mg*</w:t>
            </w:r>
          </w:p>
        </w:tc>
      </w:tr>
      <w:tr>
        <w:trPr>
          <w:trHeight w:val="709" w:hRule="atLeast"/>
        </w:trPr>
        <w:tc>
          <w:tcPr>
            <w:tcW w:w="3371"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0"/>
              </w:rPr>
            </w:pPr>
            <w:r>
              <w:rPr>
                <w:rFonts w:ascii="Arial"/>
                <w:b/>
                <w:color w:val="231F20"/>
                <w:w w:val="110"/>
                <w:sz w:val="18"/>
              </w:rPr>
              <w:t>Generic monoproduct</w:t>
            </w:r>
            <w:r>
              <w:rPr>
                <w:rFonts w:ascii="Arial"/>
                <w:b/>
                <w:color w:val="231F20"/>
                <w:w w:val="110"/>
                <w:position w:val="6"/>
                <w:sz w:val="10"/>
              </w:rPr>
              <w:t>231,232</w:t>
            </w:r>
          </w:p>
          <w:p>
            <w:pPr>
              <w:pStyle w:val="TableParagraph"/>
              <w:numPr>
                <w:ilvl w:val="0"/>
                <w:numId w:val="32"/>
              </w:numPr>
              <w:tabs>
                <w:tab w:pos="282" w:val="left" w:leader="none"/>
              </w:tabs>
              <w:spacing w:line="240" w:lineRule="auto" w:before="45" w:after="0"/>
              <w:ind w:left="281" w:right="0" w:hanging="181"/>
              <w:jc w:val="left"/>
              <w:rPr>
                <w:sz w:val="18"/>
              </w:rPr>
            </w:pPr>
            <w:r>
              <w:rPr>
                <w:color w:val="414142"/>
                <w:w w:val="125"/>
                <w:sz w:val="18"/>
              </w:rPr>
              <w:t>Buprenorphine</w:t>
            </w:r>
            <w:r>
              <w:rPr>
                <w:color w:val="414142"/>
                <w:spacing w:val="-7"/>
                <w:w w:val="125"/>
                <w:sz w:val="18"/>
              </w:rPr>
              <w:t> </w:t>
            </w:r>
            <w:r>
              <w:rPr>
                <w:color w:val="414142"/>
                <w:w w:val="125"/>
                <w:sz w:val="18"/>
              </w:rPr>
              <w:t>hydrochloride</w:t>
            </w:r>
          </w:p>
        </w:tc>
        <w:tc>
          <w:tcPr>
            <w:tcW w:w="201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6"/>
              <w:rPr>
                <w:sz w:val="18"/>
              </w:rPr>
            </w:pPr>
            <w:r>
              <w:rPr>
                <w:color w:val="414142"/>
                <w:w w:val="125"/>
                <w:sz w:val="18"/>
              </w:rPr>
              <w:t>Sublingual tablet</w:t>
            </w:r>
          </w:p>
        </w:tc>
        <w:tc>
          <w:tcPr>
            <w:tcW w:w="1973"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18" w:lineRule="exact" w:before="90"/>
              <w:ind w:left="97"/>
              <w:rPr>
                <w:sz w:val="18"/>
              </w:rPr>
            </w:pPr>
            <w:r>
              <w:rPr>
                <w:color w:val="414142"/>
                <w:w w:val="130"/>
                <w:sz w:val="18"/>
              </w:rPr>
              <w:t>2</w:t>
            </w:r>
            <w:r>
              <w:rPr>
                <w:color w:val="414142"/>
                <w:spacing w:val="-6"/>
                <w:w w:val="130"/>
                <w:sz w:val="18"/>
              </w:rPr>
              <w:t> </w:t>
            </w:r>
            <w:r>
              <w:rPr>
                <w:color w:val="414142"/>
                <w:w w:val="130"/>
                <w:sz w:val="18"/>
              </w:rPr>
              <w:t>mg</w:t>
            </w:r>
          </w:p>
          <w:p>
            <w:pPr>
              <w:pStyle w:val="TableParagraph"/>
              <w:spacing w:line="218" w:lineRule="exact"/>
              <w:ind w:left="96"/>
              <w:rPr>
                <w:sz w:val="18"/>
              </w:rPr>
            </w:pPr>
            <w:r>
              <w:rPr>
                <w:color w:val="414142"/>
                <w:w w:val="135"/>
                <w:sz w:val="18"/>
              </w:rPr>
              <w:t>8</w:t>
            </w:r>
            <w:r>
              <w:rPr>
                <w:color w:val="414142"/>
                <w:spacing w:val="-11"/>
                <w:w w:val="135"/>
                <w:sz w:val="18"/>
              </w:rPr>
              <w:t> </w:t>
            </w:r>
            <w:r>
              <w:rPr>
                <w:color w:val="414142"/>
                <w:w w:val="135"/>
                <w:sz w:val="18"/>
              </w:rPr>
              <w:t>mg</w:t>
            </w:r>
          </w:p>
        </w:tc>
        <w:tc>
          <w:tcPr>
            <w:tcW w:w="2363"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6"/>
              <w:rPr>
                <w:sz w:val="18"/>
              </w:rPr>
            </w:pPr>
            <w:r>
              <w:rPr>
                <w:rFonts w:ascii="Arial"/>
                <w:b/>
                <w:color w:val="414142"/>
                <w:w w:val="115"/>
                <w:sz w:val="18"/>
              </w:rPr>
              <w:t>Target: </w:t>
            </w:r>
            <w:r>
              <w:rPr>
                <w:color w:val="414142"/>
                <w:w w:val="115"/>
                <w:sz w:val="18"/>
              </w:rPr>
              <w:t>16 mg</w:t>
            </w:r>
          </w:p>
          <w:p>
            <w:pPr>
              <w:pStyle w:val="TableParagraph"/>
              <w:spacing w:before="86"/>
              <w:ind w:left="96"/>
              <w:rPr>
                <w:sz w:val="18"/>
              </w:rPr>
            </w:pPr>
            <w:r>
              <w:rPr>
                <w:rFonts w:ascii="Arial"/>
                <w:b/>
                <w:color w:val="4D4D4F"/>
                <w:w w:val="125"/>
                <w:sz w:val="18"/>
              </w:rPr>
              <w:t>Range: </w:t>
            </w:r>
            <w:r>
              <w:rPr>
                <w:color w:val="4D4D4F"/>
                <w:w w:val="125"/>
                <w:sz w:val="18"/>
              </w:rPr>
              <w:t>4 mg to 24 mg*</w:t>
            </w:r>
          </w:p>
        </w:tc>
      </w:tr>
      <w:tr>
        <w:trPr>
          <w:trHeight w:val="1051" w:hRule="atLeast"/>
        </w:trPr>
        <w:tc>
          <w:tcPr>
            <w:tcW w:w="3371"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0"/>
              </w:rPr>
            </w:pPr>
            <w:r>
              <w:rPr>
                <w:rFonts w:ascii="Arial"/>
                <w:b/>
                <w:color w:val="231F20"/>
                <w:w w:val="110"/>
                <w:sz w:val="18"/>
              </w:rPr>
              <w:t>Suboxone</w:t>
            </w:r>
            <w:r>
              <w:rPr>
                <w:rFonts w:ascii="Arial"/>
                <w:b/>
                <w:color w:val="231F20"/>
                <w:w w:val="110"/>
                <w:position w:val="6"/>
                <w:sz w:val="10"/>
              </w:rPr>
              <w:t>233,234</w:t>
            </w:r>
          </w:p>
          <w:p>
            <w:pPr>
              <w:pStyle w:val="TableParagraph"/>
              <w:numPr>
                <w:ilvl w:val="0"/>
                <w:numId w:val="33"/>
              </w:numPr>
              <w:tabs>
                <w:tab w:pos="282" w:val="left" w:leader="none"/>
              </w:tabs>
              <w:spacing w:line="314" w:lineRule="exact" w:before="45" w:after="0"/>
              <w:ind w:left="281" w:right="0" w:hanging="181"/>
              <w:jc w:val="left"/>
              <w:rPr>
                <w:sz w:val="18"/>
              </w:rPr>
            </w:pPr>
            <w:r>
              <w:rPr>
                <w:color w:val="414142"/>
                <w:w w:val="125"/>
                <w:sz w:val="18"/>
              </w:rPr>
              <w:t>Buprenorphine</w:t>
            </w:r>
            <w:r>
              <w:rPr>
                <w:color w:val="414142"/>
                <w:spacing w:val="-7"/>
                <w:w w:val="125"/>
                <w:sz w:val="18"/>
              </w:rPr>
              <w:t> </w:t>
            </w:r>
            <w:r>
              <w:rPr>
                <w:color w:val="414142"/>
                <w:w w:val="125"/>
                <w:sz w:val="18"/>
              </w:rPr>
              <w:t>hydrochloride</w:t>
            </w:r>
          </w:p>
          <w:p>
            <w:pPr>
              <w:pStyle w:val="TableParagraph"/>
              <w:numPr>
                <w:ilvl w:val="0"/>
                <w:numId w:val="33"/>
              </w:numPr>
              <w:tabs>
                <w:tab w:pos="282" w:val="left" w:leader="none"/>
              </w:tabs>
              <w:spacing w:line="314" w:lineRule="exact" w:before="0" w:after="0"/>
              <w:ind w:left="281" w:right="0" w:hanging="181"/>
              <w:jc w:val="left"/>
              <w:rPr>
                <w:sz w:val="18"/>
              </w:rPr>
            </w:pPr>
            <w:r>
              <w:rPr>
                <w:color w:val="414142"/>
                <w:w w:val="125"/>
                <w:sz w:val="18"/>
              </w:rPr>
              <w:t>Naloxone</w:t>
            </w:r>
            <w:r>
              <w:rPr>
                <w:color w:val="414142"/>
                <w:spacing w:val="-7"/>
                <w:w w:val="125"/>
                <w:sz w:val="18"/>
              </w:rPr>
              <w:t> </w:t>
            </w:r>
            <w:r>
              <w:rPr>
                <w:color w:val="414142"/>
                <w:w w:val="125"/>
                <w:sz w:val="18"/>
              </w:rPr>
              <w:t>hydrochloride</w:t>
            </w:r>
          </w:p>
        </w:tc>
        <w:tc>
          <w:tcPr>
            <w:tcW w:w="201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6"/>
              <w:rPr>
                <w:sz w:val="18"/>
              </w:rPr>
            </w:pPr>
            <w:r>
              <w:rPr>
                <w:color w:val="414142"/>
                <w:w w:val="130"/>
                <w:sz w:val="18"/>
              </w:rPr>
              <w:t>Sublingual ﬁlm</w:t>
            </w:r>
          </w:p>
        </w:tc>
        <w:tc>
          <w:tcPr>
            <w:tcW w:w="1973"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18" w:lineRule="exact" w:before="90"/>
              <w:ind w:left="97"/>
              <w:rPr>
                <w:sz w:val="18"/>
              </w:rPr>
            </w:pPr>
            <w:r>
              <w:rPr>
                <w:color w:val="414142"/>
                <w:w w:val="125"/>
                <w:sz w:val="18"/>
              </w:rPr>
              <w:t>2 mg/0.5 mg</w:t>
            </w:r>
          </w:p>
          <w:p>
            <w:pPr>
              <w:pStyle w:val="TableParagraph"/>
              <w:spacing w:line="216" w:lineRule="exact"/>
              <w:ind w:left="96"/>
              <w:rPr>
                <w:sz w:val="18"/>
              </w:rPr>
            </w:pPr>
            <w:r>
              <w:rPr>
                <w:color w:val="414142"/>
                <w:w w:val="130"/>
                <w:sz w:val="18"/>
              </w:rPr>
              <w:t>4</w:t>
            </w:r>
            <w:r>
              <w:rPr>
                <w:color w:val="414142"/>
                <w:spacing w:val="-28"/>
                <w:w w:val="130"/>
                <w:sz w:val="18"/>
              </w:rPr>
              <w:t> </w:t>
            </w:r>
            <w:r>
              <w:rPr>
                <w:color w:val="414142"/>
                <w:w w:val="130"/>
                <w:sz w:val="18"/>
              </w:rPr>
              <w:t>mg/1</w:t>
            </w:r>
            <w:r>
              <w:rPr>
                <w:color w:val="414142"/>
                <w:spacing w:val="-28"/>
                <w:w w:val="130"/>
                <w:sz w:val="18"/>
              </w:rPr>
              <w:t> </w:t>
            </w:r>
            <w:r>
              <w:rPr>
                <w:color w:val="414142"/>
                <w:w w:val="130"/>
                <w:sz w:val="18"/>
              </w:rPr>
              <w:t>mg</w:t>
            </w:r>
          </w:p>
          <w:p>
            <w:pPr>
              <w:pStyle w:val="TableParagraph"/>
              <w:spacing w:line="216" w:lineRule="exact"/>
              <w:ind w:left="96"/>
              <w:rPr>
                <w:sz w:val="18"/>
              </w:rPr>
            </w:pPr>
            <w:r>
              <w:rPr>
                <w:color w:val="414142"/>
                <w:w w:val="125"/>
                <w:sz w:val="18"/>
              </w:rPr>
              <w:t>8 mg/2</w:t>
            </w:r>
            <w:r>
              <w:rPr>
                <w:color w:val="414142"/>
                <w:spacing w:val="11"/>
                <w:w w:val="125"/>
                <w:sz w:val="18"/>
              </w:rPr>
              <w:t> </w:t>
            </w:r>
            <w:r>
              <w:rPr>
                <w:color w:val="414142"/>
                <w:w w:val="125"/>
                <w:sz w:val="18"/>
              </w:rPr>
              <w:t>mg</w:t>
            </w:r>
          </w:p>
          <w:p>
            <w:pPr>
              <w:pStyle w:val="TableParagraph"/>
              <w:spacing w:line="218" w:lineRule="exact"/>
              <w:ind w:left="96"/>
              <w:rPr>
                <w:sz w:val="18"/>
              </w:rPr>
            </w:pPr>
            <w:r>
              <w:rPr>
                <w:color w:val="414142"/>
                <w:w w:val="115"/>
                <w:sz w:val="18"/>
              </w:rPr>
              <w:t>12 mg/3 mg</w:t>
            </w:r>
          </w:p>
        </w:tc>
        <w:tc>
          <w:tcPr>
            <w:tcW w:w="2363"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6"/>
              <w:rPr>
                <w:sz w:val="18"/>
              </w:rPr>
            </w:pPr>
            <w:r>
              <w:rPr>
                <w:rFonts w:ascii="Arial"/>
                <w:b/>
                <w:color w:val="414142"/>
                <w:w w:val="120"/>
                <w:sz w:val="18"/>
              </w:rPr>
              <w:t>Target: </w:t>
            </w:r>
            <w:r>
              <w:rPr>
                <w:color w:val="414142"/>
                <w:w w:val="120"/>
                <w:sz w:val="18"/>
              </w:rPr>
              <w:t>16 mg/4 mg</w:t>
            </w:r>
          </w:p>
          <w:p>
            <w:pPr>
              <w:pStyle w:val="TableParagraph"/>
              <w:spacing w:line="218" w:lineRule="exact" w:before="86"/>
              <w:ind w:right="366"/>
              <w:jc w:val="right"/>
              <w:rPr>
                <w:sz w:val="18"/>
              </w:rPr>
            </w:pPr>
            <w:r>
              <w:rPr>
                <w:rFonts w:ascii="Arial"/>
                <w:b/>
                <w:color w:val="4D4D4F"/>
                <w:w w:val="120"/>
                <w:sz w:val="18"/>
              </w:rPr>
              <w:t>Range:</w:t>
            </w:r>
            <w:r>
              <w:rPr>
                <w:rFonts w:ascii="Arial"/>
                <w:b/>
                <w:color w:val="4D4D4F"/>
                <w:spacing w:val="-30"/>
                <w:w w:val="120"/>
                <w:sz w:val="18"/>
              </w:rPr>
              <w:t> </w:t>
            </w:r>
            <w:r>
              <w:rPr>
                <w:color w:val="4D4D4F"/>
                <w:w w:val="120"/>
                <w:sz w:val="18"/>
              </w:rPr>
              <w:t>4</w:t>
            </w:r>
            <w:r>
              <w:rPr>
                <w:color w:val="4D4D4F"/>
                <w:spacing w:val="-18"/>
                <w:w w:val="120"/>
                <w:sz w:val="18"/>
              </w:rPr>
              <w:t> </w:t>
            </w:r>
            <w:r>
              <w:rPr>
                <w:color w:val="4D4D4F"/>
                <w:w w:val="120"/>
                <w:sz w:val="18"/>
              </w:rPr>
              <w:t>mg/1</w:t>
            </w:r>
            <w:r>
              <w:rPr>
                <w:color w:val="4D4D4F"/>
                <w:spacing w:val="-18"/>
                <w:w w:val="120"/>
                <w:sz w:val="18"/>
              </w:rPr>
              <w:t> </w:t>
            </w:r>
            <w:r>
              <w:rPr>
                <w:color w:val="4D4D4F"/>
                <w:w w:val="120"/>
                <w:sz w:val="18"/>
              </w:rPr>
              <w:t>mg</w:t>
            </w:r>
            <w:r>
              <w:rPr>
                <w:color w:val="4D4D4F"/>
                <w:spacing w:val="-18"/>
                <w:w w:val="120"/>
                <w:sz w:val="18"/>
              </w:rPr>
              <w:t> </w:t>
            </w:r>
            <w:r>
              <w:rPr>
                <w:color w:val="4D4D4F"/>
                <w:w w:val="120"/>
                <w:sz w:val="18"/>
              </w:rPr>
              <w:t>to</w:t>
            </w:r>
          </w:p>
          <w:p>
            <w:pPr>
              <w:pStyle w:val="TableParagraph"/>
              <w:spacing w:line="218" w:lineRule="exact"/>
              <w:ind w:right="393"/>
              <w:jc w:val="right"/>
              <w:rPr>
                <w:sz w:val="18"/>
              </w:rPr>
            </w:pPr>
            <w:r>
              <w:rPr>
                <w:color w:val="4D4D4F"/>
                <w:spacing w:val="-3"/>
                <w:w w:val="120"/>
                <w:sz w:val="18"/>
              </w:rPr>
              <w:t>24 </w:t>
            </w:r>
            <w:r>
              <w:rPr>
                <w:color w:val="4D4D4F"/>
                <w:w w:val="120"/>
                <w:sz w:val="18"/>
              </w:rPr>
              <w:t>mg/6</w:t>
            </w:r>
            <w:r>
              <w:rPr>
                <w:color w:val="4D4D4F"/>
                <w:spacing w:val="17"/>
                <w:w w:val="120"/>
                <w:sz w:val="18"/>
              </w:rPr>
              <w:t> </w:t>
            </w:r>
            <w:r>
              <w:rPr>
                <w:color w:val="4D4D4F"/>
                <w:w w:val="120"/>
                <w:sz w:val="18"/>
              </w:rPr>
              <w:t>mg*</w:t>
            </w:r>
          </w:p>
        </w:tc>
      </w:tr>
      <w:tr>
        <w:trPr>
          <w:trHeight w:val="1467" w:hRule="atLeast"/>
        </w:trPr>
        <w:tc>
          <w:tcPr>
            <w:tcW w:w="3371"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0"/>
              </w:rPr>
            </w:pPr>
            <w:r>
              <w:rPr>
                <w:rFonts w:ascii="Arial"/>
                <w:b/>
                <w:color w:val="231F20"/>
                <w:w w:val="110"/>
                <w:position w:val="-5"/>
                <w:sz w:val="18"/>
              </w:rPr>
              <w:t>Zubsolv</w:t>
            </w:r>
            <w:r>
              <w:rPr>
                <w:rFonts w:ascii="Arial"/>
                <w:b/>
                <w:color w:val="231F20"/>
                <w:w w:val="110"/>
                <w:sz w:val="10"/>
              </w:rPr>
              <w:t>235,236</w:t>
            </w:r>
          </w:p>
          <w:p>
            <w:pPr>
              <w:pStyle w:val="TableParagraph"/>
              <w:numPr>
                <w:ilvl w:val="0"/>
                <w:numId w:val="34"/>
              </w:numPr>
              <w:tabs>
                <w:tab w:pos="282" w:val="left" w:leader="none"/>
              </w:tabs>
              <w:spacing w:line="314" w:lineRule="exact" w:before="45" w:after="0"/>
              <w:ind w:left="281" w:right="0" w:hanging="181"/>
              <w:jc w:val="left"/>
              <w:rPr>
                <w:sz w:val="18"/>
              </w:rPr>
            </w:pPr>
            <w:r>
              <w:rPr>
                <w:color w:val="414142"/>
                <w:w w:val="125"/>
                <w:sz w:val="18"/>
              </w:rPr>
              <w:t>Buprenorphine</w:t>
            </w:r>
            <w:r>
              <w:rPr>
                <w:color w:val="414142"/>
                <w:spacing w:val="-7"/>
                <w:w w:val="125"/>
                <w:sz w:val="18"/>
              </w:rPr>
              <w:t> </w:t>
            </w:r>
            <w:r>
              <w:rPr>
                <w:color w:val="414142"/>
                <w:w w:val="125"/>
                <w:sz w:val="18"/>
              </w:rPr>
              <w:t>hydrochloride</w:t>
            </w:r>
          </w:p>
          <w:p>
            <w:pPr>
              <w:pStyle w:val="TableParagraph"/>
              <w:numPr>
                <w:ilvl w:val="0"/>
                <w:numId w:val="34"/>
              </w:numPr>
              <w:tabs>
                <w:tab w:pos="282" w:val="left" w:leader="none"/>
              </w:tabs>
              <w:spacing w:line="314" w:lineRule="exact" w:before="0" w:after="0"/>
              <w:ind w:left="281" w:right="0" w:hanging="181"/>
              <w:jc w:val="left"/>
              <w:rPr>
                <w:sz w:val="18"/>
              </w:rPr>
            </w:pPr>
            <w:r>
              <w:rPr>
                <w:color w:val="414142"/>
                <w:w w:val="125"/>
                <w:sz w:val="18"/>
              </w:rPr>
              <w:t>Naloxone</w:t>
            </w:r>
            <w:r>
              <w:rPr>
                <w:color w:val="414142"/>
                <w:spacing w:val="-7"/>
                <w:w w:val="125"/>
                <w:sz w:val="18"/>
              </w:rPr>
              <w:t> </w:t>
            </w:r>
            <w:r>
              <w:rPr>
                <w:color w:val="414142"/>
                <w:w w:val="125"/>
                <w:sz w:val="18"/>
              </w:rPr>
              <w:t>hydrochloride</w:t>
            </w:r>
          </w:p>
        </w:tc>
        <w:tc>
          <w:tcPr>
            <w:tcW w:w="2016"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before="90"/>
              <w:ind w:left="96"/>
              <w:rPr>
                <w:sz w:val="18"/>
              </w:rPr>
            </w:pPr>
            <w:r>
              <w:rPr>
                <w:color w:val="414142"/>
                <w:w w:val="125"/>
                <w:sz w:val="18"/>
              </w:rPr>
              <w:t>Sublingual tablet</w:t>
            </w:r>
          </w:p>
        </w:tc>
        <w:tc>
          <w:tcPr>
            <w:tcW w:w="1973"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line="218" w:lineRule="exact" w:before="90"/>
              <w:ind w:left="97"/>
              <w:rPr>
                <w:sz w:val="18"/>
              </w:rPr>
            </w:pPr>
            <w:r>
              <w:rPr>
                <w:color w:val="414142"/>
                <w:w w:val="120"/>
                <w:sz w:val="18"/>
              </w:rPr>
              <w:t>0.7 mg/0.18</w:t>
            </w:r>
            <w:r>
              <w:rPr>
                <w:color w:val="414142"/>
                <w:spacing w:val="-17"/>
                <w:w w:val="120"/>
                <w:sz w:val="18"/>
              </w:rPr>
              <w:t> </w:t>
            </w:r>
            <w:r>
              <w:rPr>
                <w:color w:val="414142"/>
                <w:w w:val="120"/>
                <w:sz w:val="18"/>
              </w:rPr>
              <w:t>mg</w:t>
            </w:r>
          </w:p>
          <w:p>
            <w:pPr>
              <w:pStyle w:val="TableParagraph"/>
              <w:spacing w:line="216" w:lineRule="exact"/>
              <w:ind w:left="96"/>
              <w:rPr>
                <w:sz w:val="18"/>
              </w:rPr>
            </w:pPr>
            <w:r>
              <w:rPr>
                <w:color w:val="414142"/>
                <w:w w:val="115"/>
                <w:sz w:val="18"/>
              </w:rPr>
              <w:t>1.4  mg/0.36</w:t>
            </w:r>
            <w:r>
              <w:rPr>
                <w:color w:val="414142"/>
                <w:spacing w:val="-10"/>
                <w:w w:val="115"/>
                <w:sz w:val="18"/>
              </w:rPr>
              <w:t> </w:t>
            </w:r>
            <w:r>
              <w:rPr>
                <w:color w:val="414142"/>
                <w:w w:val="115"/>
                <w:sz w:val="18"/>
              </w:rPr>
              <w:t>mg</w:t>
            </w:r>
          </w:p>
          <w:p>
            <w:pPr>
              <w:pStyle w:val="TableParagraph"/>
              <w:spacing w:line="216" w:lineRule="exact"/>
              <w:ind w:left="96"/>
              <w:rPr>
                <w:sz w:val="18"/>
              </w:rPr>
            </w:pPr>
            <w:r>
              <w:rPr>
                <w:color w:val="414142"/>
                <w:w w:val="120"/>
                <w:sz w:val="18"/>
              </w:rPr>
              <w:t>2.9 mg/0.71</w:t>
            </w:r>
            <w:r>
              <w:rPr>
                <w:color w:val="414142"/>
                <w:spacing w:val="-33"/>
                <w:w w:val="120"/>
                <w:sz w:val="18"/>
              </w:rPr>
              <w:t> </w:t>
            </w:r>
            <w:r>
              <w:rPr>
                <w:color w:val="414142"/>
                <w:w w:val="120"/>
                <w:sz w:val="18"/>
              </w:rPr>
              <w:t>mg</w:t>
            </w:r>
          </w:p>
          <w:p>
            <w:pPr>
              <w:pStyle w:val="TableParagraph"/>
              <w:spacing w:line="216" w:lineRule="exact"/>
              <w:ind w:left="96"/>
              <w:rPr>
                <w:sz w:val="18"/>
              </w:rPr>
            </w:pPr>
            <w:r>
              <w:rPr>
                <w:color w:val="414142"/>
                <w:w w:val="115"/>
                <w:sz w:val="18"/>
              </w:rPr>
              <w:t>5.7 mg/1.4</w:t>
            </w:r>
            <w:r>
              <w:rPr>
                <w:color w:val="414142"/>
                <w:spacing w:val="26"/>
                <w:w w:val="115"/>
                <w:sz w:val="18"/>
              </w:rPr>
              <w:t> </w:t>
            </w:r>
            <w:r>
              <w:rPr>
                <w:color w:val="414142"/>
                <w:w w:val="115"/>
                <w:sz w:val="18"/>
              </w:rPr>
              <w:t>mg</w:t>
            </w:r>
          </w:p>
          <w:p>
            <w:pPr>
              <w:pStyle w:val="TableParagraph"/>
              <w:spacing w:line="216" w:lineRule="exact"/>
              <w:ind w:left="96"/>
              <w:rPr>
                <w:sz w:val="18"/>
              </w:rPr>
            </w:pPr>
            <w:r>
              <w:rPr>
                <w:color w:val="414142"/>
                <w:w w:val="115"/>
                <w:sz w:val="18"/>
              </w:rPr>
              <w:t>8.6 mg/2.1</w:t>
            </w:r>
            <w:r>
              <w:rPr>
                <w:color w:val="414142"/>
                <w:spacing w:val="24"/>
                <w:w w:val="115"/>
                <w:sz w:val="18"/>
              </w:rPr>
              <w:t> </w:t>
            </w:r>
            <w:r>
              <w:rPr>
                <w:color w:val="414142"/>
                <w:w w:val="115"/>
                <w:sz w:val="18"/>
              </w:rPr>
              <w:t>mg</w:t>
            </w:r>
          </w:p>
          <w:p>
            <w:pPr>
              <w:pStyle w:val="TableParagraph"/>
              <w:spacing w:line="218" w:lineRule="exact"/>
              <w:ind w:left="96"/>
              <w:rPr>
                <w:sz w:val="18"/>
              </w:rPr>
            </w:pPr>
            <w:r>
              <w:rPr>
                <w:color w:val="414142"/>
                <w:w w:val="110"/>
                <w:sz w:val="18"/>
              </w:rPr>
              <w:t>11.4 mg/2.9 </w:t>
            </w:r>
            <w:r>
              <w:rPr>
                <w:color w:val="414142"/>
                <w:w w:val="115"/>
                <w:sz w:val="18"/>
              </w:rPr>
              <w:t>mg</w:t>
            </w:r>
          </w:p>
        </w:tc>
        <w:tc>
          <w:tcPr>
            <w:tcW w:w="2363" w:type="dxa"/>
            <w:tcBorders>
              <w:top w:val="single" w:sz="2" w:space="0" w:color="759EB4"/>
              <w:left w:val="single" w:sz="2" w:space="0" w:color="759EB4"/>
              <w:bottom w:val="single" w:sz="18" w:space="0" w:color="377F9A"/>
              <w:right w:val="nil"/>
            </w:tcBorders>
            <w:shd w:val="clear" w:color="auto" w:fill="FFF7F2"/>
          </w:tcPr>
          <w:p>
            <w:pPr>
              <w:pStyle w:val="TableParagraph"/>
              <w:spacing w:before="90"/>
              <w:ind w:left="96"/>
              <w:rPr>
                <w:sz w:val="18"/>
              </w:rPr>
            </w:pPr>
            <w:r>
              <w:rPr>
                <w:rFonts w:ascii="Arial"/>
                <w:b/>
                <w:color w:val="414142"/>
                <w:w w:val="110"/>
                <w:sz w:val="18"/>
              </w:rPr>
              <w:t>Target: </w:t>
            </w:r>
            <w:r>
              <w:rPr>
                <w:color w:val="414142"/>
                <w:w w:val="110"/>
                <w:sz w:val="18"/>
              </w:rPr>
              <w:t>11.4 mg/2.9</w:t>
            </w:r>
            <w:r>
              <w:rPr>
                <w:color w:val="414142"/>
                <w:spacing w:val="-1"/>
                <w:w w:val="110"/>
                <w:sz w:val="18"/>
              </w:rPr>
              <w:t> </w:t>
            </w:r>
            <w:r>
              <w:rPr>
                <w:color w:val="414142"/>
                <w:w w:val="115"/>
                <w:sz w:val="18"/>
              </w:rPr>
              <w:t>mg</w:t>
            </w:r>
          </w:p>
          <w:p>
            <w:pPr>
              <w:pStyle w:val="TableParagraph"/>
              <w:spacing w:line="218" w:lineRule="exact" w:before="86"/>
              <w:ind w:left="96"/>
              <w:rPr>
                <w:sz w:val="18"/>
              </w:rPr>
            </w:pPr>
            <w:r>
              <w:rPr>
                <w:rFonts w:ascii="Arial"/>
                <w:b/>
                <w:color w:val="4D4D4F"/>
                <w:w w:val="115"/>
                <w:sz w:val="18"/>
              </w:rPr>
              <w:t>Range:</w:t>
            </w:r>
            <w:r>
              <w:rPr>
                <w:rFonts w:ascii="Arial"/>
                <w:b/>
                <w:color w:val="4D4D4F"/>
                <w:spacing w:val="-42"/>
                <w:w w:val="115"/>
                <w:sz w:val="18"/>
              </w:rPr>
              <w:t> </w:t>
            </w:r>
            <w:r>
              <w:rPr>
                <w:color w:val="4D4D4F"/>
                <w:w w:val="115"/>
                <w:sz w:val="18"/>
              </w:rPr>
              <w:t>2.9 mg/0.71 mg</w:t>
            </w:r>
          </w:p>
          <w:p>
            <w:pPr>
              <w:pStyle w:val="TableParagraph"/>
              <w:spacing w:line="218" w:lineRule="exact"/>
              <w:ind w:left="788"/>
              <w:rPr>
                <w:sz w:val="18"/>
              </w:rPr>
            </w:pPr>
            <w:r>
              <w:rPr>
                <w:color w:val="4D4D4F"/>
                <w:w w:val="115"/>
                <w:sz w:val="18"/>
              </w:rPr>
              <w:t>to 17.2 mg/4.2 mg</w:t>
            </w:r>
          </w:p>
        </w:tc>
      </w:tr>
    </w:tbl>
    <w:p>
      <w:pPr>
        <w:spacing w:after="0" w:line="218" w:lineRule="exact"/>
        <w:rPr>
          <w:sz w:val="18"/>
        </w:rPr>
        <w:sectPr>
          <w:type w:val="continuous"/>
          <w:pgSz w:w="12240" w:h="15840"/>
          <w:pgMar w:top="540" w:bottom="280" w:left="940" w:right="920"/>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140" w:right="236"/>
      </w:pPr>
      <w:r>
        <w:rPr>
          <w:color w:val="4D4D4F"/>
          <w:w w:val="110"/>
        </w:rPr>
        <w:t>subdermal insertion on the inside of the upper arm and provide 6 months of buprenorphine. The implants must be removed after 6 months.</w:t>
      </w:r>
    </w:p>
    <w:p>
      <w:pPr>
        <w:pStyle w:val="BodyText"/>
        <w:spacing w:line="247" w:lineRule="auto" w:before="183"/>
        <w:ind w:left="140" w:right="78"/>
      </w:pPr>
      <w:r>
        <w:rPr>
          <w:color w:val="4D4D4F"/>
          <w:w w:val="110"/>
        </w:rPr>
        <w:t>Peak buprenorphine plasma concentrations occur 12 hours after implant insertion, slowly decrease, and reach steady-state concentrations in about 4 weeks. Steady-state concentrations are comparable to trough buprenorphine </w:t>
      </w:r>
      <w:r>
        <w:rPr>
          <w:color w:val="4D4D4F"/>
          <w:spacing w:val="-3"/>
          <w:w w:val="110"/>
        </w:rPr>
        <w:t>plasma </w:t>
      </w:r>
      <w:r>
        <w:rPr>
          <w:color w:val="4D4D4F"/>
          <w:w w:val="110"/>
        </w:rPr>
        <w:t>levels produced by daily sublingual buprenor- phine doses of 8 mg or less. Implant effective- ness lasts up to 6</w:t>
      </w:r>
      <w:r>
        <w:rPr>
          <w:color w:val="4D4D4F"/>
          <w:spacing w:val="-27"/>
          <w:w w:val="110"/>
        </w:rPr>
        <w:t> </w:t>
      </w:r>
      <w:r>
        <w:rPr>
          <w:color w:val="4D4D4F"/>
          <w:w w:val="110"/>
        </w:rPr>
        <w:t>months.</w:t>
      </w:r>
    </w:p>
    <w:p>
      <w:pPr>
        <w:pStyle w:val="BodyText"/>
        <w:spacing w:before="6"/>
        <w:rPr>
          <w:sz w:val="23"/>
        </w:rPr>
      </w:pPr>
    </w:p>
    <w:p>
      <w:pPr>
        <w:pStyle w:val="Heading3"/>
        <w:spacing w:before="1"/>
      </w:pPr>
      <w:bookmarkStart w:name="_TOC_250058" w:id="57"/>
      <w:bookmarkEnd w:id="57"/>
      <w:r>
        <w:rPr>
          <w:color w:val="137692"/>
          <w:w w:val="105"/>
        </w:rPr>
        <w:t>Injectables</w:t>
      </w:r>
    </w:p>
    <w:p>
      <w:pPr>
        <w:pStyle w:val="Heading7"/>
        <w:spacing w:line="235" w:lineRule="auto" w:before="46"/>
        <w:ind w:right="78"/>
      </w:pPr>
      <w:r>
        <w:rPr>
          <w:color w:val="4D4D4F"/>
          <w:w w:val="115"/>
        </w:rPr>
        <w:t>In November 2017, FDA approved extended- release (monthly) subcutaneous injectable buprenorphine for moderate-to-severe</w:t>
      </w:r>
    </w:p>
    <w:p>
      <w:pPr>
        <w:pStyle w:val="BodyText"/>
        <w:spacing w:line="247" w:lineRule="auto"/>
        <w:ind w:left="140" w:right="236"/>
      </w:pPr>
      <w:r>
        <w:rPr>
          <w:rFonts w:ascii="Calibri"/>
          <w:b/>
          <w:color w:val="4D4D4F"/>
          <w:w w:val="110"/>
        </w:rPr>
        <w:t>OUD treatment </w:t>
      </w:r>
      <w:r>
        <w:rPr>
          <w:color w:val="4D4D4F"/>
          <w:w w:val="110"/>
        </w:rPr>
        <w:t>among patients who initiated treatment with transmucosal buprenorphine, followed by at least 7 days of dose adjustment. It is available in two doses, 300 mg/1.5 mL and 100 mg/0.5 mL. Both are stored refrigerated</w:t>
      </w:r>
    </w:p>
    <w:p>
      <w:pPr>
        <w:pStyle w:val="BodyText"/>
        <w:spacing w:line="247" w:lineRule="auto"/>
        <w:ind w:left="140" w:right="82"/>
        <w:rPr>
          <w:sz w:val="13"/>
        </w:rPr>
      </w:pPr>
      <w:r>
        <w:rPr>
          <w:color w:val="4D4D4F"/>
          <w:w w:val="110"/>
        </w:rPr>
        <w:t>in preﬁlled syringes with safety needles and administered by subcutaneous injection in the abdomen. The ﬁrst two monthly doses recom- mended are 300 mg each followed by a 100 mg monthly maintenance dose. Peak buprenorphine concentrations occur about 24 hours after the injection. Steady state is achieved after 4 to 6 months. After discontinuation, patients may </w:t>
      </w:r>
      <w:r>
        <w:rPr>
          <w:color w:val="4D4D4F"/>
          <w:spacing w:val="-5"/>
          <w:w w:val="110"/>
        </w:rPr>
        <w:t>have </w:t>
      </w:r>
      <w:r>
        <w:rPr>
          <w:color w:val="4D4D4F"/>
          <w:w w:val="110"/>
        </w:rPr>
        <w:t>detectable plasma levels of buprenorphine for  12 months or </w:t>
      </w:r>
      <w:r>
        <w:rPr>
          <w:color w:val="4D4D4F"/>
          <w:spacing w:val="-3"/>
          <w:w w:val="110"/>
        </w:rPr>
        <w:t>longer. </w:t>
      </w:r>
      <w:r>
        <w:rPr>
          <w:color w:val="4D4D4F"/>
          <w:w w:val="110"/>
        </w:rPr>
        <w:t>Duration of detection in urine is not</w:t>
      </w:r>
      <w:r>
        <w:rPr>
          <w:color w:val="4D4D4F"/>
          <w:spacing w:val="-20"/>
          <w:w w:val="110"/>
        </w:rPr>
        <w:t> </w:t>
      </w:r>
      <w:r>
        <w:rPr>
          <w:color w:val="4D4D4F"/>
          <w:w w:val="110"/>
        </w:rPr>
        <w:t>known.</w:t>
      </w:r>
      <w:r>
        <w:rPr>
          <w:color w:val="4D4D4F"/>
          <w:w w:val="110"/>
          <w:position w:val="7"/>
          <w:sz w:val="13"/>
        </w:rPr>
        <w:t>240</w:t>
      </w:r>
    </w:p>
    <w:p>
      <w:pPr>
        <w:pStyle w:val="Heading2"/>
        <w:spacing w:before="222"/>
      </w:pPr>
      <w:bookmarkStart w:name="_TOC_250057" w:id="58"/>
      <w:bookmarkEnd w:id="58"/>
      <w:r>
        <w:rPr>
          <w:color w:val="137692"/>
          <w:spacing w:val="-2"/>
          <w:w w:val="110"/>
        </w:rPr>
        <w:t>Pharmacology</w:t>
      </w:r>
    </w:p>
    <w:p>
      <w:pPr>
        <w:pStyle w:val="BodyText"/>
        <w:spacing w:line="247" w:lineRule="auto" w:before="32"/>
        <w:ind w:left="140" w:right="236"/>
      </w:pPr>
      <w:r>
        <w:rPr>
          <w:color w:val="4D4D4F"/>
          <w:w w:val="110"/>
        </w:rPr>
        <w:t>Buprenorphine, an opioid receptor partial agonist, is a schedule III controlled medication derived from the opium alkaloid thebaine.</w:t>
      </w:r>
    </w:p>
    <w:p>
      <w:pPr>
        <w:spacing w:line="237" w:lineRule="auto" w:before="5"/>
        <w:ind w:left="140" w:right="11" w:firstLine="0"/>
        <w:jc w:val="left"/>
        <w:rPr>
          <w:rFonts w:ascii="Calibri"/>
          <w:b/>
          <w:sz w:val="22"/>
        </w:rPr>
      </w:pPr>
      <w:r>
        <w:rPr>
          <w:color w:val="4D4D4F"/>
          <w:w w:val="110"/>
          <w:sz w:val="22"/>
        </w:rPr>
        <w:t>Through cross-tolerance and mu-opioid receptor occupancy, </w:t>
      </w:r>
      <w:r>
        <w:rPr>
          <w:rFonts w:ascii="Calibri"/>
          <w:b/>
          <w:color w:val="4D4D4F"/>
          <w:w w:val="110"/>
          <w:sz w:val="22"/>
        </w:rPr>
        <w:t>at adequate doses, buprenorphine reduces opioid withdrawal and craving and blunts the effects of illicit opioids.</w:t>
      </w:r>
    </w:p>
    <w:p>
      <w:pPr>
        <w:pStyle w:val="Heading7"/>
        <w:spacing w:line="235" w:lineRule="auto" w:before="183"/>
        <w:ind w:right="32"/>
      </w:pPr>
      <w:r>
        <w:rPr>
          <w:color w:val="4D4D4F"/>
          <w:w w:val="115"/>
        </w:rPr>
        <w:t>Buprenorphine binds tightly to the mu-opioid receptor because of its particularly high receptor afﬁnity. This prevents other opioids with lower afﬁnity (e.g., heroin) from binding.</w:t>
      </w:r>
    </w:p>
    <w:p>
      <w:pPr>
        <w:pStyle w:val="BodyText"/>
        <w:spacing w:line="247" w:lineRule="auto" w:before="100"/>
        <w:ind w:left="140" w:right="563"/>
      </w:pPr>
      <w:r>
        <w:rPr/>
        <w:br w:type="column"/>
      </w:r>
      <w:r>
        <w:rPr>
          <w:color w:val="4D4D4F"/>
          <w:w w:val="110"/>
        </w:rPr>
        <w:t>The net result is a blunting or blocking of the euphoria, respiratory depression, and other effects of these opioids.</w:t>
      </w:r>
    </w:p>
    <w:p>
      <w:pPr>
        <w:spacing w:line="244" w:lineRule="auto" w:before="179"/>
        <w:ind w:left="140" w:right="253" w:firstLine="0"/>
        <w:jc w:val="left"/>
        <w:rPr>
          <w:sz w:val="13"/>
        </w:rPr>
      </w:pPr>
      <w:r>
        <w:rPr>
          <w:rFonts w:ascii="Calibri" w:hAnsi="Calibri"/>
          <w:b/>
          <w:color w:val="4D4D4F"/>
          <w:w w:val="110"/>
          <w:sz w:val="22"/>
        </w:rPr>
        <w:t>Buprenorphine has less potential to cause respiratory depression, given its ceiling effect. </w:t>
      </w:r>
      <w:r>
        <w:rPr>
          <w:color w:val="4D4D4F"/>
          <w:w w:val="110"/>
          <w:sz w:val="22"/>
        </w:rPr>
        <w:t>As a partial agonist, buprenorphine’s maximum effect on respiratory depression is more limited than full agonists. Once reaching a moderate dose, its effects no longer increase if the dose is </w:t>
      </w:r>
      <w:r>
        <w:rPr>
          <w:color w:val="4D4D4F"/>
          <w:w w:val="110"/>
          <w:position w:val="-6"/>
          <w:sz w:val="22"/>
        </w:rPr>
        <w:t>increased.</w:t>
      </w:r>
      <w:r>
        <w:rPr>
          <w:color w:val="4D4D4F"/>
          <w:w w:val="110"/>
          <w:sz w:val="13"/>
        </w:rPr>
        <w:t>241,242,243</w:t>
      </w:r>
    </w:p>
    <w:p>
      <w:pPr>
        <w:spacing w:line="244" w:lineRule="auto" w:before="179"/>
        <w:ind w:left="140" w:right="273" w:firstLine="0"/>
        <w:jc w:val="left"/>
        <w:rPr>
          <w:sz w:val="22"/>
        </w:rPr>
      </w:pPr>
      <w:r>
        <w:rPr>
          <w:rFonts w:ascii="Calibri" w:hAnsi="Calibri"/>
          <w:b/>
          <w:color w:val="4D4D4F"/>
          <w:w w:val="110"/>
          <w:sz w:val="22"/>
        </w:rPr>
        <w:t>There is wide individual variability in bu- prenorphine pharmacokinetics. </w:t>
      </w:r>
      <w:r>
        <w:rPr>
          <w:color w:val="4D4D4F"/>
          <w:w w:val="110"/>
          <w:sz w:val="22"/>
        </w:rPr>
        <w:t>For example, the mean time to maximum plasma buprenor- phine concentration after a single sublingual dose ranges from 40 minutes to 3.5 hours.</w:t>
      </w:r>
      <w:r>
        <w:rPr>
          <w:color w:val="4D4D4F"/>
          <w:w w:val="110"/>
          <w:position w:val="7"/>
          <w:sz w:val="13"/>
        </w:rPr>
        <w:t>244 </w:t>
      </w:r>
      <w:r>
        <w:rPr>
          <w:color w:val="4D4D4F"/>
          <w:w w:val="110"/>
          <w:sz w:val="22"/>
        </w:rPr>
        <w:t>Thus, after providing the ﬁrst dose of buprenor- phine, wait at least 2 hours to decide whether a second dose is necessary.</w:t>
      </w:r>
    </w:p>
    <w:p>
      <w:pPr>
        <w:spacing w:line="244" w:lineRule="auto" w:before="182"/>
        <w:ind w:left="140" w:right="251" w:firstLine="0"/>
        <w:jc w:val="left"/>
        <w:rPr>
          <w:sz w:val="22"/>
        </w:rPr>
      </w:pPr>
      <w:r>
        <w:rPr>
          <w:rFonts w:ascii="Calibri"/>
          <w:b/>
          <w:color w:val="4D4D4F"/>
          <w:w w:val="110"/>
          <w:sz w:val="22"/>
        </w:rPr>
        <w:t>Buprenorphine has a long elimination half-life, </w:t>
      </w:r>
      <w:r>
        <w:rPr>
          <w:color w:val="4D4D4F"/>
          <w:w w:val="110"/>
          <w:sz w:val="22"/>
        </w:rPr>
        <w:t>which varies from 24 to 69 hours</w:t>
      </w:r>
      <w:r>
        <w:rPr>
          <w:color w:val="4D4D4F"/>
          <w:w w:val="110"/>
          <w:position w:val="7"/>
          <w:sz w:val="13"/>
        </w:rPr>
        <w:t>245 </w:t>
      </w:r>
      <w:r>
        <w:rPr>
          <w:color w:val="4D4D4F"/>
          <w:w w:val="110"/>
          <w:sz w:val="22"/>
        </w:rPr>
        <w:t>with a mean half-life of 24 to 42 hours.</w:t>
      </w:r>
      <w:r>
        <w:rPr>
          <w:color w:val="4D4D4F"/>
          <w:w w:val="110"/>
          <w:position w:val="7"/>
          <w:sz w:val="13"/>
        </w:rPr>
        <w:t>246 </w:t>
      </w:r>
      <w:r>
        <w:rPr>
          <w:color w:val="4D4D4F"/>
          <w:w w:val="110"/>
          <w:sz w:val="22"/>
        </w:rPr>
        <w:t>It dissociates slowly from the receptor.</w:t>
      </w:r>
    </w:p>
    <w:p>
      <w:pPr>
        <w:spacing w:line="244" w:lineRule="auto" w:before="182"/>
        <w:ind w:left="140" w:right="236" w:firstLine="0"/>
        <w:jc w:val="left"/>
        <w:rPr>
          <w:sz w:val="22"/>
        </w:rPr>
      </w:pPr>
      <w:r>
        <w:rPr>
          <w:rFonts w:ascii="Calibri"/>
          <w:b/>
          <w:color w:val="4D4D4F"/>
          <w:w w:val="110"/>
          <w:sz w:val="22"/>
        </w:rPr>
        <w:t>Buprenorphine can be safely dosed (even at double the </w:t>
      </w:r>
      <w:r>
        <w:rPr>
          <w:rFonts w:ascii="Calibri"/>
          <w:b/>
          <w:i/>
          <w:color w:val="4D4D4F"/>
          <w:w w:val="110"/>
          <w:sz w:val="22"/>
        </w:rPr>
        <w:t>stabilized </w:t>
      </w:r>
      <w:r>
        <w:rPr>
          <w:rFonts w:ascii="Calibri"/>
          <w:b/>
          <w:color w:val="4D4D4F"/>
          <w:w w:val="110"/>
          <w:sz w:val="22"/>
        </w:rPr>
        <w:t>dose) less than daily.</w:t>
      </w:r>
      <w:r>
        <w:rPr>
          <w:rFonts w:ascii="Calibri"/>
          <w:b/>
          <w:color w:val="4D4D4F"/>
          <w:w w:val="110"/>
          <w:position w:val="7"/>
          <w:sz w:val="13"/>
        </w:rPr>
        <w:t>247 </w:t>
      </w:r>
      <w:r>
        <w:rPr>
          <w:color w:val="4D4D4F"/>
          <w:w w:val="110"/>
          <w:sz w:val="22"/>
        </w:rPr>
        <w:t>For example, a patient </w:t>
      </w:r>
      <w:r>
        <w:rPr>
          <w:rFonts w:ascii="Arial"/>
          <w:i/>
          <w:color w:val="4D4D4F"/>
          <w:w w:val="110"/>
          <w:sz w:val="22"/>
        </w:rPr>
        <w:t>stabilized </w:t>
      </w:r>
      <w:r>
        <w:rPr>
          <w:color w:val="4D4D4F"/>
          <w:w w:val="110"/>
          <w:sz w:val="22"/>
        </w:rPr>
        <w:t>on 12 mg of buprenorphine/naloxone daily can be treated with 24 mg every other day or 24 mg on Monday/Wednesday and 36 mg on Friday. Such schedules reduce travel burden for patients who need or want supervised dosing at an OTP or</w:t>
      </w:r>
    </w:p>
    <w:p>
      <w:pPr>
        <w:pStyle w:val="BodyText"/>
        <w:spacing w:line="247" w:lineRule="auto" w:before="6"/>
        <w:ind w:left="140"/>
      </w:pPr>
      <w:r>
        <w:rPr>
          <w:color w:val="4D4D4F"/>
          <w:w w:val="110"/>
        </w:rPr>
        <w:t>a clinic. Such schedules may also be useful for patients who must spend weekends in jails that disallow buprenorphine dosing.</w:t>
      </w:r>
    </w:p>
    <w:p>
      <w:pPr>
        <w:pStyle w:val="Heading2"/>
        <w:spacing w:before="217"/>
      </w:pPr>
      <w:bookmarkStart w:name="_TOC_250056" w:id="59"/>
      <w:bookmarkEnd w:id="59"/>
      <w:r>
        <w:rPr>
          <w:color w:val="137692"/>
          <w:w w:val="110"/>
        </w:rPr>
        <w:t>Bioavailability</w:t>
      </w:r>
    </w:p>
    <w:p>
      <w:pPr>
        <w:pStyle w:val="Heading7"/>
        <w:spacing w:line="235" w:lineRule="auto" w:before="30"/>
        <w:ind w:right="594"/>
        <w:rPr>
          <w:rFonts w:ascii="Gill Sans MT"/>
          <w:b w:val="0"/>
        </w:rPr>
      </w:pPr>
      <w:r>
        <w:rPr>
          <w:color w:val="4D4D4F"/>
          <w:w w:val="110"/>
        </w:rPr>
        <w:t>Buprenorphine has poor oral bioavailabil- ity compared with sublingual and buccal bioavailability. </w:t>
      </w:r>
      <w:r>
        <w:rPr>
          <w:rFonts w:ascii="Gill Sans MT"/>
          <w:b w:val="0"/>
          <w:color w:val="4D4D4F"/>
          <w:w w:val="110"/>
        </w:rPr>
        <w:t>Naloxone, a short-acting</w:t>
      </w:r>
    </w:p>
    <w:p>
      <w:pPr>
        <w:pStyle w:val="BodyText"/>
        <w:spacing w:line="247" w:lineRule="auto" w:before="3"/>
        <w:ind w:left="140" w:right="523"/>
        <w:jc w:val="both"/>
      </w:pPr>
      <w:r>
        <w:rPr>
          <w:color w:val="4D4D4F"/>
          <w:w w:val="115"/>
        </w:rPr>
        <w:t>mu-opioid</w:t>
      </w:r>
      <w:r>
        <w:rPr>
          <w:color w:val="4D4D4F"/>
          <w:spacing w:val="-38"/>
          <w:w w:val="115"/>
        </w:rPr>
        <w:t> </w:t>
      </w:r>
      <w:r>
        <w:rPr>
          <w:color w:val="4D4D4F"/>
          <w:w w:val="115"/>
        </w:rPr>
        <w:t>receptor</w:t>
      </w:r>
      <w:r>
        <w:rPr>
          <w:color w:val="4D4D4F"/>
          <w:spacing w:val="-38"/>
          <w:w w:val="115"/>
        </w:rPr>
        <w:t> </w:t>
      </w:r>
      <w:r>
        <w:rPr>
          <w:color w:val="4D4D4F"/>
          <w:w w:val="115"/>
        </w:rPr>
        <w:t>antagonist,</w:t>
      </w:r>
      <w:r>
        <w:rPr>
          <w:color w:val="4D4D4F"/>
          <w:spacing w:val="-37"/>
          <w:w w:val="115"/>
        </w:rPr>
        <w:t> </w:t>
      </w:r>
      <w:r>
        <w:rPr>
          <w:color w:val="4D4D4F"/>
          <w:w w:val="115"/>
        </w:rPr>
        <w:t>has</w:t>
      </w:r>
      <w:r>
        <w:rPr>
          <w:color w:val="4D4D4F"/>
          <w:spacing w:val="-38"/>
          <w:w w:val="115"/>
        </w:rPr>
        <w:t> </w:t>
      </w:r>
      <w:r>
        <w:rPr>
          <w:color w:val="4D4D4F"/>
          <w:w w:val="115"/>
        </w:rPr>
        <w:t>very</w:t>
      </w:r>
      <w:r>
        <w:rPr>
          <w:color w:val="4D4D4F"/>
          <w:spacing w:val="-37"/>
          <w:w w:val="115"/>
        </w:rPr>
        <w:t> </w:t>
      </w:r>
      <w:r>
        <w:rPr>
          <w:color w:val="4D4D4F"/>
          <w:w w:val="115"/>
        </w:rPr>
        <w:t>poor oral, sublingual, and buccal bioavailability</w:t>
      </w:r>
      <w:r>
        <w:rPr>
          <w:color w:val="4D4D4F"/>
          <w:spacing w:val="-50"/>
          <w:w w:val="115"/>
        </w:rPr>
        <w:t> </w:t>
      </w:r>
      <w:r>
        <w:rPr>
          <w:color w:val="4D4D4F"/>
          <w:spacing w:val="-6"/>
          <w:w w:val="115"/>
        </w:rPr>
        <w:t>but </w:t>
      </w:r>
      <w:r>
        <w:rPr>
          <w:color w:val="4D4D4F"/>
          <w:w w:val="115"/>
        </w:rPr>
        <w:t>is</w:t>
      </w:r>
      <w:r>
        <w:rPr>
          <w:color w:val="4D4D4F"/>
          <w:spacing w:val="-23"/>
          <w:w w:val="115"/>
        </w:rPr>
        <w:t> </w:t>
      </w:r>
      <w:r>
        <w:rPr>
          <w:color w:val="4D4D4F"/>
          <w:w w:val="115"/>
        </w:rPr>
        <w:t>absorbed</w:t>
      </w:r>
      <w:r>
        <w:rPr>
          <w:color w:val="4D4D4F"/>
          <w:spacing w:val="-22"/>
          <w:w w:val="115"/>
        </w:rPr>
        <w:t> </w:t>
      </w:r>
      <w:r>
        <w:rPr>
          <w:color w:val="4D4D4F"/>
          <w:w w:val="115"/>
        </w:rPr>
        <w:t>when</w:t>
      </w:r>
      <w:r>
        <w:rPr>
          <w:color w:val="4D4D4F"/>
          <w:spacing w:val="-22"/>
          <w:w w:val="115"/>
        </w:rPr>
        <w:t> </w:t>
      </w:r>
      <w:r>
        <w:rPr>
          <w:color w:val="4D4D4F"/>
          <w:w w:val="115"/>
        </w:rPr>
        <w:t>injected</w:t>
      </w:r>
      <w:r>
        <w:rPr>
          <w:color w:val="4D4D4F"/>
          <w:spacing w:val="-23"/>
          <w:w w:val="115"/>
        </w:rPr>
        <w:t> </w:t>
      </w:r>
      <w:r>
        <w:rPr>
          <w:color w:val="4D4D4F"/>
          <w:w w:val="115"/>
        </w:rPr>
        <w:t>or</w:t>
      </w:r>
      <w:r>
        <w:rPr>
          <w:color w:val="4D4D4F"/>
          <w:spacing w:val="-22"/>
          <w:w w:val="115"/>
        </w:rPr>
        <w:t> </w:t>
      </w:r>
      <w:r>
        <w:rPr>
          <w:color w:val="4D4D4F"/>
          <w:w w:val="115"/>
        </w:rPr>
        <w:t>snorted.</w:t>
      </w:r>
      <w:r>
        <w:rPr>
          <w:color w:val="4D4D4F"/>
          <w:spacing w:val="-22"/>
          <w:w w:val="115"/>
        </w:rPr>
        <w:t> </w:t>
      </w:r>
      <w:r>
        <w:rPr>
          <w:color w:val="4D4D4F"/>
          <w:w w:val="115"/>
        </w:rPr>
        <w:t>The</w:t>
      </w:r>
    </w:p>
    <w:p>
      <w:pPr>
        <w:pStyle w:val="BodyText"/>
        <w:spacing w:line="247" w:lineRule="auto" w:before="4"/>
        <w:ind w:left="140" w:right="253"/>
      </w:pPr>
      <w:r>
        <w:rPr>
          <w:color w:val="4D4D4F"/>
          <w:w w:val="110"/>
        </w:rPr>
        <w:t>addition of naloxone decreases buprenorphine’s potential for misuse. In the Suboxone formu- lation of buprenorphine/naloxone, the ratio of</w:t>
      </w:r>
    </w:p>
    <w:p>
      <w:pPr>
        <w:spacing w:after="0" w:line="247" w:lineRule="auto"/>
        <w:sectPr>
          <w:type w:val="continuous"/>
          <w:pgSz w:w="12240" w:h="15840"/>
          <w:pgMar w:top="540" w:bottom="280" w:left="940" w:right="920"/>
          <w:cols w:num="2" w:equalWidth="0">
            <w:col w:w="5023" w:space="197"/>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pStyle w:val="BodyText"/>
        <w:spacing w:line="247" w:lineRule="auto" w:before="106"/>
        <w:ind w:left="140" w:right="503"/>
      </w:pPr>
      <w:r>
        <w:rPr>
          <w:color w:val="4D4D4F"/>
          <w:w w:val="110"/>
        </w:rPr>
        <w:t>buprenorphine to naloxone is 4:1. The ratio of buprenorphine to naloxone varies across</w:t>
      </w:r>
    </w:p>
    <w:p>
      <w:pPr>
        <w:pStyle w:val="BodyText"/>
        <w:spacing w:line="247" w:lineRule="auto" w:before="2"/>
        <w:ind w:left="140" w:right="38"/>
      </w:pPr>
      <w:r>
        <w:rPr>
          <w:color w:val="4D4D4F"/>
          <w:w w:val="110"/>
        </w:rPr>
        <w:t>products, as the absorption of both active ingre- dients is different for buccal versus sublingual ﬁlms versus tablets.</w:t>
      </w:r>
    </w:p>
    <w:p>
      <w:pPr>
        <w:spacing w:line="242" w:lineRule="auto" w:before="179"/>
        <w:ind w:left="140" w:right="48" w:firstLine="0"/>
        <w:jc w:val="left"/>
        <w:rPr>
          <w:sz w:val="22"/>
        </w:rPr>
      </w:pPr>
      <w:r>
        <w:rPr>
          <w:rFonts w:ascii="Calibri"/>
          <w:b/>
          <w:color w:val="4D4D4F"/>
          <w:w w:val="110"/>
          <w:sz w:val="22"/>
        </w:rPr>
        <w:t>Buprenorphine/naloxone transmucosal products are abuse-deterrent formulations, although they can still be misused. </w:t>
      </w:r>
      <w:r>
        <w:rPr>
          <w:color w:val="4D4D4F"/>
          <w:w w:val="110"/>
          <w:sz w:val="22"/>
        </w:rPr>
        <w:t>When a patient takes these formulations as prescribed, he or she absorbs buprenorphine but only a biologically negligible amount of naloxone. But </w:t>
      </w:r>
      <w:r>
        <w:rPr>
          <w:color w:val="4D4D4F"/>
          <w:spacing w:val="-9"/>
          <w:w w:val="110"/>
          <w:sz w:val="22"/>
        </w:rPr>
        <w:t>if </w:t>
      </w:r>
      <w:r>
        <w:rPr>
          <w:color w:val="4D4D4F"/>
          <w:w w:val="110"/>
          <w:sz w:val="22"/>
        </w:rPr>
        <w:t>crushed</w:t>
      </w:r>
      <w:r>
        <w:rPr>
          <w:color w:val="4D4D4F"/>
          <w:spacing w:val="-11"/>
          <w:w w:val="110"/>
          <w:sz w:val="22"/>
        </w:rPr>
        <w:t> </w:t>
      </w:r>
      <w:r>
        <w:rPr>
          <w:color w:val="4D4D4F"/>
          <w:w w:val="110"/>
          <w:sz w:val="22"/>
        </w:rPr>
        <w:t>or</w:t>
      </w:r>
      <w:r>
        <w:rPr>
          <w:color w:val="4D4D4F"/>
          <w:spacing w:val="-10"/>
          <w:w w:val="110"/>
          <w:sz w:val="22"/>
        </w:rPr>
        <w:t> </w:t>
      </w:r>
      <w:r>
        <w:rPr>
          <w:color w:val="4D4D4F"/>
          <w:w w:val="110"/>
          <w:sz w:val="22"/>
        </w:rPr>
        <w:t>dissolved</w:t>
      </w:r>
      <w:r>
        <w:rPr>
          <w:color w:val="4D4D4F"/>
          <w:spacing w:val="-10"/>
          <w:w w:val="110"/>
          <w:sz w:val="22"/>
        </w:rPr>
        <w:t> </w:t>
      </w:r>
      <w:r>
        <w:rPr>
          <w:color w:val="4D4D4F"/>
          <w:w w:val="110"/>
          <w:sz w:val="22"/>
        </w:rPr>
        <w:t>for</w:t>
      </w:r>
      <w:r>
        <w:rPr>
          <w:color w:val="4D4D4F"/>
          <w:spacing w:val="-10"/>
          <w:w w:val="110"/>
          <w:sz w:val="22"/>
        </w:rPr>
        <w:t> </w:t>
      </w:r>
      <w:r>
        <w:rPr>
          <w:color w:val="4D4D4F"/>
          <w:w w:val="110"/>
          <w:sz w:val="22"/>
        </w:rPr>
        <w:t>intranasal</w:t>
      </w:r>
      <w:r>
        <w:rPr>
          <w:color w:val="4D4D4F"/>
          <w:spacing w:val="-10"/>
          <w:w w:val="110"/>
          <w:sz w:val="22"/>
        </w:rPr>
        <w:t> </w:t>
      </w:r>
      <w:r>
        <w:rPr>
          <w:color w:val="4D4D4F"/>
          <w:w w:val="110"/>
          <w:sz w:val="22"/>
        </w:rPr>
        <w:t>or</w:t>
      </w:r>
      <w:r>
        <w:rPr>
          <w:color w:val="4D4D4F"/>
          <w:spacing w:val="-10"/>
          <w:w w:val="110"/>
          <w:sz w:val="22"/>
        </w:rPr>
        <w:t> </w:t>
      </w:r>
      <w:r>
        <w:rPr>
          <w:color w:val="4D4D4F"/>
          <w:w w:val="110"/>
          <w:sz w:val="22"/>
        </w:rPr>
        <w:t>intravenous</w:t>
      </w:r>
    </w:p>
    <w:p>
      <w:pPr>
        <w:pStyle w:val="BodyText"/>
        <w:spacing w:line="247" w:lineRule="auto" w:before="8"/>
        <w:ind w:left="140" w:right="38"/>
        <w:rPr>
          <w:sz w:val="13"/>
        </w:rPr>
      </w:pPr>
      <w:r>
        <w:rPr>
          <w:color w:val="4D4D4F"/>
          <w:w w:val="110"/>
        </w:rPr>
        <w:t>(IV) misuse, both medications are bioavailable. Naloxone then blunts the immediate opioid agonist effects of buprenorphine. It also induces opioid withdrawal in people who are physically dependent on opioids. This reduces misuse </w:t>
      </w:r>
      <w:r>
        <w:rPr>
          <w:color w:val="4D4D4F"/>
          <w:spacing w:val="-3"/>
          <w:w w:val="110"/>
        </w:rPr>
        <w:t>liability </w:t>
      </w:r>
      <w:r>
        <w:rPr>
          <w:color w:val="4D4D4F"/>
          <w:spacing w:val="-4"/>
          <w:w w:val="110"/>
        </w:rPr>
        <w:t>compared </w:t>
      </w:r>
      <w:r>
        <w:rPr>
          <w:color w:val="4D4D4F"/>
          <w:spacing w:val="-3"/>
          <w:w w:val="110"/>
        </w:rPr>
        <w:t>with transmucosal formulations </w:t>
      </w:r>
      <w:r>
        <w:rPr>
          <w:color w:val="4D4D4F"/>
          <w:w w:val="110"/>
        </w:rPr>
        <w:t>with buprenorphine alone.</w:t>
      </w:r>
      <w:r>
        <w:rPr>
          <w:color w:val="4D4D4F"/>
          <w:w w:val="110"/>
          <w:position w:val="7"/>
          <w:sz w:val="13"/>
        </w:rPr>
        <w:t>248,249</w:t>
      </w:r>
    </w:p>
    <w:p>
      <w:pPr>
        <w:spacing w:line="242" w:lineRule="auto" w:before="184"/>
        <w:ind w:left="140" w:right="27" w:firstLine="0"/>
        <w:jc w:val="left"/>
        <w:rPr>
          <w:sz w:val="22"/>
        </w:rPr>
      </w:pPr>
      <w:r>
        <w:rPr>
          <w:rFonts w:ascii="Calibri"/>
          <w:b/>
          <w:color w:val="4D4D4F"/>
          <w:w w:val="110"/>
          <w:sz w:val="22"/>
        </w:rPr>
        <w:t>Subdermal buprenorphine implants release bu- prenorphine in steady concentrations over 6 months. </w:t>
      </w:r>
      <w:r>
        <w:rPr>
          <w:color w:val="4D4D4F"/>
          <w:w w:val="110"/>
          <w:sz w:val="22"/>
        </w:rPr>
        <w:t>These concentrations are approximately equivalent to 8 mg or less of the buprenorphine sublingual formulations. Once implanted, these rods are unlikely to be diverted.</w:t>
      </w:r>
    </w:p>
    <w:p>
      <w:pPr>
        <w:spacing w:line="242" w:lineRule="auto" w:before="177"/>
        <w:ind w:left="140" w:right="161" w:firstLine="0"/>
        <w:jc w:val="left"/>
        <w:rPr>
          <w:sz w:val="13"/>
        </w:rPr>
      </w:pPr>
      <w:r>
        <w:rPr>
          <w:rFonts w:ascii="Calibri"/>
          <w:b/>
          <w:color w:val="4D4D4F"/>
          <w:w w:val="115"/>
          <w:sz w:val="22"/>
        </w:rPr>
        <w:t>Extended-release</w:t>
      </w:r>
      <w:r>
        <w:rPr>
          <w:rFonts w:ascii="Calibri"/>
          <w:b/>
          <w:color w:val="4D4D4F"/>
          <w:spacing w:val="-24"/>
          <w:w w:val="115"/>
          <w:sz w:val="22"/>
        </w:rPr>
        <w:t> </w:t>
      </w:r>
      <w:r>
        <w:rPr>
          <w:rFonts w:ascii="Calibri"/>
          <w:b/>
          <w:color w:val="4D4D4F"/>
          <w:w w:val="115"/>
          <w:sz w:val="22"/>
        </w:rPr>
        <w:t>buprenorphine</w:t>
      </w:r>
      <w:r>
        <w:rPr>
          <w:rFonts w:ascii="Calibri"/>
          <w:b/>
          <w:color w:val="4D4D4F"/>
          <w:spacing w:val="-24"/>
          <w:w w:val="115"/>
          <w:sz w:val="22"/>
        </w:rPr>
        <w:t> </w:t>
      </w:r>
      <w:r>
        <w:rPr>
          <w:rFonts w:ascii="Calibri"/>
          <w:b/>
          <w:color w:val="4D4D4F"/>
          <w:w w:val="115"/>
          <w:sz w:val="22"/>
        </w:rPr>
        <w:t>for</w:t>
      </w:r>
      <w:r>
        <w:rPr>
          <w:rFonts w:ascii="Calibri"/>
          <w:b/>
          <w:color w:val="4D4D4F"/>
          <w:spacing w:val="-24"/>
          <w:w w:val="115"/>
          <w:sz w:val="22"/>
        </w:rPr>
        <w:t> </w:t>
      </w:r>
      <w:r>
        <w:rPr>
          <w:rFonts w:ascii="Calibri"/>
          <w:b/>
          <w:color w:val="4D4D4F"/>
          <w:w w:val="115"/>
          <w:sz w:val="22"/>
        </w:rPr>
        <w:t>subcuta- neous injection releases buprenorphine over at least a 1-month period. </w:t>
      </w:r>
      <w:r>
        <w:rPr>
          <w:color w:val="4D4D4F"/>
          <w:w w:val="115"/>
          <w:sz w:val="22"/>
        </w:rPr>
        <w:t>After injection, an initial</w:t>
      </w:r>
      <w:r>
        <w:rPr>
          <w:color w:val="4D4D4F"/>
          <w:spacing w:val="-27"/>
          <w:w w:val="115"/>
          <w:sz w:val="22"/>
        </w:rPr>
        <w:t> </w:t>
      </w:r>
      <w:r>
        <w:rPr>
          <w:color w:val="4D4D4F"/>
          <w:w w:val="115"/>
          <w:sz w:val="22"/>
        </w:rPr>
        <w:t>buprenorphine</w:t>
      </w:r>
      <w:r>
        <w:rPr>
          <w:color w:val="4D4D4F"/>
          <w:spacing w:val="-27"/>
          <w:w w:val="115"/>
          <w:sz w:val="22"/>
        </w:rPr>
        <w:t> </w:t>
      </w:r>
      <w:r>
        <w:rPr>
          <w:color w:val="4D4D4F"/>
          <w:w w:val="115"/>
          <w:sz w:val="22"/>
        </w:rPr>
        <w:t>plasma</w:t>
      </w:r>
      <w:r>
        <w:rPr>
          <w:color w:val="4D4D4F"/>
          <w:spacing w:val="-27"/>
          <w:w w:val="115"/>
          <w:sz w:val="22"/>
        </w:rPr>
        <w:t> </w:t>
      </w:r>
      <w:r>
        <w:rPr>
          <w:color w:val="4D4D4F"/>
          <w:w w:val="115"/>
          <w:sz w:val="22"/>
        </w:rPr>
        <w:t>level</w:t>
      </w:r>
      <w:r>
        <w:rPr>
          <w:color w:val="4D4D4F"/>
          <w:spacing w:val="-26"/>
          <w:w w:val="115"/>
          <w:sz w:val="22"/>
        </w:rPr>
        <w:t> </w:t>
      </w:r>
      <w:r>
        <w:rPr>
          <w:color w:val="4D4D4F"/>
          <w:w w:val="115"/>
          <w:sz w:val="22"/>
        </w:rPr>
        <w:t>peaks</w:t>
      </w:r>
      <w:r>
        <w:rPr>
          <w:color w:val="4D4D4F"/>
          <w:spacing w:val="-27"/>
          <w:w w:val="115"/>
          <w:sz w:val="22"/>
        </w:rPr>
        <w:t> </w:t>
      </w:r>
      <w:r>
        <w:rPr>
          <w:color w:val="4D4D4F"/>
          <w:spacing w:val="-4"/>
          <w:w w:val="115"/>
          <w:sz w:val="22"/>
        </w:rPr>
        <w:t>around </w:t>
      </w:r>
      <w:r>
        <w:rPr>
          <w:color w:val="4D4D4F"/>
          <w:w w:val="115"/>
          <w:sz w:val="22"/>
        </w:rPr>
        <w:t>24</w:t>
      </w:r>
      <w:r>
        <w:rPr>
          <w:color w:val="4D4D4F"/>
          <w:spacing w:val="-21"/>
          <w:w w:val="115"/>
          <w:sz w:val="22"/>
        </w:rPr>
        <w:t> </w:t>
      </w:r>
      <w:r>
        <w:rPr>
          <w:color w:val="4D4D4F"/>
          <w:w w:val="115"/>
          <w:sz w:val="22"/>
        </w:rPr>
        <w:t>hours</w:t>
      </w:r>
      <w:r>
        <w:rPr>
          <w:color w:val="4D4D4F"/>
          <w:spacing w:val="-20"/>
          <w:w w:val="115"/>
          <w:sz w:val="22"/>
        </w:rPr>
        <w:t> </w:t>
      </w:r>
      <w:r>
        <w:rPr>
          <w:color w:val="4D4D4F"/>
          <w:w w:val="115"/>
          <w:sz w:val="22"/>
        </w:rPr>
        <w:t>and</w:t>
      </w:r>
      <w:r>
        <w:rPr>
          <w:color w:val="4D4D4F"/>
          <w:spacing w:val="-20"/>
          <w:w w:val="115"/>
          <w:sz w:val="22"/>
        </w:rPr>
        <w:t> </w:t>
      </w:r>
      <w:r>
        <w:rPr>
          <w:color w:val="4D4D4F"/>
          <w:w w:val="115"/>
          <w:sz w:val="22"/>
        </w:rPr>
        <w:t>then</w:t>
      </w:r>
      <w:r>
        <w:rPr>
          <w:color w:val="4D4D4F"/>
          <w:spacing w:val="-20"/>
          <w:w w:val="115"/>
          <w:sz w:val="22"/>
        </w:rPr>
        <w:t> </w:t>
      </w:r>
      <w:r>
        <w:rPr>
          <w:color w:val="4D4D4F"/>
          <w:w w:val="115"/>
          <w:sz w:val="22"/>
        </w:rPr>
        <w:t>slowly</w:t>
      </w:r>
      <w:r>
        <w:rPr>
          <w:color w:val="4D4D4F"/>
          <w:spacing w:val="-20"/>
          <w:w w:val="115"/>
          <w:sz w:val="22"/>
        </w:rPr>
        <w:t> </w:t>
      </w:r>
      <w:r>
        <w:rPr>
          <w:color w:val="4D4D4F"/>
          <w:w w:val="115"/>
          <w:sz w:val="22"/>
        </w:rPr>
        <w:t>declines</w:t>
      </w:r>
      <w:r>
        <w:rPr>
          <w:color w:val="4D4D4F"/>
          <w:spacing w:val="-20"/>
          <w:w w:val="115"/>
          <w:sz w:val="22"/>
        </w:rPr>
        <w:t> </w:t>
      </w:r>
      <w:r>
        <w:rPr>
          <w:color w:val="4D4D4F"/>
          <w:w w:val="115"/>
          <w:sz w:val="22"/>
        </w:rPr>
        <w:t>to</w:t>
      </w:r>
      <w:r>
        <w:rPr>
          <w:color w:val="4D4D4F"/>
          <w:spacing w:val="-20"/>
          <w:w w:val="115"/>
          <w:sz w:val="22"/>
        </w:rPr>
        <w:t> </w:t>
      </w:r>
      <w:r>
        <w:rPr>
          <w:color w:val="4D4D4F"/>
          <w:w w:val="115"/>
          <w:sz w:val="22"/>
        </w:rPr>
        <w:t>a</w:t>
      </w:r>
      <w:r>
        <w:rPr>
          <w:color w:val="4D4D4F"/>
          <w:spacing w:val="-20"/>
          <w:w w:val="115"/>
          <w:sz w:val="22"/>
        </w:rPr>
        <w:t> </w:t>
      </w:r>
      <w:r>
        <w:rPr>
          <w:color w:val="4D4D4F"/>
          <w:w w:val="115"/>
          <w:sz w:val="22"/>
        </w:rPr>
        <w:t>plateau. With</w:t>
      </w:r>
      <w:r>
        <w:rPr>
          <w:color w:val="4D4D4F"/>
          <w:spacing w:val="-37"/>
          <w:w w:val="115"/>
          <w:sz w:val="22"/>
        </w:rPr>
        <w:t> </w:t>
      </w:r>
      <w:r>
        <w:rPr>
          <w:color w:val="4D4D4F"/>
          <w:w w:val="115"/>
          <w:sz w:val="22"/>
        </w:rPr>
        <w:t>monthly</w:t>
      </w:r>
      <w:r>
        <w:rPr>
          <w:color w:val="4D4D4F"/>
          <w:spacing w:val="-37"/>
          <w:w w:val="115"/>
          <w:sz w:val="22"/>
        </w:rPr>
        <w:t> </w:t>
      </w:r>
      <w:r>
        <w:rPr>
          <w:color w:val="4D4D4F"/>
          <w:w w:val="115"/>
          <w:sz w:val="22"/>
        </w:rPr>
        <w:t>injections,</w:t>
      </w:r>
      <w:r>
        <w:rPr>
          <w:color w:val="4D4D4F"/>
          <w:spacing w:val="-36"/>
          <w:w w:val="115"/>
          <w:sz w:val="22"/>
        </w:rPr>
        <w:t> </w:t>
      </w:r>
      <w:r>
        <w:rPr>
          <w:color w:val="4D4D4F"/>
          <w:w w:val="115"/>
          <w:sz w:val="22"/>
        </w:rPr>
        <w:t>steady</w:t>
      </w:r>
      <w:r>
        <w:rPr>
          <w:color w:val="4D4D4F"/>
          <w:spacing w:val="-37"/>
          <w:w w:val="115"/>
          <w:sz w:val="22"/>
        </w:rPr>
        <w:t> </w:t>
      </w:r>
      <w:r>
        <w:rPr>
          <w:color w:val="4D4D4F"/>
          <w:w w:val="115"/>
          <w:sz w:val="22"/>
        </w:rPr>
        <w:t>state</w:t>
      </w:r>
      <w:r>
        <w:rPr>
          <w:color w:val="4D4D4F"/>
          <w:spacing w:val="-36"/>
          <w:w w:val="115"/>
          <w:sz w:val="22"/>
        </w:rPr>
        <w:t> </w:t>
      </w:r>
      <w:r>
        <w:rPr>
          <w:color w:val="4D4D4F"/>
          <w:w w:val="115"/>
          <w:sz w:val="22"/>
        </w:rPr>
        <w:t>is</w:t>
      </w:r>
      <w:r>
        <w:rPr>
          <w:color w:val="4D4D4F"/>
          <w:spacing w:val="-37"/>
          <w:w w:val="115"/>
          <w:sz w:val="22"/>
        </w:rPr>
        <w:t> </w:t>
      </w:r>
      <w:r>
        <w:rPr>
          <w:color w:val="4D4D4F"/>
          <w:w w:val="115"/>
          <w:sz w:val="22"/>
        </w:rPr>
        <w:t>reached at 4 to 6</w:t>
      </w:r>
      <w:r>
        <w:rPr>
          <w:color w:val="4D4D4F"/>
          <w:spacing w:val="-42"/>
          <w:w w:val="115"/>
          <w:sz w:val="22"/>
        </w:rPr>
        <w:t> </w:t>
      </w:r>
      <w:r>
        <w:rPr>
          <w:color w:val="4D4D4F"/>
          <w:w w:val="115"/>
          <w:sz w:val="22"/>
        </w:rPr>
        <w:t>months.</w:t>
      </w:r>
      <w:r>
        <w:rPr>
          <w:color w:val="4D4D4F"/>
          <w:w w:val="115"/>
          <w:position w:val="7"/>
          <w:sz w:val="13"/>
        </w:rPr>
        <w:t>250</w:t>
      </w:r>
    </w:p>
    <w:p>
      <w:pPr>
        <w:pStyle w:val="BodyText"/>
        <w:spacing w:before="5"/>
        <w:rPr>
          <w:sz w:val="23"/>
        </w:rPr>
      </w:pPr>
    </w:p>
    <w:p>
      <w:pPr>
        <w:pStyle w:val="Heading3"/>
      </w:pPr>
      <w:bookmarkStart w:name="_TOC_250055" w:id="60"/>
      <w:bookmarkEnd w:id="60"/>
      <w:r>
        <w:rPr>
          <w:color w:val="137692"/>
          <w:w w:val="110"/>
        </w:rPr>
        <w:t>Metabolism and Excretion</w:t>
      </w:r>
    </w:p>
    <w:p>
      <w:pPr>
        <w:spacing w:before="47"/>
        <w:ind w:left="140" w:right="0" w:firstLine="0"/>
        <w:jc w:val="left"/>
        <w:rPr>
          <w:sz w:val="13"/>
        </w:rPr>
      </w:pPr>
      <w:r>
        <w:rPr>
          <w:color w:val="4D4D4F"/>
          <w:w w:val="110"/>
          <w:sz w:val="22"/>
        </w:rPr>
        <w:t>Buprenorphine:</w:t>
      </w:r>
      <w:r>
        <w:rPr>
          <w:color w:val="4D4D4F"/>
          <w:w w:val="110"/>
          <w:position w:val="7"/>
          <w:sz w:val="13"/>
        </w:rPr>
        <w:t>251,252</w:t>
      </w:r>
    </w:p>
    <w:p>
      <w:pPr>
        <w:pStyle w:val="ListParagraph"/>
        <w:numPr>
          <w:ilvl w:val="0"/>
          <w:numId w:val="29"/>
        </w:numPr>
        <w:tabs>
          <w:tab w:pos="410" w:val="left" w:leader="none"/>
        </w:tabs>
        <w:spacing w:line="315" w:lineRule="exact" w:before="106" w:after="0"/>
        <w:ind w:left="410" w:right="0" w:hanging="270"/>
        <w:jc w:val="left"/>
        <w:rPr>
          <w:rFonts w:ascii="Arial" w:hAnsi="Arial"/>
          <w:color w:val="137692"/>
          <w:sz w:val="28"/>
        </w:rPr>
      </w:pPr>
      <w:r>
        <w:rPr>
          <w:color w:val="4D4D4F"/>
          <w:w w:val="115"/>
          <w:sz w:val="22"/>
        </w:rPr>
        <w:t>Is highly plasma</w:t>
      </w:r>
      <w:r>
        <w:rPr>
          <w:color w:val="4D4D4F"/>
          <w:spacing w:val="-28"/>
          <w:w w:val="115"/>
          <w:sz w:val="22"/>
        </w:rPr>
        <w:t> </w:t>
      </w:r>
      <w:r>
        <w:rPr>
          <w:color w:val="4D4D4F"/>
          <w:w w:val="115"/>
          <w:sz w:val="22"/>
        </w:rPr>
        <w:t>bound.</w:t>
      </w:r>
    </w:p>
    <w:p>
      <w:pPr>
        <w:pStyle w:val="ListParagraph"/>
        <w:numPr>
          <w:ilvl w:val="0"/>
          <w:numId w:val="29"/>
        </w:numPr>
        <w:tabs>
          <w:tab w:pos="410" w:val="left" w:leader="none"/>
        </w:tabs>
        <w:spacing w:line="208" w:lineRule="auto" w:before="22" w:after="0"/>
        <w:ind w:left="410" w:right="792" w:hanging="270"/>
        <w:jc w:val="left"/>
        <w:rPr>
          <w:rFonts w:ascii="Arial" w:hAnsi="Arial"/>
          <w:color w:val="137692"/>
          <w:sz w:val="28"/>
        </w:rPr>
      </w:pPr>
      <w:r>
        <w:rPr>
          <w:color w:val="4D4D4F"/>
          <w:w w:val="110"/>
          <w:sz w:val="22"/>
        </w:rPr>
        <w:t>Crosses the blood–brain barrier</w:t>
      </w:r>
      <w:r>
        <w:rPr>
          <w:color w:val="4D4D4F"/>
          <w:spacing w:val="-45"/>
          <w:w w:val="110"/>
          <w:sz w:val="22"/>
        </w:rPr>
        <w:t> </w:t>
      </w:r>
      <w:r>
        <w:rPr>
          <w:color w:val="4D4D4F"/>
          <w:spacing w:val="-4"/>
          <w:w w:val="110"/>
          <w:sz w:val="22"/>
        </w:rPr>
        <w:t>readily </w:t>
      </w:r>
      <w:r>
        <w:rPr>
          <w:color w:val="4D4D4F"/>
          <w:w w:val="110"/>
          <w:sz w:val="22"/>
        </w:rPr>
        <w:t>because of its high lipid</w:t>
      </w:r>
      <w:r>
        <w:rPr>
          <w:color w:val="4D4D4F"/>
          <w:spacing w:val="6"/>
          <w:w w:val="110"/>
          <w:sz w:val="22"/>
        </w:rPr>
        <w:t> </w:t>
      </w:r>
      <w:r>
        <w:rPr>
          <w:color w:val="4D4D4F"/>
          <w:w w:val="110"/>
          <w:sz w:val="22"/>
        </w:rPr>
        <w:t>solubility.</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Is excreted in urine and</w:t>
      </w:r>
      <w:r>
        <w:rPr>
          <w:color w:val="4D4D4F"/>
          <w:spacing w:val="-26"/>
          <w:w w:val="110"/>
          <w:sz w:val="22"/>
        </w:rPr>
        <w:t> </w:t>
      </w:r>
      <w:r>
        <w:rPr>
          <w:color w:val="4D4D4F"/>
          <w:w w:val="110"/>
          <w:sz w:val="22"/>
        </w:rPr>
        <w:t>feces.</w:t>
      </w:r>
    </w:p>
    <w:p>
      <w:pPr>
        <w:pStyle w:val="ListParagraph"/>
        <w:numPr>
          <w:ilvl w:val="0"/>
          <w:numId w:val="29"/>
        </w:numPr>
        <w:tabs>
          <w:tab w:pos="410" w:val="left" w:leader="none"/>
        </w:tabs>
        <w:spacing w:line="208" w:lineRule="auto" w:before="21" w:after="0"/>
        <w:ind w:left="410" w:right="152" w:hanging="270"/>
        <w:jc w:val="left"/>
        <w:rPr>
          <w:rFonts w:ascii="Arial" w:hAnsi="Arial"/>
          <w:color w:val="137692"/>
          <w:sz w:val="28"/>
        </w:rPr>
      </w:pPr>
      <w:r>
        <w:rPr>
          <w:color w:val="4D4D4F"/>
          <w:w w:val="110"/>
          <w:sz w:val="22"/>
        </w:rPr>
        <w:t>Has only one known pharmacologically </w:t>
      </w:r>
      <w:r>
        <w:rPr>
          <w:color w:val="4D4D4F"/>
          <w:spacing w:val="-3"/>
          <w:w w:val="110"/>
          <w:sz w:val="22"/>
        </w:rPr>
        <w:t>active </w:t>
      </w:r>
      <w:r>
        <w:rPr>
          <w:color w:val="4D4D4F"/>
          <w:w w:val="110"/>
          <w:sz w:val="22"/>
        </w:rPr>
        <w:t>metabolite:</w:t>
      </w:r>
      <w:r>
        <w:rPr>
          <w:color w:val="4D4D4F"/>
          <w:spacing w:val="-5"/>
          <w:w w:val="110"/>
          <w:sz w:val="22"/>
        </w:rPr>
        <w:t> </w:t>
      </w:r>
      <w:r>
        <w:rPr>
          <w:color w:val="4D4D4F"/>
          <w:w w:val="110"/>
          <w:sz w:val="22"/>
        </w:rPr>
        <w:t>norbuprenorphine.</w:t>
      </w:r>
    </w:p>
    <w:p>
      <w:pPr>
        <w:pStyle w:val="Heading7"/>
        <w:spacing w:line="235" w:lineRule="auto" w:before="105"/>
        <w:ind w:hanging="1"/>
      </w:pPr>
      <w:r>
        <w:rPr>
          <w:b w:val="0"/>
        </w:rPr>
        <w:br w:type="column"/>
      </w:r>
      <w:r>
        <w:rPr>
          <w:color w:val="4D4D4F"/>
          <w:w w:val="115"/>
        </w:rPr>
        <w:t>Be aware of potential CYP450 3A4 inducers,</w:t>
      </w:r>
      <w:r>
        <w:rPr>
          <w:color w:val="4D4D4F"/>
          <w:w w:val="115"/>
          <w:position w:val="7"/>
          <w:sz w:val="13"/>
        </w:rPr>
        <w:t>253 </w:t>
      </w:r>
      <w:r>
        <w:rPr>
          <w:color w:val="4D4D4F"/>
          <w:w w:val="115"/>
        </w:rPr>
        <w:t>substrates, and inhibitors while monitoring</w:t>
      </w:r>
    </w:p>
    <w:p>
      <w:pPr>
        <w:spacing w:line="240" w:lineRule="auto" w:before="0"/>
        <w:ind w:left="140" w:right="697" w:firstLine="0"/>
        <w:jc w:val="left"/>
        <w:rPr>
          <w:sz w:val="22"/>
        </w:rPr>
      </w:pPr>
      <w:r>
        <w:rPr>
          <w:rFonts w:ascii="Calibri" w:hAnsi="Calibri"/>
          <w:b/>
          <w:color w:val="4D4D4F"/>
          <w:w w:val="110"/>
          <w:sz w:val="22"/>
        </w:rPr>
        <w:t>for potential drug–drug interactions </w:t>
      </w:r>
      <w:r>
        <w:rPr>
          <w:color w:val="4D4D4F"/>
          <w:w w:val="110"/>
          <w:sz w:val="22"/>
        </w:rPr>
        <w:t>(see the “Drug Interactions” section below).</w:t>
      </w:r>
    </w:p>
    <w:p>
      <w:pPr>
        <w:pStyle w:val="BodyText"/>
        <w:spacing w:line="247" w:lineRule="auto" w:before="7"/>
        <w:ind w:left="140" w:right="179"/>
      </w:pPr>
      <w:r>
        <w:rPr>
          <w:color w:val="4D4D4F"/>
          <w:w w:val="110"/>
        </w:rPr>
        <w:t>Buprenorphine undergoes metabolism in the liver</w:t>
      </w:r>
      <w:r>
        <w:rPr>
          <w:color w:val="4D4D4F"/>
          <w:spacing w:val="-19"/>
          <w:w w:val="110"/>
        </w:rPr>
        <w:t> </w:t>
      </w:r>
      <w:r>
        <w:rPr>
          <w:color w:val="4D4D4F"/>
          <w:w w:val="110"/>
        </w:rPr>
        <w:t>primarily</w:t>
      </w:r>
      <w:r>
        <w:rPr>
          <w:color w:val="4D4D4F"/>
          <w:spacing w:val="-19"/>
          <w:w w:val="110"/>
        </w:rPr>
        <w:t> </w:t>
      </w:r>
      <w:r>
        <w:rPr>
          <w:color w:val="4D4D4F"/>
          <w:w w:val="110"/>
        </w:rPr>
        <w:t>by</w:t>
      </w:r>
      <w:r>
        <w:rPr>
          <w:color w:val="4D4D4F"/>
          <w:spacing w:val="-19"/>
          <w:w w:val="110"/>
        </w:rPr>
        <w:t> </w:t>
      </w:r>
      <w:r>
        <w:rPr>
          <w:color w:val="4D4D4F"/>
          <w:w w:val="110"/>
        </w:rPr>
        <w:t>cytochrome</w:t>
      </w:r>
      <w:r>
        <w:rPr>
          <w:color w:val="4D4D4F"/>
          <w:spacing w:val="-19"/>
          <w:w w:val="110"/>
        </w:rPr>
        <w:t> </w:t>
      </w:r>
      <w:r>
        <w:rPr>
          <w:color w:val="4D4D4F"/>
          <w:w w:val="110"/>
        </w:rPr>
        <w:t>P450</w:t>
      </w:r>
      <w:r>
        <w:rPr>
          <w:color w:val="4D4D4F"/>
          <w:spacing w:val="-19"/>
          <w:w w:val="110"/>
        </w:rPr>
        <w:t> </w:t>
      </w:r>
      <w:r>
        <w:rPr>
          <w:color w:val="4D4D4F"/>
          <w:w w:val="110"/>
        </w:rPr>
        <w:t>(CYP450)</w:t>
      </w:r>
      <w:r>
        <w:rPr>
          <w:color w:val="4D4D4F"/>
          <w:spacing w:val="-19"/>
          <w:w w:val="110"/>
        </w:rPr>
        <w:t> </w:t>
      </w:r>
      <w:r>
        <w:rPr>
          <w:color w:val="4D4D4F"/>
          <w:spacing w:val="-6"/>
          <w:w w:val="110"/>
        </w:rPr>
        <w:t>3A4 </w:t>
      </w:r>
      <w:r>
        <w:rPr>
          <w:color w:val="4D4D4F"/>
          <w:w w:val="110"/>
        </w:rPr>
        <w:t>enzymes. Coadministration of other medications metabolized along this pathway can affect the rate of buprenorphine</w:t>
      </w:r>
      <w:r>
        <w:rPr>
          <w:color w:val="4D4D4F"/>
          <w:spacing w:val="-13"/>
          <w:w w:val="110"/>
        </w:rPr>
        <w:t> </w:t>
      </w:r>
      <w:r>
        <w:rPr>
          <w:color w:val="4D4D4F"/>
          <w:w w:val="110"/>
        </w:rPr>
        <w:t>metabolism.</w:t>
      </w:r>
    </w:p>
    <w:p>
      <w:pPr>
        <w:spacing w:line="242" w:lineRule="auto" w:before="181"/>
        <w:ind w:left="140" w:right="253" w:firstLine="0"/>
        <w:jc w:val="left"/>
        <w:rPr>
          <w:sz w:val="22"/>
        </w:rPr>
      </w:pPr>
      <w:r>
        <w:rPr>
          <w:rFonts w:ascii="Calibri"/>
          <w:b/>
          <w:color w:val="4D4D4F"/>
          <w:w w:val="110"/>
          <w:sz w:val="22"/>
        </w:rPr>
        <w:t>Buprenorphine has fewer clinically relevant drug interactions than methadone </w:t>
      </w:r>
      <w:r>
        <w:rPr>
          <w:color w:val="4D4D4F"/>
          <w:w w:val="110"/>
          <w:sz w:val="22"/>
        </w:rPr>
        <w:t>in general. For detailed explanations of metabolism and excretion, see the package inserts for each buprenorphine product.</w:t>
      </w:r>
    </w:p>
    <w:p>
      <w:pPr>
        <w:pStyle w:val="Heading2"/>
        <w:spacing w:before="222"/>
      </w:pPr>
      <w:bookmarkStart w:name="_TOC_250054" w:id="61"/>
      <w:bookmarkEnd w:id="61"/>
      <w:r>
        <w:rPr>
          <w:color w:val="137692"/>
          <w:w w:val="110"/>
        </w:rPr>
        <w:t>Dosing Considerations</w:t>
      </w:r>
    </w:p>
    <w:p>
      <w:pPr>
        <w:pStyle w:val="BodyText"/>
        <w:spacing w:line="247" w:lineRule="auto" w:before="32"/>
        <w:ind w:left="140" w:right="157"/>
      </w:pPr>
      <w:r>
        <w:rPr>
          <w:color w:val="4D4D4F"/>
          <w:w w:val="110"/>
        </w:rPr>
        <w:t>Buprenorphine</w:t>
      </w:r>
      <w:r>
        <w:rPr>
          <w:color w:val="4D4D4F"/>
          <w:spacing w:val="-10"/>
          <w:w w:val="110"/>
        </w:rPr>
        <w:t> </w:t>
      </w:r>
      <w:r>
        <w:rPr>
          <w:color w:val="4D4D4F"/>
          <w:w w:val="110"/>
        </w:rPr>
        <w:t>is</w:t>
      </w:r>
      <w:r>
        <w:rPr>
          <w:color w:val="4D4D4F"/>
          <w:spacing w:val="-9"/>
          <w:w w:val="110"/>
        </w:rPr>
        <w:t> </w:t>
      </w:r>
      <w:r>
        <w:rPr>
          <w:color w:val="4D4D4F"/>
          <w:w w:val="110"/>
        </w:rPr>
        <w:t>used</w:t>
      </w:r>
      <w:r>
        <w:rPr>
          <w:color w:val="4D4D4F"/>
          <w:spacing w:val="-10"/>
          <w:w w:val="110"/>
        </w:rPr>
        <w:t> </w:t>
      </w:r>
      <w:r>
        <w:rPr>
          <w:color w:val="4D4D4F"/>
          <w:w w:val="110"/>
        </w:rPr>
        <w:t>for</w:t>
      </w:r>
      <w:r>
        <w:rPr>
          <w:color w:val="4D4D4F"/>
          <w:spacing w:val="-9"/>
          <w:w w:val="110"/>
        </w:rPr>
        <w:t> </w:t>
      </w:r>
      <w:r>
        <w:rPr>
          <w:color w:val="4D4D4F"/>
          <w:w w:val="110"/>
        </w:rPr>
        <w:t>the</w:t>
      </w:r>
      <w:r>
        <w:rPr>
          <w:color w:val="4D4D4F"/>
          <w:spacing w:val="-10"/>
          <w:w w:val="110"/>
        </w:rPr>
        <w:t> </w:t>
      </w:r>
      <w:r>
        <w:rPr>
          <w:color w:val="4D4D4F"/>
          <w:w w:val="110"/>
        </w:rPr>
        <w:t>treatment</w:t>
      </w:r>
      <w:r>
        <w:rPr>
          <w:color w:val="4D4D4F"/>
          <w:spacing w:val="-9"/>
          <w:w w:val="110"/>
        </w:rPr>
        <w:t> </w:t>
      </w:r>
      <w:r>
        <w:rPr>
          <w:color w:val="4D4D4F"/>
          <w:w w:val="110"/>
        </w:rPr>
        <w:t>of</w:t>
      </w:r>
      <w:r>
        <w:rPr>
          <w:color w:val="4D4D4F"/>
          <w:spacing w:val="-10"/>
          <w:w w:val="110"/>
        </w:rPr>
        <w:t> </w:t>
      </w:r>
      <w:r>
        <w:rPr>
          <w:color w:val="4D4D4F"/>
          <w:spacing w:val="-5"/>
          <w:w w:val="110"/>
        </w:rPr>
        <w:t>OUD. </w:t>
      </w:r>
      <w:r>
        <w:rPr>
          <w:color w:val="4D4D4F"/>
          <w:w w:val="110"/>
        </w:rPr>
        <w:t>Formulations are available as sublingual tablets and ﬁlm, buccal ﬁlm, implants, and extended- release injection (Exhibit 3A.5 in Chapter 3A of this</w:t>
      </w:r>
      <w:r>
        <w:rPr>
          <w:color w:val="4D4D4F"/>
          <w:spacing w:val="-7"/>
          <w:w w:val="110"/>
        </w:rPr>
        <w:t> </w:t>
      </w:r>
      <w:r>
        <w:rPr>
          <w:color w:val="4D4D4F"/>
          <w:w w:val="110"/>
        </w:rPr>
        <w:t>TIP).</w:t>
      </w:r>
    </w:p>
    <w:p>
      <w:pPr>
        <w:pStyle w:val="BodyText"/>
        <w:spacing w:before="2"/>
        <w:rPr>
          <w:sz w:val="23"/>
        </w:rPr>
      </w:pPr>
    </w:p>
    <w:p>
      <w:pPr>
        <w:pStyle w:val="Heading3"/>
      </w:pPr>
      <w:bookmarkStart w:name="_TOC_250053" w:id="62"/>
      <w:bookmarkEnd w:id="62"/>
      <w:r>
        <w:rPr>
          <w:color w:val="137692"/>
          <w:w w:val="110"/>
        </w:rPr>
        <w:t>Contraindications</w:t>
      </w:r>
    </w:p>
    <w:p>
      <w:pPr>
        <w:pStyle w:val="BodyText"/>
        <w:spacing w:line="247" w:lineRule="auto" w:before="47"/>
        <w:ind w:left="140" w:right="274"/>
      </w:pPr>
      <w:r>
        <w:rPr>
          <w:color w:val="4D4D4F"/>
          <w:w w:val="110"/>
        </w:rPr>
        <w:t>Buprenorphine is contraindicated in patients who are allergic to it. Patients with true allergic reactions to naloxone should not be treated with the combination buprenorphine/naloxone product. Allergy to naloxone is infrequent.</w:t>
      </w:r>
    </w:p>
    <w:p>
      <w:pPr>
        <w:pStyle w:val="BodyText"/>
        <w:spacing w:line="247" w:lineRule="auto" w:before="6"/>
        <w:ind w:left="140" w:right="101"/>
      </w:pPr>
      <w:r>
        <w:rPr>
          <w:color w:val="4D4D4F"/>
          <w:w w:val="110"/>
        </w:rPr>
        <w:t>Some patients may falsely or mistakenly claim an allergy to naloxone and request buprenorphine monoproduct. Carefully assess such claims and explain the differences between an allergic reaction and symptoms of opioid withdrawal precipitated by buprenorphine or naloxone;</w:t>
      </w:r>
    </w:p>
    <w:p>
      <w:pPr>
        <w:pStyle w:val="BodyText"/>
        <w:spacing w:line="247" w:lineRule="auto" w:before="8"/>
        <w:ind w:left="140"/>
        <w:rPr>
          <w:sz w:val="13"/>
        </w:rPr>
      </w:pPr>
      <w:r>
        <w:rPr>
          <w:color w:val="4D4D4F"/>
          <w:w w:val="110"/>
        </w:rPr>
        <w:t>the monoproduct has more abuse liability than buprenorphine/naloxone.</w:t>
      </w:r>
      <w:r>
        <w:rPr>
          <w:color w:val="4D4D4F"/>
          <w:w w:val="110"/>
          <w:position w:val="7"/>
          <w:sz w:val="13"/>
        </w:rPr>
        <w:t>254</w:t>
      </w:r>
    </w:p>
    <w:p>
      <w:pPr>
        <w:pStyle w:val="BodyText"/>
        <w:spacing w:before="10"/>
      </w:pPr>
    </w:p>
    <w:p>
      <w:pPr>
        <w:pStyle w:val="Heading3"/>
      </w:pPr>
      <w:bookmarkStart w:name="_TOC_250052" w:id="63"/>
      <w:bookmarkEnd w:id="63"/>
      <w:r>
        <w:rPr>
          <w:color w:val="137692"/>
          <w:w w:val="110"/>
        </w:rPr>
        <w:t>Precautions and Warnings</w:t>
      </w:r>
    </w:p>
    <w:p>
      <w:pPr>
        <w:pStyle w:val="ListParagraph"/>
        <w:numPr>
          <w:ilvl w:val="0"/>
          <w:numId w:val="29"/>
        </w:numPr>
        <w:tabs>
          <w:tab w:pos="410" w:val="left" w:leader="none"/>
        </w:tabs>
        <w:spacing w:line="225" w:lineRule="auto" w:before="42" w:after="0"/>
        <w:ind w:left="410" w:right="418" w:hanging="270"/>
        <w:jc w:val="left"/>
        <w:rPr>
          <w:rFonts w:ascii="Arial" w:hAnsi="Arial"/>
          <w:color w:val="137692"/>
          <w:sz w:val="28"/>
        </w:rPr>
      </w:pPr>
      <w:r>
        <w:rPr>
          <w:rFonts w:ascii="Calibri" w:hAnsi="Calibri"/>
          <w:b/>
          <w:color w:val="4D4D4F"/>
          <w:w w:val="110"/>
          <w:sz w:val="22"/>
        </w:rPr>
        <w:t>Respiratory  depression  and  overdoses are uncommon in adults, but they do happen.</w:t>
      </w:r>
      <w:r>
        <w:rPr>
          <w:rFonts w:ascii="Calibri" w:hAnsi="Calibri"/>
          <w:b/>
          <w:color w:val="4D4D4F"/>
          <w:w w:val="110"/>
          <w:position w:val="7"/>
          <w:sz w:val="13"/>
        </w:rPr>
        <w:t>255 </w:t>
      </w:r>
      <w:r>
        <w:rPr>
          <w:color w:val="4D4D4F"/>
          <w:w w:val="110"/>
          <w:sz w:val="22"/>
        </w:rPr>
        <w:t>Most fatal overdoses involve IV buprenorphine</w:t>
      </w:r>
      <w:r>
        <w:rPr>
          <w:color w:val="4D4D4F"/>
          <w:spacing w:val="-14"/>
          <w:w w:val="110"/>
          <w:sz w:val="22"/>
        </w:rPr>
        <w:t> </w:t>
      </w:r>
      <w:r>
        <w:rPr>
          <w:color w:val="4D4D4F"/>
          <w:w w:val="110"/>
          <w:sz w:val="22"/>
        </w:rPr>
        <w:t>misuse</w:t>
      </w:r>
      <w:r>
        <w:rPr>
          <w:color w:val="4D4D4F"/>
          <w:spacing w:val="-14"/>
          <w:w w:val="110"/>
          <w:sz w:val="22"/>
        </w:rPr>
        <w:t> </w:t>
      </w:r>
      <w:r>
        <w:rPr>
          <w:color w:val="4D4D4F"/>
          <w:w w:val="110"/>
          <w:sz w:val="22"/>
        </w:rPr>
        <w:t>or</w:t>
      </w:r>
      <w:r>
        <w:rPr>
          <w:color w:val="4D4D4F"/>
          <w:spacing w:val="-14"/>
          <w:w w:val="110"/>
          <w:sz w:val="22"/>
        </w:rPr>
        <w:t> </w:t>
      </w:r>
      <w:r>
        <w:rPr>
          <w:color w:val="4D4D4F"/>
          <w:w w:val="110"/>
          <w:sz w:val="22"/>
        </w:rPr>
        <w:t>concurrent</w:t>
      </w:r>
      <w:r>
        <w:rPr>
          <w:color w:val="4D4D4F"/>
          <w:spacing w:val="-13"/>
          <w:w w:val="110"/>
          <w:sz w:val="22"/>
        </w:rPr>
        <w:t> </w:t>
      </w:r>
      <w:r>
        <w:rPr>
          <w:color w:val="4D4D4F"/>
          <w:spacing w:val="-3"/>
          <w:w w:val="110"/>
          <w:sz w:val="22"/>
        </w:rPr>
        <w:t>central</w:t>
      </w:r>
    </w:p>
    <w:p>
      <w:pPr>
        <w:pStyle w:val="BodyText"/>
        <w:spacing w:line="247" w:lineRule="auto" w:before="14"/>
        <w:ind w:left="410" w:right="162"/>
      </w:pPr>
      <w:r>
        <w:rPr>
          <w:color w:val="4D4D4F"/>
          <w:w w:val="115"/>
        </w:rPr>
        <w:t>nervous</w:t>
      </w:r>
      <w:r>
        <w:rPr>
          <w:color w:val="4D4D4F"/>
          <w:spacing w:val="-23"/>
          <w:w w:val="115"/>
        </w:rPr>
        <w:t> </w:t>
      </w:r>
      <w:r>
        <w:rPr>
          <w:color w:val="4D4D4F"/>
          <w:w w:val="115"/>
        </w:rPr>
        <w:t>system</w:t>
      </w:r>
      <w:r>
        <w:rPr>
          <w:color w:val="4D4D4F"/>
          <w:spacing w:val="-23"/>
          <w:w w:val="115"/>
        </w:rPr>
        <w:t> </w:t>
      </w:r>
      <w:r>
        <w:rPr>
          <w:color w:val="4D4D4F"/>
          <w:w w:val="115"/>
        </w:rPr>
        <w:t>depressant</w:t>
      </w:r>
      <w:r>
        <w:rPr>
          <w:color w:val="4D4D4F"/>
          <w:spacing w:val="-22"/>
          <w:w w:val="115"/>
        </w:rPr>
        <w:t> </w:t>
      </w:r>
      <w:r>
        <w:rPr>
          <w:color w:val="4D4D4F"/>
          <w:w w:val="115"/>
        </w:rPr>
        <w:t>use,</w:t>
      </w:r>
      <w:r>
        <w:rPr>
          <w:color w:val="4D4D4F"/>
          <w:spacing w:val="-23"/>
          <w:w w:val="115"/>
        </w:rPr>
        <w:t> </w:t>
      </w:r>
      <w:r>
        <w:rPr>
          <w:color w:val="4D4D4F"/>
          <w:w w:val="115"/>
        </w:rPr>
        <w:t>including</w:t>
      </w:r>
      <w:r>
        <w:rPr>
          <w:color w:val="4D4D4F"/>
          <w:spacing w:val="-23"/>
          <w:w w:val="115"/>
        </w:rPr>
        <w:t> </w:t>
      </w:r>
      <w:r>
        <w:rPr>
          <w:color w:val="4D4D4F"/>
          <w:spacing w:val="-5"/>
          <w:w w:val="115"/>
        </w:rPr>
        <w:t>high </w:t>
      </w:r>
      <w:r>
        <w:rPr>
          <w:color w:val="4D4D4F"/>
          <w:w w:val="115"/>
        </w:rPr>
        <w:t>doses</w:t>
      </w:r>
      <w:r>
        <w:rPr>
          <w:color w:val="4D4D4F"/>
          <w:spacing w:val="-21"/>
          <w:w w:val="115"/>
        </w:rPr>
        <w:t> </w:t>
      </w:r>
      <w:r>
        <w:rPr>
          <w:color w:val="4D4D4F"/>
          <w:w w:val="115"/>
        </w:rPr>
        <w:t>of</w:t>
      </w:r>
      <w:r>
        <w:rPr>
          <w:color w:val="4D4D4F"/>
          <w:spacing w:val="-21"/>
          <w:w w:val="115"/>
        </w:rPr>
        <w:t> </w:t>
      </w:r>
      <w:r>
        <w:rPr>
          <w:color w:val="4D4D4F"/>
          <w:w w:val="115"/>
        </w:rPr>
        <w:t>benzodiazepines,</w:t>
      </w:r>
      <w:r>
        <w:rPr>
          <w:color w:val="4D4D4F"/>
          <w:spacing w:val="-21"/>
          <w:w w:val="115"/>
        </w:rPr>
        <w:t> </w:t>
      </w:r>
      <w:r>
        <w:rPr>
          <w:color w:val="4D4D4F"/>
          <w:w w:val="115"/>
        </w:rPr>
        <w:t>alcohol,</w:t>
      </w:r>
      <w:r>
        <w:rPr>
          <w:color w:val="4D4D4F"/>
          <w:spacing w:val="-21"/>
          <w:w w:val="115"/>
        </w:rPr>
        <w:t> </w:t>
      </w:r>
      <w:r>
        <w:rPr>
          <w:color w:val="4D4D4F"/>
          <w:w w:val="115"/>
        </w:rPr>
        <w:t>or</w:t>
      </w:r>
      <w:r>
        <w:rPr>
          <w:color w:val="4D4D4F"/>
          <w:spacing w:val="-20"/>
          <w:w w:val="115"/>
        </w:rPr>
        <w:t> </w:t>
      </w:r>
      <w:r>
        <w:rPr>
          <w:color w:val="4D4D4F"/>
          <w:w w:val="115"/>
        </w:rPr>
        <w:t>other</w:t>
      </w:r>
    </w:p>
    <w:p>
      <w:pPr>
        <w:spacing w:after="0" w:line="247" w:lineRule="auto"/>
        <w:sectPr>
          <w:type w:val="continuous"/>
          <w:pgSz w:w="12240" w:h="15840"/>
          <w:pgMar w:top="540" w:bottom="280" w:left="940" w:right="920"/>
          <w:cols w:num="2" w:equalWidth="0">
            <w:col w:w="5041" w:space="179"/>
            <w:col w:w="516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BodyText"/>
        <w:spacing w:line="247" w:lineRule="auto" w:before="110"/>
        <w:ind w:left="409" w:right="33"/>
      </w:pPr>
      <w:r>
        <w:rPr>
          <w:color w:val="4D4D4F"/>
          <w:w w:val="115"/>
        </w:rPr>
        <w:t>sedatives.</w:t>
      </w:r>
      <w:r>
        <w:rPr>
          <w:color w:val="4D4D4F"/>
          <w:w w:val="115"/>
          <w:position w:val="7"/>
          <w:sz w:val="13"/>
        </w:rPr>
        <w:t>256,257</w:t>
      </w:r>
      <w:r>
        <w:rPr>
          <w:color w:val="4D4D4F"/>
          <w:spacing w:val="-6"/>
          <w:w w:val="115"/>
          <w:position w:val="7"/>
          <w:sz w:val="13"/>
        </w:rPr>
        <w:t> </w:t>
      </w:r>
      <w:r>
        <w:rPr>
          <w:color w:val="4D4D4F"/>
          <w:spacing w:val="-3"/>
          <w:w w:val="115"/>
        </w:rPr>
        <w:t>However,</w:t>
      </w:r>
      <w:r>
        <w:rPr>
          <w:color w:val="4D4D4F"/>
          <w:spacing w:val="-33"/>
          <w:w w:val="115"/>
        </w:rPr>
        <w:t> </w:t>
      </w:r>
      <w:r>
        <w:rPr>
          <w:color w:val="4D4D4F"/>
          <w:w w:val="115"/>
        </w:rPr>
        <w:t>fatal</w:t>
      </w:r>
      <w:r>
        <w:rPr>
          <w:color w:val="4D4D4F"/>
          <w:spacing w:val="-33"/>
          <w:w w:val="115"/>
        </w:rPr>
        <w:t> </w:t>
      </w:r>
      <w:r>
        <w:rPr>
          <w:color w:val="4D4D4F"/>
          <w:w w:val="115"/>
        </w:rPr>
        <w:t>overdoses</w:t>
      </w:r>
      <w:r>
        <w:rPr>
          <w:color w:val="4D4D4F"/>
          <w:spacing w:val="-34"/>
          <w:w w:val="115"/>
        </w:rPr>
        <w:t> </w:t>
      </w:r>
      <w:r>
        <w:rPr>
          <w:color w:val="4D4D4F"/>
          <w:w w:val="115"/>
        </w:rPr>
        <w:t>have been</w:t>
      </w:r>
      <w:r>
        <w:rPr>
          <w:color w:val="4D4D4F"/>
          <w:spacing w:val="-29"/>
          <w:w w:val="115"/>
        </w:rPr>
        <w:t> </w:t>
      </w:r>
      <w:r>
        <w:rPr>
          <w:color w:val="4D4D4F"/>
          <w:w w:val="115"/>
        </w:rPr>
        <w:t>reported</w:t>
      </w:r>
      <w:r>
        <w:rPr>
          <w:color w:val="4D4D4F"/>
          <w:spacing w:val="-29"/>
          <w:w w:val="115"/>
        </w:rPr>
        <w:t> </w:t>
      </w:r>
      <w:r>
        <w:rPr>
          <w:color w:val="4D4D4F"/>
          <w:w w:val="115"/>
        </w:rPr>
        <w:t>in</w:t>
      </w:r>
      <w:r>
        <w:rPr>
          <w:color w:val="4D4D4F"/>
          <w:spacing w:val="-29"/>
          <w:w w:val="115"/>
        </w:rPr>
        <w:t> </w:t>
      </w:r>
      <w:r>
        <w:rPr>
          <w:color w:val="4D4D4F"/>
          <w:w w:val="115"/>
        </w:rPr>
        <w:t>opioid-naïve</w:t>
      </w:r>
      <w:r>
        <w:rPr>
          <w:color w:val="4D4D4F"/>
          <w:spacing w:val="-29"/>
          <w:w w:val="115"/>
        </w:rPr>
        <w:t> </w:t>
      </w:r>
      <w:r>
        <w:rPr>
          <w:color w:val="4D4D4F"/>
          <w:w w:val="115"/>
        </w:rPr>
        <w:t>patients</w:t>
      </w:r>
      <w:r>
        <w:rPr>
          <w:color w:val="4D4D4F"/>
          <w:spacing w:val="-29"/>
          <w:w w:val="115"/>
        </w:rPr>
        <w:t> </w:t>
      </w:r>
      <w:r>
        <w:rPr>
          <w:color w:val="4D4D4F"/>
          <w:spacing w:val="-4"/>
          <w:w w:val="115"/>
        </w:rPr>
        <w:t>treated </w:t>
      </w:r>
      <w:r>
        <w:rPr>
          <w:color w:val="4D4D4F"/>
          <w:w w:val="115"/>
        </w:rPr>
        <w:t>with 2 mg buprenorphine for pain.</w:t>
      </w:r>
      <w:r>
        <w:rPr>
          <w:color w:val="4D4D4F"/>
          <w:w w:val="115"/>
          <w:position w:val="7"/>
          <w:sz w:val="13"/>
        </w:rPr>
        <w:t>258 </w:t>
      </w:r>
      <w:r>
        <w:rPr>
          <w:color w:val="4D4D4F"/>
          <w:w w:val="115"/>
        </w:rPr>
        <w:t>Exhibit 3D.2</w:t>
      </w:r>
      <w:r>
        <w:rPr>
          <w:color w:val="4D4D4F"/>
          <w:spacing w:val="-26"/>
          <w:w w:val="115"/>
        </w:rPr>
        <w:t> </w:t>
      </w:r>
      <w:r>
        <w:rPr>
          <w:color w:val="4D4D4F"/>
          <w:w w:val="115"/>
        </w:rPr>
        <w:t>summarizes</w:t>
      </w:r>
      <w:r>
        <w:rPr>
          <w:color w:val="4D4D4F"/>
          <w:spacing w:val="-25"/>
          <w:w w:val="115"/>
        </w:rPr>
        <w:t> </w:t>
      </w:r>
      <w:r>
        <w:rPr>
          <w:color w:val="4D4D4F"/>
          <w:w w:val="115"/>
        </w:rPr>
        <w:t>the</w:t>
      </w:r>
      <w:r>
        <w:rPr>
          <w:color w:val="4D4D4F"/>
          <w:spacing w:val="-25"/>
          <w:w w:val="115"/>
        </w:rPr>
        <w:t> </w:t>
      </w:r>
      <w:r>
        <w:rPr>
          <w:color w:val="4D4D4F"/>
          <w:w w:val="115"/>
        </w:rPr>
        <w:t>management</w:t>
      </w:r>
      <w:r>
        <w:rPr>
          <w:color w:val="4D4D4F"/>
          <w:spacing w:val="-25"/>
          <w:w w:val="115"/>
        </w:rPr>
        <w:t> </w:t>
      </w:r>
      <w:r>
        <w:rPr>
          <w:color w:val="4D4D4F"/>
          <w:w w:val="115"/>
        </w:rPr>
        <w:t>of</w:t>
      </w:r>
      <w:r>
        <w:rPr>
          <w:color w:val="4D4D4F"/>
          <w:spacing w:val="-25"/>
          <w:w w:val="115"/>
        </w:rPr>
        <w:t> </w:t>
      </w:r>
      <w:r>
        <w:rPr>
          <w:color w:val="4D4D4F"/>
          <w:w w:val="115"/>
        </w:rPr>
        <w:t>patients with</w:t>
      </w:r>
      <w:r>
        <w:rPr>
          <w:color w:val="4D4D4F"/>
          <w:spacing w:val="-23"/>
          <w:w w:val="115"/>
        </w:rPr>
        <w:t> </w:t>
      </w:r>
      <w:r>
        <w:rPr>
          <w:color w:val="4D4D4F"/>
          <w:w w:val="115"/>
        </w:rPr>
        <w:t>preexisting</w:t>
      </w:r>
      <w:r>
        <w:rPr>
          <w:color w:val="4D4D4F"/>
          <w:spacing w:val="-22"/>
          <w:w w:val="115"/>
        </w:rPr>
        <w:t> </w:t>
      </w:r>
      <w:r>
        <w:rPr>
          <w:color w:val="4D4D4F"/>
          <w:w w:val="115"/>
        </w:rPr>
        <w:t>respiratory</w:t>
      </w:r>
      <w:r>
        <w:rPr>
          <w:color w:val="4D4D4F"/>
          <w:spacing w:val="-22"/>
          <w:w w:val="115"/>
        </w:rPr>
        <w:t> </w:t>
      </w:r>
      <w:r>
        <w:rPr>
          <w:color w:val="4D4D4F"/>
          <w:w w:val="115"/>
        </w:rPr>
        <w:t>impairment.</w:t>
      </w:r>
    </w:p>
    <w:p>
      <w:pPr>
        <w:pStyle w:val="ListParagraph"/>
        <w:numPr>
          <w:ilvl w:val="0"/>
          <w:numId w:val="29"/>
        </w:numPr>
        <w:tabs>
          <w:tab w:pos="410" w:val="left" w:leader="none"/>
        </w:tabs>
        <w:spacing w:line="264" w:lineRule="exact" w:before="42" w:after="0"/>
        <w:ind w:left="410" w:right="85" w:hanging="270"/>
        <w:jc w:val="left"/>
        <w:rPr>
          <w:rFonts w:ascii="Arial" w:hAnsi="Arial"/>
          <w:color w:val="137692"/>
          <w:sz w:val="28"/>
        </w:rPr>
      </w:pPr>
      <w:r>
        <w:rPr/>
        <w:pict>
          <v:group style="position:absolute;margin-left:54pt;margin-top:145.683685pt;width:504.55pt;height:411.55pt;mso-position-horizontal-relative:page;mso-position-vertical-relative:paragraph;z-index:-19554816" coordorigin="1080,2914" coordsize="10091,8231">
            <v:rect style="position:absolute;left:1085;top:2918;width:10081;height:8221" filled="true" fillcolor="#fff7f2" stroked="false">
              <v:fill type="solid"/>
            </v:rect>
            <v:rect style="position:absolute;left:1085;top:2918;width:10081;height:8221" filled="false" stroked="true" strokeweight=".5pt" strokecolor="#88aabd">
              <v:stroke dashstyle="solid"/>
            </v:rect>
            <v:shape style="position:absolute;left:1270;top:3015;width:9398;height:669" type="#_x0000_t202" filled="false" stroked="false">
              <v:textbox inset="0,0,0,0">
                <w:txbxContent>
                  <w:p>
                    <w:pPr>
                      <w:spacing w:line="256" w:lineRule="auto" w:before="36"/>
                      <w:ind w:left="0" w:right="17" w:firstLine="0"/>
                      <w:jc w:val="left"/>
                      <w:rPr>
                        <w:rFonts w:ascii="Arial"/>
                        <w:b/>
                        <w:sz w:val="26"/>
                      </w:rPr>
                    </w:pPr>
                    <w:r>
                      <w:rPr>
                        <w:rFonts w:ascii="Arial"/>
                        <w:b/>
                        <w:color w:val="137692"/>
                        <w:w w:val="115"/>
                        <w:sz w:val="26"/>
                      </w:rPr>
                      <w:t>EXHIBIT</w:t>
                    </w:r>
                    <w:r>
                      <w:rPr>
                        <w:rFonts w:ascii="Arial"/>
                        <w:b/>
                        <w:color w:val="137692"/>
                        <w:spacing w:val="-54"/>
                        <w:w w:val="115"/>
                        <w:sz w:val="26"/>
                      </w:rPr>
                      <w:t> </w:t>
                    </w:r>
                    <w:r>
                      <w:rPr>
                        <w:rFonts w:ascii="Arial"/>
                        <w:b/>
                        <w:color w:val="137692"/>
                        <w:w w:val="115"/>
                        <w:sz w:val="26"/>
                      </w:rPr>
                      <w:t>3D.2.</w:t>
                    </w:r>
                    <w:r>
                      <w:rPr>
                        <w:rFonts w:ascii="Arial"/>
                        <w:b/>
                        <w:color w:val="137692"/>
                        <w:spacing w:val="-54"/>
                        <w:w w:val="115"/>
                        <w:sz w:val="26"/>
                      </w:rPr>
                      <w:t> </w:t>
                    </w:r>
                    <w:r>
                      <w:rPr>
                        <w:rFonts w:ascii="Arial"/>
                        <w:b/>
                        <w:color w:val="137692"/>
                        <w:w w:val="115"/>
                        <w:sz w:val="26"/>
                      </w:rPr>
                      <w:t>Medication</w:t>
                    </w:r>
                    <w:r>
                      <w:rPr>
                        <w:rFonts w:ascii="Arial"/>
                        <w:b/>
                        <w:color w:val="137692"/>
                        <w:spacing w:val="-53"/>
                        <w:w w:val="115"/>
                        <w:sz w:val="26"/>
                      </w:rPr>
                      <w:t> </w:t>
                    </w:r>
                    <w:r>
                      <w:rPr>
                        <w:rFonts w:ascii="Arial"/>
                        <w:b/>
                        <w:color w:val="137692"/>
                        <w:w w:val="115"/>
                        <w:sz w:val="26"/>
                      </w:rPr>
                      <w:t>Management</w:t>
                    </w:r>
                    <w:r>
                      <w:rPr>
                        <w:rFonts w:ascii="Arial"/>
                        <w:b/>
                        <w:color w:val="137692"/>
                        <w:spacing w:val="-54"/>
                        <w:w w:val="115"/>
                        <w:sz w:val="26"/>
                      </w:rPr>
                      <w:t> </w:t>
                    </w:r>
                    <w:r>
                      <w:rPr>
                        <w:rFonts w:ascii="Arial"/>
                        <w:b/>
                        <w:color w:val="137692"/>
                        <w:w w:val="115"/>
                        <w:sz w:val="26"/>
                      </w:rPr>
                      <w:t>for</w:t>
                    </w:r>
                    <w:r>
                      <w:rPr>
                        <w:rFonts w:ascii="Arial"/>
                        <w:b/>
                        <w:color w:val="137692"/>
                        <w:spacing w:val="-53"/>
                        <w:w w:val="115"/>
                        <w:sz w:val="26"/>
                      </w:rPr>
                      <w:t> </w:t>
                    </w:r>
                    <w:r>
                      <w:rPr>
                        <w:rFonts w:ascii="Arial"/>
                        <w:b/>
                        <w:color w:val="137692"/>
                        <w:w w:val="115"/>
                        <w:sz w:val="26"/>
                      </w:rPr>
                      <w:t>Patients</w:t>
                    </w:r>
                    <w:r>
                      <w:rPr>
                        <w:rFonts w:ascii="Arial"/>
                        <w:b/>
                        <w:color w:val="137692"/>
                        <w:spacing w:val="-54"/>
                        <w:w w:val="115"/>
                        <w:sz w:val="26"/>
                      </w:rPr>
                      <w:t> </w:t>
                    </w:r>
                    <w:r>
                      <w:rPr>
                        <w:rFonts w:ascii="Arial"/>
                        <w:b/>
                        <w:color w:val="137692"/>
                        <w:w w:val="115"/>
                        <w:sz w:val="26"/>
                      </w:rPr>
                      <w:t>With</w:t>
                    </w:r>
                    <w:r>
                      <w:rPr>
                        <w:rFonts w:ascii="Arial"/>
                        <w:b/>
                        <w:color w:val="137692"/>
                        <w:spacing w:val="-53"/>
                        <w:w w:val="115"/>
                        <w:sz w:val="26"/>
                      </w:rPr>
                      <w:t> </w:t>
                    </w:r>
                    <w:r>
                      <w:rPr>
                        <w:rFonts w:ascii="Arial"/>
                        <w:b/>
                        <w:color w:val="137692"/>
                        <w:w w:val="115"/>
                        <w:sz w:val="26"/>
                      </w:rPr>
                      <w:t>Respiratory or Hepatic Impairment</w:t>
                    </w:r>
                  </w:p>
                </w:txbxContent>
              </v:textbox>
              <w10:wrap type="none"/>
            </v:shape>
            <v:shape style="position:absolute;left:1269;top:9929;width:9704;height:1067" type="#_x0000_t202" filled="false" stroked="false">
              <v:textbox inset="0,0,0,0">
                <w:txbxContent>
                  <w:p>
                    <w:pPr>
                      <w:spacing w:line="235" w:lineRule="auto" w:before="17"/>
                      <w:ind w:left="0" w:right="7" w:firstLine="0"/>
                      <w:jc w:val="left"/>
                      <w:rPr>
                        <w:rFonts w:ascii="Calibri"/>
                        <w:sz w:val="16"/>
                      </w:rPr>
                    </w:pPr>
                    <w:r>
                      <w:rPr>
                        <w:rFonts w:ascii="Calibri"/>
                        <w:color w:val="606163"/>
                        <w:w w:val="125"/>
                        <w:sz w:val="16"/>
                      </w:rPr>
                      <w:t>*Moderate-to-severe</w:t>
                    </w:r>
                    <w:r>
                      <w:rPr>
                        <w:rFonts w:ascii="Calibri"/>
                        <w:color w:val="606163"/>
                        <w:spacing w:val="-16"/>
                        <w:w w:val="125"/>
                        <w:sz w:val="16"/>
                      </w:rPr>
                      <w:t> </w:t>
                    </w:r>
                    <w:r>
                      <w:rPr>
                        <w:rFonts w:ascii="Calibri"/>
                        <w:color w:val="606163"/>
                        <w:w w:val="125"/>
                        <w:sz w:val="16"/>
                      </w:rPr>
                      <w:t>impairment</w:t>
                    </w:r>
                    <w:r>
                      <w:rPr>
                        <w:rFonts w:ascii="Calibri"/>
                        <w:color w:val="606163"/>
                        <w:spacing w:val="-16"/>
                        <w:w w:val="125"/>
                        <w:sz w:val="16"/>
                      </w:rPr>
                      <w:t> </w:t>
                    </w:r>
                    <w:r>
                      <w:rPr>
                        <w:rFonts w:ascii="Calibri"/>
                        <w:color w:val="606163"/>
                        <w:w w:val="125"/>
                        <w:sz w:val="16"/>
                      </w:rPr>
                      <w:t>results</w:t>
                    </w:r>
                    <w:r>
                      <w:rPr>
                        <w:rFonts w:ascii="Calibri"/>
                        <w:color w:val="606163"/>
                        <w:spacing w:val="-15"/>
                        <w:w w:val="125"/>
                        <w:sz w:val="16"/>
                      </w:rPr>
                      <w:t> </w:t>
                    </w:r>
                    <w:r>
                      <w:rPr>
                        <w:rFonts w:ascii="Calibri"/>
                        <w:color w:val="606163"/>
                        <w:w w:val="125"/>
                        <w:sz w:val="16"/>
                      </w:rPr>
                      <w:t>in</w:t>
                    </w:r>
                    <w:r>
                      <w:rPr>
                        <w:rFonts w:ascii="Calibri"/>
                        <w:color w:val="606163"/>
                        <w:spacing w:val="-16"/>
                        <w:w w:val="125"/>
                        <w:sz w:val="16"/>
                      </w:rPr>
                      <w:t> </w:t>
                    </w:r>
                    <w:r>
                      <w:rPr>
                        <w:rFonts w:ascii="Calibri"/>
                        <w:color w:val="606163"/>
                        <w:w w:val="125"/>
                        <w:sz w:val="16"/>
                      </w:rPr>
                      <w:t>much</w:t>
                    </w:r>
                    <w:r>
                      <w:rPr>
                        <w:rFonts w:ascii="Calibri"/>
                        <w:color w:val="606163"/>
                        <w:spacing w:val="-15"/>
                        <w:w w:val="125"/>
                        <w:sz w:val="16"/>
                      </w:rPr>
                      <w:t> </w:t>
                    </w:r>
                    <w:r>
                      <w:rPr>
                        <w:rFonts w:ascii="Calibri"/>
                        <w:color w:val="606163"/>
                        <w:w w:val="125"/>
                        <w:sz w:val="16"/>
                      </w:rPr>
                      <w:t>more</w:t>
                    </w:r>
                    <w:r>
                      <w:rPr>
                        <w:rFonts w:ascii="Calibri"/>
                        <w:color w:val="606163"/>
                        <w:spacing w:val="-16"/>
                        <w:w w:val="125"/>
                        <w:sz w:val="16"/>
                      </w:rPr>
                      <w:t> </w:t>
                    </w:r>
                    <w:r>
                      <w:rPr>
                        <w:rFonts w:ascii="Calibri"/>
                        <w:color w:val="606163"/>
                        <w:w w:val="125"/>
                        <w:sz w:val="16"/>
                      </w:rPr>
                      <w:t>reduced</w:t>
                    </w:r>
                    <w:r>
                      <w:rPr>
                        <w:rFonts w:ascii="Calibri"/>
                        <w:color w:val="606163"/>
                        <w:spacing w:val="-16"/>
                        <w:w w:val="125"/>
                        <w:sz w:val="16"/>
                      </w:rPr>
                      <w:t> </w:t>
                    </w:r>
                    <w:r>
                      <w:rPr>
                        <w:rFonts w:ascii="Calibri"/>
                        <w:color w:val="606163"/>
                        <w:w w:val="125"/>
                        <w:sz w:val="16"/>
                      </w:rPr>
                      <w:t>clearance</w:t>
                    </w:r>
                    <w:r>
                      <w:rPr>
                        <w:rFonts w:ascii="Calibri"/>
                        <w:color w:val="606163"/>
                        <w:spacing w:val="-15"/>
                        <w:w w:val="125"/>
                        <w:sz w:val="16"/>
                      </w:rPr>
                      <w:t> </w:t>
                    </w:r>
                    <w:r>
                      <w:rPr>
                        <w:rFonts w:ascii="Calibri"/>
                        <w:color w:val="606163"/>
                        <w:w w:val="125"/>
                        <w:sz w:val="16"/>
                      </w:rPr>
                      <w:t>of</w:t>
                    </w:r>
                    <w:r>
                      <w:rPr>
                        <w:rFonts w:ascii="Calibri"/>
                        <w:color w:val="606163"/>
                        <w:spacing w:val="-16"/>
                        <w:w w:val="125"/>
                        <w:sz w:val="16"/>
                      </w:rPr>
                      <w:t> </w:t>
                    </w:r>
                    <w:r>
                      <w:rPr>
                        <w:rFonts w:ascii="Calibri"/>
                        <w:color w:val="606163"/>
                        <w:w w:val="125"/>
                        <w:sz w:val="16"/>
                      </w:rPr>
                      <w:t>naloxone</w:t>
                    </w:r>
                    <w:r>
                      <w:rPr>
                        <w:rFonts w:ascii="Calibri"/>
                        <w:color w:val="606163"/>
                        <w:spacing w:val="-15"/>
                        <w:w w:val="125"/>
                        <w:sz w:val="16"/>
                      </w:rPr>
                      <w:t> </w:t>
                    </w:r>
                    <w:r>
                      <w:rPr>
                        <w:rFonts w:ascii="Calibri"/>
                        <w:color w:val="606163"/>
                        <w:w w:val="125"/>
                        <w:sz w:val="16"/>
                      </w:rPr>
                      <w:t>than</w:t>
                    </w:r>
                    <w:r>
                      <w:rPr>
                        <w:rFonts w:ascii="Calibri"/>
                        <w:color w:val="606163"/>
                        <w:spacing w:val="-16"/>
                        <w:w w:val="125"/>
                        <w:sz w:val="16"/>
                      </w:rPr>
                      <w:t> </w:t>
                    </w:r>
                    <w:r>
                      <w:rPr>
                        <w:rFonts w:ascii="Calibri"/>
                        <w:color w:val="606163"/>
                        <w:w w:val="125"/>
                        <w:sz w:val="16"/>
                      </w:rPr>
                      <w:t>of</w:t>
                    </w:r>
                    <w:r>
                      <w:rPr>
                        <w:rFonts w:ascii="Calibri"/>
                        <w:color w:val="606163"/>
                        <w:spacing w:val="-16"/>
                        <w:w w:val="125"/>
                        <w:sz w:val="16"/>
                      </w:rPr>
                      <w:t> </w:t>
                    </w:r>
                    <w:r>
                      <w:rPr>
                        <w:rFonts w:ascii="Calibri"/>
                        <w:color w:val="606163"/>
                        <w:w w:val="125"/>
                        <w:sz w:val="16"/>
                      </w:rPr>
                      <w:t>buprenorphine.</w:t>
                    </w:r>
                    <w:r>
                      <w:rPr>
                        <w:rFonts w:ascii="Calibri"/>
                        <w:color w:val="606163"/>
                        <w:spacing w:val="-15"/>
                        <w:w w:val="125"/>
                        <w:sz w:val="16"/>
                      </w:rPr>
                      <w:t> </w:t>
                    </w:r>
                    <w:r>
                      <w:rPr>
                        <w:rFonts w:ascii="Calibri"/>
                        <w:color w:val="606163"/>
                        <w:w w:val="125"/>
                        <w:sz w:val="16"/>
                      </w:rPr>
                      <w:t>Nasser</w:t>
                    </w:r>
                    <w:r>
                      <w:rPr>
                        <w:rFonts w:ascii="Calibri"/>
                        <w:color w:val="606163"/>
                        <w:spacing w:val="-16"/>
                        <w:w w:val="125"/>
                        <w:sz w:val="16"/>
                      </w:rPr>
                      <w:t> </w:t>
                    </w:r>
                    <w:r>
                      <w:rPr>
                        <w:rFonts w:ascii="Calibri"/>
                        <w:color w:val="606163"/>
                        <w:w w:val="125"/>
                        <w:sz w:val="16"/>
                      </w:rPr>
                      <w:t>et al.</w:t>
                    </w:r>
                    <w:r>
                      <w:rPr>
                        <w:rFonts w:ascii="Calibri"/>
                        <w:color w:val="606163"/>
                        <w:w w:val="125"/>
                        <w:position w:val="5"/>
                        <w:sz w:val="9"/>
                      </w:rPr>
                      <w:t>274</w:t>
                    </w:r>
                    <w:r>
                      <w:rPr>
                        <w:rFonts w:ascii="Calibri"/>
                        <w:color w:val="606163"/>
                        <w:spacing w:val="10"/>
                        <w:w w:val="125"/>
                        <w:position w:val="5"/>
                        <w:sz w:val="9"/>
                      </w:rPr>
                      <w:t> </w:t>
                    </w:r>
                    <w:r>
                      <w:rPr>
                        <w:rFonts w:ascii="Calibri"/>
                        <w:color w:val="606163"/>
                        <w:w w:val="125"/>
                        <w:sz w:val="16"/>
                      </w:rPr>
                      <w:t>found</w:t>
                    </w:r>
                    <w:r>
                      <w:rPr>
                        <w:rFonts w:ascii="Calibri"/>
                        <w:color w:val="606163"/>
                        <w:spacing w:val="-10"/>
                        <w:w w:val="125"/>
                        <w:sz w:val="16"/>
                      </w:rPr>
                      <w:t> </w:t>
                    </w:r>
                    <w:r>
                      <w:rPr>
                        <w:rFonts w:ascii="Calibri"/>
                        <w:color w:val="606163"/>
                        <w:w w:val="125"/>
                        <w:sz w:val="16"/>
                      </w:rPr>
                      <w:t>that</w:t>
                    </w:r>
                    <w:r>
                      <w:rPr>
                        <w:rFonts w:ascii="Calibri"/>
                        <w:color w:val="606163"/>
                        <w:spacing w:val="-10"/>
                        <w:w w:val="125"/>
                        <w:sz w:val="16"/>
                      </w:rPr>
                      <w:t> </w:t>
                    </w:r>
                    <w:r>
                      <w:rPr>
                        <w:rFonts w:ascii="Calibri"/>
                        <w:color w:val="606163"/>
                        <w:w w:val="125"/>
                        <w:sz w:val="16"/>
                      </w:rPr>
                      <w:t>moderate</w:t>
                    </w:r>
                    <w:r>
                      <w:rPr>
                        <w:rFonts w:ascii="Calibri"/>
                        <w:color w:val="606163"/>
                        <w:spacing w:val="-10"/>
                        <w:w w:val="125"/>
                        <w:sz w:val="16"/>
                      </w:rPr>
                      <w:t> </w:t>
                    </w:r>
                    <w:r>
                      <w:rPr>
                        <w:rFonts w:ascii="Calibri"/>
                        <w:color w:val="606163"/>
                        <w:w w:val="125"/>
                        <w:sz w:val="16"/>
                      </w:rPr>
                      <w:t>impairment</w:t>
                    </w:r>
                    <w:r>
                      <w:rPr>
                        <w:rFonts w:ascii="Calibri"/>
                        <w:color w:val="606163"/>
                        <w:spacing w:val="-9"/>
                        <w:w w:val="125"/>
                        <w:sz w:val="16"/>
                      </w:rPr>
                      <w:t> </w:t>
                    </w:r>
                    <w:r>
                      <w:rPr>
                        <w:rFonts w:ascii="Calibri"/>
                        <w:color w:val="606163"/>
                        <w:w w:val="125"/>
                        <w:sz w:val="16"/>
                      </w:rPr>
                      <w:t>doubled</w:t>
                    </w:r>
                    <w:r>
                      <w:rPr>
                        <w:rFonts w:ascii="Calibri"/>
                        <w:color w:val="606163"/>
                        <w:spacing w:val="-10"/>
                        <w:w w:val="125"/>
                        <w:sz w:val="16"/>
                      </w:rPr>
                      <w:t> </w:t>
                    </w:r>
                    <w:r>
                      <w:rPr>
                        <w:rFonts w:ascii="Calibri"/>
                        <w:color w:val="606163"/>
                        <w:w w:val="125"/>
                        <w:sz w:val="16"/>
                      </w:rPr>
                      <w:t>or</w:t>
                    </w:r>
                    <w:r>
                      <w:rPr>
                        <w:rFonts w:ascii="Calibri"/>
                        <w:color w:val="606163"/>
                        <w:spacing w:val="-10"/>
                        <w:w w:val="125"/>
                        <w:sz w:val="16"/>
                      </w:rPr>
                      <w:t> </w:t>
                    </w:r>
                    <w:r>
                      <w:rPr>
                        <w:rFonts w:ascii="Calibri"/>
                        <w:color w:val="606163"/>
                        <w:w w:val="125"/>
                        <w:sz w:val="16"/>
                      </w:rPr>
                      <w:t>tripled</w:t>
                    </w:r>
                    <w:r>
                      <w:rPr>
                        <w:rFonts w:ascii="Calibri"/>
                        <w:color w:val="606163"/>
                        <w:spacing w:val="-10"/>
                        <w:w w:val="125"/>
                        <w:sz w:val="16"/>
                      </w:rPr>
                      <w:t> </w:t>
                    </w:r>
                    <w:r>
                      <w:rPr>
                        <w:rFonts w:ascii="Calibri"/>
                        <w:color w:val="606163"/>
                        <w:w w:val="125"/>
                        <w:sz w:val="16"/>
                      </w:rPr>
                      <w:t>exposure</w:t>
                    </w:r>
                    <w:r>
                      <w:rPr>
                        <w:rFonts w:ascii="Calibri"/>
                        <w:color w:val="606163"/>
                        <w:spacing w:val="-10"/>
                        <w:w w:val="125"/>
                        <w:sz w:val="16"/>
                      </w:rPr>
                      <w:t> </w:t>
                    </w:r>
                    <w:r>
                      <w:rPr>
                        <w:rFonts w:ascii="Calibri"/>
                        <w:color w:val="606163"/>
                        <w:w w:val="125"/>
                        <w:sz w:val="16"/>
                      </w:rPr>
                      <w:t>(compared</w:t>
                    </w:r>
                    <w:r>
                      <w:rPr>
                        <w:rFonts w:ascii="Calibri"/>
                        <w:color w:val="606163"/>
                        <w:spacing w:val="-10"/>
                        <w:w w:val="125"/>
                        <w:sz w:val="16"/>
                      </w:rPr>
                      <w:t> </w:t>
                    </w:r>
                    <w:r>
                      <w:rPr>
                        <w:rFonts w:ascii="Calibri"/>
                        <w:color w:val="606163"/>
                        <w:w w:val="125"/>
                        <w:sz w:val="16"/>
                      </w:rPr>
                      <w:t>with</w:t>
                    </w:r>
                    <w:r>
                      <w:rPr>
                        <w:rFonts w:ascii="Calibri"/>
                        <w:color w:val="606163"/>
                        <w:spacing w:val="-10"/>
                        <w:w w:val="125"/>
                        <w:sz w:val="16"/>
                      </w:rPr>
                      <w:t> </w:t>
                    </w:r>
                    <w:r>
                      <w:rPr>
                        <w:rFonts w:ascii="Calibri"/>
                        <w:color w:val="606163"/>
                        <w:w w:val="125"/>
                        <w:sz w:val="16"/>
                      </w:rPr>
                      <w:t>subjects</w:t>
                    </w:r>
                    <w:r>
                      <w:rPr>
                        <w:rFonts w:ascii="Calibri"/>
                        <w:color w:val="606163"/>
                        <w:spacing w:val="-9"/>
                        <w:w w:val="125"/>
                        <w:sz w:val="16"/>
                      </w:rPr>
                      <w:t> </w:t>
                    </w:r>
                    <w:r>
                      <w:rPr>
                        <w:rFonts w:ascii="Calibri"/>
                        <w:color w:val="606163"/>
                        <w:w w:val="125"/>
                        <w:sz w:val="16"/>
                      </w:rPr>
                      <w:t>with</w:t>
                    </w:r>
                    <w:r>
                      <w:rPr>
                        <w:rFonts w:ascii="Calibri"/>
                        <w:color w:val="606163"/>
                        <w:spacing w:val="-10"/>
                        <w:w w:val="125"/>
                        <w:sz w:val="16"/>
                      </w:rPr>
                      <w:t> </w:t>
                    </w:r>
                    <w:r>
                      <w:rPr>
                        <w:rFonts w:ascii="Calibri"/>
                        <w:color w:val="606163"/>
                        <w:w w:val="125"/>
                        <w:sz w:val="16"/>
                      </w:rPr>
                      <w:t>no</w:t>
                    </w:r>
                    <w:r>
                      <w:rPr>
                        <w:rFonts w:ascii="Calibri"/>
                        <w:color w:val="606163"/>
                        <w:spacing w:val="-10"/>
                        <w:w w:val="125"/>
                        <w:sz w:val="16"/>
                      </w:rPr>
                      <w:t> </w:t>
                    </w:r>
                    <w:r>
                      <w:rPr>
                        <w:rFonts w:ascii="Calibri"/>
                        <w:color w:val="606163"/>
                        <w:w w:val="125"/>
                        <w:sz w:val="16"/>
                      </w:rPr>
                      <w:t>or</w:t>
                    </w:r>
                    <w:r>
                      <w:rPr>
                        <w:rFonts w:ascii="Calibri"/>
                        <w:color w:val="606163"/>
                        <w:spacing w:val="-10"/>
                        <w:w w:val="125"/>
                        <w:sz w:val="16"/>
                      </w:rPr>
                      <w:t> </w:t>
                    </w:r>
                    <w:r>
                      <w:rPr>
                        <w:rFonts w:ascii="Calibri"/>
                        <w:color w:val="606163"/>
                        <w:w w:val="125"/>
                        <w:sz w:val="16"/>
                      </w:rPr>
                      <w:t>mild</w:t>
                    </w:r>
                    <w:r>
                      <w:rPr>
                        <w:rFonts w:ascii="Calibri"/>
                        <w:color w:val="606163"/>
                        <w:spacing w:val="-10"/>
                        <w:w w:val="125"/>
                        <w:sz w:val="16"/>
                      </w:rPr>
                      <w:t> </w:t>
                    </w:r>
                    <w:r>
                      <w:rPr>
                        <w:rFonts w:ascii="Calibri"/>
                        <w:color w:val="606163"/>
                        <w:w w:val="125"/>
                        <w:sz w:val="16"/>
                      </w:rPr>
                      <w:t>impairment) for both medications. In subjects with severe impairment, buprenorphine exposure was also two to three times higher; naloxone exposure increased more than</w:t>
                    </w:r>
                    <w:r>
                      <w:rPr>
                        <w:rFonts w:ascii="Calibri"/>
                        <w:color w:val="606163"/>
                        <w:spacing w:val="-24"/>
                        <w:w w:val="125"/>
                        <w:sz w:val="16"/>
                      </w:rPr>
                      <w:t> </w:t>
                    </w:r>
                    <w:r>
                      <w:rPr>
                        <w:rFonts w:ascii="Calibri"/>
                        <w:color w:val="606163"/>
                        <w:w w:val="125"/>
                        <w:sz w:val="16"/>
                      </w:rPr>
                      <w:t>tenfold.</w:t>
                    </w:r>
                  </w:p>
                  <w:p>
                    <w:pPr>
                      <w:spacing w:line="194" w:lineRule="exact" w:before="89"/>
                      <w:ind w:left="0" w:right="0" w:firstLine="0"/>
                      <w:jc w:val="left"/>
                      <w:rPr>
                        <w:rFonts w:ascii="Calibri"/>
                        <w:i/>
                        <w:sz w:val="9"/>
                      </w:rPr>
                    </w:pPr>
                    <w:r>
                      <w:rPr>
                        <w:rFonts w:ascii="Calibri"/>
                        <w:i/>
                        <w:color w:val="4D4D4F"/>
                        <w:w w:val="125"/>
                        <w:sz w:val="16"/>
                      </w:rPr>
                      <w:t>Adapted from material in the public domain.</w:t>
                    </w:r>
                    <w:r>
                      <w:rPr>
                        <w:rFonts w:ascii="Calibri"/>
                        <w:i/>
                        <w:color w:val="4D4D4F"/>
                        <w:w w:val="125"/>
                        <w:position w:val="5"/>
                        <w:sz w:val="9"/>
                      </w:rPr>
                      <w:t>275</w:t>
                    </w:r>
                  </w:p>
                </w:txbxContent>
              </v:textbox>
              <w10:wrap type="none"/>
            </v:shape>
            <w10:wrap type="none"/>
          </v:group>
        </w:pict>
      </w:r>
      <w:r>
        <w:rPr>
          <w:rFonts w:ascii="Calibri" w:hAnsi="Calibri"/>
          <w:b/>
          <w:color w:val="4D4D4F"/>
          <w:w w:val="110"/>
          <w:sz w:val="22"/>
        </w:rPr>
        <w:t>Unintentional pediatric exposure can be </w:t>
      </w:r>
      <w:r>
        <w:rPr>
          <w:rFonts w:ascii="Calibri" w:hAnsi="Calibri"/>
          <w:b/>
          <w:color w:val="4D4D4F"/>
          <w:spacing w:val="-4"/>
          <w:w w:val="110"/>
          <w:sz w:val="22"/>
        </w:rPr>
        <w:t>life </w:t>
      </w:r>
      <w:r>
        <w:rPr>
          <w:rFonts w:ascii="Calibri" w:hAnsi="Calibri"/>
          <w:b/>
          <w:color w:val="4D4D4F"/>
          <w:w w:val="110"/>
          <w:sz w:val="22"/>
        </w:rPr>
        <w:t>threatening or fatal.</w:t>
      </w:r>
      <w:r>
        <w:rPr>
          <w:rFonts w:ascii="Calibri" w:hAnsi="Calibri"/>
          <w:b/>
          <w:color w:val="4D4D4F"/>
          <w:w w:val="110"/>
          <w:position w:val="7"/>
          <w:sz w:val="13"/>
        </w:rPr>
        <w:t>259 </w:t>
      </w:r>
      <w:r>
        <w:rPr>
          <w:color w:val="4D4D4F"/>
          <w:w w:val="110"/>
          <w:sz w:val="22"/>
        </w:rPr>
        <w:t>Thus, emphasize safe storage of medication, and teach patients to remove any buprenorphine found in a </w:t>
      </w:r>
      <w:r>
        <w:rPr>
          <w:color w:val="4D4D4F"/>
          <w:spacing w:val="-3"/>
          <w:w w:val="110"/>
          <w:sz w:val="22"/>
        </w:rPr>
        <w:t>child’s </w:t>
      </w:r>
      <w:r>
        <w:rPr>
          <w:color w:val="4D4D4F"/>
          <w:w w:val="110"/>
          <w:sz w:val="22"/>
        </w:rPr>
        <w:t>mouth immediately (even if it was only a partial tablet or ﬁlm). Call 9-1-1 so the child can go to the nearest emergency department for immediate medical</w:t>
      </w:r>
      <w:r>
        <w:rPr>
          <w:color w:val="4D4D4F"/>
          <w:spacing w:val="-11"/>
          <w:w w:val="110"/>
          <w:sz w:val="22"/>
        </w:rPr>
        <w:t> </w:t>
      </w:r>
      <w:r>
        <w:rPr>
          <w:color w:val="4D4D4F"/>
          <w:w w:val="110"/>
          <w:sz w:val="22"/>
        </w:rPr>
        <w:t>attention.</w:t>
      </w:r>
    </w:p>
    <w:p>
      <w:pPr>
        <w:pStyle w:val="ListParagraph"/>
        <w:numPr>
          <w:ilvl w:val="0"/>
          <w:numId w:val="29"/>
        </w:numPr>
        <w:tabs>
          <w:tab w:pos="410" w:val="left" w:leader="none"/>
        </w:tabs>
        <w:spacing w:line="218" w:lineRule="auto" w:before="111" w:after="0"/>
        <w:ind w:left="410" w:right="292" w:hanging="270"/>
        <w:jc w:val="left"/>
        <w:rPr>
          <w:rFonts w:ascii="Arial" w:hAnsi="Arial"/>
          <w:color w:val="137692"/>
          <w:sz w:val="28"/>
        </w:rPr>
      </w:pPr>
      <w:r>
        <w:rPr>
          <w:rFonts w:ascii="Calibri" w:hAnsi="Calibri"/>
          <w:b/>
          <w:color w:val="4D4D4F"/>
          <w:w w:val="117"/>
          <w:sz w:val="22"/>
        </w:rPr>
        <w:br w:type="column"/>
      </w:r>
      <w:r>
        <w:rPr>
          <w:rFonts w:ascii="Calibri" w:hAnsi="Calibri"/>
          <w:b/>
          <w:color w:val="4D4D4F"/>
          <w:w w:val="115"/>
          <w:sz w:val="22"/>
        </w:rPr>
        <w:t>Cases of hepatitis and liver failure exist but often involve predisposing hepatic risk</w:t>
      </w:r>
      <w:r>
        <w:rPr>
          <w:rFonts w:ascii="Calibri" w:hAnsi="Calibri"/>
          <w:b/>
          <w:color w:val="4D4D4F"/>
          <w:spacing w:val="-10"/>
          <w:w w:val="115"/>
          <w:sz w:val="22"/>
        </w:rPr>
        <w:t> </w:t>
      </w:r>
      <w:r>
        <w:rPr>
          <w:rFonts w:ascii="Calibri" w:hAnsi="Calibri"/>
          <w:b/>
          <w:color w:val="4D4D4F"/>
          <w:w w:val="115"/>
          <w:sz w:val="22"/>
        </w:rPr>
        <w:t>factors,</w:t>
      </w:r>
      <w:r>
        <w:rPr>
          <w:rFonts w:ascii="Calibri" w:hAnsi="Calibri"/>
          <w:b/>
          <w:color w:val="4D4D4F"/>
          <w:spacing w:val="-12"/>
          <w:w w:val="115"/>
          <w:sz w:val="22"/>
        </w:rPr>
        <w:t> </w:t>
      </w:r>
      <w:r>
        <w:rPr>
          <w:color w:val="4D4D4F"/>
          <w:w w:val="115"/>
          <w:sz w:val="22"/>
        </w:rPr>
        <w:t>such</w:t>
      </w:r>
      <w:r>
        <w:rPr>
          <w:color w:val="4D4D4F"/>
          <w:spacing w:val="-25"/>
          <w:w w:val="115"/>
          <w:sz w:val="22"/>
        </w:rPr>
        <w:t> </w:t>
      </w:r>
      <w:r>
        <w:rPr>
          <w:color w:val="4D4D4F"/>
          <w:w w:val="115"/>
          <w:sz w:val="22"/>
        </w:rPr>
        <w:t>as</w:t>
      </w:r>
      <w:r>
        <w:rPr>
          <w:color w:val="4D4D4F"/>
          <w:spacing w:val="-25"/>
          <w:w w:val="115"/>
          <w:sz w:val="22"/>
        </w:rPr>
        <w:t> </w:t>
      </w:r>
      <w:r>
        <w:rPr>
          <w:color w:val="4D4D4F"/>
          <w:w w:val="115"/>
          <w:sz w:val="22"/>
        </w:rPr>
        <w:t>preexisting</w:t>
      </w:r>
      <w:r>
        <w:rPr>
          <w:color w:val="4D4D4F"/>
          <w:spacing w:val="-25"/>
          <w:w w:val="115"/>
          <w:sz w:val="22"/>
        </w:rPr>
        <w:t> </w:t>
      </w:r>
      <w:r>
        <w:rPr>
          <w:color w:val="4D4D4F"/>
          <w:w w:val="115"/>
          <w:sz w:val="22"/>
        </w:rPr>
        <w:t>liver</w:t>
      </w:r>
      <w:r>
        <w:rPr>
          <w:color w:val="4D4D4F"/>
          <w:spacing w:val="-25"/>
          <w:w w:val="115"/>
          <w:sz w:val="22"/>
        </w:rPr>
        <w:t> </w:t>
      </w:r>
      <w:r>
        <w:rPr>
          <w:color w:val="4D4D4F"/>
          <w:spacing w:val="-3"/>
          <w:w w:val="115"/>
          <w:sz w:val="22"/>
        </w:rPr>
        <w:t>enzyme</w:t>
      </w:r>
    </w:p>
    <w:p>
      <w:pPr>
        <w:pStyle w:val="BodyText"/>
        <w:spacing w:line="247" w:lineRule="auto" w:before="9"/>
        <w:ind w:left="410"/>
      </w:pPr>
      <w:r>
        <w:rPr>
          <w:color w:val="4D4D4F"/>
          <w:w w:val="110"/>
        </w:rPr>
        <w:t>abnormalities, hepatitis B or C infections, </w:t>
      </w:r>
      <w:r>
        <w:rPr>
          <w:color w:val="4D4D4F"/>
          <w:spacing w:val="-6"/>
          <w:w w:val="110"/>
        </w:rPr>
        <w:t>and </w:t>
      </w:r>
      <w:r>
        <w:rPr>
          <w:color w:val="4D4D4F"/>
          <w:w w:val="110"/>
        </w:rPr>
        <w:t>use of other potentially hepatotoxic</w:t>
      </w:r>
      <w:r>
        <w:rPr>
          <w:color w:val="4D4D4F"/>
          <w:spacing w:val="-5"/>
          <w:w w:val="110"/>
        </w:rPr>
        <w:t> </w:t>
      </w:r>
      <w:r>
        <w:rPr>
          <w:color w:val="4D4D4F"/>
          <w:w w:val="110"/>
        </w:rPr>
        <w:t>drugs</w:t>
      </w:r>
    </w:p>
    <w:p>
      <w:pPr>
        <w:pStyle w:val="BodyText"/>
        <w:spacing w:line="247" w:lineRule="auto" w:before="2"/>
        <w:ind w:left="410" w:right="241"/>
      </w:pPr>
      <w:r>
        <w:rPr>
          <w:color w:val="4D4D4F"/>
          <w:w w:val="110"/>
        </w:rPr>
        <w:t>or IV drugs. A multisite randomized trial of hepatic effects in patients taking methadone or buprenorphine found no evidence of liver damage in the ﬁrst 6 months of</w:t>
      </w:r>
      <w:r>
        <w:rPr>
          <w:color w:val="4D4D4F"/>
          <w:spacing w:val="-3"/>
          <w:w w:val="110"/>
        </w:rPr>
        <w:t> </w:t>
      </w:r>
      <w:r>
        <w:rPr>
          <w:color w:val="4D4D4F"/>
          <w:w w:val="110"/>
        </w:rPr>
        <w:t>treatment.</w:t>
      </w:r>
    </w:p>
    <w:p>
      <w:pPr>
        <w:pStyle w:val="BodyText"/>
        <w:spacing w:line="247" w:lineRule="auto" w:before="5"/>
        <w:ind w:left="409" w:right="173"/>
      </w:pPr>
      <w:r>
        <w:rPr>
          <w:color w:val="4D4D4F"/>
          <w:w w:val="110"/>
        </w:rPr>
        <w:t>The authors concluded that prescribing </w:t>
      </w:r>
      <w:r>
        <w:rPr>
          <w:color w:val="4D4D4F"/>
          <w:spacing w:val="-3"/>
          <w:w w:val="110"/>
        </w:rPr>
        <w:t>these medications should </w:t>
      </w:r>
      <w:r>
        <w:rPr>
          <w:color w:val="4D4D4F"/>
          <w:w w:val="110"/>
        </w:rPr>
        <w:t>not </w:t>
      </w:r>
      <w:r>
        <w:rPr>
          <w:color w:val="4D4D4F"/>
          <w:spacing w:val="-3"/>
          <w:w w:val="110"/>
        </w:rPr>
        <w:t>cause major concern </w:t>
      </w:r>
      <w:r>
        <w:rPr>
          <w:color w:val="4D4D4F"/>
          <w:w w:val="110"/>
        </w:rPr>
        <w:t>for </w:t>
      </w:r>
      <w:r>
        <w:rPr>
          <w:color w:val="4D4D4F"/>
          <w:spacing w:val="-3"/>
          <w:w w:val="110"/>
        </w:rPr>
        <w:t>liver </w:t>
      </w:r>
      <w:r>
        <w:rPr>
          <w:color w:val="4D4D4F"/>
          <w:spacing w:val="-5"/>
          <w:w w:val="110"/>
        </w:rPr>
        <w:t>injury.</w:t>
      </w:r>
      <w:r>
        <w:rPr>
          <w:color w:val="4D4D4F"/>
          <w:spacing w:val="-5"/>
          <w:w w:val="110"/>
          <w:position w:val="7"/>
          <w:sz w:val="13"/>
        </w:rPr>
        <w:t>260 </w:t>
      </w:r>
      <w:r>
        <w:rPr>
          <w:color w:val="4D4D4F"/>
          <w:spacing w:val="-3"/>
          <w:w w:val="110"/>
        </w:rPr>
        <w:t>Exhibit 3D.2 summarizes </w:t>
      </w:r>
      <w:r>
        <w:rPr>
          <w:color w:val="4D4D4F"/>
          <w:w w:val="110"/>
        </w:rPr>
        <w:t>man- agement of patients with hepatic impairment.</w:t>
      </w:r>
    </w:p>
    <w:p>
      <w:pPr>
        <w:spacing w:after="0" w:line="247" w:lineRule="auto"/>
        <w:sectPr>
          <w:type w:val="continuous"/>
          <w:pgSz w:w="12240" w:h="15840"/>
          <w:pgMar w:top="540" w:bottom="280" w:left="940" w:right="920"/>
          <w:cols w:num="2" w:equalWidth="0">
            <w:col w:w="5041" w:space="189"/>
            <w:col w:w="515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tbl>
      <w:tblPr>
        <w:tblW w:w="0" w:type="auto"/>
        <w:jc w:val="left"/>
        <w:tblInd w:w="3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3959"/>
        <w:gridCol w:w="5749"/>
      </w:tblGrid>
      <w:tr>
        <w:trPr>
          <w:trHeight w:val="452" w:hRule="atLeast"/>
        </w:trPr>
        <w:tc>
          <w:tcPr>
            <w:tcW w:w="9708" w:type="dxa"/>
            <w:gridSpan w:val="2"/>
            <w:shd w:val="clear" w:color="auto" w:fill="377F9A"/>
          </w:tcPr>
          <w:p>
            <w:pPr>
              <w:pStyle w:val="TableParagraph"/>
              <w:tabs>
                <w:tab w:pos="6169" w:val="left" w:leader="none"/>
              </w:tabs>
              <w:spacing w:before="151"/>
              <w:ind w:left="98"/>
              <w:rPr>
                <w:rFonts w:ascii="Arial"/>
                <w:b/>
                <w:sz w:val="17"/>
              </w:rPr>
            </w:pPr>
            <w:r>
              <w:rPr>
                <w:rFonts w:ascii="Arial"/>
                <w:b/>
                <w:color w:val="FFFFFF"/>
                <w:w w:val="110"/>
                <w:sz w:val="17"/>
              </w:rPr>
              <w:t>CONTRAINDICATION/CAUTION</w:t>
              <w:tab/>
              <w:t>MANAGEMENT</w:t>
            </w:r>
          </w:p>
        </w:tc>
      </w:tr>
      <w:tr>
        <w:trPr>
          <w:trHeight w:val="1573" w:hRule="atLeast"/>
        </w:trPr>
        <w:tc>
          <w:tcPr>
            <w:tcW w:w="3959" w:type="dxa"/>
            <w:tcBorders>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Compromised respiratory function</w:t>
            </w:r>
          </w:p>
          <w:p>
            <w:pPr>
              <w:pStyle w:val="TableParagraph"/>
              <w:spacing w:line="235" w:lineRule="auto" w:before="99"/>
              <w:ind w:left="101" w:right="46"/>
              <w:rPr>
                <w:sz w:val="18"/>
              </w:rPr>
            </w:pPr>
            <w:r>
              <w:rPr>
                <w:color w:val="414142"/>
                <w:w w:val="120"/>
                <w:sz w:val="18"/>
              </w:rPr>
              <w:t>For example, chronic obstructive pulmonary disease, decreased respiratory reserve, hypoxia, hypercapnia (abnormally elevated blood levels of carbon dioxide), preexisting respiratory depression.</w:t>
            </w:r>
          </w:p>
        </w:tc>
        <w:tc>
          <w:tcPr>
            <w:tcW w:w="5749" w:type="dxa"/>
            <w:tcBorders>
              <w:left w:val="single" w:sz="2" w:space="0" w:color="759EB4"/>
              <w:bottom w:val="single" w:sz="2" w:space="0" w:color="759EB4"/>
              <w:right w:val="nil"/>
            </w:tcBorders>
            <w:shd w:val="clear" w:color="auto" w:fill="FFF7F2"/>
          </w:tcPr>
          <w:p>
            <w:pPr>
              <w:pStyle w:val="TableParagraph"/>
              <w:numPr>
                <w:ilvl w:val="0"/>
                <w:numId w:val="35"/>
              </w:numPr>
              <w:tabs>
                <w:tab w:pos="278" w:val="left" w:leader="none"/>
              </w:tabs>
              <w:spacing w:line="314" w:lineRule="exact" w:before="39" w:after="0"/>
              <w:ind w:left="277" w:right="0" w:hanging="181"/>
              <w:jc w:val="left"/>
              <w:rPr>
                <w:sz w:val="18"/>
              </w:rPr>
            </w:pPr>
            <w:r>
              <w:rPr>
                <w:color w:val="414142"/>
                <w:w w:val="120"/>
                <w:sz w:val="18"/>
              </w:rPr>
              <w:t>Prescribe with caution; monitor</w:t>
            </w:r>
            <w:r>
              <w:rPr>
                <w:color w:val="414142"/>
                <w:spacing w:val="-5"/>
                <w:w w:val="120"/>
                <w:sz w:val="18"/>
              </w:rPr>
              <w:t> </w:t>
            </w:r>
            <w:r>
              <w:rPr>
                <w:color w:val="414142"/>
                <w:w w:val="120"/>
                <w:sz w:val="18"/>
              </w:rPr>
              <w:t>closely.</w:t>
            </w:r>
          </w:p>
          <w:p>
            <w:pPr>
              <w:pStyle w:val="TableParagraph"/>
              <w:numPr>
                <w:ilvl w:val="0"/>
                <w:numId w:val="35"/>
              </w:numPr>
              <w:tabs>
                <w:tab w:pos="278" w:val="left" w:leader="none"/>
              </w:tabs>
              <w:spacing w:line="192" w:lineRule="auto" w:before="36" w:after="0"/>
              <w:ind w:left="277" w:right="322" w:hanging="180"/>
              <w:jc w:val="left"/>
              <w:rPr>
                <w:sz w:val="10"/>
              </w:rPr>
            </w:pPr>
            <w:r>
              <w:rPr>
                <w:color w:val="414142"/>
                <w:spacing w:val="-3"/>
                <w:w w:val="125"/>
                <w:sz w:val="18"/>
              </w:rPr>
              <w:t>Warn</w:t>
            </w:r>
            <w:r>
              <w:rPr>
                <w:color w:val="414142"/>
                <w:spacing w:val="-8"/>
                <w:w w:val="125"/>
                <w:sz w:val="18"/>
              </w:rPr>
              <w:t> </w:t>
            </w:r>
            <w:r>
              <w:rPr>
                <w:color w:val="414142"/>
                <w:w w:val="125"/>
                <w:sz w:val="18"/>
              </w:rPr>
              <w:t>patients</w:t>
            </w:r>
            <w:r>
              <w:rPr>
                <w:color w:val="414142"/>
                <w:spacing w:val="-7"/>
                <w:w w:val="125"/>
                <w:sz w:val="18"/>
              </w:rPr>
              <w:t> </w:t>
            </w:r>
            <w:r>
              <w:rPr>
                <w:color w:val="414142"/>
                <w:w w:val="125"/>
                <w:sz w:val="18"/>
              </w:rPr>
              <w:t>about</w:t>
            </w:r>
            <w:r>
              <w:rPr>
                <w:color w:val="414142"/>
                <w:spacing w:val="-7"/>
                <w:w w:val="125"/>
                <w:sz w:val="18"/>
              </w:rPr>
              <w:t> </w:t>
            </w:r>
            <w:r>
              <w:rPr>
                <w:color w:val="414142"/>
                <w:w w:val="125"/>
                <w:sz w:val="18"/>
              </w:rPr>
              <w:t>the</w:t>
            </w:r>
            <w:r>
              <w:rPr>
                <w:color w:val="414142"/>
                <w:spacing w:val="-7"/>
                <w:w w:val="125"/>
                <w:sz w:val="18"/>
              </w:rPr>
              <w:t> </w:t>
            </w:r>
            <w:r>
              <w:rPr>
                <w:color w:val="414142"/>
                <w:w w:val="125"/>
                <w:sz w:val="18"/>
              </w:rPr>
              <w:t>risk</w:t>
            </w:r>
            <w:r>
              <w:rPr>
                <w:color w:val="414142"/>
                <w:spacing w:val="-8"/>
                <w:w w:val="125"/>
                <w:sz w:val="18"/>
              </w:rPr>
              <w:t> </w:t>
            </w:r>
            <w:r>
              <w:rPr>
                <w:color w:val="414142"/>
                <w:w w:val="125"/>
                <w:sz w:val="18"/>
              </w:rPr>
              <w:t>of</w:t>
            </w:r>
            <w:r>
              <w:rPr>
                <w:color w:val="414142"/>
                <w:spacing w:val="-7"/>
                <w:w w:val="125"/>
                <w:sz w:val="18"/>
              </w:rPr>
              <w:t> </w:t>
            </w:r>
            <w:r>
              <w:rPr>
                <w:color w:val="414142"/>
                <w:w w:val="125"/>
                <w:sz w:val="18"/>
              </w:rPr>
              <w:t>using</w:t>
            </w:r>
            <w:r>
              <w:rPr>
                <w:color w:val="414142"/>
                <w:spacing w:val="-7"/>
                <w:w w:val="125"/>
                <w:sz w:val="18"/>
              </w:rPr>
              <w:t> </w:t>
            </w:r>
            <w:r>
              <w:rPr>
                <w:color w:val="414142"/>
                <w:w w:val="125"/>
                <w:sz w:val="18"/>
              </w:rPr>
              <w:t>benzodiazepines</w:t>
            </w:r>
            <w:r>
              <w:rPr>
                <w:color w:val="414142"/>
                <w:spacing w:val="-7"/>
                <w:w w:val="125"/>
                <w:sz w:val="18"/>
              </w:rPr>
              <w:t> </w:t>
            </w:r>
            <w:r>
              <w:rPr>
                <w:color w:val="414142"/>
                <w:spacing w:val="-6"/>
                <w:w w:val="125"/>
                <w:sz w:val="18"/>
              </w:rPr>
              <w:t>or </w:t>
            </w:r>
            <w:r>
              <w:rPr>
                <w:color w:val="414142"/>
                <w:w w:val="125"/>
                <w:sz w:val="18"/>
              </w:rPr>
              <w:t>other depressants while taking</w:t>
            </w:r>
            <w:r>
              <w:rPr>
                <w:color w:val="414142"/>
                <w:spacing w:val="-27"/>
                <w:w w:val="125"/>
                <w:sz w:val="18"/>
              </w:rPr>
              <w:t> </w:t>
            </w:r>
            <w:r>
              <w:rPr>
                <w:color w:val="414142"/>
                <w:w w:val="125"/>
                <w:sz w:val="18"/>
              </w:rPr>
              <w:t>buprenorphine.</w:t>
            </w:r>
            <w:r>
              <w:rPr>
                <w:color w:val="414142"/>
                <w:w w:val="125"/>
                <w:position w:val="6"/>
                <w:sz w:val="10"/>
              </w:rPr>
              <w:t>263</w:t>
            </w:r>
          </w:p>
          <w:p>
            <w:pPr>
              <w:pStyle w:val="TableParagraph"/>
              <w:numPr>
                <w:ilvl w:val="0"/>
                <w:numId w:val="35"/>
              </w:numPr>
              <w:tabs>
                <w:tab w:pos="278" w:val="left" w:leader="none"/>
              </w:tabs>
              <w:spacing w:line="192" w:lineRule="auto" w:before="89" w:after="0"/>
              <w:ind w:left="277" w:right="263" w:hanging="180"/>
              <w:jc w:val="left"/>
              <w:rPr>
                <w:sz w:val="18"/>
              </w:rPr>
            </w:pPr>
            <w:r>
              <w:rPr>
                <w:color w:val="414142"/>
                <w:w w:val="125"/>
                <w:sz w:val="18"/>
              </w:rPr>
              <w:t>Support</w:t>
            </w:r>
            <w:r>
              <w:rPr>
                <w:color w:val="414142"/>
                <w:spacing w:val="-9"/>
                <w:w w:val="125"/>
                <w:sz w:val="18"/>
              </w:rPr>
              <w:t> </w:t>
            </w:r>
            <w:r>
              <w:rPr>
                <w:color w:val="414142"/>
                <w:w w:val="125"/>
                <w:sz w:val="18"/>
              </w:rPr>
              <w:t>patients</w:t>
            </w:r>
            <w:r>
              <w:rPr>
                <w:color w:val="414142"/>
                <w:spacing w:val="-9"/>
                <w:w w:val="125"/>
                <w:sz w:val="18"/>
              </w:rPr>
              <w:t> </w:t>
            </w:r>
            <w:r>
              <w:rPr>
                <w:color w:val="414142"/>
                <w:w w:val="125"/>
                <w:sz w:val="18"/>
              </w:rPr>
              <w:t>in</w:t>
            </w:r>
            <w:r>
              <w:rPr>
                <w:color w:val="414142"/>
                <w:spacing w:val="-9"/>
                <w:w w:val="125"/>
                <w:sz w:val="18"/>
              </w:rPr>
              <w:t> </w:t>
            </w:r>
            <w:r>
              <w:rPr>
                <w:color w:val="414142"/>
                <w:w w:val="125"/>
                <w:sz w:val="18"/>
              </w:rPr>
              <w:t>their</w:t>
            </w:r>
            <w:r>
              <w:rPr>
                <w:color w:val="414142"/>
                <w:spacing w:val="-8"/>
                <w:w w:val="125"/>
                <w:sz w:val="18"/>
              </w:rPr>
              <w:t> </w:t>
            </w:r>
            <w:r>
              <w:rPr>
                <w:color w:val="414142"/>
                <w:w w:val="125"/>
                <w:sz w:val="18"/>
              </w:rPr>
              <w:t>attempts</w:t>
            </w:r>
            <w:r>
              <w:rPr>
                <w:color w:val="414142"/>
                <w:spacing w:val="-9"/>
                <w:w w:val="125"/>
                <w:sz w:val="18"/>
              </w:rPr>
              <w:t> </w:t>
            </w:r>
            <w:r>
              <w:rPr>
                <w:color w:val="414142"/>
                <w:w w:val="125"/>
                <w:sz w:val="18"/>
              </w:rPr>
              <w:t>to</w:t>
            </w:r>
            <w:r>
              <w:rPr>
                <w:color w:val="414142"/>
                <w:spacing w:val="-9"/>
                <w:w w:val="125"/>
                <w:sz w:val="18"/>
              </w:rPr>
              <w:t> </w:t>
            </w:r>
            <w:r>
              <w:rPr>
                <w:color w:val="414142"/>
                <w:w w:val="125"/>
                <w:sz w:val="18"/>
              </w:rPr>
              <w:t>discontinue</w:t>
            </w:r>
            <w:r>
              <w:rPr>
                <w:color w:val="414142"/>
                <w:spacing w:val="-9"/>
                <w:w w:val="125"/>
                <w:sz w:val="18"/>
              </w:rPr>
              <w:t> </w:t>
            </w:r>
            <w:r>
              <w:rPr>
                <w:color w:val="414142"/>
                <w:w w:val="125"/>
                <w:sz w:val="18"/>
              </w:rPr>
              <w:t>tobacco use.</w:t>
            </w:r>
          </w:p>
        </w:tc>
      </w:tr>
      <w:tr>
        <w:trPr>
          <w:trHeight w:val="3897" w:hRule="atLeast"/>
        </w:trPr>
        <w:tc>
          <w:tcPr>
            <w:tcW w:w="3959"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Hepatic impairment</w:t>
            </w:r>
          </w:p>
          <w:p>
            <w:pPr>
              <w:pStyle w:val="TableParagraph"/>
              <w:spacing w:line="235" w:lineRule="auto" w:before="99"/>
              <w:ind w:left="101" w:right="195"/>
              <w:rPr>
                <w:sz w:val="10"/>
              </w:rPr>
            </w:pPr>
            <w:r>
              <w:rPr>
                <w:color w:val="414142"/>
                <w:w w:val="120"/>
                <w:sz w:val="18"/>
              </w:rPr>
              <w:t>Buprenorphine and naloxone are extensively metabolized by the liver. Moderate-to-severe impairment results in decreased clearance, increased </w:t>
            </w:r>
            <w:r>
              <w:rPr>
                <w:color w:val="414142"/>
                <w:spacing w:val="-4"/>
                <w:w w:val="120"/>
                <w:sz w:val="18"/>
              </w:rPr>
              <w:t>overall </w:t>
            </w:r>
            <w:r>
              <w:rPr>
                <w:color w:val="414142"/>
                <w:w w:val="120"/>
                <w:sz w:val="18"/>
              </w:rPr>
              <w:t>exposure to both medications, and higher risk of  buprenorphine  toxicity and precipitated withdrawal </w:t>
            </w:r>
            <w:r>
              <w:rPr>
                <w:color w:val="414142"/>
                <w:spacing w:val="2"/>
                <w:w w:val="120"/>
                <w:sz w:val="18"/>
              </w:rPr>
              <w:t>from </w:t>
            </w:r>
            <w:r>
              <w:rPr>
                <w:color w:val="414142"/>
                <w:w w:val="120"/>
                <w:sz w:val="18"/>
              </w:rPr>
              <w:t>naloxone. These effects have not been observed in patients with mild hepatic impairment.</w:t>
            </w:r>
            <w:r>
              <w:rPr>
                <w:color w:val="414142"/>
                <w:w w:val="120"/>
                <w:position w:val="6"/>
                <w:sz w:val="10"/>
              </w:rPr>
              <w:t>261,262</w:t>
            </w:r>
          </w:p>
        </w:tc>
        <w:tc>
          <w:tcPr>
            <w:tcW w:w="5749" w:type="dxa"/>
            <w:tcBorders>
              <w:top w:val="single" w:sz="2" w:space="0" w:color="759EB4"/>
              <w:left w:val="single" w:sz="2" w:space="0" w:color="759EB4"/>
              <w:bottom w:val="single" w:sz="18" w:space="0" w:color="377F9A"/>
              <w:right w:val="nil"/>
            </w:tcBorders>
            <w:shd w:val="clear" w:color="auto" w:fill="FFF7F2"/>
          </w:tcPr>
          <w:p>
            <w:pPr>
              <w:pStyle w:val="TableParagraph"/>
              <w:numPr>
                <w:ilvl w:val="0"/>
                <w:numId w:val="36"/>
              </w:numPr>
              <w:tabs>
                <w:tab w:pos="278" w:val="left" w:leader="none"/>
              </w:tabs>
              <w:spacing w:line="192" w:lineRule="auto" w:before="83" w:after="0"/>
              <w:ind w:left="277" w:right="600" w:hanging="180"/>
              <w:jc w:val="left"/>
              <w:rPr>
                <w:sz w:val="18"/>
              </w:rPr>
            </w:pPr>
            <w:r>
              <w:rPr>
                <w:color w:val="414142"/>
                <w:w w:val="125"/>
                <w:sz w:val="18"/>
              </w:rPr>
              <w:t>Mild</w:t>
            </w:r>
            <w:r>
              <w:rPr>
                <w:color w:val="414142"/>
                <w:spacing w:val="-15"/>
                <w:w w:val="125"/>
                <w:sz w:val="18"/>
              </w:rPr>
              <w:t> </w:t>
            </w:r>
            <w:r>
              <w:rPr>
                <w:color w:val="414142"/>
                <w:w w:val="125"/>
                <w:sz w:val="18"/>
              </w:rPr>
              <w:t>impairment</w:t>
            </w:r>
            <w:r>
              <w:rPr>
                <w:color w:val="414142"/>
                <w:spacing w:val="-14"/>
                <w:w w:val="125"/>
                <w:sz w:val="18"/>
              </w:rPr>
              <w:t> </w:t>
            </w:r>
            <w:r>
              <w:rPr>
                <w:color w:val="414142"/>
                <w:w w:val="125"/>
                <w:sz w:val="18"/>
              </w:rPr>
              <w:t>(Child-Pugh</w:t>
            </w:r>
            <w:r>
              <w:rPr>
                <w:color w:val="414142"/>
                <w:spacing w:val="-14"/>
                <w:w w:val="125"/>
                <w:sz w:val="18"/>
              </w:rPr>
              <w:t> </w:t>
            </w:r>
            <w:r>
              <w:rPr>
                <w:color w:val="414142"/>
                <w:w w:val="125"/>
                <w:sz w:val="18"/>
              </w:rPr>
              <w:t>score</w:t>
            </w:r>
            <w:r>
              <w:rPr>
                <w:color w:val="414142"/>
                <w:spacing w:val="-14"/>
                <w:w w:val="125"/>
                <w:sz w:val="18"/>
              </w:rPr>
              <w:t> </w:t>
            </w:r>
            <w:r>
              <w:rPr>
                <w:color w:val="414142"/>
                <w:w w:val="125"/>
                <w:sz w:val="18"/>
              </w:rPr>
              <w:t>of</w:t>
            </w:r>
            <w:r>
              <w:rPr>
                <w:color w:val="414142"/>
                <w:spacing w:val="-14"/>
                <w:w w:val="125"/>
                <w:sz w:val="18"/>
              </w:rPr>
              <w:t> </w:t>
            </w:r>
            <w:r>
              <w:rPr>
                <w:color w:val="414142"/>
                <w:w w:val="125"/>
                <w:sz w:val="18"/>
              </w:rPr>
              <w:t>5–6):</w:t>
            </w:r>
            <w:r>
              <w:rPr>
                <w:color w:val="414142"/>
                <w:w w:val="125"/>
                <w:position w:val="6"/>
                <w:sz w:val="10"/>
              </w:rPr>
              <w:t>264</w:t>
            </w:r>
            <w:r>
              <w:rPr>
                <w:color w:val="414142"/>
                <w:spacing w:val="8"/>
                <w:w w:val="125"/>
                <w:position w:val="6"/>
                <w:sz w:val="10"/>
              </w:rPr>
              <w:t> </w:t>
            </w:r>
            <w:r>
              <w:rPr>
                <w:color w:val="414142"/>
                <w:w w:val="125"/>
                <w:sz w:val="18"/>
              </w:rPr>
              <w:t>No</w:t>
            </w:r>
            <w:r>
              <w:rPr>
                <w:color w:val="414142"/>
                <w:spacing w:val="-14"/>
                <w:w w:val="125"/>
                <w:sz w:val="18"/>
              </w:rPr>
              <w:t> </w:t>
            </w:r>
            <w:r>
              <w:rPr>
                <w:color w:val="414142"/>
                <w:spacing w:val="-3"/>
                <w:w w:val="125"/>
                <w:sz w:val="18"/>
              </w:rPr>
              <w:t>dose </w:t>
            </w:r>
            <w:r>
              <w:rPr>
                <w:color w:val="414142"/>
                <w:w w:val="125"/>
                <w:sz w:val="18"/>
              </w:rPr>
              <w:t>adjustment</w:t>
            </w:r>
            <w:r>
              <w:rPr>
                <w:color w:val="414142"/>
                <w:spacing w:val="-5"/>
                <w:w w:val="125"/>
                <w:sz w:val="18"/>
              </w:rPr>
              <w:t> </w:t>
            </w:r>
            <w:r>
              <w:rPr>
                <w:color w:val="414142"/>
                <w:w w:val="125"/>
                <w:sz w:val="18"/>
              </w:rPr>
              <w:t>needed.</w:t>
            </w:r>
          </w:p>
          <w:p>
            <w:pPr>
              <w:pStyle w:val="TableParagraph"/>
              <w:numPr>
                <w:ilvl w:val="0"/>
                <w:numId w:val="36"/>
              </w:numPr>
              <w:tabs>
                <w:tab w:pos="278" w:val="left" w:leader="none"/>
              </w:tabs>
              <w:spacing w:line="211" w:lineRule="auto" w:before="71" w:after="0"/>
              <w:ind w:left="277" w:right="408" w:hanging="180"/>
              <w:jc w:val="left"/>
              <w:rPr>
                <w:sz w:val="18"/>
              </w:rPr>
            </w:pPr>
            <w:r>
              <w:rPr>
                <w:color w:val="414142"/>
                <w:w w:val="125"/>
                <w:sz w:val="18"/>
              </w:rPr>
              <w:t>Moderate impairment (Child-Pugh score of 7–9):</w:t>
            </w:r>
            <w:r>
              <w:rPr>
                <w:color w:val="414142"/>
                <w:w w:val="125"/>
                <w:position w:val="6"/>
                <w:sz w:val="10"/>
              </w:rPr>
              <w:t>265</w:t>
            </w:r>
            <w:r>
              <w:rPr>
                <w:color w:val="414142"/>
                <w:w w:val="125"/>
                <w:sz w:val="10"/>
              </w:rPr>
              <w:t> </w:t>
            </w:r>
            <w:r>
              <w:rPr>
                <w:color w:val="414142"/>
                <w:w w:val="125"/>
                <w:sz w:val="18"/>
              </w:rPr>
              <w:t>Combination</w:t>
            </w:r>
            <w:r>
              <w:rPr>
                <w:color w:val="414142"/>
                <w:spacing w:val="-9"/>
                <w:w w:val="125"/>
                <w:sz w:val="18"/>
              </w:rPr>
              <w:t> </w:t>
            </w:r>
            <w:r>
              <w:rPr>
                <w:color w:val="414142"/>
                <w:w w:val="125"/>
                <w:sz w:val="18"/>
              </w:rPr>
              <w:t>products</w:t>
            </w:r>
            <w:r>
              <w:rPr>
                <w:color w:val="414142"/>
                <w:spacing w:val="-8"/>
                <w:w w:val="125"/>
                <w:sz w:val="18"/>
              </w:rPr>
              <w:t> </w:t>
            </w:r>
            <w:r>
              <w:rPr>
                <w:color w:val="414142"/>
                <w:w w:val="125"/>
                <w:sz w:val="18"/>
              </w:rPr>
              <w:t>are</w:t>
            </w:r>
            <w:r>
              <w:rPr>
                <w:color w:val="414142"/>
                <w:spacing w:val="-9"/>
                <w:w w:val="125"/>
                <w:sz w:val="18"/>
              </w:rPr>
              <w:t> </w:t>
            </w:r>
            <w:r>
              <w:rPr>
                <w:color w:val="414142"/>
                <w:w w:val="125"/>
                <w:sz w:val="18"/>
              </w:rPr>
              <w:t>not</w:t>
            </w:r>
            <w:r>
              <w:rPr>
                <w:color w:val="414142"/>
                <w:spacing w:val="-8"/>
                <w:w w:val="125"/>
                <w:sz w:val="18"/>
              </w:rPr>
              <w:t> </w:t>
            </w:r>
            <w:r>
              <w:rPr>
                <w:color w:val="414142"/>
                <w:w w:val="125"/>
                <w:sz w:val="18"/>
              </w:rPr>
              <w:t>recommended;</w:t>
            </w:r>
            <w:r>
              <w:rPr>
                <w:color w:val="414142"/>
                <w:spacing w:val="-9"/>
                <w:w w:val="125"/>
                <w:sz w:val="18"/>
              </w:rPr>
              <w:t> </w:t>
            </w:r>
            <w:r>
              <w:rPr>
                <w:color w:val="414142"/>
                <w:w w:val="125"/>
                <w:sz w:val="18"/>
              </w:rPr>
              <w:t>they</w:t>
            </w:r>
            <w:r>
              <w:rPr>
                <w:color w:val="414142"/>
                <w:spacing w:val="-8"/>
                <w:w w:val="125"/>
                <w:sz w:val="18"/>
              </w:rPr>
              <w:t> </w:t>
            </w:r>
            <w:r>
              <w:rPr>
                <w:color w:val="414142"/>
                <w:w w:val="125"/>
                <w:sz w:val="18"/>
              </w:rPr>
              <w:t>may precipitate</w:t>
            </w:r>
            <w:r>
              <w:rPr>
                <w:color w:val="414142"/>
                <w:spacing w:val="-6"/>
                <w:w w:val="125"/>
                <w:sz w:val="18"/>
              </w:rPr>
              <w:t> </w:t>
            </w:r>
            <w:r>
              <w:rPr>
                <w:color w:val="414142"/>
                <w:w w:val="125"/>
                <w:sz w:val="18"/>
              </w:rPr>
              <w:t>withdrawal.</w:t>
            </w:r>
          </w:p>
          <w:p>
            <w:pPr>
              <w:pStyle w:val="TableParagraph"/>
              <w:spacing w:line="235" w:lineRule="auto" w:before="96"/>
              <w:ind w:left="277" w:right="100"/>
              <w:rPr>
                <w:sz w:val="10"/>
              </w:rPr>
            </w:pPr>
            <w:r>
              <w:rPr>
                <w:color w:val="414142"/>
                <w:w w:val="120"/>
                <w:sz w:val="18"/>
              </w:rPr>
              <w:t>*Use combination products cautiously for maintenance treatment in patients who’ve been inducted with a monoproduct;</w:t>
            </w:r>
            <w:r>
              <w:rPr>
                <w:color w:val="414142"/>
                <w:w w:val="120"/>
                <w:position w:val="6"/>
                <w:sz w:val="10"/>
              </w:rPr>
              <w:t>266,267 </w:t>
            </w:r>
            <w:r>
              <w:rPr>
                <w:color w:val="414142"/>
                <w:w w:val="120"/>
                <w:sz w:val="18"/>
              </w:rPr>
              <w:t>monitor for signs and symptoms of buprenorphine toxicity or overdose.</w:t>
            </w:r>
            <w:r>
              <w:rPr>
                <w:color w:val="414142"/>
                <w:w w:val="120"/>
                <w:position w:val="6"/>
                <w:sz w:val="10"/>
              </w:rPr>
              <w:t>268 </w:t>
            </w:r>
            <w:r>
              <w:rPr>
                <w:color w:val="414142"/>
                <w:w w:val="120"/>
                <w:sz w:val="18"/>
              </w:rPr>
              <w:t>Naloxone may interfere with buprenorphine’s efﬁcacy.</w:t>
            </w:r>
            <w:r>
              <w:rPr>
                <w:color w:val="414142"/>
                <w:w w:val="120"/>
                <w:position w:val="6"/>
                <w:sz w:val="10"/>
              </w:rPr>
              <w:t>269,270</w:t>
            </w:r>
          </w:p>
          <w:p>
            <w:pPr>
              <w:pStyle w:val="TableParagraph"/>
              <w:numPr>
                <w:ilvl w:val="0"/>
                <w:numId w:val="36"/>
              </w:numPr>
              <w:tabs>
                <w:tab w:pos="278" w:val="left" w:leader="none"/>
              </w:tabs>
              <w:spacing w:line="192" w:lineRule="auto" w:before="83" w:after="0"/>
              <w:ind w:left="277" w:right="86" w:hanging="180"/>
              <w:jc w:val="left"/>
              <w:rPr>
                <w:sz w:val="18"/>
              </w:rPr>
            </w:pPr>
            <w:r>
              <w:rPr>
                <w:color w:val="414142"/>
                <w:w w:val="120"/>
                <w:sz w:val="18"/>
              </w:rPr>
              <w:t>Severe impairment (Child-Pugh score of 10–15):</w:t>
            </w:r>
            <w:r>
              <w:rPr>
                <w:color w:val="414142"/>
                <w:w w:val="120"/>
                <w:position w:val="6"/>
                <w:sz w:val="10"/>
              </w:rPr>
              <w:t>271  </w:t>
            </w:r>
            <w:r>
              <w:rPr>
                <w:color w:val="414142"/>
                <w:w w:val="120"/>
                <w:sz w:val="18"/>
              </w:rPr>
              <w:t>Do not use</w:t>
            </w:r>
            <w:r>
              <w:rPr>
                <w:color w:val="414142"/>
                <w:spacing w:val="22"/>
                <w:w w:val="120"/>
                <w:sz w:val="18"/>
              </w:rPr>
              <w:t> </w:t>
            </w:r>
            <w:r>
              <w:rPr>
                <w:color w:val="414142"/>
                <w:w w:val="120"/>
                <w:sz w:val="18"/>
              </w:rPr>
              <w:t>the</w:t>
            </w:r>
            <w:r>
              <w:rPr>
                <w:color w:val="414142"/>
                <w:spacing w:val="23"/>
                <w:w w:val="120"/>
                <w:sz w:val="18"/>
              </w:rPr>
              <w:t> </w:t>
            </w:r>
            <w:r>
              <w:rPr>
                <w:color w:val="414142"/>
                <w:w w:val="120"/>
                <w:sz w:val="18"/>
              </w:rPr>
              <w:t>combination</w:t>
            </w:r>
            <w:r>
              <w:rPr>
                <w:color w:val="414142"/>
                <w:spacing w:val="22"/>
                <w:w w:val="120"/>
                <w:sz w:val="18"/>
              </w:rPr>
              <w:t> </w:t>
            </w:r>
            <w:r>
              <w:rPr>
                <w:color w:val="414142"/>
                <w:w w:val="120"/>
                <w:sz w:val="18"/>
              </w:rPr>
              <w:t>product.</w:t>
            </w:r>
            <w:r>
              <w:rPr>
                <w:color w:val="414142"/>
                <w:w w:val="120"/>
                <w:position w:val="6"/>
                <w:sz w:val="10"/>
              </w:rPr>
              <w:t>272</w:t>
            </w:r>
            <w:r>
              <w:rPr>
                <w:color w:val="414142"/>
                <w:spacing w:val="17"/>
                <w:w w:val="120"/>
                <w:position w:val="6"/>
                <w:sz w:val="10"/>
              </w:rPr>
              <w:t> </w:t>
            </w:r>
            <w:r>
              <w:rPr>
                <w:color w:val="414142"/>
                <w:w w:val="120"/>
                <w:sz w:val="18"/>
              </w:rPr>
              <w:t>For</w:t>
            </w:r>
            <w:r>
              <w:rPr>
                <w:color w:val="414142"/>
                <w:spacing w:val="22"/>
                <w:w w:val="120"/>
                <w:sz w:val="18"/>
              </w:rPr>
              <w:t> </w:t>
            </w:r>
            <w:r>
              <w:rPr>
                <w:color w:val="414142"/>
                <w:w w:val="120"/>
                <w:sz w:val="18"/>
              </w:rPr>
              <w:t>monoproduct,</w:t>
            </w:r>
            <w:r>
              <w:rPr>
                <w:color w:val="414142"/>
                <w:spacing w:val="23"/>
                <w:w w:val="120"/>
                <w:sz w:val="18"/>
              </w:rPr>
              <w:t> </w:t>
            </w:r>
            <w:r>
              <w:rPr>
                <w:color w:val="414142"/>
                <w:w w:val="120"/>
                <w:sz w:val="18"/>
              </w:rPr>
              <w:t>consider</w:t>
            </w:r>
          </w:p>
          <w:p>
            <w:pPr>
              <w:pStyle w:val="TableParagraph"/>
              <w:spacing w:line="235" w:lineRule="auto" w:before="9"/>
              <w:ind w:left="277" w:right="100"/>
              <w:rPr>
                <w:sz w:val="10"/>
              </w:rPr>
            </w:pPr>
            <w:r>
              <w:rPr>
                <w:color w:val="414142"/>
                <w:w w:val="125"/>
                <w:sz w:val="18"/>
              </w:rPr>
              <w:t>halving the starting and titration doses used in patients with</w:t>
            </w:r>
            <w:r>
              <w:rPr>
                <w:color w:val="414142"/>
                <w:spacing w:val="-12"/>
                <w:w w:val="125"/>
                <w:sz w:val="18"/>
              </w:rPr>
              <w:t> </w:t>
            </w:r>
            <w:r>
              <w:rPr>
                <w:color w:val="414142"/>
                <w:w w:val="125"/>
                <w:sz w:val="18"/>
              </w:rPr>
              <w:t>normal</w:t>
            </w:r>
            <w:r>
              <w:rPr>
                <w:color w:val="414142"/>
                <w:spacing w:val="-11"/>
                <w:w w:val="125"/>
                <w:sz w:val="18"/>
              </w:rPr>
              <w:t> </w:t>
            </w:r>
            <w:r>
              <w:rPr>
                <w:color w:val="414142"/>
                <w:w w:val="125"/>
                <w:sz w:val="18"/>
              </w:rPr>
              <w:t>liver</w:t>
            </w:r>
            <w:r>
              <w:rPr>
                <w:color w:val="414142"/>
                <w:spacing w:val="-11"/>
                <w:w w:val="125"/>
                <w:sz w:val="18"/>
              </w:rPr>
              <w:t> </w:t>
            </w:r>
            <w:r>
              <w:rPr>
                <w:color w:val="414142"/>
                <w:w w:val="125"/>
                <w:sz w:val="18"/>
              </w:rPr>
              <w:t>function;</w:t>
            </w:r>
            <w:r>
              <w:rPr>
                <w:color w:val="414142"/>
                <w:spacing w:val="-11"/>
                <w:w w:val="125"/>
                <w:sz w:val="18"/>
              </w:rPr>
              <w:t> </w:t>
            </w:r>
            <w:r>
              <w:rPr>
                <w:color w:val="414142"/>
                <w:w w:val="125"/>
                <w:sz w:val="18"/>
              </w:rPr>
              <w:t>monitor</w:t>
            </w:r>
            <w:r>
              <w:rPr>
                <w:color w:val="414142"/>
                <w:spacing w:val="-11"/>
                <w:w w:val="125"/>
                <w:sz w:val="18"/>
              </w:rPr>
              <w:t> </w:t>
            </w:r>
            <w:r>
              <w:rPr>
                <w:color w:val="414142"/>
                <w:w w:val="125"/>
                <w:sz w:val="18"/>
              </w:rPr>
              <w:t>for</w:t>
            </w:r>
            <w:r>
              <w:rPr>
                <w:color w:val="414142"/>
                <w:spacing w:val="-11"/>
                <w:w w:val="125"/>
                <w:sz w:val="18"/>
              </w:rPr>
              <w:t> </w:t>
            </w:r>
            <w:r>
              <w:rPr>
                <w:color w:val="414142"/>
                <w:w w:val="125"/>
                <w:sz w:val="18"/>
              </w:rPr>
              <w:t>signs</w:t>
            </w:r>
            <w:r>
              <w:rPr>
                <w:color w:val="414142"/>
                <w:spacing w:val="-11"/>
                <w:w w:val="125"/>
                <w:sz w:val="18"/>
              </w:rPr>
              <w:t> </w:t>
            </w:r>
            <w:r>
              <w:rPr>
                <w:color w:val="414142"/>
                <w:w w:val="125"/>
                <w:sz w:val="18"/>
              </w:rPr>
              <w:t>and</w:t>
            </w:r>
            <w:r>
              <w:rPr>
                <w:color w:val="414142"/>
                <w:spacing w:val="-12"/>
                <w:w w:val="125"/>
                <w:sz w:val="18"/>
              </w:rPr>
              <w:t> </w:t>
            </w:r>
            <w:r>
              <w:rPr>
                <w:color w:val="414142"/>
                <w:w w:val="125"/>
                <w:sz w:val="18"/>
              </w:rPr>
              <w:t>symptoms of</w:t>
            </w:r>
            <w:r>
              <w:rPr>
                <w:color w:val="414142"/>
                <w:spacing w:val="-15"/>
                <w:w w:val="125"/>
                <w:sz w:val="18"/>
              </w:rPr>
              <w:t> </w:t>
            </w:r>
            <w:r>
              <w:rPr>
                <w:color w:val="414142"/>
                <w:w w:val="125"/>
                <w:sz w:val="18"/>
              </w:rPr>
              <w:t>toxicity</w:t>
            </w:r>
            <w:r>
              <w:rPr>
                <w:color w:val="414142"/>
                <w:spacing w:val="-15"/>
                <w:w w:val="125"/>
                <w:sz w:val="18"/>
              </w:rPr>
              <w:t> </w:t>
            </w:r>
            <w:r>
              <w:rPr>
                <w:color w:val="414142"/>
                <w:w w:val="125"/>
                <w:sz w:val="18"/>
              </w:rPr>
              <w:t>or</w:t>
            </w:r>
            <w:r>
              <w:rPr>
                <w:color w:val="414142"/>
                <w:spacing w:val="-14"/>
                <w:w w:val="125"/>
                <w:sz w:val="18"/>
              </w:rPr>
              <w:t> </w:t>
            </w:r>
            <w:r>
              <w:rPr>
                <w:color w:val="414142"/>
                <w:w w:val="125"/>
                <w:sz w:val="18"/>
              </w:rPr>
              <w:t>overdose</w:t>
            </w:r>
            <w:r>
              <w:rPr>
                <w:color w:val="414142"/>
                <w:spacing w:val="-15"/>
                <w:w w:val="125"/>
                <w:sz w:val="18"/>
              </w:rPr>
              <w:t> </w:t>
            </w:r>
            <w:r>
              <w:rPr>
                <w:color w:val="414142"/>
                <w:w w:val="125"/>
                <w:sz w:val="18"/>
              </w:rPr>
              <w:t>caused</w:t>
            </w:r>
            <w:r>
              <w:rPr>
                <w:color w:val="414142"/>
                <w:spacing w:val="-15"/>
                <w:w w:val="125"/>
                <w:sz w:val="18"/>
              </w:rPr>
              <w:t> </w:t>
            </w:r>
            <w:r>
              <w:rPr>
                <w:color w:val="414142"/>
                <w:w w:val="125"/>
                <w:sz w:val="18"/>
              </w:rPr>
              <w:t>by</w:t>
            </w:r>
            <w:r>
              <w:rPr>
                <w:color w:val="414142"/>
                <w:spacing w:val="-14"/>
                <w:w w:val="125"/>
                <w:sz w:val="18"/>
              </w:rPr>
              <w:t> </w:t>
            </w:r>
            <w:r>
              <w:rPr>
                <w:color w:val="414142"/>
                <w:w w:val="125"/>
                <w:sz w:val="18"/>
              </w:rPr>
              <w:t>increased</w:t>
            </w:r>
            <w:r>
              <w:rPr>
                <w:color w:val="414142"/>
                <w:spacing w:val="-15"/>
                <w:w w:val="125"/>
                <w:sz w:val="18"/>
              </w:rPr>
              <w:t> </w:t>
            </w:r>
            <w:r>
              <w:rPr>
                <w:color w:val="414142"/>
                <w:w w:val="125"/>
                <w:sz w:val="18"/>
              </w:rPr>
              <w:t>buprenorphine levels.</w:t>
            </w:r>
            <w:r>
              <w:rPr>
                <w:color w:val="414142"/>
                <w:w w:val="125"/>
                <w:position w:val="6"/>
                <w:sz w:val="10"/>
              </w:rPr>
              <w:t>273</w:t>
            </w:r>
          </w:p>
        </w:tc>
      </w:tr>
    </w:tbl>
    <w:p>
      <w:pPr>
        <w:spacing w:after="0" w:line="235" w:lineRule="auto"/>
        <w:rPr>
          <w:sz w:val="10"/>
        </w:rPr>
        <w:sectPr>
          <w:type w:val="continuous"/>
          <w:pgSz w:w="12240" w:h="15840"/>
          <w:pgMar w:top="540" w:bottom="280" w:left="940" w:right="920"/>
        </w:sectPr>
      </w:pPr>
    </w:p>
    <w:p>
      <w:pPr>
        <w:pStyle w:val="BodyText"/>
        <w:spacing w:before="3"/>
        <w:rPr>
          <w:sz w:val="26"/>
        </w:rPr>
      </w:pPr>
    </w:p>
    <w:p>
      <w:pPr>
        <w:spacing w:after="0"/>
        <w:rPr>
          <w:sz w:val="26"/>
        </w:rPr>
        <w:sectPr>
          <w:pgSz w:w="12240" w:h="15840"/>
          <w:pgMar w:header="576" w:footer="677" w:top="1340" w:bottom="860" w:left="940" w:right="920"/>
        </w:sectPr>
      </w:pPr>
    </w:p>
    <w:p>
      <w:pPr>
        <w:pStyle w:val="ListParagraph"/>
        <w:numPr>
          <w:ilvl w:val="0"/>
          <w:numId w:val="29"/>
        </w:numPr>
        <w:tabs>
          <w:tab w:pos="410" w:val="left" w:leader="none"/>
        </w:tabs>
        <w:spacing w:line="264" w:lineRule="exact" w:before="106" w:after="0"/>
        <w:ind w:left="410" w:right="352" w:hanging="270"/>
        <w:jc w:val="left"/>
        <w:rPr>
          <w:rFonts w:ascii="Arial" w:hAnsi="Arial"/>
          <w:color w:val="137692"/>
          <w:sz w:val="28"/>
        </w:rPr>
      </w:pPr>
      <w:r>
        <w:rPr>
          <w:rFonts w:ascii="Calibri" w:hAnsi="Calibri"/>
          <w:b/>
          <w:color w:val="4D4D4F"/>
          <w:w w:val="110"/>
          <w:sz w:val="22"/>
        </w:rPr>
        <w:t>Potential for misuse and diversion exists. </w:t>
      </w:r>
      <w:r>
        <w:rPr>
          <w:color w:val="4D4D4F"/>
          <w:w w:val="110"/>
          <w:sz w:val="22"/>
        </w:rPr>
        <w:t>People can misuse buprenorphine via </w:t>
      </w:r>
      <w:r>
        <w:rPr>
          <w:color w:val="4D4D4F"/>
          <w:spacing w:val="-3"/>
          <w:w w:val="110"/>
          <w:sz w:val="22"/>
        </w:rPr>
        <w:t>intra- </w:t>
      </w:r>
      <w:r>
        <w:rPr>
          <w:color w:val="4D4D4F"/>
          <w:w w:val="110"/>
          <w:sz w:val="22"/>
        </w:rPr>
        <w:t>nasal or IV routes or divert it for others to misuse. Do not give early or multiple reﬁlls without careful assessment and monitoring suited to the patient’s level of</w:t>
      </w:r>
      <w:r>
        <w:rPr>
          <w:color w:val="4D4D4F"/>
          <w:spacing w:val="23"/>
          <w:w w:val="110"/>
          <w:sz w:val="22"/>
        </w:rPr>
        <w:t> </w:t>
      </w:r>
      <w:r>
        <w:rPr>
          <w:color w:val="4D4D4F"/>
          <w:w w:val="110"/>
          <w:sz w:val="22"/>
        </w:rPr>
        <w:t>stability.</w:t>
      </w:r>
      <w:r>
        <w:rPr>
          <w:color w:val="4D4D4F"/>
          <w:w w:val="110"/>
          <w:position w:val="7"/>
          <w:sz w:val="13"/>
        </w:rPr>
        <w:t>276,277</w:t>
      </w:r>
    </w:p>
    <w:p>
      <w:pPr>
        <w:pStyle w:val="ListParagraph"/>
        <w:numPr>
          <w:ilvl w:val="0"/>
          <w:numId w:val="29"/>
        </w:numPr>
        <w:tabs>
          <w:tab w:pos="410" w:val="left" w:leader="none"/>
        </w:tabs>
        <w:spacing w:line="313" w:lineRule="exact" w:before="32" w:after="0"/>
        <w:ind w:left="410" w:right="0" w:hanging="270"/>
        <w:jc w:val="left"/>
        <w:rPr>
          <w:rFonts w:ascii="Arial" w:hAnsi="Arial"/>
          <w:color w:val="137692"/>
          <w:sz w:val="28"/>
        </w:rPr>
      </w:pPr>
      <w:r>
        <w:rPr>
          <w:color w:val="4D4D4F"/>
          <w:w w:val="115"/>
          <w:sz w:val="22"/>
        </w:rPr>
        <w:t>Discourage</w:t>
      </w:r>
      <w:r>
        <w:rPr>
          <w:color w:val="4D4D4F"/>
          <w:spacing w:val="-14"/>
          <w:w w:val="115"/>
          <w:sz w:val="22"/>
        </w:rPr>
        <w:t> </w:t>
      </w:r>
      <w:r>
        <w:rPr>
          <w:color w:val="4D4D4F"/>
          <w:w w:val="115"/>
          <w:sz w:val="22"/>
        </w:rPr>
        <w:t>misuse</w:t>
      </w:r>
      <w:r>
        <w:rPr>
          <w:color w:val="4D4D4F"/>
          <w:spacing w:val="-13"/>
          <w:w w:val="115"/>
          <w:sz w:val="22"/>
        </w:rPr>
        <w:t> </w:t>
      </w:r>
      <w:r>
        <w:rPr>
          <w:color w:val="4D4D4F"/>
          <w:w w:val="115"/>
          <w:sz w:val="22"/>
        </w:rPr>
        <w:t>and</w:t>
      </w:r>
      <w:r>
        <w:rPr>
          <w:color w:val="4D4D4F"/>
          <w:spacing w:val="-14"/>
          <w:w w:val="115"/>
          <w:sz w:val="22"/>
        </w:rPr>
        <w:t> </w:t>
      </w:r>
      <w:r>
        <w:rPr>
          <w:color w:val="4D4D4F"/>
          <w:w w:val="115"/>
          <w:sz w:val="22"/>
        </w:rPr>
        <w:t>diversion</w:t>
      </w:r>
      <w:r>
        <w:rPr>
          <w:color w:val="4D4D4F"/>
          <w:spacing w:val="-13"/>
          <w:w w:val="115"/>
          <w:sz w:val="22"/>
        </w:rPr>
        <w:t> </w:t>
      </w:r>
      <w:r>
        <w:rPr>
          <w:color w:val="4D4D4F"/>
          <w:w w:val="115"/>
          <w:sz w:val="22"/>
        </w:rPr>
        <w:t>by:</w:t>
      </w:r>
    </w:p>
    <w:p>
      <w:pPr>
        <w:pStyle w:val="ListParagraph"/>
        <w:numPr>
          <w:ilvl w:val="1"/>
          <w:numId w:val="29"/>
        </w:numPr>
        <w:tabs>
          <w:tab w:pos="716" w:val="left" w:leader="none"/>
        </w:tabs>
        <w:spacing w:line="247" w:lineRule="auto" w:before="0" w:after="0"/>
        <w:ind w:left="716" w:right="833" w:hanging="270"/>
        <w:jc w:val="left"/>
        <w:rPr>
          <w:rFonts w:ascii="Arial" w:hAnsi="Arial"/>
          <w:color w:val="137692"/>
          <w:sz w:val="24"/>
        </w:rPr>
      </w:pPr>
      <w:r>
        <w:rPr>
          <w:color w:val="4D4D4F"/>
          <w:w w:val="110"/>
          <w:sz w:val="22"/>
        </w:rPr>
        <w:t>Requiring frequent ofﬁce visits </w:t>
      </w:r>
      <w:r>
        <w:rPr>
          <w:color w:val="4D4D4F"/>
          <w:spacing w:val="-4"/>
          <w:w w:val="110"/>
          <w:sz w:val="22"/>
        </w:rPr>
        <w:t>until </w:t>
      </w:r>
      <w:r>
        <w:rPr>
          <w:color w:val="4D4D4F"/>
          <w:w w:val="110"/>
          <w:sz w:val="22"/>
        </w:rPr>
        <w:t>patients are</w:t>
      </w:r>
      <w:r>
        <w:rPr>
          <w:color w:val="4D4D4F"/>
          <w:spacing w:val="-9"/>
          <w:w w:val="110"/>
          <w:sz w:val="22"/>
        </w:rPr>
        <w:t> </w:t>
      </w:r>
      <w:r>
        <w:rPr>
          <w:color w:val="4D4D4F"/>
          <w:w w:val="110"/>
          <w:sz w:val="22"/>
        </w:rPr>
        <w:t>stable.</w:t>
      </w:r>
    </w:p>
    <w:p>
      <w:pPr>
        <w:pStyle w:val="ListParagraph"/>
        <w:numPr>
          <w:ilvl w:val="1"/>
          <w:numId w:val="29"/>
        </w:numPr>
        <w:tabs>
          <w:tab w:pos="716" w:val="left" w:leader="none"/>
        </w:tabs>
        <w:spacing w:line="247" w:lineRule="auto" w:before="15" w:after="0"/>
        <w:ind w:left="716" w:right="38" w:hanging="270"/>
        <w:jc w:val="both"/>
        <w:rPr>
          <w:rFonts w:ascii="Arial" w:hAnsi="Arial"/>
          <w:color w:val="137692"/>
          <w:sz w:val="24"/>
        </w:rPr>
      </w:pPr>
      <w:r>
        <w:rPr>
          <w:color w:val="4D4D4F"/>
          <w:spacing w:val="-4"/>
          <w:w w:val="110"/>
          <w:sz w:val="22"/>
        </w:rPr>
        <w:t>Testing </w:t>
      </w:r>
      <w:r>
        <w:rPr>
          <w:color w:val="4D4D4F"/>
          <w:w w:val="110"/>
          <w:sz w:val="22"/>
        </w:rPr>
        <w:t>urine for buprenorphine and </w:t>
      </w:r>
      <w:r>
        <w:rPr>
          <w:color w:val="4D4D4F"/>
          <w:spacing w:val="-3"/>
          <w:w w:val="110"/>
          <w:sz w:val="22"/>
        </w:rPr>
        <w:t>norbu- </w:t>
      </w:r>
      <w:r>
        <w:rPr>
          <w:color w:val="4D4D4F"/>
          <w:w w:val="110"/>
          <w:sz w:val="22"/>
        </w:rPr>
        <w:t>prenorphine or buprenorphine glucuronide (both metabolites of</w:t>
      </w:r>
      <w:r>
        <w:rPr>
          <w:color w:val="4D4D4F"/>
          <w:spacing w:val="-11"/>
          <w:w w:val="110"/>
          <w:sz w:val="22"/>
        </w:rPr>
        <w:t> </w:t>
      </w:r>
      <w:r>
        <w:rPr>
          <w:color w:val="4D4D4F"/>
          <w:w w:val="110"/>
          <w:sz w:val="22"/>
        </w:rPr>
        <w:t>buprenorphine).</w:t>
      </w:r>
    </w:p>
    <w:p>
      <w:pPr>
        <w:pStyle w:val="ListParagraph"/>
        <w:numPr>
          <w:ilvl w:val="1"/>
          <w:numId w:val="29"/>
        </w:numPr>
        <w:tabs>
          <w:tab w:pos="716" w:val="left" w:leader="none"/>
        </w:tabs>
        <w:spacing w:line="247" w:lineRule="auto" w:before="26" w:after="0"/>
        <w:ind w:left="716" w:right="197" w:hanging="270"/>
        <w:jc w:val="left"/>
        <w:rPr>
          <w:rFonts w:ascii="Arial" w:hAnsi="Arial"/>
          <w:color w:val="137692"/>
          <w:sz w:val="24"/>
        </w:rPr>
      </w:pPr>
      <w:r>
        <w:rPr>
          <w:color w:val="4D4D4F"/>
          <w:w w:val="115"/>
          <w:sz w:val="22"/>
        </w:rPr>
        <w:t>Using</w:t>
      </w:r>
      <w:r>
        <w:rPr>
          <w:color w:val="4D4D4F"/>
          <w:spacing w:val="-28"/>
          <w:w w:val="115"/>
          <w:sz w:val="22"/>
        </w:rPr>
        <w:t> </w:t>
      </w:r>
      <w:r>
        <w:rPr>
          <w:color w:val="4D4D4F"/>
          <w:w w:val="115"/>
          <w:sz w:val="22"/>
        </w:rPr>
        <w:t>other</w:t>
      </w:r>
      <w:r>
        <w:rPr>
          <w:color w:val="4D4D4F"/>
          <w:spacing w:val="-28"/>
          <w:w w:val="115"/>
          <w:sz w:val="22"/>
        </w:rPr>
        <w:t> </w:t>
      </w:r>
      <w:r>
        <w:rPr>
          <w:color w:val="4D4D4F"/>
          <w:w w:val="115"/>
          <w:sz w:val="22"/>
        </w:rPr>
        <w:t>methods</w:t>
      </w:r>
      <w:r>
        <w:rPr>
          <w:color w:val="4D4D4F"/>
          <w:spacing w:val="-27"/>
          <w:w w:val="115"/>
          <w:sz w:val="22"/>
        </w:rPr>
        <w:t> </w:t>
      </w:r>
      <w:r>
        <w:rPr>
          <w:color w:val="4D4D4F"/>
          <w:w w:val="115"/>
          <w:sz w:val="22"/>
        </w:rPr>
        <w:t>to</w:t>
      </w:r>
      <w:r>
        <w:rPr>
          <w:color w:val="4D4D4F"/>
          <w:spacing w:val="-28"/>
          <w:w w:val="115"/>
          <w:sz w:val="22"/>
        </w:rPr>
        <w:t> </w:t>
      </w:r>
      <w:r>
        <w:rPr>
          <w:color w:val="4D4D4F"/>
          <w:w w:val="115"/>
          <w:sz w:val="22"/>
        </w:rPr>
        <w:t>ensure</w:t>
      </w:r>
      <w:r>
        <w:rPr>
          <w:color w:val="4D4D4F"/>
          <w:spacing w:val="-27"/>
          <w:w w:val="115"/>
          <w:sz w:val="22"/>
        </w:rPr>
        <w:t> </w:t>
      </w:r>
      <w:r>
        <w:rPr>
          <w:color w:val="4D4D4F"/>
          <w:w w:val="115"/>
          <w:sz w:val="22"/>
        </w:rPr>
        <w:t>adequate adherence to the medication as pre- scribed, such as developing and </w:t>
      </w:r>
      <w:r>
        <w:rPr>
          <w:color w:val="4D4D4F"/>
          <w:spacing w:val="-3"/>
          <w:w w:val="115"/>
          <w:sz w:val="22"/>
        </w:rPr>
        <w:t>adopting </w:t>
      </w:r>
      <w:r>
        <w:rPr>
          <w:color w:val="4D4D4F"/>
          <w:w w:val="115"/>
          <w:sz w:val="22"/>
        </w:rPr>
        <w:t>a</w:t>
      </w:r>
      <w:r>
        <w:rPr>
          <w:color w:val="4D4D4F"/>
          <w:spacing w:val="-29"/>
          <w:w w:val="115"/>
          <w:sz w:val="22"/>
        </w:rPr>
        <w:t> </w:t>
      </w:r>
      <w:r>
        <w:rPr>
          <w:color w:val="4D4D4F"/>
          <w:w w:val="115"/>
          <w:sz w:val="22"/>
        </w:rPr>
        <w:t>diversion</w:t>
      </w:r>
      <w:r>
        <w:rPr>
          <w:color w:val="4D4D4F"/>
          <w:spacing w:val="-28"/>
          <w:w w:val="115"/>
          <w:sz w:val="22"/>
        </w:rPr>
        <w:t> </w:t>
      </w:r>
      <w:r>
        <w:rPr>
          <w:color w:val="4D4D4F"/>
          <w:w w:val="115"/>
          <w:sz w:val="22"/>
        </w:rPr>
        <w:t>control</w:t>
      </w:r>
      <w:r>
        <w:rPr>
          <w:color w:val="4D4D4F"/>
          <w:spacing w:val="-28"/>
          <w:w w:val="115"/>
          <w:sz w:val="22"/>
        </w:rPr>
        <w:t> </w:t>
      </w:r>
      <w:r>
        <w:rPr>
          <w:color w:val="4D4D4F"/>
          <w:w w:val="115"/>
          <w:sz w:val="22"/>
        </w:rPr>
        <w:t>plan</w:t>
      </w:r>
      <w:r>
        <w:rPr>
          <w:color w:val="4D4D4F"/>
          <w:spacing w:val="-28"/>
          <w:w w:val="115"/>
          <w:sz w:val="22"/>
        </w:rPr>
        <w:t> </w:t>
      </w:r>
      <w:r>
        <w:rPr>
          <w:color w:val="4D4D4F"/>
          <w:w w:val="115"/>
          <w:sz w:val="22"/>
        </w:rPr>
        <w:t>(see</w:t>
      </w:r>
      <w:r>
        <w:rPr>
          <w:color w:val="4D4D4F"/>
          <w:spacing w:val="-29"/>
          <w:w w:val="115"/>
          <w:sz w:val="22"/>
        </w:rPr>
        <w:t> </w:t>
      </w:r>
      <w:r>
        <w:rPr>
          <w:color w:val="4D4D4F"/>
          <w:w w:val="115"/>
          <w:sz w:val="22"/>
        </w:rPr>
        <w:t>Chapter</w:t>
      </w:r>
      <w:r>
        <w:rPr>
          <w:color w:val="4D4D4F"/>
          <w:spacing w:val="-28"/>
          <w:w w:val="115"/>
          <w:sz w:val="22"/>
        </w:rPr>
        <w:t> </w:t>
      </w:r>
      <w:r>
        <w:rPr>
          <w:color w:val="4D4D4F"/>
          <w:w w:val="115"/>
          <w:sz w:val="22"/>
        </w:rPr>
        <w:t>3E: Medical Management</w:t>
      </w:r>
      <w:r>
        <w:rPr>
          <w:color w:val="4D4D4F"/>
          <w:spacing w:val="-18"/>
          <w:w w:val="115"/>
          <w:sz w:val="22"/>
        </w:rPr>
        <w:t> </w:t>
      </w:r>
      <w:r>
        <w:rPr>
          <w:color w:val="4D4D4F"/>
          <w:w w:val="115"/>
          <w:sz w:val="22"/>
        </w:rPr>
        <w:t>Strategies).</w:t>
      </w:r>
    </w:p>
    <w:p>
      <w:pPr>
        <w:pStyle w:val="ListParagraph"/>
        <w:numPr>
          <w:ilvl w:val="0"/>
          <w:numId w:val="29"/>
        </w:numPr>
        <w:tabs>
          <w:tab w:pos="410" w:val="left" w:leader="none"/>
        </w:tabs>
        <w:spacing w:line="225" w:lineRule="auto" w:before="180" w:after="0"/>
        <w:ind w:left="410" w:right="326" w:hanging="270"/>
        <w:jc w:val="left"/>
        <w:rPr>
          <w:rFonts w:ascii="Arial" w:hAnsi="Arial"/>
          <w:color w:val="137692"/>
          <w:sz w:val="28"/>
        </w:rPr>
      </w:pPr>
      <w:r>
        <w:rPr>
          <w:rFonts w:ascii="Calibri" w:hAnsi="Calibri"/>
          <w:b/>
          <w:color w:val="4D4D4F"/>
          <w:w w:val="110"/>
          <w:sz w:val="22"/>
        </w:rPr>
        <w:t>Adrenal insufﬁciency has been reported </w:t>
      </w:r>
      <w:r>
        <w:rPr>
          <w:color w:val="4D4D4F"/>
          <w:w w:val="110"/>
          <w:sz w:val="22"/>
        </w:rPr>
        <w:t>with opioid use, most often after more </w:t>
      </w:r>
      <w:r>
        <w:rPr>
          <w:color w:val="4D4D4F"/>
          <w:spacing w:val="-5"/>
          <w:w w:val="110"/>
          <w:sz w:val="22"/>
        </w:rPr>
        <w:t>than </w:t>
      </w:r>
      <w:r>
        <w:rPr>
          <w:color w:val="4D4D4F"/>
          <w:w w:val="110"/>
          <w:sz w:val="22"/>
        </w:rPr>
        <w:t>1 month of buprenorphine</w:t>
      </w:r>
      <w:r>
        <w:rPr>
          <w:color w:val="4D4D4F"/>
          <w:spacing w:val="21"/>
          <w:w w:val="110"/>
          <w:sz w:val="22"/>
        </w:rPr>
        <w:t> </w:t>
      </w:r>
      <w:r>
        <w:rPr>
          <w:color w:val="4D4D4F"/>
          <w:w w:val="110"/>
          <w:sz w:val="22"/>
        </w:rPr>
        <w:t>maintenance.</w:t>
      </w:r>
      <w:r>
        <w:rPr>
          <w:color w:val="4D4D4F"/>
          <w:w w:val="110"/>
          <w:position w:val="7"/>
          <w:sz w:val="13"/>
        </w:rPr>
        <w:t>278</w:t>
      </w:r>
    </w:p>
    <w:p>
      <w:pPr>
        <w:pStyle w:val="ListParagraph"/>
        <w:numPr>
          <w:ilvl w:val="0"/>
          <w:numId w:val="29"/>
        </w:numPr>
        <w:tabs>
          <w:tab w:pos="410" w:val="left" w:leader="none"/>
        </w:tabs>
        <w:spacing w:line="264" w:lineRule="exact" w:before="51" w:after="0"/>
        <w:ind w:left="410" w:right="186" w:hanging="270"/>
        <w:jc w:val="left"/>
        <w:rPr>
          <w:rFonts w:ascii="Arial" w:hAnsi="Arial"/>
          <w:color w:val="137692"/>
          <w:sz w:val="28"/>
        </w:rPr>
      </w:pPr>
      <w:r>
        <w:rPr>
          <w:rFonts w:ascii="Calibri" w:hAnsi="Calibri"/>
          <w:b/>
          <w:color w:val="4D4D4F"/>
          <w:w w:val="110"/>
          <w:sz w:val="22"/>
        </w:rPr>
        <w:t>Patients will develop physical dependence on buprenorphine. </w:t>
      </w:r>
      <w:r>
        <w:rPr>
          <w:color w:val="4D4D4F"/>
          <w:w w:val="110"/>
          <w:sz w:val="22"/>
        </w:rPr>
        <w:t>Alert patients that </w:t>
      </w:r>
      <w:r>
        <w:rPr>
          <w:color w:val="4D4D4F"/>
          <w:spacing w:val="-3"/>
          <w:w w:val="110"/>
          <w:sz w:val="22"/>
        </w:rPr>
        <w:t>they’ll </w:t>
      </w:r>
      <w:r>
        <w:rPr>
          <w:color w:val="4D4D4F"/>
          <w:w w:val="110"/>
          <w:sz w:val="22"/>
        </w:rPr>
        <w:t>experience opioid withdrawal if they stop buprenorphine.</w:t>
      </w:r>
    </w:p>
    <w:p>
      <w:pPr>
        <w:pStyle w:val="ListParagraph"/>
        <w:numPr>
          <w:ilvl w:val="0"/>
          <w:numId w:val="29"/>
        </w:numPr>
        <w:tabs>
          <w:tab w:pos="410" w:val="left" w:leader="none"/>
        </w:tabs>
        <w:spacing w:line="264" w:lineRule="exact" w:before="43" w:after="0"/>
        <w:ind w:left="410" w:right="103" w:hanging="270"/>
        <w:jc w:val="left"/>
        <w:rPr>
          <w:rFonts w:ascii="Arial" w:hAnsi="Arial"/>
          <w:color w:val="137692"/>
          <w:sz w:val="28"/>
        </w:rPr>
      </w:pPr>
      <w:r>
        <w:rPr>
          <w:rFonts w:ascii="Calibri" w:hAnsi="Calibri"/>
          <w:b/>
          <w:color w:val="4D4D4F"/>
          <w:w w:val="110"/>
          <w:sz w:val="22"/>
        </w:rPr>
        <w:t>Buprenorphine may affect cognition and psychomotor performance and can have sedating effects </w:t>
      </w:r>
      <w:r>
        <w:rPr>
          <w:color w:val="4D4D4F"/>
          <w:w w:val="110"/>
          <w:sz w:val="22"/>
        </w:rPr>
        <w:t>in some people (particularly those who’ve lost tolerance after a period of abstinence from opioids). Concurrent use of illicit drugs, other prescribed medications, or medical or psychiatric comorbidity can affect cognition and psychomotor performance. Urge patients to exercise caution in using heavy machinery and driving until they’re </w:t>
      </w:r>
      <w:r>
        <w:rPr>
          <w:color w:val="4D4D4F"/>
          <w:spacing w:val="-6"/>
          <w:w w:val="110"/>
          <w:sz w:val="22"/>
        </w:rPr>
        <w:t>sure </w:t>
      </w:r>
      <w:r>
        <w:rPr>
          <w:color w:val="4D4D4F"/>
          <w:w w:val="110"/>
          <w:sz w:val="22"/>
        </w:rPr>
        <w:t>that their abilities are not</w:t>
      </w:r>
      <w:r>
        <w:rPr>
          <w:color w:val="4D4D4F"/>
          <w:spacing w:val="-21"/>
          <w:w w:val="110"/>
          <w:sz w:val="22"/>
        </w:rPr>
        <w:t> </w:t>
      </w:r>
      <w:r>
        <w:rPr>
          <w:color w:val="4D4D4F"/>
          <w:w w:val="110"/>
          <w:sz w:val="22"/>
        </w:rPr>
        <w:t>compromised.</w:t>
      </w:r>
      <w:r>
        <w:rPr>
          <w:color w:val="4D4D4F"/>
          <w:w w:val="110"/>
          <w:position w:val="7"/>
          <w:sz w:val="13"/>
        </w:rPr>
        <w:t>279</w:t>
      </w:r>
    </w:p>
    <w:p>
      <w:pPr>
        <w:pStyle w:val="ListParagraph"/>
        <w:numPr>
          <w:ilvl w:val="0"/>
          <w:numId w:val="29"/>
        </w:numPr>
        <w:tabs>
          <w:tab w:pos="410" w:val="left" w:leader="none"/>
        </w:tabs>
        <w:spacing w:line="225" w:lineRule="auto" w:before="45" w:after="0"/>
        <w:ind w:left="410" w:right="270" w:hanging="270"/>
        <w:jc w:val="left"/>
        <w:rPr>
          <w:rFonts w:ascii="Arial" w:hAnsi="Arial"/>
          <w:color w:val="137692"/>
          <w:sz w:val="28"/>
        </w:rPr>
      </w:pPr>
      <w:r>
        <w:rPr>
          <w:rFonts w:ascii="Calibri" w:hAnsi="Calibri"/>
          <w:b/>
          <w:color w:val="4D4D4F"/>
          <w:w w:val="110"/>
          <w:sz w:val="22"/>
        </w:rPr>
        <w:t>Allergic reactions </w:t>
      </w:r>
      <w:r>
        <w:rPr>
          <w:color w:val="4D4D4F"/>
          <w:w w:val="110"/>
          <w:sz w:val="22"/>
        </w:rPr>
        <w:t>have occurred in </w:t>
      </w:r>
      <w:r>
        <w:rPr>
          <w:color w:val="4D4D4F"/>
          <w:spacing w:val="-3"/>
          <w:w w:val="110"/>
          <w:sz w:val="22"/>
        </w:rPr>
        <w:t>patients </w:t>
      </w:r>
      <w:r>
        <w:rPr>
          <w:color w:val="4D4D4F"/>
          <w:w w:val="110"/>
          <w:sz w:val="22"/>
        </w:rPr>
        <w:t>treated with buprenorphine, including rash, urticaria, angioedema, and</w:t>
      </w:r>
      <w:r>
        <w:rPr>
          <w:color w:val="4D4D4F"/>
          <w:spacing w:val="23"/>
          <w:w w:val="110"/>
          <w:sz w:val="22"/>
        </w:rPr>
        <w:t> </w:t>
      </w:r>
      <w:r>
        <w:rPr>
          <w:color w:val="4D4D4F"/>
          <w:w w:val="110"/>
          <w:sz w:val="22"/>
        </w:rPr>
        <w:t>anaphylaxis.</w:t>
      </w:r>
    </w:p>
    <w:p>
      <w:pPr>
        <w:pStyle w:val="ListParagraph"/>
        <w:numPr>
          <w:ilvl w:val="0"/>
          <w:numId w:val="29"/>
        </w:numPr>
        <w:tabs>
          <w:tab w:pos="410" w:val="left" w:leader="none"/>
        </w:tabs>
        <w:spacing w:line="264" w:lineRule="exact" w:before="51" w:after="0"/>
        <w:ind w:left="410" w:right="236" w:hanging="270"/>
        <w:jc w:val="left"/>
        <w:rPr>
          <w:rFonts w:ascii="Arial" w:hAnsi="Arial"/>
          <w:color w:val="137692"/>
          <w:sz w:val="28"/>
        </w:rPr>
      </w:pPr>
      <w:r>
        <w:rPr>
          <w:rFonts w:ascii="Calibri" w:hAnsi="Calibri"/>
          <w:b/>
          <w:color w:val="4D4D4F"/>
          <w:w w:val="110"/>
          <w:sz w:val="22"/>
        </w:rPr>
        <w:t>Buprenorphine can cause precipitated opioid withdrawal. </w:t>
      </w:r>
      <w:r>
        <w:rPr>
          <w:color w:val="4D4D4F"/>
          <w:w w:val="110"/>
          <w:sz w:val="22"/>
        </w:rPr>
        <w:t>It has weaker opioid agonist effects and stronger receptor </w:t>
      </w:r>
      <w:r>
        <w:rPr>
          <w:color w:val="4D4D4F"/>
          <w:spacing w:val="-4"/>
          <w:w w:val="110"/>
          <w:sz w:val="22"/>
        </w:rPr>
        <w:t>afﬁnity </w:t>
      </w:r>
      <w:r>
        <w:rPr>
          <w:color w:val="4D4D4F"/>
          <w:w w:val="110"/>
          <w:sz w:val="22"/>
        </w:rPr>
        <w:t>than full agonists (e.g., heroin, methadone). It can displace full agonists from receptors, precipitating opioid withdrawal.</w:t>
      </w:r>
      <w:r>
        <w:rPr>
          <w:color w:val="4D4D4F"/>
          <w:w w:val="110"/>
          <w:position w:val="7"/>
          <w:sz w:val="13"/>
        </w:rPr>
        <w:t>280 </w:t>
      </w:r>
      <w:r>
        <w:rPr>
          <w:color w:val="4D4D4F"/>
          <w:w w:val="110"/>
          <w:sz w:val="22"/>
        </w:rPr>
        <w:t>Factors affecting this possibility</w:t>
      </w:r>
      <w:r>
        <w:rPr>
          <w:color w:val="4D4D4F"/>
          <w:spacing w:val="-5"/>
          <w:w w:val="110"/>
          <w:sz w:val="22"/>
        </w:rPr>
        <w:t> </w:t>
      </w:r>
      <w:r>
        <w:rPr>
          <w:color w:val="4D4D4F"/>
          <w:w w:val="110"/>
          <w:sz w:val="22"/>
        </w:rPr>
        <w:t>include:</w:t>
      </w:r>
    </w:p>
    <w:p>
      <w:pPr>
        <w:pStyle w:val="ListParagraph"/>
        <w:numPr>
          <w:ilvl w:val="1"/>
          <w:numId w:val="29"/>
        </w:numPr>
        <w:tabs>
          <w:tab w:pos="717" w:val="left" w:leader="none"/>
        </w:tabs>
        <w:spacing w:line="247" w:lineRule="auto" w:before="92" w:after="0"/>
        <w:ind w:left="716" w:right="241" w:hanging="270"/>
        <w:jc w:val="left"/>
        <w:rPr>
          <w:rFonts w:ascii="Arial" w:hAnsi="Arial"/>
          <w:color w:val="137692"/>
          <w:sz w:val="24"/>
        </w:rPr>
      </w:pPr>
      <w:r>
        <w:rPr>
          <w:color w:val="4D4D4F"/>
          <w:spacing w:val="-3"/>
          <w:w w:val="98"/>
          <w:sz w:val="22"/>
        </w:rPr>
        <w:br w:type="column"/>
      </w:r>
      <w:r>
        <w:rPr>
          <w:color w:val="4D4D4F"/>
          <w:spacing w:val="-4"/>
          <w:w w:val="110"/>
          <w:sz w:val="22"/>
        </w:rPr>
        <w:t>Current </w:t>
      </w:r>
      <w:r>
        <w:rPr>
          <w:color w:val="4D4D4F"/>
          <w:spacing w:val="-3"/>
          <w:w w:val="110"/>
          <w:sz w:val="22"/>
        </w:rPr>
        <w:t>level </w:t>
      </w:r>
      <w:r>
        <w:rPr>
          <w:color w:val="4D4D4F"/>
          <w:w w:val="110"/>
          <w:sz w:val="22"/>
        </w:rPr>
        <w:t>of </w:t>
      </w:r>
      <w:r>
        <w:rPr>
          <w:color w:val="4D4D4F"/>
          <w:spacing w:val="-3"/>
          <w:w w:val="110"/>
          <w:sz w:val="22"/>
        </w:rPr>
        <w:t>opioid physical depen- dence. </w:t>
      </w:r>
      <w:r>
        <w:rPr>
          <w:color w:val="4D4D4F"/>
          <w:w w:val="110"/>
          <w:sz w:val="22"/>
        </w:rPr>
        <w:t>The </w:t>
      </w:r>
      <w:r>
        <w:rPr>
          <w:color w:val="4D4D4F"/>
          <w:spacing w:val="-3"/>
          <w:w w:val="110"/>
          <w:sz w:val="22"/>
        </w:rPr>
        <w:t>higher </w:t>
      </w:r>
      <w:r>
        <w:rPr>
          <w:color w:val="4D4D4F"/>
          <w:w w:val="110"/>
          <w:sz w:val="22"/>
        </w:rPr>
        <w:t>the </w:t>
      </w:r>
      <w:r>
        <w:rPr>
          <w:color w:val="4D4D4F"/>
          <w:spacing w:val="-3"/>
          <w:w w:val="110"/>
          <w:sz w:val="22"/>
        </w:rPr>
        <w:t>level </w:t>
      </w:r>
      <w:r>
        <w:rPr>
          <w:color w:val="4D4D4F"/>
          <w:w w:val="110"/>
          <w:sz w:val="22"/>
        </w:rPr>
        <w:t>of </w:t>
      </w:r>
      <w:r>
        <w:rPr>
          <w:color w:val="4D4D4F"/>
          <w:spacing w:val="-3"/>
          <w:w w:val="110"/>
          <w:sz w:val="22"/>
        </w:rPr>
        <w:t>physical dependence, </w:t>
      </w:r>
      <w:r>
        <w:rPr>
          <w:color w:val="4D4D4F"/>
          <w:w w:val="110"/>
          <w:sz w:val="22"/>
        </w:rPr>
        <w:t>the </w:t>
      </w:r>
      <w:r>
        <w:rPr>
          <w:color w:val="4D4D4F"/>
          <w:spacing w:val="-3"/>
          <w:w w:val="110"/>
          <w:sz w:val="22"/>
        </w:rPr>
        <w:t>higher </w:t>
      </w:r>
      <w:r>
        <w:rPr>
          <w:color w:val="4D4D4F"/>
          <w:w w:val="110"/>
          <w:sz w:val="22"/>
        </w:rPr>
        <w:t>the </w:t>
      </w:r>
      <w:r>
        <w:rPr>
          <w:color w:val="4D4D4F"/>
          <w:spacing w:val="-3"/>
          <w:w w:val="110"/>
          <w:sz w:val="22"/>
        </w:rPr>
        <w:t>likelihood of </w:t>
      </w:r>
      <w:r>
        <w:rPr>
          <w:color w:val="4D4D4F"/>
          <w:spacing w:val="-4"/>
          <w:w w:val="110"/>
          <w:sz w:val="22"/>
        </w:rPr>
        <w:t>precipitating </w:t>
      </w:r>
      <w:r>
        <w:rPr>
          <w:color w:val="4D4D4F"/>
          <w:spacing w:val="-3"/>
          <w:w w:val="110"/>
          <w:sz w:val="22"/>
        </w:rPr>
        <w:t>withdrawal.</w:t>
      </w:r>
      <w:r>
        <w:rPr>
          <w:color w:val="4D4D4F"/>
          <w:spacing w:val="-3"/>
          <w:w w:val="110"/>
          <w:position w:val="7"/>
          <w:sz w:val="13"/>
        </w:rPr>
        <w:t>281 </w:t>
      </w:r>
      <w:r>
        <w:rPr>
          <w:color w:val="4D4D4F"/>
          <w:spacing w:val="-3"/>
          <w:w w:val="110"/>
          <w:sz w:val="22"/>
        </w:rPr>
        <w:t>Ensuring that patients </w:t>
      </w:r>
      <w:r>
        <w:rPr>
          <w:color w:val="4D4D4F"/>
          <w:spacing w:val="-4"/>
          <w:w w:val="110"/>
          <w:sz w:val="22"/>
        </w:rPr>
        <w:t>are </w:t>
      </w:r>
      <w:r>
        <w:rPr>
          <w:color w:val="4D4D4F"/>
          <w:w w:val="110"/>
          <w:sz w:val="22"/>
        </w:rPr>
        <w:t>in </w:t>
      </w:r>
      <w:r>
        <w:rPr>
          <w:color w:val="4D4D4F"/>
          <w:spacing w:val="-3"/>
          <w:w w:val="110"/>
          <w:sz w:val="22"/>
        </w:rPr>
        <w:t>opioid withdrawal when initiating </w:t>
      </w:r>
      <w:r>
        <w:rPr>
          <w:color w:val="4D4D4F"/>
          <w:spacing w:val="-4"/>
          <w:w w:val="110"/>
          <w:sz w:val="22"/>
        </w:rPr>
        <w:t>buprenorphine decreases </w:t>
      </w:r>
      <w:r>
        <w:rPr>
          <w:color w:val="4D4D4F"/>
          <w:spacing w:val="-3"/>
          <w:w w:val="110"/>
          <w:sz w:val="22"/>
        </w:rPr>
        <w:t>this</w:t>
      </w:r>
      <w:r>
        <w:rPr>
          <w:color w:val="4D4D4F"/>
          <w:spacing w:val="43"/>
          <w:w w:val="110"/>
          <w:sz w:val="22"/>
        </w:rPr>
        <w:t> </w:t>
      </w:r>
      <w:r>
        <w:rPr>
          <w:color w:val="4D4D4F"/>
          <w:spacing w:val="-3"/>
          <w:w w:val="110"/>
          <w:sz w:val="22"/>
        </w:rPr>
        <w:t>risk.</w:t>
      </w:r>
    </w:p>
    <w:p>
      <w:pPr>
        <w:pStyle w:val="ListParagraph"/>
        <w:numPr>
          <w:ilvl w:val="1"/>
          <w:numId w:val="29"/>
        </w:numPr>
        <w:tabs>
          <w:tab w:pos="717" w:val="left" w:leader="none"/>
        </w:tabs>
        <w:spacing w:line="247" w:lineRule="auto" w:before="29" w:after="0"/>
        <w:ind w:left="716" w:right="268" w:hanging="270"/>
        <w:jc w:val="left"/>
        <w:rPr>
          <w:rFonts w:ascii="Arial" w:hAnsi="Arial"/>
          <w:color w:val="137692"/>
          <w:sz w:val="24"/>
        </w:rPr>
      </w:pPr>
      <w:r>
        <w:rPr>
          <w:color w:val="4D4D4F"/>
          <w:w w:val="110"/>
          <w:sz w:val="22"/>
        </w:rPr>
        <w:t>Time since the last mu-opioid receptor</w:t>
      </w:r>
      <w:r>
        <w:rPr>
          <w:color w:val="4D4D4F"/>
          <w:spacing w:val="-22"/>
          <w:w w:val="110"/>
          <w:sz w:val="22"/>
        </w:rPr>
        <w:t> </w:t>
      </w:r>
      <w:r>
        <w:rPr>
          <w:color w:val="4D4D4F"/>
          <w:spacing w:val="-5"/>
          <w:w w:val="110"/>
          <w:sz w:val="22"/>
        </w:rPr>
        <w:t>full </w:t>
      </w:r>
      <w:r>
        <w:rPr>
          <w:color w:val="4D4D4F"/>
          <w:w w:val="110"/>
          <w:sz w:val="22"/>
        </w:rPr>
        <w:t>agonist dose. The longer the time since the last dose, the lower the likelihood of precipitated</w:t>
      </w:r>
      <w:r>
        <w:rPr>
          <w:color w:val="4D4D4F"/>
          <w:spacing w:val="-6"/>
          <w:w w:val="110"/>
          <w:sz w:val="22"/>
        </w:rPr>
        <w:t> </w:t>
      </w:r>
      <w:r>
        <w:rPr>
          <w:color w:val="4D4D4F"/>
          <w:w w:val="110"/>
          <w:sz w:val="22"/>
        </w:rPr>
        <w:t>withdrawal.</w:t>
      </w:r>
      <w:r>
        <w:rPr>
          <w:color w:val="4D4D4F"/>
          <w:w w:val="110"/>
          <w:position w:val="7"/>
          <w:sz w:val="13"/>
        </w:rPr>
        <w:t>282</w:t>
      </w:r>
    </w:p>
    <w:p>
      <w:pPr>
        <w:pStyle w:val="ListParagraph"/>
        <w:numPr>
          <w:ilvl w:val="1"/>
          <w:numId w:val="29"/>
        </w:numPr>
        <w:tabs>
          <w:tab w:pos="717" w:val="left" w:leader="none"/>
        </w:tabs>
        <w:spacing w:line="247" w:lineRule="auto" w:before="27" w:after="0"/>
        <w:ind w:left="716" w:right="157" w:hanging="270"/>
        <w:jc w:val="left"/>
        <w:rPr>
          <w:rFonts w:ascii="Arial" w:hAnsi="Arial"/>
          <w:color w:val="137692"/>
          <w:sz w:val="24"/>
        </w:rPr>
      </w:pPr>
      <w:r>
        <w:rPr>
          <w:color w:val="4D4D4F"/>
          <w:w w:val="110"/>
          <w:sz w:val="22"/>
        </w:rPr>
        <w:t>Dose of buprenorphine administered. The smaller the dose of buprenorphine, the </w:t>
      </w:r>
      <w:r>
        <w:rPr>
          <w:color w:val="4D4D4F"/>
          <w:spacing w:val="-4"/>
          <w:w w:val="110"/>
          <w:sz w:val="22"/>
        </w:rPr>
        <w:t>less </w:t>
      </w:r>
      <w:r>
        <w:rPr>
          <w:color w:val="4D4D4F"/>
          <w:w w:val="110"/>
          <w:sz w:val="22"/>
        </w:rPr>
        <w:t>likely it is to precipitate</w:t>
      </w:r>
      <w:r>
        <w:rPr>
          <w:color w:val="4D4D4F"/>
          <w:spacing w:val="-25"/>
          <w:w w:val="110"/>
          <w:sz w:val="22"/>
        </w:rPr>
        <w:t> </w:t>
      </w:r>
      <w:r>
        <w:rPr>
          <w:color w:val="4D4D4F"/>
          <w:w w:val="110"/>
          <w:sz w:val="22"/>
        </w:rPr>
        <w:t>withdrawal.</w:t>
      </w:r>
      <w:r>
        <w:rPr>
          <w:color w:val="4D4D4F"/>
          <w:w w:val="110"/>
          <w:position w:val="7"/>
          <w:sz w:val="13"/>
        </w:rPr>
        <w:t>283,284</w:t>
      </w:r>
    </w:p>
    <w:p>
      <w:pPr>
        <w:pStyle w:val="ListParagraph"/>
        <w:numPr>
          <w:ilvl w:val="0"/>
          <w:numId w:val="29"/>
        </w:numPr>
        <w:tabs>
          <w:tab w:pos="410" w:val="left" w:leader="none"/>
        </w:tabs>
        <w:spacing w:line="264" w:lineRule="exact" w:before="176" w:after="0"/>
        <w:ind w:left="410" w:right="246" w:hanging="270"/>
        <w:jc w:val="left"/>
        <w:rPr>
          <w:rFonts w:ascii="Arial" w:hAnsi="Arial"/>
          <w:color w:val="137692"/>
          <w:sz w:val="28"/>
        </w:rPr>
      </w:pPr>
      <w:r>
        <w:rPr>
          <w:rFonts w:ascii="Calibri" w:hAnsi="Calibri"/>
          <w:b/>
          <w:color w:val="4D4D4F"/>
          <w:w w:val="110"/>
          <w:sz w:val="22"/>
        </w:rPr>
        <w:t>Neonatal abstinence syndrome (NAS) may occur in newborns  of  pregnant  women who take buprenorphine. </w:t>
      </w:r>
      <w:r>
        <w:rPr>
          <w:color w:val="4D4D4F"/>
          <w:spacing w:val="-3"/>
          <w:w w:val="110"/>
          <w:sz w:val="22"/>
        </w:rPr>
        <w:t>Women </w:t>
      </w:r>
      <w:r>
        <w:rPr>
          <w:color w:val="4D4D4F"/>
          <w:w w:val="110"/>
          <w:sz w:val="22"/>
        </w:rPr>
        <w:t>receiving opioid agonist therapy while pregnant should talk</w:t>
      </w:r>
      <w:r>
        <w:rPr>
          <w:color w:val="4D4D4F"/>
          <w:spacing w:val="-10"/>
          <w:w w:val="110"/>
          <w:sz w:val="22"/>
        </w:rPr>
        <w:t> </w:t>
      </w:r>
      <w:r>
        <w:rPr>
          <w:color w:val="4D4D4F"/>
          <w:w w:val="110"/>
          <w:sz w:val="22"/>
        </w:rPr>
        <w:t>with</w:t>
      </w:r>
      <w:r>
        <w:rPr>
          <w:color w:val="4D4D4F"/>
          <w:spacing w:val="-9"/>
          <w:w w:val="110"/>
          <w:sz w:val="22"/>
        </w:rPr>
        <w:t> </w:t>
      </w:r>
      <w:r>
        <w:rPr>
          <w:color w:val="4D4D4F"/>
          <w:w w:val="110"/>
          <w:sz w:val="22"/>
        </w:rPr>
        <w:t>their</w:t>
      </w:r>
      <w:r>
        <w:rPr>
          <w:color w:val="4D4D4F"/>
          <w:spacing w:val="-9"/>
          <w:w w:val="110"/>
          <w:sz w:val="22"/>
        </w:rPr>
        <w:t> </w:t>
      </w:r>
      <w:r>
        <w:rPr>
          <w:color w:val="4D4D4F"/>
          <w:w w:val="110"/>
          <w:sz w:val="22"/>
        </w:rPr>
        <w:t>healthcare</w:t>
      </w:r>
      <w:r>
        <w:rPr>
          <w:color w:val="4D4D4F"/>
          <w:spacing w:val="-9"/>
          <w:w w:val="110"/>
          <w:sz w:val="22"/>
        </w:rPr>
        <w:t> </w:t>
      </w:r>
      <w:r>
        <w:rPr>
          <w:color w:val="4D4D4F"/>
          <w:w w:val="110"/>
          <w:sz w:val="22"/>
        </w:rPr>
        <w:t>provider</w:t>
      </w:r>
      <w:r>
        <w:rPr>
          <w:color w:val="4D4D4F"/>
          <w:spacing w:val="-10"/>
          <w:w w:val="110"/>
          <w:sz w:val="22"/>
        </w:rPr>
        <w:t> </w:t>
      </w:r>
      <w:r>
        <w:rPr>
          <w:color w:val="4D4D4F"/>
          <w:w w:val="110"/>
          <w:sz w:val="22"/>
        </w:rPr>
        <w:t>about</w:t>
      </w:r>
      <w:r>
        <w:rPr>
          <w:color w:val="4D4D4F"/>
          <w:spacing w:val="-9"/>
          <w:w w:val="110"/>
          <w:sz w:val="22"/>
        </w:rPr>
        <w:t> </w:t>
      </w:r>
      <w:r>
        <w:rPr>
          <w:color w:val="4D4D4F"/>
          <w:w w:val="110"/>
          <w:sz w:val="22"/>
        </w:rPr>
        <w:t>NAS and how to reduce it. Not all babies born to women treated with opioid agonists require treatment for NAS. Research has shown that the dose of opioid agonist medication is not reliably related to the severity of</w:t>
      </w:r>
      <w:r>
        <w:rPr>
          <w:color w:val="4D4D4F"/>
          <w:spacing w:val="-24"/>
          <w:w w:val="110"/>
          <w:sz w:val="22"/>
        </w:rPr>
        <w:t> </w:t>
      </w:r>
      <w:r>
        <w:rPr>
          <w:color w:val="4D4D4F"/>
          <w:w w:val="110"/>
          <w:sz w:val="22"/>
        </w:rPr>
        <w:t>NAS.</w:t>
      </w:r>
      <w:r>
        <w:rPr>
          <w:color w:val="4D4D4F"/>
          <w:w w:val="110"/>
          <w:position w:val="7"/>
          <w:sz w:val="13"/>
        </w:rPr>
        <w:t>285,286,287</w:t>
      </w:r>
      <w:r>
        <w:rPr>
          <w:color w:val="4D4D4F"/>
          <w:w w:val="110"/>
          <w:sz w:val="13"/>
        </w:rPr>
        <w:t> </w:t>
      </w:r>
      <w:r>
        <w:rPr>
          <w:color w:val="4D4D4F"/>
          <w:w w:val="110"/>
          <w:sz w:val="22"/>
        </w:rPr>
        <w:t>Thus, each woman should receive the dose </w:t>
      </w:r>
      <w:r>
        <w:rPr>
          <w:color w:val="4D4D4F"/>
          <w:spacing w:val="-9"/>
          <w:w w:val="110"/>
          <w:sz w:val="22"/>
        </w:rPr>
        <w:t>of </w:t>
      </w:r>
      <w:r>
        <w:rPr>
          <w:color w:val="4D4D4F"/>
          <w:w w:val="110"/>
          <w:sz w:val="22"/>
        </w:rPr>
        <w:t>medication that best manages her</w:t>
      </w:r>
      <w:r>
        <w:rPr>
          <w:color w:val="4D4D4F"/>
          <w:spacing w:val="18"/>
          <w:w w:val="110"/>
          <w:sz w:val="22"/>
        </w:rPr>
        <w:t> </w:t>
      </w:r>
      <w:r>
        <w:rPr>
          <w:color w:val="4D4D4F"/>
          <w:w w:val="110"/>
          <w:sz w:val="22"/>
        </w:rPr>
        <w:t>illness.</w:t>
      </w:r>
    </w:p>
    <w:p>
      <w:pPr>
        <w:pStyle w:val="BodyText"/>
        <w:rPr>
          <w:sz w:val="26"/>
        </w:rPr>
      </w:pPr>
    </w:p>
    <w:p>
      <w:pPr>
        <w:pStyle w:val="BodyText"/>
        <w:spacing w:before="6"/>
      </w:pPr>
    </w:p>
    <w:p>
      <w:pPr>
        <w:pStyle w:val="Heading3"/>
        <w:ind w:left="478"/>
        <w:rPr>
          <w:rFonts w:ascii="Arial"/>
        </w:rPr>
      </w:pPr>
      <w:r>
        <w:rPr/>
        <w:pict>
          <v:line style="position:absolute;mso-position-horizontal-relative:page;mso-position-vertical-relative:paragraph;z-index:15761920" from="317.501007pt,221.05386pt" to="317.501007pt,2.609860pt" stroked="true" strokeweight="1pt" strokecolor="#759eb4">
            <v:stroke dashstyle="solid"/>
            <w10:wrap type="none"/>
          </v:line>
        </w:pict>
      </w:r>
      <w:r>
        <w:rPr>
          <w:rFonts w:ascii="Arial"/>
          <w:color w:val="B15651"/>
          <w:w w:val="105"/>
        </w:rPr>
        <w:t>REDUCING NAS SEVERITY</w:t>
      </w:r>
    </w:p>
    <w:p>
      <w:pPr>
        <w:spacing w:line="261" w:lineRule="auto" w:before="117"/>
        <w:ind w:left="478" w:right="503" w:firstLine="0"/>
        <w:jc w:val="left"/>
        <w:rPr>
          <w:rFonts w:ascii="Calibri"/>
          <w:sz w:val="18"/>
        </w:rPr>
      </w:pPr>
      <w:r>
        <w:rPr>
          <w:rFonts w:ascii="Calibri"/>
          <w:color w:val="414142"/>
          <w:w w:val="125"/>
          <w:sz w:val="18"/>
        </w:rPr>
        <w:t>Offer</w:t>
      </w:r>
      <w:r>
        <w:rPr>
          <w:rFonts w:ascii="Calibri"/>
          <w:color w:val="414142"/>
          <w:spacing w:val="-10"/>
          <w:w w:val="125"/>
          <w:sz w:val="18"/>
        </w:rPr>
        <w:t> </w:t>
      </w:r>
      <w:r>
        <w:rPr>
          <w:rFonts w:ascii="Calibri"/>
          <w:color w:val="414142"/>
          <w:w w:val="125"/>
          <w:sz w:val="18"/>
        </w:rPr>
        <w:t>the</w:t>
      </w:r>
      <w:r>
        <w:rPr>
          <w:rFonts w:ascii="Calibri"/>
          <w:color w:val="414142"/>
          <w:spacing w:val="-10"/>
          <w:w w:val="125"/>
          <w:sz w:val="18"/>
        </w:rPr>
        <w:t> </w:t>
      </w:r>
      <w:r>
        <w:rPr>
          <w:rFonts w:ascii="Calibri"/>
          <w:color w:val="414142"/>
          <w:w w:val="125"/>
          <w:sz w:val="18"/>
        </w:rPr>
        <w:t>following</w:t>
      </w:r>
      <w:r>
        <w:rPr>
          <w:rFonts w:ascii="Calibri"/>
          <w:color w:val="414142"/>
          <w:spacing w:val="-10"/>
          <w:w w:val="125"/>
          <w:sz w:val="18"/>
        </w:rPr>
        <w:t> </w:t>
      </w:r>
      <w:r>
        <w:rPr>
          <w:rFonts w:ascii="Calibri"/>
          <w:color w:val="414142"/>
          <w:w w:val="125"/>
          <w:sz w:val="18"/>
        </w:rPr>
        <w:t>advice</w:t>
      </w:r>
      <w:r>
        <w:rPr>
          <w:rFonts w:ascii="Calibri"/>
          <w:color w:val="414142"/>
          <w:spacing w:val="-10"/>
          <w:w w:val="125"/>
          <w:sz w:val="18"/>
        </w:rPr>
        <w:t> </w:t>
      </w:r>
      <w:r>
        <w:rPr>
          <w:rFonts w:ascii="Calibri"/>
          <w:color w:val="414142"/>
          <w:w w:val="125"/>
          <w:sz w:val="18"/>
        </w:rPr>
        <w:t>to</w:t>
      </w:r>
      <w:r>
        <w:rPr>
          <w:rFonts w:ascii="Calibri"/>
          <w:color w:val="414142"/>
          <w:spacing w:val="-9"/>
          <w:w w:val="125"/>
          <w:sz w:val="18"/>
        </w:rPr>
        <w:t> </w:t>
      </w:r>
      <w:r>
        <w:rPr>
          <w:rFonts w:ascii="Calibri"/>
          <w:color w:val="414142"/>
          <w:w w:val="125"/>
          <w:sz w:val="18"/>
        </w:rPr>
        <w:t>pregnant</w:t>
      </w:r>
      <w:r>
        <w:rPr>
          <w:rFonts w:ascii="Calibri"/>
          <w:color w:val="414142"/>
          <w:spacing w:val="-10"/>
          <w:w w:val="125"/>
          <w:sz w:val="18"/>
        </w:rPr>
        <w:t> </w:t>
      </w:r>
      <w:r>
        <w:rPr>
          <w:rFonts w:ascii="Calibri"/>
          <w:color w:val="414142"/>
          <w:spacing w:val="-4"/>
          <w:w w:val="125"/>
          <w:sz w:val="18"/>
        </w:rPr>
        <w:t>women </w:t>
      </w:r>
      <w:r>
        <w:rPr>
          <w:rFonts w:ascii="Calibri"/>
          <w:color w:val="414142"/>
          <w:w w:val="125"/>
          <w:sz w:val="18"/>
        </w:rPr>
        <w:t>receiving</w:t>
      </w:r>
      <w:r>
        <w:rPr>
          <w:rFonts w:ascii="Calibri"/>
          <w:color w:val="414142"/>
          <w:spacing w:val="-8"/>
          <w:w w:val="125"/>
          <w:sz w:val="18"/>
        </w:rPr>
        <w:t> </w:t>
      </w:r>
      <w:r>
        <w:rPr>
          <w:rFonts w:ascii="Calibri"/>
          <w:color w:val="414142"/>
          <w:w w:val="125"/>
          <w:sz w:val="18"/>
        </w:rPr>
        <w:t>treatment</w:t>
      </w:r>
      <w:r>
        <w:rPr>
          <w:rFonts w:ascii="Calibri"/>
          <w:color w:val="414142"/>
          <w:spacing w:val="-8"/>
          <w:w w:val="125"/>
          <w:sz w:val="18"/>
        </w:rPr>
        <w:t> </w:t>
      </w:r>
      <w:r>
        <w:rPr>
          <w:rFonts w:ascii="Calibri"/>
          <w:color w:val="414142"/>
          <w:w w:val="125"/>
          <w:sz w:val="18"/>
        </w:rPr>
        <w:t>with</w:t>
      </w:r>
      <w:r>
        <w:rPr>
          <w:rFonts w:ascii="Calibri"/>
          <w:color w:val="414142"/>
          <w:spacing w:val="-8"/>
          <w:w w:val="125"/>
          <w:sz w:val="18"/>
        </w:rPr>
        <w:t> </w:t>
      </w:r>
      <w:r>
        <w:rPr>
          <w:rFonts w:ascii="Calibri"/>
          <w:color w:val="414142"/>
          <w:w w:val="125"/>
          <w:sz w:val="18"/>
        </w:rPr>
        <w:t>an</w:t>
      </w:r>
      <w:r>
        <w:rPr>
          <w:rFonts w:ascii="Calibri"/>
          <w:color w:val="414142"/>
          <w:spacing w:val="-7"/>
          <w:w w:val="125"/>
          <w:sz w:val="18"/>
        </w:rPr>
        <w:t> </w:t>
      </w:r>
      <w:r>
        <w:rPr>
          <w:rFonts w:ascii="Calibri"/>
          <w:color w:val="414142"/>
          <w:w w:val="125"/>
          <w:sz w:val="18"/>
        </w:rPr>
        <w:t>opioid</w:t>
      </w:r>
      <w:r>
        <w:rPr>
          <w:rFonts w:ascii="Calibri"/>
          <w:color w:val="414142"/>
          <w:spacing w:val="-8"/>
          <w:w w:val="125"/>
          <w:sz w:val="18"/>
        </w:rPr>
        <w:t> </w:t>
      </w:r>
      <w:r>
        <w:rPr>
          <w:rFonts w:ascii="Calibri"/>
          <w:color w:val="414142"/>
          <w:w w:val="125"/>
          <w:sz w:val="18"/>
        </w:rPr>
        <w:t>agonist:</w:t>
      </w:r>
    </w:p>
    <w:p>
      <w:pPr>
        <w:pStyle w:val="ListParagraph"/>
        <w:numPr>
          <w:ilvl w:val="0"/>
          <w:numId w:val="37"/>
        </w:numPr>
        <w:tabs>
          <w:tab w:pos="659" w:val="left" w:leader="none"/>
        </w:tabs>
        <w:spacing w:line="295" w:lineRule="exact" w:before="40" w:after="0"/>
        <w:ind w:left="658" w:right="0" w:hanging="181"/>
        <w:jc w:val="left"/>
        <w:rPr>
          <w:rFonts w:ascii="Calibri" w:hAnsi="Calibri"/>
          <w:sz w:val="18"/>
        </w:rPr>
      </w:pPr>
      <w:r>
        <w:rPr>
          <w:rFonts w:ascii="Calibri" w:hAnsi="Calibri"/>
          <w:color w:val="4D4D4F"/>
          <w:w w:val="125"/>
          <w:sz w:val="18"/>
        </w:rPr>
        <w:t>Avoid smoking during</w:t>
      </w:r>
      <w:r>
        <w:rPr>
          <w:rFonts w:ascii="Calibri" w:hAnsi="Calibri"/>
          <w:color w:val="4D4D4F"/>
          <w:spacing w:val="1"/>
          <w:w w:val="125"/>
          <w:sz w:val="18"/>
        </w:rPr>
        <w:t> </w:t>
      </w:r>
      <w:r>
        <w:rPr>
          <w:rFonts w:ascii="Calibri" w:hAnsi="Calibri"/>
          <w:color w:val="4D4D4F"/>
          <w:w w:val="125"/>
          <w:sz w:val="18"/>
        </w:rPr>
        <w:t>pregnancy.</w:t>
      </w:r>
    </w:p>
    <w:p>
      <w:pPr>
        <w:pStyle w:val="ListParagraph"/>
        <w:numPr>
          <w:ilvl w:val="0"/>
          <w:numId w:val="37"/>
        </w:numPr>
        <w:tabs>
          <w:tab w:pos="659" w:val="left" w:leader="none"/>
        </w:tabs>
        <w:spacing w:line="269" w:lineRule="exact" w:before="0" w:after="0"/>
        <w:ind w:left="658" w:right="0" w:hanging="181"/>
        <w:jc w:val="left"/>
        <w:rPr>
          <w:rFonts w:ascii="Calibri" w:hAnsi="Calibri"/>
          <w:sz w:val="18"/>
        </w:rPr>
      </w:pPr>
      <w:r>
        <w:rPr>
          <w:rFonts w:ascii="Calibri" w:hAnsi="Calibri"/>
          <w:color w:val="4D4D4F"/>
          <w:w w:val="125"/>
          <w:sz w:val="18"/>
        </w:rPr>
        <w:t>Avoid</w:t>
      </w:r>
      <w:r>
        <w:rPr>
          <w:rFonts w:ascii="Calibri" w:hAnsi="Calibri"/>
          <w:color w:val="4D4D4F"/>
          <w:spacing w:val="-5"/>
          <w:w w:val="125"/>
          <w:sz w:val="18"/>
        </w:rPr>
        <w:t> </w:t>
      </w:r>
      <w:r>
        <w:rPr>
          <w:rFonts w:ascii="Calibri" w:hAnsi="Calibri"/>
          <w:color w:val="4D4D4F"/>
          <w:w w:val="125"/>
          <w:sz w:val="18"/>
        </w:rPr>
        <w:t>benzodiazepines.</w:t>
      </w:r>
    </w:p>
    <w:p>
      <w:pPr>
        <w:pStyle w:val="ListParagraph"/>
        <w:numPr>
          <w:ilvl w:val="0"/>
          <w:numId w:val="37"/>
        </w:numPr>
        <w:tabs>
          <w:tab w:pos="659" w:val="left" w:leader="none"/>
        </w:tabs>
        <w:spacing w:line="213" w:lineRule="auto" w:before="0" w:after="0"/>
        <w:ind w:left="658" w:right="186" w:hanging="180"/>
        <w:jc w:val="left"/>
        <w:rPr>
          <w:rFonts w:ascii="Calibri" w:hAnsi="Calibri"/>
          <w:sz w:val="18"/>
        </w:rPr>
      </w:pPr>
      <w:r>
        <w:rPr>
          <w:rFonts w:ascii="Calibri" w:hAnsi="Calibri"/>
          <w:color w:val="4D4D4F"/>
          <w:w w:val="125"/>
          <w:sz w:val="18"/>
        </w:rPr>
        <w:t>Meet</w:t>
      </w:r>
      <w:r>
        <w:rPr>
          <w:rFonts w:ascii="Calibri" w:hAnsi="Calibri"/>
          <w:color w:val="4D4D4F"/>
          <w:spacing w:val="-22"/>
          <w:w w:val="125"/>
          <w:sz w:val="18"/>
        </w:rPr>
        <w:t> </w:t>
      </w:r>
      <w:r>
        <w:rPr>
          <w:rFonts w:ascii="Calibri" w:hAnsi="Calibri"/>
          <w:color w:val="4D4D4F"/>
          <w:w w:val="125"/>
          <w:sz w:val="18"/>
        </w:rPr>
        <w:t>with</w:t>
      </w:r>
      <w:r>
        <w:rPr>
          <w:rFonts w:ascii="Calibri" w:hAnsi="Calibri"/>
          <w:color w:val="4D4D4F"/>
          <w:spacing w:val="-22"/>
          <w:w w:val="125"/>
          <w:sz w:val="18"/>
        </w:rPr>
        <w:t> </w:t>
      </w:r>
      <w:r>
        <w:rPr>
          <w:rFonts w:ascii="Calibri" w:hAnsi="Calibri"/>
          <w:color w:val="4D4D4F"/>
          <w:w w:val="125"/>
          <w:sz w:val="18"/>
        </w:rPr>
        <w:t>the</w:t>
      </w:r>
      <w:r>
        <w:rPr>
          <w:rFonts w:ascii="Calibri" w:hAnsi="Calibri"/>
          <w:color w:val="4D4D4F"/>
          <w:spacing w:val="-22"/>
          <w:w w:val="125"/>
          <w:sz w:val="18"/>
        </w:rPr>
        <w:t> </w:t>
      </w:r>
      <w:r>
        <w:rPr>
          <w:rFonts w:ascii="Calibri" w:hAnsi="Calibri"/>
          <w:color w:val="4D4D4F"/>
          <w:w w:val="125"/>
          <w:sz w:val="18"/>
        </w:rPr>
        <w:t>neonatologist</w:t>
      </w:r>
      <w:r>
        <w:rPr>
          <w:rFonts w:ascii="Calibri" w:hAnsi="Calibri"/>
          <w:color w:val="4D4D4F"/>
          <w:spacing w:val="-23"/>
          <w:w w:val="125"/>
          <w:sz w:val="18"/>
        </w:rPr>
        <w:t> </w:t>
      </w:r>
      <w:r>
        <w:rPr>
          <w:rFonts w:ascii="Calibri" w:hAnsi="Calibri"/>
          <w:color w:val="4D4D4F"/>
          <w:spacing w:val="-3"/>
          <w:w w:val="125"/>
          <w:sz w:val="18"/>
        </w:rPr>
        <w:t>and/or</w:t>
      </w:r>
      <w:r>
        <w:rPr>
          <w:rFonts w:ascii="Calibri" w:hAnsi="Calibri"/>
          <w:color w:val="4D4D4F"/>
          <w:spacing w:val="-22"/>
          <w:w w:val="125"/>
          <w:sz w:val="18"/>
        </w:rPr>
        <w:t> </w:t>
      </w:r>
      <w:r>
        <w:rPr>
          <w:rFonts w:ascii="Calibri" w:hAnsi="Calibri"/>
          <w:color w:val="4D4D4F"/>
          <w:w w:val="125"/>
          <w:sz w:val="18"/>
        </w:rPr>
        <w:t>pediatrician to</w:t>
      </w:r>
      <w:r>
        <w:rPr>
          <w:rFonts w:ascii="Calibri" w:hAnsi="Calibri"/>
          <w:color w:val="4D4D4F"/>
          <w:spacing w:val="-10"/>
          <w:w w:val="125"/>
          <w:sz w:val="18"/>
        </w:rPr>
        <w:t> </w:t>
      </w:r>
      <w:r>
        <w:rPr>
          <w:rFonts w:ascii="Calibri" w:hAnsi="Calibri"/>
          <w:color w:val="4D4D4F"/>
          <w:w w:val="125"/>
          <w:sz w:val="18"/>
        </w:rPr>
        <w:t>learn</w:t>
      </w:r>
      <w:r>
        <w:rPr>
          <w:rFonts w:ascii="Calibri" w:hAnsi="Calibri"/>
          <w:color w:val="4D4D4F"/>
          <w:spacing w:val="-9"/>
          <w:w w:val="125"/>
          <w:sz w:val="18"/>
        </w:rPr>
        <w:t> </w:t>
      </w:r>
      <w:r>
        <w:rPr>
          <w:rFonts w:ascii="Calibri" w:hAnsi="Calibri"/>
          <w:color w:val="4D4D4F"/>
          <w:w w:val="125"/>
          <w:sz w:val="18"/>
        </w:rPr>
        <w:t>how</w:t>
      </w:r>
      <w:r>
        <w:rPr>
          <w:rFonts w:ascii="Calibri" w:hAnsi="Calibri"/>
          <w:color w:val="4D4D4F"/>
          <w:spacing w:val="-9"/>
          <w:w w:val="125"/>
          <w:sz w:val="18"/>
        </w:rPr>
        <w:t> </w:t>
      </w:r>
      <w:r>
        <w:rPr>
          <w:rFonts w:ascii="Calibri" w:hAnsi="Calibri"/>
          <w:color w:val="4D4D4F"/>
          <w:w w:val="125"/>
          <w:sz w:val="18"/>
        </w:rPr>
        <w:t>the</w:t>
      </w:r>
      <w:r>
        <w:rPr>
          <w:rFonts w:ascii="Calibri" w:hAnsi="Calibri"/>
          <w:color w:val="4D4D4F"/>
          <w:spacing w:val="-10"/>
          <w:w w:val="125"/>
          <w:sz w:val="18"/>
        </w:rPr>
        <w:t> </w:t>
      </w:r>
      <w:r>
        <w:rPr>
          <w:rFonts w:ascii="Calibri" w:hAnsi="Calibri"/>
          <w:color w:val="4D4D4F"/>
          <w:w w:val="125"/>
          <w:sz w:val="18"/>
        </w:rPr>
        <w:t>hospital</w:t>
      </w:r>
      <w:r>
        <w:rPr>
          <w:rFonts w:ascii="Calibri" w:hAnsi="Calibri"/>
          <w:color w:val="4D4D4F"/>
          <w:spacing w:val="-9"/>
          <w:w w:val="125"/>
          <w:sz w:val="18"/>
        </w:rPr>
        <w:t> </w:t>
      </w:r>
      <w:r>
        <w:rPr>
          <w:rFonts w:ascii="Calibri" w:hAnsi="Calibri"/>
          <w:color w:val="4D4D4F"/>
          <w:w w:val="125"/>
          <w:sz w:val="18"/>
        </w:rPr>
        <w:t>assesses</w:t>
      </w:r>
      <w:r>
        <w:rPr>
          <w:rFonts w:ascii="Calibri" w:hAnsi="Calibri"/>
          <w:color w:val="4D4D4F"/>
          <w:spacing w:val="-9"/>
          <w:w w:val="125"/>
          <w:sz w:val="18"/>
        </w:rPr>
        <w:t> </w:t>
      </w:r>
      <w:r>
        <w:rPr>
          <w:rFonts w:ascii="Calibri" w:hAnsi="Calibri"/>
          <w:color w:val="4D4D4F"/>
          <w:w w:val="125"/>
          <w:sz w:val="18"/>
        </w:rPr>
        <w:t>and</w:t>
      </w:r>
      <w:r>
        <w:rPr>
          <w:rFonts w:ascii="Calibri" w:hAnsi="Calibri"/>
          <w:color w:val="4D4D4F"/>
          <w:spacing w:val="-9"/>
          <w:w w:val="125"/>
          <w:sz w:val="18"/>
        </w:rPr>
        <w:t> </w:t>
      </w:r>
      <w:r>
        <w:rPr>
          <w:rFonts w:ascii="Calibri" w:hAnsi="Calibri"/>
          <w:color w:val="4D4D4F"/>
          <w:w w:val="125"/>
          <w:sz w:val="18"/>
        </w:rPr>
        <w:t>treats</w:t>
      </w:r>
    </w:p>
    <w:p>
      <w:pPr>
        <w:spacing w:line="261" w:lineRule="auto" w:before="22"/>
        <w:ind w:left="658" w:right="0" w:firstLine="0"/>
        <w:jc w:val="left"/>
        <w:rPr>
          <w:rFonts w:ascii="Calibri"/>
          <w:sz w:val="18"/>
        </w:rPr>
      </w:pPr>
      <w:r>
        <w:rPr>
          <w:rFonts w:ascii="Calibri"/>
          <w:color w:val="4D4D4F"/>
          <w:w w:val="125"/>
          <w:sz w:val="18"/>
        </w:rPr>
        <w:t>NAS and what they suggest you can do as a parent to help soothe a baby with NAS.</w:t>
      </w:r>
    </w:p>
    <w:p>
      <w:pPr>
        <w:pStyle w:val="ListParagraph"/>
        <w:numPr>
          <w:ilvl w:val="0"/>
          <w:numId w:val="37"/>
        </w:numPr>
        <w:tabs>
          <w:tab w:pos="659" w:val="left" w:leader="none"/>
        </w:tabs>
        <w:spacing w:line="274" w:lineRule="exact" w:before="0" w:after="0"/>
        <w:ind w:left="658" w:right="0" w:hanging="181"/>
        <w:jc w:val="left"/>
        <w:rPr>
          <w:rFonts w:ascii="Calibri" w:hAnsi="Calibri"/>
          <w:sz w:val="18"/>
        </w:rPr>
      </w:pPr>
      <w:r>
        <w:rPr>
          <w:rFonts w:ascii="Calibri" w:hAnsi="Calibri"/>
          <w:color w:val="4D4D4F"/>
          <w:w w:val="125"/>
          <w:sz w:val="18"/>
        </w:rPr>
        <w:t>Request rooming-in with the</w:t>
      </w:r>
      <w:r>
        <w:rPr>
          <w:rFonts w:ascii="Calibri" w:hAnsi="Calibri"/>
          <w:color w:val="4D4D4F"/>
          <w:spacing w:val="-18"/>
          <w:w w:val="125"/>
          <w:sz w:val="18"/>
        </w:rPr>
        <w:t> </w:t>
      </w:r>
      <w:r>
        <w:rPr>
          <w:rFonts w:ascii="Calibri" w:hAnsi="Calibri"/>
          <w:color w:val="4D4D4F"/>
          <w:w w:val="125"/>
          <w:sz w:val="18"/>
        </w:rPr>
        <w:t>child.</w:t>
      </w:r>
    </w:p>
    <w:p>
      <w:pPr>
        <w:pStyle w:val="ListParagraph"/>
        <w:numPr>
          <w:ilvl w:val="0"/>
          <w:numId w:val="37"/>
        </w:numPr>
        <w:tabs>
          <w:tab w:pos="659" w:val="left" w:leader="none"/>
        </w:tabs>
        <w:spacing w:line="213" w:lineRule="auto" w:before="0" w:after="0"/>
        <w:ind w:left="658" w:right="282" w:hanging="180"/>
        <w:jc w:val="left"/>
        <w:rPr>
          <w:rFonts w:ascii="Calibri" w:hAnsi="Calibri"/>
          <w:sz w:val="18"/>
        </w:rPr>
      </w:pPr>
      <w:r>
        <w:rPr>
          <w:rFonts w:ascii="Calibri" w:hAnsi="Calibri"/>
          <w:color w:val="4D4D4F"/>
          <w:w w:val="125"/>
          <w:sz w:val="18"/>
        </w:rPr>
        <w:t>Talk</w:t>
      </w:r>
      <w:r>
        <w:rPr>
          <w:rFonts w:ascii="Calibri" w:hAnsi="Calibri"/>
          <w:color w:val="4D4D4F"/>
          <w:spacing w:val="-17"/>
          <w:w w:val="125"/>
          <w:sz w:val="18"/>
        </w:rPr>
        <w:t> </w:t>
      </w:r>
      <w:r>
        <w:rPr>
          <w:rFonts w:ascii="Calibri" w:hAnsi="Calibri"/>
          <w:color w:val="4D4D4F"/>
          <w:w w:val="125"/>
          <w:sz w:val="18"/>
        </w:rPr>
        <w:t>with</w:t>
      </w:r>
      <w:r>
        <w:rPr>
          <w:rFonts w:ascii="Calibri" w:hAnsi="Calibri"/>
          <w:color w:val="4D4D4F"/>
          <w:spacing w:val="-17"/>
          <w:w w:val="125"/>
          <w:sz w:val="18"/>
        </w:rPr>
        <w:t> </w:t>
      </w:r>
      <w:r>
        <w:rPr>
          <w:rFonts w:ascii="Calibri" w:hAnsi="Calibri"/>
          <w:color w:val="4D4D4F"/>
          <w:w w:val="125"/>
          <w:sz w:val="18"/>
        </w:rPr>
        <w:t>the</w:t>
      </w:r>
      <w:r>
        <w:rPr>
          <w:rFonts w:ascii="Calibri" w:hAnsi="Calibri"/>
          <w:color w:val="4D4D4F"/>
          <w:spacing w:val="-17"/>
          <w:w w:val="125"/>
          <w:sz w:val="18"/>
        </w:rPr>
        <w:t> </w:t>
      </w:r>
      <w:r>
        <w:rPr>
          <w:rFonts w:ascii="Calibri" w:hAnsi="Calibri"/>
          <w:color w:val="4D4D4F"/>
          <w:w w:val="125"/>
          <w:sz w:val="18"/>
        </w:rPr>
        <w:t>healthcare</w:t>
      </w:r>
      <w:r>
        <w:rPr>
          <w:rFonts w:ascii="Calibri" w:hAnsi="Calibri"/>
          <w:color w:val="4D4D4F"/>
          <w:spacing w:val="-16"/>
          <w:w w:val="125"/>
          <w:sz w:val="18"/>
        </w:rPr>
        <w:t> </w:t>
      </w:r>
      <w:r>
        <w:rPr>
          <w:rFonts w:ascii="Calibri" w:hAnsi="Calibri"/>
          <w:color w:val="4D4D4F"/>
          <w:w w:val="125"/>
          <w:sz w:val="18"/>
        </w:rPr>
        <w:t>professional</w:t>
      </w:r>
      <w:r>
        <w:rPr>
          <w:rFonts w:ascii="Calibri" w:hAnsi="Calibri"/>
          <w:color w:val="4D4D4F"/>
          <w:spacing w:val="-17"/>
          <w:w w:val="125"/>
          <w:sz w:val="18"/>
        </w:rPr>
        <w:t> </w:t>
      </w:r>
      <w:r>
        <w:rPr>
          <w:rFonts w:ascii="Calibri" w:hAnsi="Calibri"/>
          <w:color w:val="4D4D4F"/>
          <w:w w:val="125"/>
          <w:sz w:val="18"/>
        </w:rPr>
        <w:t>providing obstetric</w:t>
      </w:r>
      <w:r>
        <w:rPr>
          <w:rFonts w:ascii="Calibri" w:hAnsi="Calibri"/>
          <w:color w:val="4D4D4F"/>
          <w:spacing w:val="-14"/>
          <w:w w:val="125"/>
          <w:sz w:val="18"/>
        </w:rPr>
        <w:t> </w:t>
      </w:r>
      <w:r>
        <w:rPr>
          <w:rFonts w:ascii="Calibri" w:hAnsi="Calibri"/>
          <w:color w:val="4D4D4F"/>
          <w:w w:val="125"/>
          <w:sz w:val="18"/>
        </w:rPr>
        <w:t>care</w:t>
      </w:r>
      <w:r>
        <w:rPr>
          <w:rFonts w:ascii="Calibri" w:hAnsi="Calibri"/>
          <w:color w:val="4D4D4F"/>
          <w:spacing w:val="-13"/>
          <w:w w:val="125"/>
          <w:sz w:val="18"/>
        </w:rPr>
        <w:t> </w:t>
      </w:r>
      <w:r>
        <w:rPr>
          <w:rFonts w:ascii="Calibri" w:hAnsi="Calibri"/>
          <w:color w:val="4D4D4F"/>
          <w:w w:val="125"/>
          <w:sz w:val="18"/>
        </w:rPr>
        <w:t>about</w:t>
      </w:r>
      <w:r>
        <w:rPr>
          <w:rFonts w:ascii="Calibri" w:hAnsi="Calibri"/>
          <w:color w:val="4D4D4F"/>
          <w:spacing w:val="-14"/>
          <w:w w:val="125"/>
          <w:sz w:val="18"/>
        </w:rPr>
        <w:t> </w:t>
      </w:r>
      <w:r>
        <w:rPr>
          <w:rFonts w:ascii="Calibri" w:hAnsi="Calibri"/>
          <w:color w:val="4D4D4F"/>
          <w:w w:val="125"/>
          <w:sz w:val="18"/>
        </w:rPr>
        <w:t>breastfeeding,</w:t>
      </w:r>
      <w:r>
        <w:rPr>
          <w:rFonts w:ascii="Calibri" w:hAnsi="Calibri"/>
          <w:color w:val="4D4D4F"/>
          <w:spacing w:val="-13"/>
          <w:w w:val="125"/>
          <w:sz w:val="18"/>
        </w:rPr>
        <w:t> </w:t>
      </w:r>
      <w:r>
        <w:rPr>
          <w:rFonts w:ascii="Calibri" w:hAnsi="Calibri"/>
          <w:color w:val="4D4D4F"/>
          <w:w w:val="125"/>
          <w:sz w:val="18"/>
        </w:rPr>
        <w:t>as</w:t>
      </w:r>
      <w:r>
        <w:rPr>
          <w:rFonts w:ascii="Calibri" w:hAnsi="Calibri"/>
          <w:color w:val="4D4D4F"/>
          <w:spacing w:val="-13"/>
          <w:w w:val="125"/>
          <w:sz w:val="18"/>
        </w:rPr>
        <w:t> </w:t>
      </w:r>
      <w:r>
        <w:rPr>
          <w:rFonts w:ascii="Calibri" w:hAnsi="Calibri"/>
          <w:color w:val="4D4D4F"/>
          <w:w w:val="125"/>
          <w:sz w:val="18"/>
        </w:rPr>
        <w:t>this</w:t>
      </w:r>
      <w:r>
        <w:rPr>
          <w:rFonts w:ascii="Calibri" w:hAnsi="Calibri"/>
          <w:color w:val="4D4D4F"/>
          <w:spacing w:val="-14"/>
          <w:w w:val="125"/>
          <w:sz w:val="18"/>
        </w:rPr>
        <w:t> </w:t>
      </w:r>
      <w:r>
        <w:rPr>
          <w:rFonts w:ascii="Calibri" w:hAnsi="Calibri"/>
          <w:color w:val="4D4D4F"/>
          <w:w w:val="125"/>
          <w:sz w:val="18"/>
        </w:rPr>
        <w:t>may</w:t>
      </w:r>
    </w:p>
    <w:p>
      <w:pPr>
        <w:spacing w:line="219" w:lineRule="exact" w:before="22"/>
        <w:ind w:left="658" w:right="0" w:firstLine="0"/>
        <w:jc w:val="left"/>
        <w:rPr>
          <w:rFonts w:ascii="Calibri"/>
          <w:sz w:val="18"/>
        </w:rPr>
      </w:pPr>
      <w:r>
        <w:rPr>
          <w:rFonts w:ascii="Calibri"/>
          <w:color w:val="4D4D4F"/>
          <w:w w:val="125"/>
          <w:sz w:val="18"/>
        </w:rPr>
        <w:t>help make NAS less severe.</w:t>
      </w:r>
    </w:p>
    <w:p>
      <w:pPr>
        <w:pStyle w:val="ListParagraph"/>
        <w:numPr>
          <w:ilvl w:val="0"/>
          <w:numId w:val="37"/>
        </w:numPr>
        <w:tabs>
          <w:tab w:pos="659" w:val="left" w:leader="none"/>
        </w:tabs>
        <w:spacing w:line="235" w:lineRule="auto" w:before="4" w:after="0"/>
        <w:ind w:left="658" w:right="176" w:hanging="180"/>
        <w:jc w:val="left"/>
        <w:rPr>
          <w:rFonts w:ascii="Calibri" w:hAnsi="Calibri"/>
          <w:sz w:val="18"/>
        </w:rPr>
      </w:pPr>
      <w:r>
        <w:rPr>
          <w:rFonts w:ascii="Calibri" w:hAnsi="Calibri"/>
          <w:color w:val="4D4D4F"/>
          <w:w w:val="125"/>
          <w:sz w:val="18"/>
        </w:rPr>
        <w:t>In the ﬁrst week after birth, keeping lights </w:t>
      </w:r>
      <w:r>
        <w:rPr>
          <w:rFonts w:ascii="Calibri" w:hAnsi="Calibri"/>
          <w:color w:val="4D4D4F"/>
          <w:spacing w:val="-3"/>
          <w:w w:val="125"/>
          <w:sz w:val="18"/>
        </w:rPr>
        <w:t>low, </w:t>
      </w:r>
      <w:r>
        <w:rPr>
          <w:rFonts w:ascii="Calibri" w:hAnsi="Calibri"/>
          <w:color w:val="4D4D4F"/>
          <w:w w:val="125"/>
          <w:sz w:val="18"/>
        </w:rPr>
        <w:t>speaking softly, avoiding too much stimulation, and providing frequent skin-to-skin contact</w:t>
      </w:r>
      <w:r>
        <w:rPr>
          <w:rFonts w:ascii="Calibri" w:hAnsi="Calibri"/>
          <w:color w:val="4D4D4F"/>
          <w:spacing w:val="-7"/>
          <w:w w:val="125"/>
          <w:sz w:val="18"/>
        </w:rPr>
        <w:t> </w:t>
      </w:r>
      <w:r>
        <w:rPr>
          <w:rFonts w:ascii="Calibri" w:hAnsi="Calibri"/>
          <w:color w:val="4D4D4F"/>
          <w:w w:val="125"/>
          <w:sz w:val="18"/>
        </w:rPr>
        <w:t>can</w:t>
      </w:r>
    </w:p>
    <w:p>
      <w:pPr>
        <w:spacing w:before="20"/>
        <w:ind w:left="658" w:right="0" w:firstLine="0"/>
        <w:jc w:val="left"/>
        <w:rPr>
          <w:rFonts w:ascii="Calibri"/>
          <w:sz w:val="18"/>
        </w:rPr>
      </w:pPr>
      <w:r>
        <w:rPr>
          <w:rFonts w:ascii="Calibri"/>
          <w:color w:val="4D4D4F"/>
          <w:w w:val="125"/>
          <w:sz w:val="18"/>
        </w:rPr>
        <w:t>help prevent or limit symptoms of NAS.</w:t>
      </w:r>
    </w:p>
    <w:p>
      <w:pPr>
        <w:spacing w:after="0"/>
        <w:jc w:val="left"/>
        <w:rPr>
          <w:rFonts w:ascii="Calibri"/>
          <w:sz w:val="18"/>
        </w:rPr>
        <w:sectPr>
          <w:type w:val="continuous"/>
          <w:pgSz w:w="12240" w:h="15840"/>
          <w:pgMar w:top="540" w:bottom="280" w:left="940" w:right="920"/>
          <w:cols w:num="2" w:equalWidth="0">
            <w:col w:w="5040" w:space="180"/>
            <w:col w:w="5160"/>
          </w:cols>
        </w:sectPr>
      </w:pPr>
    </w:p>
    <w:p>
      <w:pPr>
        <w:pStyle w:val="BodyText"/>
        <w:spacing w:before="11"/>
        <w:rPr>
          <w:rFonts w:ascii="Calibri"/>
          <w:sz w:val="25"/>
        </w:rPr>
      </w:pPr>
    </w:p>
    <w:p>
      <w:pPr>
        <w:spacing w:after="0"/>
        <w:rPr>
          <w:rFonts w:ascii="Calibri"/>
          <w:sz w:val="25"/>
        </w:rPr>
        <w:sectPr>
          <w:pgSz w:w="12240" w:h="15840"/>
          <w:pgMar w:header="576" w:footer="677" w:top="1340" w:bottom="860" w:left="940" w:right="920"/>
        </w:sectPr>
      </w:pPr>
    </w:p>
    <w:p>
      <w:pPr>
        <w:pStyle w:val="Heading3"/>
        <w:spacing w:before="89"/>
      </w:pPr>
      <w:bookmarkStart w:name="_TOC_250051" w:id="64"/>
      <w:bookmarkEnd w:id="64"/>
      <w:r>
        <w:rPr>
          <w:color w:val="137692"/>
          <w:w w:val="110"/>
        </w:rPr>
        <w:t>Drug Interactions</w:t>
      </w:r>
    </w:p>
    <w:p>
      <w:pPr>
        <w:spacing w:line="244" w:lineRule="auto" w:before="42"/>
        <w:ind w:left="140" w:right="48" w:firstLine="0"/>
        <w:jc w:val="left"/>
        <w:rPr>
          <w:sz w:val="22"/>
        </w:rPr>
      </w:pPr>
      <w:r>
        <w:rPr>
          <w:rFonts w:ascii="Calibri" w:hAnsi="Calibri"/>
          <w:b/>
          <w:color w:val="4D4D4F"/>
          <w:w w:val="110"/>
          <w:sz w:val="22"/>
        </w:rPr>
        <w:t>Buprenorphine has fewer  documented clinically signiﬁcant drug interactions than methadone.</w:t>
      </w:r>
      <w:r>
        <w:rPr>
          <w:rFonts w:ascii="Calibri" w:hAnsi="Calibri"/>
          <w:b/>
          <w:color w:val="4D4D4F"/>
          <w:w w:val="110"/>
          <w:position w:val="7"/>
          <w:sz w:val="13"/>
        </w:rPr>
        <w:t>288 </w:t>
      </w:r>
      <w:r>
        <w:rPr>
          <w:rFonts w:ascii="Calibri" w:hAnsi="Calibri"/>
          <w:b/>
          <w:color w:val="4D4D4F"/>
          <w:w w:val="110"/>
          <w:sz w:val="22"/>
        </w:rPr>
        <w:t>Monitoring is still needed for patients who are starting or stopping </w:t>
      </w:r>
      <w:r>
        <w:rPr>
          <w:color w:val="4D4D4F"/>
          <w:w w:val="110"/>
          <w:sz w:val="22"/>
        </w:rPr>
        <w:t>medi- cations that are CYP450 3A4 enzyme inhibitors or inducers or that compete with</w:t>
      </w:r>
      <w:r>
        <w:rPr>
          <w:color w:val="4D4D4F"/>
          <w:spacing w:val="-49"/>
          <w:w w:val="110"/>
          <w:sz w:val="22"/>
        </w:rPr>
        <w:t> </w:t>
      </w:r>
      <w:r>
        <w:rPr>
          <w:color w:val="4D4D4F"/>
          <w:w w:val="110"/>
          <w:sz w:val="22"/>
        </w:rPr>
        <w:t>buprenorphine for this enzyme. A previously therapeutic and stable dose of either buprenorphine or the coadministered medication may be altered </w:t>
      </w:r>
      <w:r>
        <w:rPr>
          <w:color w:val="4D4D4F"/>
          <w:spacing w:val="-5"/>
          <w:w w:val="110"/>
          <w:sz w:val="22"/>
        </w:rPr>
        <w:t>when </w:t>
      </w:r>
      <w:r>
        <w:rPr>
          <w:color w:val="4D4D4F"/>
          <w:w w:val="110"/>
          <w:sz w:val="22"/>
        </w:rPr>
        <w:t>one of these medications is started or stopped. In the case of buprenorphine, oversedation or withdrawal symptoms may result. In the case of altered levels of other pharmacotherapies, the patient may experience a lack of therapeutic beneﬁt or toxic side effects of that drug. Special attention should be paid to patients using or starting depot formulations of</w:t>
      </w:r>
      <w:r>
        <w:rPr>
          <w:color w:val="4D4D4F"/>
          <w:spacing w:val="7"/>
          <w:w w:val="110"/>
          <w:sz w:val="22"/>
        </w:rPr>
        <w:t> </w:t>
      </w:r>
      <w:r>
        <w:rPr>
          <w:color w:val="4D4D4F"/>
          <w:w w:val="110"/>
          <w:sz w:val="22"/>
        </w:rPr>
        <w:t>buprenorphine.</w:t>
      </w:r>
    </w:p>
    <w:p>
      <w:pPr>
        <w:pStyle w:val="BodyText"/>
        <w:spacing w:line="247" w:lineRule="auto" w:before="14"/>
        <w:ind w:left="140" w:right="210"/>
        <w:jc w:val="both"/>
      </w:pPr>
      <w:r>
        <w:rPr>
          <w:color w:val="4D4D4F"/>
          <w:w w:val="110"/>
        </w:rPr>
        <w:t>Prior to initiating a depot formulation, talk </w:t>
      </w:r>
      <w:r>
        <w:rPr>
          <w:color w:val="4D4D4F"/>
          <w:spacing w:val="-4"/>
          <w:w w:val="110"/>
        </w:rPr>
        <w:t>with </w:t>
      </w:r>
      <w:r>
        <w:rPr>
          <w:color w:val="4D4D4F"/>
          <w:w w:val="110"/>
        </w:rPr>
        <w:t>the patient about waiting until any </w:t>
      </w:r>
      <w:r>
        <w:rPr>
          <w:color w:val="4D4D4F"/>
          <w:spacing w:val="-2"/>
          <w:w w:val="110"/>
        </w:rPr>
        <w:t>time-limited </w:t>
      </w:r>
      <w:r>
        <w:rPr>
          <w:color w:val="4D4D4F"/>
          <w:w w:val="110"/>
        </w:rPr>
        <w:t>therapy with a potential </w:t>
      </w:r>
      <w:r>
        <w:rPr>
          <w:color w:val="4D4D4F"/>
          <w:spacing w:val="-3"/>
          <w:w w:val="110"/>
        </w:rPr>
        <w:t>inhibitor, inducer, </w:t>
      </w:r>
      <w:r>
        <w:rPr>
          <w:color w:val="4D4D4F"/>
          <w:w w:val="110"/>
        </w:rPr>
        <w:t>or</w:t>
      </w:r>
    </w:p>
    <w:p>
      <w:pPr>
        <w:pStyle w:val="BodyText"/>
        <w:spacing w:line="247" w:lineRule="auto" w:before="101"/>
        <w:ind w:left="140" w:right="193"/>
      </w:pPr>
      <w:r>
        <w:rPr/>
        <w:br w:type="column"/>
      </w:r>
      <w:r>
        <w:rPr>
          <w:color w:val="4D4D4F"/>
          <w:w w:val="110"/>
        </w:rPr>
        <w:t>substrate of CYP450 3A4 is complete, and ensure that adherence to any such medications needed chronically is good. Make sure the patient fully understands the possible risk of </w:t>
      </w:r>
      <w:r>
        <w:rPr>
          <w:color w:val="4D4D4F"/>
          <w:spacing w:val="-5"/>
          <w:w w:val="110"/>
        </w:rPr>
        <w:t>ﬂuc- </w:t>
      </w:r>
      <w:r>
        <w:rPr>
          <w:color w:val="4D4D4F"/>
          <w:w w:val="110"/>
        </w:rPr>
        <w:t>tuations in buprenorphine serum levels resulting in sedation or withdrawal symptoms and if com- pliance with an </w:t>
      </w:r>
      <w:r>
        <w:rPr>
          <w:color w:val="4D4D4F"/>
          <w:spacing w:val="-3"/>
          <w:w w:val="110"/>
        </w:rPr>
        <w:t>inhibitor, inducer, </w:t>
      </w:r>
      <w:r>
        <w:rPr>
          <w:color w:val="4D4D4F"/>
          <w:w w:val="110"/>
        </w:rPr>
        <w:t>or</w:t>
      </w:r>
      <w:r>
        <w:rPr>
          <w:color w:val="4D4D4F"/>
          <w:spacing w:val="-12"/>
          <w:w w:val="110"/>
        </w:rPr>
        <w:t> </w:t>
      </w:r>
      <w:r>
        <w:rPr>
          <w:color w:val="4D4D4F"/>
          <w:w w:val="110"/>
        </w:rPr>
        <w:t>substrate</w:t>
      </w:r>
    </w:p>
    <w:p>
      <w:pPr>
        <w:pStyle w:val="BodyText"/>
        <w:spacing w:line="247" w:lineRule="auto" w:before="8"/>
        <w:ind w:left="140" w:right="163"/>
        <w:rPr>
          <w:rFonts w:ascii="Calibri"/>
          <w:b/>
        </w:rPr>
      </w:pPr>
      <w:r>
        <w:rPr/>
        <w:pict>
          <v:group style="position:absolute;margin-left:54.048pt;margin-top:205.908905pt;width:503.95pt;height:355.65pt;mso-position-horizontal-relative:page;mso-position-vertical-relative:paragraph;z-index:-19553792" coordorigin="1081,4118" coordsize="10079,7113">
            <v:rect style="position:absolute;left:1085;top:4123;width:10069;height:7103" filled="true" fillcolor="#fff7f2" stroked="false">
              <v:fill type="solid"/>
            </v:rect>
            <v:rect style="position:absolute;left:1085;top:4123;width:10069;height:7103" filled="false" stroked="true" strokeweight=".5pt" strokecolor="#88aabd">
              <v:stroke dashstyle="solid"/>
            </v:rect>
            <v:line style="position:absolute" from="1464,10762" to="10779,10762" stroked="true" strokeweight="2pt" strokecolor="#377f9a">
              <v:stroke dashstyle="solid"/>
            </v:line>
            <v:shape style="position:absolute;left:1360;top:4310;width:9358;height:669" type="#_x0000_t202" filled="false" stroked="false">
              <v:textbox inset="0,0,0,0">
                <w:txbxContent>
                  <w:p>
                    <w:pPr>
                      <w:spacing w:line="256" w:lineRule="auto" w:before="36"/>
                      <w:ind w:left="0" w:right="0" w:firstLine="0"/>
                      <w:jc w:val="left"/>
                      <w:rPr>
                        <w:rFonts w:ascii="Arial"/>
                        <w:b/>
                        <w:sz w:val="26"/>
                      </w:rPr>
                    </w:pPr>
                    <w:r>
                      <w:rPr>
                        <w:rFonts w:ascii="Arial"/>
                        <w:b/>
                        <w:color w:val="137692"/>
                        <w:w w:val="110"/>
                        <w:sz w:val="26"/>
                      </w:rPr>
                      <w:t>EXHIBIT</w:t>
                    </w:r>
                    <w:r>
                      <w:rPr>
                        <w:rFonts w:ascii="Arial"/>
                        <w:b/>
                        <w:color w:val="137692"/>
                        <w:spacing w:val="-12"/>
                        <w:w w:val="110"/>
                        <w:sz w:val="26"/>
                      </w:rPr>
                      <w:t> </w:t>
                    </w:r>
                    <w:r>
                      <w:rPr>
                        <w:rFonts w:ascii="Arial"/>
                        <w:b/>
                        <w:color w:val="137692"/>
                        <w:w w:val="110"/>
                        <w:sz w:val="26"/>
                      </w:rPr>
                      <w:t>3D.3.</w:t>
                    </w:r>
                    <w:r>
                      <w:rPr>
                        <w:rFonts w:ascii="Arial"/>
                        <w:b/>
                        <w:color w:val="137692"/>
                        <w:spacing w:val="-12"/>
                        <w:w w:val="110"/>
                        <w:sz w:val="26"/>
                      </w:rPr>
                      <w:t> </w:t>
                    </w:r>
                    <w:r>
                      <w:rPr>
                        <w:rFonts w:ascii="Arial"/>
                        <w:b/>
                        <w:color w:val="137692"/>
                        <w:w w:val="110"/>
                        <w:sz w:val="26"/>
                      </w:rPr>
                      <w:t>Partial</w:t>
                    </w:r>
                    <w:r>
                      <w:rPr>
                        <w:rFonts w:ascii="Arial"/>
                        <w:b/>
                        <w:color w:val="137692"/>
                        <w:spacing w:val="-12"/>
                        <w:w w:val="110"/>
                        <w:sz w:val="26"/>
                      </w:rPr>
                      <w:t> </w:t>
                    </w:r>
                    <w:r>
                      <w:rPr>
                        <w:rFonts w:ascii="Arial"/>
                        <w:b/>
                        <w:color w:val="137692"/>
                        <w:w w:val="110"/>
                        <w:sz w:val="26"/>
                      </w:rPr>
                      <w:t>List</w:t>
                    </w:r>
                    <w:r>
                      <w:rPr>
                        <w:rFonts w:ascii="Arial"/>
                        <w:b/>
                        <w:color w:val="137692"/>
                        <w:spacing w:val="-11"/>
                        <w:w w:val="110"/>
                        <w:sz w:val="26"/>
                      </w:rPr>
                      <w:t> </w:t>
                    </w:r>
                    <w:r>
                      <w:rPr>
                        <w:rFonts w:ascii="Arial"/>
                        <w:b/>
                        <w:color w:val="137692"/>
                        <w:w w:val="110"/>
                        <w:sz w:val="26"/>
                      </w:rPr>
                      <w:t>of</w:t>
                    </w:r>
                    <w:r>
                      <w:rPr>
                        <w:rFonts w:ascii="Arial"/>
                        <w:b/>
                        <w:color w:val="137692"/>
                        <w:spacing w:val="-12"/>
                        <w:w w:val="110"/>
                        <w:sz w:val="26"/>
                      </w:rPr>
                      <w:t> </w:t>
                    </w:r>
                    <w:r>
                      <w:rPr>
                        <w:rFonts w:ascii="Arial"/>
                        <w:b/>
                        <w:color w:val="137692"/>
                        <w:w w:val="110"/>
                        <w:sz w:val="26"/>
                      </w:rPr>
                      <w:t>Medications</w:t>
                    </w:r>
                    <w:r>
                      <w:rPr>
                        <w:rFonts w:ascii="Arial"/>
                        <w:b/>
                        <w:color w:val="137692"/>
                        <w:spacing w:val="-12"/>
                        <w:w w:val="110"/>
                        <w:sz w:val="26"/>
                      </w:rPr>
                      <w:t> </w:t>
                    </w:r>
                    <w:r>
                      <w:rPr>
                        <w:rFonts w:ascii="Arial"/>
                        <w:b/>
                        <w:color w:val="137692"/>
                        <w:w w:val="110"/>
                        <w:sz w:val="26"/>
                      </w:rPr>
                      <w:t>Metabolized</w:t>
                    </w:r>
                    <w:r>
                      <w:rPr>
                        <w:rFonts w:ascii="Arial"/>
                        <w:b/>
                        <w:color w:val="137692"/>
                        <w:spacing w:val="-11"/>
                        <w:w w:val="110"/>
                        <w:sz w:val="26"/>
                      </w:rPr>
                      <w:t> </w:t>
                    </w:r>
                    <w:r>
                      <w:rPr>
                        <w:rFonts w:ascii="Arial"/>
                        <w:b/>
                        <w:color w:val="137692"/>
                        <w:w w:val="110"/>
                        <w:sz w:val="26"/>
                      </w:rPr>
                      <w:t>by</w:t>
                    </w:r>
                    <w:r>
                      <w:rPr>
                        <w:rFonts w:ascii="Arial"/>
                        <w:b/>
                        <w:color w:val="137692"/>
                        <w:spacing w:val="-12"/>
                        <w:w w:val="110"/>
                        <w:sz w:val="26"/>
                      </w:rPr>
                      <w:t> </w:t>
                    </w:r>
                    <w:r>
                      <w:rPr>
                        <w:rFonts w:ascii="Arial"/>
                        <w:b/>
                        <w:color w:val="137692"/>
                        <w:w w:val="110"/>
                        <w:sz w:val="26"/>
                      </w:rPr>
                      <w:t>Cytochrome </w:t>
                    </w:r>
                    <w:r>
                      <w:rPr>
                        <w:rFonts w:ascii="Arial"/>
                        <w:b/>
                        <w:color w:val="137692"/>
                        <w:spacing w:val="-3"/>
                        <w:w w:val="110"/>
                        <w:sz w:val="26"/>
                      </w:rPr>
                      <w:t>P450</w:t>
                    </w:r>
                    <w:r>
                      <w:rPr>
                        <w:rFonts w:ascii="Arial"/>
                        <w:b/>
                        <w:color w:val="137692"/>
                        <w:spacing w:val="-6"/>
                        <w:w w:val="110"/>
                        <w:sz w:val="26"/>
                      </w:rPr>
                      <w:t> </w:t>
                    </w:r>
                    <w:r>
                      <w:rPr>
                        <w:rFonts w:ascii="Arial"/>
                        <w:b/>
                        <w:color w:val="137692"/>
                        <w:w w:val="110"/>
                        <w:sz w:val="26"/>
                      </w:rPr>
                      <w:t>3A4</w:t>
                    </w:r>
                  </w:p>
                </w:txbxContent>
              </v:textbox>
              <w10:wrap type="none"/>
            </v:shape>
            <v:shape style="position:absolute;left:1463;top:10884;width:1967;height:209" type="#_x0000_t202" filled="false" stroked="false">
              <v:textbox inset="0,0,0,0">
                <w:txbxContent>
                  <w:p>
                    <w:pPr>
                      <w:spacing w:line="194" w:lineRule="exact" w:before="14"/>
                      <w:ind w:left="0" w:right="0" w:firstLine="0"/>
                      <w:jc w:val="left"/>
                      <w:rPr>
                        <w:rFonts w:ascii="Calibri"/>
                        <w:sz w:val="16"/>
                      </w:rPr>
                    </w:pPr>
                    <w:r>
                      <w:rPr>
                        <w:rFonts w:ascii="Calibri"/>
                        <w:color w:val="606163"/>
                        <w:w w:val="125"/>
                        <w:sz w:val="16"/>
                      </w:rPr>
                      <w:t>Continued on next page</w:t>
                    </w:r>
                  </w:p>
                </w:txbxContent>
              </v:textbox>
              <w10:wrap type="none"/>
            </v:shape>
            <w10:wrap type="none"/>
          </v:group>
        </w:pict>
      </w:r>
      <w:r>
        <w:rPr>
          <w:color w:val="4D4D4F"/>
          <w:w w:val="110"/>
        </w:rPr>
        <w:t>of CYP450 3A4 is erratic. If an </w:t>
      </w:r>
      <w:r>
        <w:rPr>
          <w:color w:val="4D4D4F"/>
          <w:spacing w:val="-3"/>
          <w:w w:val="110"/>
        </w:rPr>
        <w:t>inhibitor, inducer, </w:t>
      </w:r>
      <w:r>
        <w:rPr>
          <w:color w:val="4D4D4F"/>
          <w:w w:val="110"/>
        </w:rPr>
        <w:t>or substrate of CYP450 3A4 is to be started or stopped for a patient stable on a depot formu- lation of buprenorphine, the patient should be monitored closely for oversedation or signs of withdrawal. </w:t>
      </w:r>
      <w:r>
        <w:rPr>
          <w:color w:val="4D4D4F"/>
          <w:spacing w:val="-3"/>
          <w:w w:val="110"/>
        </w:rPr>
        <w:t>Remember, </w:t>
      </w:r>
      <w:r>
        <w:rPr>
          <w:color w:val="4D4D4F"/>
          <w:w w:val="110"/>
        </w:rPr>
        <w:t>signs and symptoms </w:t>
      </w:r>
      <w:r>
        <w:rPr>
          <w:color w:val="4D4D4F"/>
          <w:spacing w:val="-6"/>
          <w:w w:val="110"/>
        </w:rPr>
        <w:t>may </w:t>
      </w:r>
      <w:r>
        <w:rPr>
          <w:color w:val="4D4D4F"/>
          <w:w w:val="110"/>
        </w:rPr>
        <w:t>not appear until the new medication approaches a therapeutic blood level. Signs of withdrawal may be relieved, if necessary, with the</w:t>
      </w:r>
      <w:r>
        <w:rPr>
          <w:color w:val="4D4D4F"/>
          <w:spacing w:val="-39"/>
          <w:w w:val="110"/>
        </w:rPr>
        <w:t> </w:t>
      </w:r>
      <w:r>
        <w:rPr>
          <w:color w:val="4D4D4F"/>
          <w:w w:val="110"/>
        </w:rPr>
        <w:t>short-term use of additional low doses of transmucosal buprenorphine. Patients who experience sedation may need to take safety precautions with some activities. In severe cases, removal of the depot formulation, if possible, may need to be considered. </w:t>
      </w:r>
      <w:r>
        <w:rPr>
          <w:rFonts w:ascii="Calibri"/>
          <w:b/>
          <w:color w:val="4D4D4F"/>
          <w:w w:val="110"/>
        </w:rPr>
        <w:t>Exhibit 3D.3 partially lists</w:t>
      </w:r>
      <w:r>
        <w:rPr>
          <w:rFonts w:ascii="Calibri"/>
          <w:b/>
          <w:color w:val="4D4D4F"/>
          <w:spacing w:val="14"/>
          <w:w w:val="110"/>
        </w:rPr>
        <w:t> </w:t>
      </w:r>
      <w:r>
        <w:rPr>
          <w:rFonts w:ascii="Calibri"/>
          <w:b/>
          <w:color w:val="4D4D4F"/>
          <w:w w:val="110"/>
        </w:rPr>
        <w:t>these</w:t>
      </w:r>
    </w:p>
    <w:p>
      <w:pPr>
        <w:spacing w:after="0" w:line="247" w:lineRule="auto"/>
        <w:rPr>
          <w:rFonts w:ascii="Calibri"/>
        </w:rPr>
        <w:sectPr>
          <w:type w:val="continuous"/>
          <w:pgSz w:w="12240" w:h="15840"/>
          <w:pgMar w:top="540" w:bottom="280" w:left="940" w:right="920"/>
          <w:cols w:num="2" w:equalWidth="0">
            <w:col w:w="5002" w:space="218"/>
            <w:col w:w="5160"/>
          </w:cols>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7"/>
        <w:rPr>
          <w:rFonts w:ascii="Calibri"/>
          <w:b/>
          <w:sz w:val="16"/>
        </w:rPr>
      </w:pPr>
    </w:p>
    <w:tbl>
      <w:tblPr>
        <w:tblW w:w="0" w:type="auto"/>
        <w:jc w:val="left"/>
        <w:tblInd w:w="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2"/>
        <w:gridCol w:w="6253"/>
      </w:tblGrid>
      <w:tr>
        <w:trPr>
          <w:trHeight w:val="328" w:hRule="atLeast"/>
        </w:trPr>
        <w:tc>
          <w:tcPr>
            <w:tcW w:w="9475" w:type="dxa"/>
            <w:gridSpan w:val="2"/>
            <w:tcBorders>
              <w:bottom w:val="single" w:sz="2" w:space="0" w:color="FFFFFF"/>
            </w:tcBorders>
            <w:shd w:val="clear" w:color="auto" w:fill="137692"/>
          </w:tcPr>
          <w:p>
            <w:pPr>
              <w:pStyle w:val="TableParagraph"/>
              <w:spacing w:before="60"/>
              <w:ind w:left="2065" w:right="2065"/>
              <w:jc w:val="center"/>
              <w:rPr>
                <w:rFonts w:ascii="Arial"/>
                <w:b/>
                <w:sz w:val="18"/>
              </w:rPr>
            </w:pPr>
            <w:r>
              <w:rPr>
                <w:rFonts w:ascii="Arial"/>
                <w:b/>
                <w:color w:val="FFFFFF"/>
                <w:w w:val="110"/>
                <w:sz w:val="18"/>
              </w:rPr>
              <w:t>Drugs that may DECREASE buprenorphine serum levels</w:t>
            </w:r>
          </w:p>
        </w:tc>
      </w:tr>
      <w:tr>
        <w:trPr>
          <w:trHeight w:val="328" w:hRule="atLeast"/>
        </w:trPr>
        <w:tc>
          <w:tcPr>
            <w:tcW w:w="3222" w:type="dxa"/>
            <w:tcBorders>
              <w:top w:val="single" w:sz="2" w:space="0" w:color="FFFFFF"/>
              <w:right w:val="single" w:sz="2" w:space="0" w:color="FFFFFF"/>
            </w:tcBorders>
            <w:shd w:val="clear" w:color="auto" w:fill="137692"/>
          </w:tcPr>
          <w:p>
            <w:pPr>
              <w:pStyle w:val="TableParagraph"/>
              <w:spacing w:before="46"/>
              <w:ind w:left="79"/>
              <w:rPr>
                <w:rFonts w:ascii="Arial"/>
                <w:b/>
                <w:sz w:val="18"/>
              </w:rPr>
            </w:pPr>
            <w:r>
              <w:rPr>
                <w:rFonts w:ascii="Arial"/>
                <w:b/>
                <w:color w:val="FFFFFF"/>
                <w:w w:val="115"/>
                <w:sz w:val="18"/>
              </w:rPr>
              <w:t>Drug</w:t>
            </w:r>
          </w:p>
        </w:tc>
        <w:tc>
          <w:tcPr>
            <w:tcW w:w="6253" w:type="dxa"/>
            <w:tcBorders>
              <w:top w:val="single" w:sz="2" w:space="0" w:color="FFFFFF"/>
              <w:left w:val="single" w:sz="2" w:space="0" w:color="FFFFFF"/>
            </w:tcBorders>
            <w:shd w:val="clear" w:color="auto" w:fill="137692"/>
          </w:tcPr>
          <w:p>
            <w:pPr>
              <w:pStyle w:val="TableParagraph"/>
              <w:spacing w:before="46"/>
              <w:ind w:left="77"/>
              <w:rPr>
                <w:rFonts w:ascii="Arial"/>
                <w:b/>
                <w:sz w:val="18"/>
              </w:rPr>
            </w:pPr>
            <w:r>
              <w:rPr>
                <w:rFonts w:ascii="Arial"/>
                <w:b/>
                <w:color w:val="FFFFFF"/>
                <w:w w:val="110"/>
                <w:sz w:val="18"/>
              </w:rPr>
              <w:t>Mechanism</w:t>
            </w:r>
          </w:p>
        </w:tc>
      </w:tr>
      <w:tr>
        <w:trPr>
          <w:trHeight w:val="331" w:hRule="atLeast"/>
        </w:trPr>
        <w:tc>
          <w:tcPr>
            <w:tcW w:w="9475" w:type="dxa"/>
            <w:gridSpan w:val="2"/>
            <w:shd w:val="clear" w:color="auto" w:fill="D9DADB"/>
          </w:tcPr>
          <w:p>
            <w:pPr>
              <w:pStyle w:val="TableParagraph"/>
              <w:spacing w:before="48"/>
              <w:ind w:left="79"/>
              <w:rPr>
                <w:rFonts w:ascii="Arial"/>
                <w:b/>
                <w:sz w:val="18"/>
              </w:rPr>
            </w:pPr>
            <w:r>
              <w:rPr>
                <w:rFonts w:ascii="Arial"/>
                <w:b/>
                <w:color w:val="231F20"/>
                <w:w w:val="110"/>
                <w:sz w:val="18"/>
              </w:rPr>
              <w:t>Anticonvulsants</w:t>
            </w:r>
          </w:p>
        </w:tc>
      </w:tr>
      <w:tr>
        <w:trPr>
          <w:trHeight w:val="540" w:hRule="atLeast"/>
        </w:trPr>
        <w:tc>
          <w:tcPr>
            <w:tcW w:w="3222" w:type="dxa"/>
            <w:tcBorders>
              <w:right w:val="single" w:sz="2" w:space="0" w:color="759EB4"/>
            </w:tcBorders>
            <w:shd w:val="clear" w:color="auto" w:fill="FFF7F2"/>
          </w:tcPr>
          <w:p>
            <w:pPr>
              <w:pStyle w:val="TableParagraph"/>
              <w:spacing w:before="52"/>
              <w:ind w:left="79"/>
              <w:rPr>
                <w:sz w:val="18"/>
              </w:rPr>
            </w:pPr>
            <w:r>
              <w:rPr>
                <w:color w:val="414142"/>
                <w:w w:val="125"/>
                <w:sz w:val="18"/>
              </w:rPr>
              <w:t>Phenobarbital, phenytoin, primidone, carbamazepine</w:t>
            </w:r>
          </w:p>
        </w:tc>
        <w:tc>
          <w:tcPr>
            <w:tcW w:w="6253" w:type="dxa"/>
            <w:tcBorders>
              <w:left w:val="single" w:sz="2" w:space="0" w:color="759EB4"/>
            </w:tcBorders>
            <w:shd w:val="clear" w:color="auto" w:fill="FFF7F2"/>
          </w:tcPr>
          <w:p>
            <w:pPr>
              <w:pStyle w:val="TableParagraph"/>
              <w:spacing w:before="162"/>
              <w:ind w:left="77"/>
              <w:rPr>
                <w:sz w:val="18"/>
              </w:rPr>
            </w:pPr>
            <w:r>
              <w:rPr>
                <w:color w:val="414142"/>
                <w:w w:val="125"/>
                <w:sz w:val="18"/>
              </w:rPr>
              <w:t>Induces cytochrome P450 3A4</w:t>
            </w:r>
          </w:p>
        </w:tc>
      </w:tr>
      <w:tr>
        <w:trPr>
          <w:trHeight w:val="331" w:hRule="atLeast"/>
        </w:trPr>
        <w:tc>
          <w:tcPr>
            <w:tcW w:w="9475" w:type="dxa"/>
            <w:gridSpan w:val="2"/>
            <w:shd w:val="clear" w:color="auto" w:fill="D9DADB"/>
          </w:tcPr>
          <w:p>
            <w:pPr>
              <w:pStyle w:val="TableParagraph"/>
              <w:spacing w:before="15"/>
              <w:ind w:left="80"/>
              <w:rPr>
                <w:b/>
                <w:sz w:val="22"/>
              </w:rPr>
            </w:pPr>
            <w:r>
              <w:rPr>
                <w:b/>
                <w:color w:val="231F20"/>
                <w:sz w:val="22"/>
              </w:rPr>
              <w:t>Antibiotics</w:t>
            </w:r>
          </w:p>
        </w:tc>
      </w:tr>
      <w:tr>
        <w:trPr>
          <w:trHeight w:val="331" w:hRule="atLeast"/>
        </w:trPr>
        <w:tc>
          <w:tcPr>
            <w:tcW w:w="3222" w:type="dxa"/>
            <w:tcBorders>
              <w:right w:val="single" w:sz="2" w:space="0" w:color="759EB4"/>
            </w:tcBorders>
            <w:shd w:val="clear" w:color="auto" w:fill="FFF7F2"/>
          </w:tcPr>
          <w:p>
            <w:pPr>
              <w:pStyle w:val="TableParagraph"/>
              <w:spacing w:before="58"/>
              <w:ind w:left="80"/>
              <w:rPr>
                <w:sz w:val="18"/>
              </w:rPr>
            </w:pPr>
            <w:r>
              <w:rPr>
                <w:color w:val="414142"/>
                <w:w w:val="125"/>
                <w:sz w:val="18"/>
              </w:rPr>
              <w:t>Rifampin</w:t>
            </w:r>
          </w:p>
        </w:tc>
        <w:tc>
          <w:tcPr>
            <w:tcW w:w="6253" w:type="dxa"/>
            <w:tcBorders>
              <w:left w:val="single" w:sz="2" w:space="0" w:color="759EB4"/>
            </w:tcBorders>
            <w:shd w:val="clear" w:color="auto" w:fill="FFF7F2"/>
          </w:tcPr>
          <w:p>
            <w:pPr>
              <w:pStyle w:val="TableParagraph"/>
              <w:spacing w:before="58"/>
              <w:ind w:left="78"/>
              <w:rPr>
                <w:sz w:val="18"/>
              </w:rPr>
            </w:pPr>
            <w:r>
              <w:rPr>
                <w:color w:val="414142"/>
                <w:w w:val="125"/>
                <w:sz w:val="18"/>
              </w:rPr>
              <w:t>Induces cytochrome P450 3A4</w:t>
            </w:r>
          </w:p>
        </w:tc>
      </w:tr>
      <w:tr>
        <w:trPr>
          <w:trHeight w:val="331" w:hRule="atLeast"/>
        </w:trPr>
        <w:tc>
          <w:tcPr>
            <w:tcW w:w="9475" w:type="dxa"/>
            <w:gridSpan w:val="2"/>
            <w:shd w:val="clear" w:color="auto" w:fill="D9DADB"/>
          </w:tcPr>
          <w:p>
            <w:pPr>
              <w:pStyle w:val="TableParagraph"/>
              <w:spacing w:before="15"/>
              <w:ind w:left="80"/>
              <w:rPr>
                <w:b/>
                <w:sz w:val="22"/>
              </w:rPr>
            </w:pPr>
            <w:r>
              <w:rPr>
                <w:b/>
                <w:color w:val="231F20"/>
                <w:sz w:val="22"/>
              </w:rPr>
              <w:t>Immune Suppressants</w:t>
            </w:r>
          </w:p>
        </w:tc>
      </w:tr>
      <w:tr>
        <w:trPr>
          <w:trHeight w:val="331" w:hRule="atLeast"/>
        </w:trPr>
        <w:tc>
          <w:tcPr>
            <w:tcW w:w="3222" w:type="dxa"/>
            <w:tcBorders>
              <w:right w:val="single" w:sz="2" w:space="0" w:color="759EB4"/>
            </w:tcBorders>
            <w:shd w:val="clear" w:color="auto" w:fill="FFF7F2"/>
          </w:tcPr>
          <w:p>
            <w:pPr>
              <w:pStyle w:val="TableParagraph"/>
              <w:spacing w:before="58"/>
              <w:ind w:left="80"/>
              <w:rPr>
                <w:sz w:val="18"/>
              </w:rPr>
            </w:pPr>
            <w:r>
              <w:rPr>
                <w:color w:val="414142"/>
                <w:w w:val="125"/>
                <w:sz w:val="18"/>
              </w:rPr>
              <w:t>Dexamethasone</w:t>
            </w:r>
          </w:p>
        </w:tc>
        <w:tc>
          <w:tcPr>
            <w:tcW w:w="6253" w:type="dxa"/>
            <w:tcBorders>
              <w:left w:val="single" w:sz="2" w:space="0" w:color="759EB4"/>
            </w:tcBorders>
            <w:shd w:val="clear" w:color="auto" w:fill="FFF7F2"/>
          </w:tcPr>
          <w:p>
            <w:pPr>
              <w:pStyle w:val="TableParagraph"/>
              <w:spacing w:before="58"/>
              <w:ind w:left="78"/>
              <w:rPr>
                <w:sz w:val="18"/>
              </w:rPr>
            </w:pPr>
            <w:r>
              <w:rPr>
                <w:color w:val="414142"/>
                <w:w w:val="125"/>
                <w:sz w:val="18"/>
              </w:rPr>
              <w:t>Induces cytochrome P450 3A4</w:t>
            </w:r>
          </w:p>
        </w:tc>
      </w:tr>
      <w:tr>
        <w:trPr>
          <w:trHeight w:val="328" w:hRule="atLeast"/>
        </w:trPr>
        <w:tc>
          <w:tcPr>
            <w:tcW w:w="9475" w:type="dxa"/>
            <w:gridSpan w:val="2"/>
            <w:tcBorders>
              <w:bottom w:val="single" w:sz="2" w:space="0" w:color="FFFFFF"/>
            </w:tcBorders>
            <w:shd w:val="clear" w:color="auto" w:fill="B15651"/>
          </w:tcPr>
          <w:p>
            <w:pPr>
              <w:pStyle w:val="TableParagraph"/>
              <w:spacing w:before="60"/>
              <w:ind w:left="2065" w:right="2065"/>
              <w:jc w:val="center"/>
              <w:rPr>
                <w:rFonts w:ascii="Arial"/>
                <w:b/>
                <w:sz w:val="18"/>
              </w:rPr>
            </w:pPr>
            <w:r>
              <w:rPr>
                <w:rFonts w:ascii="Arial"/>
                <w:b/>
                <w:color w:val="FFFFFF"/>
                <w:w w:val="110"/>
                <w:sz w:val="18"/>
              </w:rPr>
              <w:t>Drugs that may INCREASE buprenorphine serum levels</w:t>
            </w:r>
          </w:p>
        </w:tc>
      </w:tr>
      <w:tr>
        <w:trPr>
          <w:trHeight w:val="323" w:hRule="atLeast"/>
        </w:trPr>
        <w:tc>
          <w:tcPr>
            <w:tcW w:w="3222" w:type="dxa"/>
            <w:tcBorders>
              <w:top w:val="single" w:sz="2" w:space="0" w:color="FFFFFF"/>
              <w:right w:val="single" w:sz="2" w:space="0" w:color="FFFFFF"/>
            </w:tcBorders>
            <w:shd w:val="clear" w:color="auto" w:fill="B15651"/>
          </w:tcPr>
          <w:p>
            <w:pPr>
              <w:pStyle w:val="TableParagraph"/>
              <w:spacing w:before="55"/>
              <w:ind w:left="80"/>
              <w:rPr>
                <w:rFonts w:ascii="Arial"/>
                <w:b/>
                <w:sz w:val="18"/>
              </w:rPr>
            </w:pPr>
            <w:r>
              <w:rPr>
                <w:rFonts w:ascii="Arial"/>
                <w:b/>
                <w:color w:val="FFFFFF"/>
                <w:w w:val="115"/>
                <w:sz w:val="18"/>
              </w:rPr>
              <w:t>Drug</w:t>
            </w:r>
          </w:p>
        </w:tc>
        <w:tc>
          <w:tcPr>
            <w:tcW w:w="6253" w:type="dxa"/>
            <w:tcBorders>
              <w:top w:val="single" w:sz="2" w:space="0" w:color="FFFFFF"/>
              <w:left w:val="single" w:sz="2" w:space="0" w:color="FFFFFF"/>
            </w:tcBorders>
            <w:shd w:val="clear" w:color="auto" w:fill="B15651"/>
          </w:tcPr>
          <w:p>
            <w:pPr>
              <w:pStyle w:val="TableParagraph"/>
              <w:spacing w:before="55"/>
              <w:ind w:left="77"/>
              <w:rPr>
                <w:rFonts w:ascii="Arial"/>
                <w:b/>
                <w:sz w:val="18"/>
              </w:rPr>
            </w:pPr>
            <w:r>
              <w:rPr>
                <w:rFonts w:ascii="Arial"/>
                <w:b/>
                <w:color w:val="FFFFFF"/>
                <w:w w:val="110"/>
                <w:sz w:val="18"/>
              </w:rPr>
              <w:t>Mechanism</w:t>
            </w:r>
          </w:p>
        </w:tc>
      </w:tr>
      <w:tr>
        <w:trPr>
          <w:trHeight w:val="331" w:hRule="atLeast"/>
        </w:trPr>
        <w:tc>
          <w:tcPr>
            <w:tcW w:w="9475" w:type="dxa"/>
            <w:gridSpan w:val="2"/>
            <w:shd w:val="clear" w:color="auto" w:fill="D9DADB"/>
          </w:tcPr>
          <w:p>
            <w:pPr>
              <w:pStyle w:val="TableParagraph"/>
              <w:spacing w:before="15"/>
              <w:ind w:left="80"/>
              <w:rPr>
                <w:b/>
                <w:sz w:val="22"/>
              </w:rPr>
            </w:pPr>
            <w:r>
              <w:rPr>
                <w:b/>
                <w:color w:val="231F20"/>
                <w:sz w:val="22"/>
              </w:rPr>
              <w:t>Antibiotics</w:t>
            </w:r>
          </w:p>
        </w:tc>
      </w:tr>
      <w:tr>
        <w:trPr>
          <w:trHeight w:val="328" w:hRule="atLeast"/>
        </w:trPr>
        <w:tc>
          <w:tcPr>
            <w:tcW w:w="3222" w:type="dxa"/>
            <w:tcBorders>
              <w:bottom w:val="single" w:sz="2" w:space="0" w:color="759EB4"/>
              <w:right w:val="single" w:sz="2" w:space="0" w:color="759EB4"/>
            </w:tcBorders>
            <w:shd w:val="clear" w:color="auto" w:fill="FFF7F2"/>
          </w:tcPr>
          <w:p>
            <w:pPr>
              <w:pStyle w:val="TableParagraph"/>
              <w:spacing w:before="58"/>
              <w:ind w:left="80"/>
              <w:rPr>
                <w:sz w:val="18"/>
              </w:rPr>
            </w:pPr>
            <w:r>
              <w:rPr>
                <w:color w:val="414142"/>
                <w:w w:val="125"/>
                <w:sz w:val="18"/>
              </w:rPr>
              <w:t>Clarithromycin</w:t>
            </w:r>
          </w:p>
        </w:tc>
        <w:tc>
          <w:tcPr>
            <w:tcW w:w="6253" w:type="dxa"/>
            <w:tcBorders>
              <w:left w:val="single" w:sz="2" w:space="0" w:color="759EB4"/>
              <w:bottom w:val="single" w:sz="2" w:space="0" w:color="759EB4"/>
            </w:tcBorders>
            <w:shd w:val="clear" w:color="auto" w:fill="FFF7F2"/>
          </w:tcPr>
          <w:p>
            <w:pPr>
              <w:pStyle w:val="TableParagraph"/>
              <w:spacing w:before="58"/>
              <w:ind w:left="78"/>
              <w:rPr>
                <w:sz w:val="18"/>
              </w:rPr>
            </w:pPr>
            <w:r>
              <w:rPr>
                <w:color w:val="414142"/>
                <w:w w:val="125"/>
                <w:sz w:val="18"/>
              </w:rPr>
              <w:t>Inhibits cytochrome P450 3A4</w:t>
            </w:r>
          </w:p>
        </w:tc>
      </w:tr>
      <w:tr>
        <w:trPr>
          <w:trHeight w:val="537" w:hRule="atLeast"/>
        </w:trPr>
        <w:tc>
          <w:tcPr>
            <w:tcW w:w="3222" w:type="dxa"/>
            <w:tcBorders>
              <w:top w:val="single" w:sz="2" w:space="0" w:color="759EB4"/>
              <w:right w:val="single" w:sz="2" w:space="0" w:color="759EB4"/>
            </w:tcBorders>
            <w:shd w:val="clear" w:color="auto" w:fill="FFF7F2"/>
          </w:tcPr>
          <w:p>
            <w:pPr>
              <w:pStyle w:val="TableParagraph"/>
              <w:spacing w:line="218" w:lineRule="auto" w:before="55"/>
              <w:ind w:left="80"/>
              <w:rPr>
                <w:sz w:val="18"/>
              </w:rPr>
            </w:pPr>
            <w:r>
              <w:rPr>
                <w:color w:val="414142"/>
                <w:w w:val="125"/>
                <w:sz w:val="18"/>
              </w:rPr>
              <w:t>Clindamycin, dapsone, erythromycin</w:t>
            </w:r>
          </w:p>
        </w:tc>
        <w:tc>
          <w:tcPr>
            <w:tcW w:w="6253" w:type="dxa"/>
            <w:tcBorders>
              <w:top w:val="single" w:sz="2" w:space="0" w:color="759EB4"/>
              <w:left w:val="single" w:sz="2" w:space="0" w:color="759EB4"/>
            </w:tcBorders>
            <w:shd w:val="clear" w:color="auto" w:fill="FFF7F2"/>
          </w:tcPr>
          <w:p>
            <w:pPr>
              <w:pStyle w:val="TableParagraph"/>
              <w:spacing w:before="139"/>
              <w:ind w:left="77"/>
              <w:rPr>
                <w:sz w:val="18"/>
              </w:rPr>
            </w:pPr>
            <w:r>
              <w:rPr>
                <w:color w:val="414142"/>
                <w:w w:val="125"/>
                <w:sz w:val="18"/>
              </w:rPr>
              <w:t>Competes with buprenorphine for cytochrome P450 3A4 enzyme</w:t>
            </w:r>
          </w:p>
        </w:tc>
      </w:tr>
      <w:tr>
        <w:trPr>
          <w:trHeight w:val="331" w:hRule="atLeast"/>
        </w:trPr>
        <w:tc>
          <w:tcPr>
            <w:tcW w:w="3222" w:type="dxa"/>
            <w:tcBorders>
              <w:right w:val="single" w:sz="2" w:space="0" w:color="759EB4"/>
            </w:tcBorders>
            <w:shd w:val="clear" w:color="auto" w:fill="D9DADB"/>
          </w:tcPr>
          <w:p>
            <w:pPr>
              <w:pStyle w:val="TableParagraph"/>
              <w:spacing w:before="15"/>
              <w:ind w:left="80"/>
              <w:rPr>
                <w:b/>
                <w:sz w:val="22"/>
              </w:rPr>
            </w:pPr>
            <w:r>
              <w:rPr>
                <w:b/>
                <w:color w:val="231F20"/>
                <w:sz w:val="22"/>
              </w:rPr>
              <w:t>Antidepressants</w:t>
            </w:r>
          </w:p>
        </w:tc>
        <w:tc>
          <w:tcPr>
            <w:tcW w:w="6253" w:type="dxa"/>
            <w:tcBorders>
              <w:left w:val="single" w:sz="2" w:space="0" w:color="759EB4"/>
            </w:tcBorders>
            <w:shd w:val="clear" w:color="auto" w:fill="D9DADB"/>
          </w:tcPr>
          <w:p>
            <w:pPr>
              <w:pStyle w:val="TableParagraph"/>
              <w:rPr>
                <w:rFonts w:ascii="Times New Roman"/>
                <w:sz w:val="20"/>
              </w:rPr>
            </w:pPr>
          </w:p>
        </w:tc>
      </w:tr>
      <w:tr>
        <w:trPr>
          <w:trHeight w:val="540" w:hRule="atLeast"/>
        </w:trPr>
        <w:tc>
          <w:tcPr>
            <w:tcW w:w="3222" w:type="dxa"/>
            <w:tcBorders>
              <w:right w:val="single" w:sz="2" w:space="0" w:color="759EB4"/>
            </w:tcBorders>
            <w:shd w:val="clear" w:color="auto" w:fill="FFF7F2"/>
          </w:tcPr>
          <w:p>
            <w:pPr>
              <w:pStyle w:val="TableParagraph"/>
              <w:spacing w:before="52"/>
              <w:ind w:left="80"/>
              <w:rPr>
                <w:sz w:val="18"/>
              </w:rPr>
            </w:pPr>
            <w:r>
              <w:rPr>
                <w:color w:val="414142"/>
                <w:w w:val="120"/>
                <w:sz w:val="18"/>
              </w:rPr>
              <w:t>Fluoxetine, ﬂuvoxamine, </w:t>
            </w:r>
            <w:r>
              <w:rPr>
                <w:color w:val="414142"/>
                <w:w w:val="125"/>
                <w:sz w:val="18"/>
              </w:rPr>
              <w:t>nefazodone</w:t>
            </w:r>
          </w:p>
        </w:tc>
        <w:tc>
          <w:tcPr>
            <w:tcW w:w="6253" w:type="dxa"/>
            <w:tcBorders>
              <w:left w:val="single" w:sz="2" w:space="0" w:color="759EB4"/>
            </w:tcBorders>
            <w:shd w:val="clear" w:color="auto" w:fill="FFF7F2"/>
          </w:tcPr>
          <w:p>
            <w:pPr>
              <w:pStyle w:val="TableParagraph"/>
              <w:spacing w:before="162"/>
              <w:ind w:left="77"/>
              <w:rPr>
                <w:sz w:val="18"/>
              </w:rPr>
            </w:pPr>
            <w:r>
              <w:rPr>
                <w:color w:val="414142"/>
                <w:w w:val="125"/>
                <w:sz w:val="18"/>
              </w:rPr>
              <w:t>Inhibits cytochrome P450 3A4</w:t>
            </w:r>
          </w:p>
        </w:tc>
      </w:tr>
    </w:tbl>
    <w:p>
      <w:pPr>
        <w:spacing w:after="0"/>
        <w:rPr>
          <w:sz w:val="18"/>
        </w:rPr>
        <w:sectPr>
          <w:type w:val="continuous"/>
          <w:pgSz w:w="12240" w:h="15840"/>
          <w:pgMar w:top="540" w:bottom="280" w:left="940" w:right="920"/>
        </w:sectPr>
      </w:pPr>
    </w:p>
    <w:p>
      <w:pPr>
        <w:pStyle w:val="BodyText"/>
        <w:rPr>
          <w:rFonts w:ascii="Calibri"/>
          <w:b/>
          <w:sz w:val="20"/>
        </w:rPr>
      </w:pPr>
      <w:r>
        <w:rPr/>
        <w:pict>
          <v:group style="position:absolute;margin-left:54.048pt;margin-top:90pt;width:503.95pt;height:648.050pt;mso-position-horizontal-relative:page;mso-position-vertical-relative:page;z-index:-19553280" coordorigin="1081,1800" coordsize="10079,12961">
            <v:rect style="position:absolute;left:1085;top:1805;width:10069;height:12951" filled="true" fillcolor="#fff7f2" stroked="false">
              <v:fill type="solid"/>
            </v:rect>
            <v:rect style="position:absolute;left:1085;top:1805;width:10069;height:12951" filled="false" stroked="true" strokeweight=".5pt" strokecolor="#88aabd">
              <v:stroke dashstyle="solid"/>
            </v:rect>
            <w10:wrap type="none"/>
          </v:group>
        </w:pict>
      </w:r>
    </w:p>
    <w:p>
      <w:pPr>
        <w:pStyle w:val="BodyText"/>
        <w:spacing w:before="10"/>
        <w:rPr>
          <w:rFonts w:ascii="Calibri"/>
          <w:b/>
          <w:sz w:val="24"/>
        </w:rPr>
      </w:pPr>
    </w:p>
    <w:p>
      <w:pPr>
        <w:pStyle w:val="Heading3"/>
        <w:spacing w:line="256" w:lineRule="auto" w:before="136"/>
        <w:ind w:left="420" w:right="547"/>
        <w:rPr>
          <w:rFonts w:ascii="Arial"/>
          <w:sz w:val="20"/>
        </w:rPr>
      </w:pPr>
      <w:r>
        <w:rPr>
          <w:rFonts w:ascii="Arial"/>
          <w:color w:val="137692"/>
          <w:w w:val="110"/>
        </w:rPr>
        <w:t>EXHIBIT 3D.3. Partial List of Medications Metabolized by Cytochrome P450 3A4 </w:t>
      </w:r>
      <w:r>
        <w:rPr>
          <w:rFonts w:ascii="Arial"/>
          <w:color w:val="137692"/>
          <w:w w:val="110"/>
          <w:sz w:val="20"/>
        </w:rPr>
        <w:t>(continued)</w:t>
      </w:r>
    </w:p>
    <w:p>
      <w:pPr>
        <w:pStyle w:val="BodyText"/>
        <w:spacing w:before="1"/>
        <w:rPr>
          <w:rFonts w:ascii="Arial"/>
          <w:b/>
          <w:sz w:val="9"/>
        </w:rPr>
      </w:pPr>
    </w:p>
    <w:tbl>
      <w:tblPr>
        <w:tblW w:w="0" w:type="auto"/>
        <w:jc w:val="left"/>
        <w:tblInd w:w="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4"/>
        <w:gridCol w:w="6237"/>
      </w:tblGrid>
      <w:tr>
        <w:trPr>
          <w:trHeight w:val="328" w:hRule="atLeast"/>
        </w:trPr>
        <w:tc>
          <w:tcPr>
            <w:tcW w:w="9451" w:type="dxa"/>
            <w:gridSpan w:val="2"/>
            <w:tcBorders>
              <w:bottom w:val="single" w:sz="2" w:space="0" w:color="FFFFFF"/>
            </w:tcBorders>
            <w:shd w:val="clear" w:color="auto" w:fill="B15651"/>
          </w:tcPr>
          <w:p>
            <w:pPr>
              <w:pStyle w:val="TableParagraph"/>
              <w:spacing w:before="51"/>
              <w:ind w:left="2052" w:right="2131"/>
              <w:jc w:val="center"/>
              <w:rPr>
                <w:rFonts w:ascii="Arial"/>
                <w:b/>
                <w:sz w:val="18"/>
              </w:rPr>
            </w:pPr>
            <w:r>
              <w:rPr>
                <w:rFonts w:ascii="Arial"/>
                <w:b/>
                <w:color w:val="FFFFFF"/>
                <w:w w:val="110"/>
                <w:sz w:val="18"/>
              </w:rPr>
              <w:t>Drugs that may INCREASE buprenorphine serum levels</w:t>
            </w:r>
          </w:p>
        </w:tc>
      </w:tr>
      <w:tr>
        <w:trPr>
          <w:trHeight w:val="328" w:hRule="atLeast"/>
        </w:trPr>
        <w:tc>
          <w:tcPr>
            <w:tcW w:w="3214" w:type="dxa"/>
            <w:tcBorders>
              <w:top w:val="single" w:sz="2" w:space="0" w:color="FFFFFF"/>
              <w:right w:val="single" w:sz="2" w:space="0" w:color="FFFFFF"/>
            </w:tcBorders>
            <w:shd w:val="clear" w:color="auto" w:fill="B15651"/>
          </w:tcPr>
          <w:p>
            <w:pPr>
              <w:pStyle w:val="TableParagraph"/>
              <w:spacing w:before="65"/>
              <w:ind w:left="80"/>
              <w:rPr>
                <w:rFonts w:ascii="Arial"/>
                <w:b/>
                <w:sz w:val="17"/>
              </w:rPr>
            </w:pPr>
            <w:r>
              <w:rPr>
                <w:rFonts w:ascii="Arial"/>
                <w:b/>
                <w:color w:val="FFFFFF"/>
                <w:w w:val="110"/>
                <w:sz w:val="17"/>
              </w:rPr>
              <w:t>DRUG</w:t>
            </w:r>
          </w:p>
        </w:tc>
        <w:tc>
          <w:tcPr>
            <w:tcW w:w="6237" w:type="dxa"/>
            <w:tcBorders>
              <w:top w:val="single" w:sz="2" w:space="0" w:color="FFFFFF"/>
              <w:left w:val="single" w:sz="2" w:space="0" w:color="FFFFFF"/>
            </w:tcBorders>
            <w:shd w:val="clear" w:color="auto" w:fill="B15651"/>
          </w:tcPr>
          <w:p>
            <w:pPr>
              <w:pStyle w:val="TableParagraph"/>
              <w:spacing w:before="65"/>
              <w:ind w:left="77"/>
              <w:rPr>
                <w:rFonts w:ascii="Arial"/>
                <w:b/>
                <w:sz w:val="17"/>
              </w:rPr>
            </w:pPr>
            <w:r>
              <w:rPr>
                <w:rFonts w:ascii="Arial"/>
                <w:b/>
                <w:color w:val="FFFFFF"/>
                <w:w w:val="110"/>
                <w:sz w:val="17"/>
              </w:rPr>
              <w:t>MECHANISM</w:t>
            </w:r>
          </w:p>
        </w:tc>
      </w:tr>
      <w:tr>
        <w:trPr>
          <w:trHeight w:val="316" w:hRule="atLeast"/>
        </w:trPr>
        <w:tc>
          <w:tcPr>
            <w:tcW w:w="3214" w:type="dxa"/>
            <w:tcBorders>
              <w:right w:val="single" w:sz="2" w:space="0" w:color="759EB4"/>
            </w:tcBorders>
            <w:shd w:val="clear" w:color="auto" w:fill="D9DADB"/>
          </w:tcPr>
          <w:p>
            <w:pPr>
              <w:pStyle w:val="TableParagraph"/>
              <w:spacing w:before="13"/>
              <w:ind w:left="80"/>
              <w:rPr>
                <w:b/>
                <w:sz w:val="22"/>
              </w:rPr>
            </w:pPr>
            <w:r>
              <w:rPr>
                <w:b/>
                <w:color w:val="231F20"/>
                <w:sz w:val="22"/>
              </w:rPr>
              <w:t>Antifungals</w:t>
            </w:r>
          </w:p>
        </w:tc>
        <w:tc>
          <w:tcPr>
            <w:tcW w:w="6237" w:type="dxa"/>
            <w:tcBorders>
              <w:left w:val="single" w:sz="2" w:space="0" w:color="759EB4"/>
            </w:tcBorders>
            <w:shd w:val="clear" w:color="auto" w:fill="D9DADB"/>
          </w:tcPr>
          <w:p>
            <w:pPr>
              <w:pStyle w:val="TableParagraph"/>
              <w:rPr>
                <w:rFonts w:ascii="Times New Roman"/>
                <w:sz w:val="18"/>
              </w:rPr>
            </w:pPr>
          </w:p>
        </w:tc>
      </w:tr>
      <w:tr>
        <w:trPr>
          <w:trHeight w:val="537" w:hRule="atLeast"/>
        </w:trPr>
        <w:tc>
          <w:tcPr>
            <w:tcW w:w="3214" w:type="dxa"/>
            <w:tcBorders>
              <w:bottom w:val="single" w:sz="2" w:space="0" w:color="759EB4"/>
              <w:right w:val="single" w:sz="2" w:space="0" w:color="759EB4"/>
            </w:tcBorders>
            <w:shd w:val="clear" w:color="auto" w:fill="FFF7F2"/>
          </w:tcPr>
          <w:p>
            <w:pPr>
              <w:pStyle w:val="TableParagraph"/>
              <w:spacing w:line="240" w:lineRule="atLeast" w:before="27"/>
              <w:ind w:left="80" w:right="740"/>
              <w:rPr>
                <w:sz w:val="18"/>
              </w:rPr>
            </w:pPr>
            <w:r>
              <w:rPr>
                <w:color w:val="414142"/>
                <w:w w:val="125"/>
                <w:sz w:val="18"/>
              </w:rPr>
              <w:t>Fluconazole, itraconazole, miconazole</w:t>
            </w:r>
          </w:p>
        </w:tc>
        <w:tc>
          <w:tcPr>
            <w:tcW w:w="6237" w:type="dxa"/>
            <w:tcBorders>
              <w:left w:val="single" w:sz="2" w:space="0" w:color="759EB4"/>
              <w:bottom w:val="single" w:sz="2" w:space="0" w:color="759EB4"/>
            </w:tcBorders>
            <w:shd w:val="clear" w:color="auto" w:fill="FFF7F2"/>
          </w:tcPr>
          <w:p>
            <w:pPr>
              <w:pStyle w:val="TableParagraph"/>
              <w:spacing w:before="167"/>
              <w:ind w:left="77"/>
              <w:rPr>
                <w:sz w:val="18"/>
              </w:rPr>
            </w:pPr>
            <w:r>
              <w:rPr>
                <w:color w:val="414142"/>
                <w:w w:val="125"/>
                <w:sz w:val="18"/>
              </w:rPr>
              <w:t>Inhibits cytochrome P450 3A4</w:t>
            </w:r>
          </w:p>
        </w:tc>
      </w:tr>
      <w:tr>
        <w:trPr>
          <w:trHeight w:val="515" w:hRule="atLeast"/>
        </w:trPr>
        <w:tc>
          <w:tcPr>
            <w:tcW w:w="3214" w:type="dxa"/>
            <w:tcBorders>
              <w:top w:val="single" w:sz="2" w:space="0" w:color="759EB4"/>
              <w:right w:val="single" w:sz="2" w:space="0" w:color="759EB4"/>
            </w:tcBorders>
            <w:shd w:val="clear" w:color="auto" w:fill="FFF7F2"/>
          </w:tcPr>
          <w:p>
            <w:pPr>
              <w:pStyle w:val="TableParagraph"/>
              <w:spacing w:before="154"/>
              <w:ind w:left="80"/>
              <w:rPr>
                <w:sz w:val="18"/>
              </w:rPr>
            </w:pPr>
            <w:r>
              <w:rPr>
                <w:color w:val="414142"/>
                <w:w w:val="125"/>
                <w:sz w:val="18"/>
              </w:rPr>
              <w:t>Ketoconazole</w:t>
            </w:r>
          </w:p>
        </w:tc>
        <w:tc>
          <w:tcPr>
            <w:tcW w:w="6237" w:type="dxa"/>
            <w:tcBorders>
              <w:top w:val="single" w:sz="2" w:space="0" w:color="759EB4"/>
              <w:left w:val="single" w:sz="2" w:space="0" w:color="759EB4"/>
            </w:tcBorders>
            <w:shd w:val="clear" w:color="auto" w:fill="FFF7F2"/>
          </w:tcPr>
          <w:p>
            <w:pPr>
              <w:pStyle w:val="TableParagraph"/>
              <w:spacing w:line="218" w:lineRule="auto" w:before="69"/>
              <w:ind w:left="77" w:right="767"/>
              <w:rPr>
                <w:sz w:val="18"/>
              </w:rPr>
            </w:pPr>
            <w:r>
              <w:rPr>
                <w:color w:val="414142"/>
                <w:w w:val="125"/>
                <w:sz w:val="18"/>
              </w:rPr>
              <w:t>Inhibits and competes with buprenorphine for cytochrome P450 3A4</w:t>
            </w:r>
          </w:p>
        </w:tc>
      </w:tr>
      <w:tr>
        <w:trPr>
          <w:trHeight w:val="331" w:hRule="atLeast"/>
        </w:trPr>
        <w:tc>
          <w:tcPr>
            <w:tcW w:w="3214" w:type="dxa"/>
            <w:tcBorders>
              <w:right w:val="single" w:sz="2" w:space="0" w:color="759EB4"/>
            </w:tcBorders>
            <w:shd w:val="clear" w:color="auto" w:fill="D9DADB"/>
          </w:tcPr>
          <w:p>
            <w:pPr>
              <w:pStyle w:val="TableParagraph"/>
              <w:spacing w:before="65"/>
              <w:ind w:left="80"/>
              <w:rPr>
                <w:rFonts w:ascii="Arial"/>
                <w:b/>
                <w:sz w:val="18"/>
              </w:rPr>
            </w:pPr>
            <w:r>
              <w:rPr>
                <w:rFonts w:ascii="Arial"/>
                <w:b/>
                <w:color w:val="231F20"/>
                <w:w w:val="110"/>
                <w:sz w:val="18"/>
              </w:rPr>
              <w:t>Antihypertensives</w:t>
            </w:r>
          </w:p>
        </w:tc>
        <w:tc>
          <w:tcPr>
            <w:tcW w:w="6237" w:type="dxa"/>
            <w:tcBorders>
              <w:left w:val="single" w:sz="2" w:space="0" w:color="759EB4"/>
            </w:tcBorders>
            <w:shd w:val="clear" w:color="auto" w:fill="D9DADB"/>
          </w:tcPr>
          <w:p>
            <w:pPr>
              <w:pStyle w:val="TableParagraph"/>
              <w:rPr>
                <w:rFonts w:ascii="Times New Roman"/>
                <w:sz w:val="18"/>
              </w:rPr>
            </w:pPr>
          </w:p>
        </w:tc>
      </w:tr>
      <w:tr>
        <w:trPr>
          <w:trHeight w:val="328" w:hRule="atLeast"/>
        </w:trPr>
        <w:tc>
          <w:tcPr>
            <w:tcW w:w="3214" w:type="dxa"/>
            <w:tcBorders>
              <w:bottom w:val="single" w:sz="2" w:space="0" w:color="759EB4"/>
              <w:right w:val="single" w:sz="2" w:space="0" w:color="759EB4"/>
            </w:tcBorders>
            <w:shd w:val="clear" w:color="auto" w:fill="FFF7F2"/>
          </w:tcPr>
          <w:p>
            <w:pPr>
              <w:pStyle w:val="TableParagraph"/>
              <w:spacing w:before="62"/>
              <w:ind w:left="80"/>
              <w:rPr>
                <w:sz w:val="18"/>
              </w:rPr>
            </w:pPr>
            <w:r>
              <w:rPr>
                <w:color w:val="414142"/>
                <w:w w:val="125"/>
                <w:sz w:val="18"/>
              </w:rPr>
              <w:t>Nicardipine, verapamil</w:t>
            </w:r>
          </w:p>
        </w:tc>
        <w:tc>
          <w:tcPr>
            <w:tcW w:w="6237" w:type="dxa"/>
            <w:tcBorders>
              <w:left w:val="single" w:sz="2" w:space="0" w:color="759EB4"/>
              <w:bottom w:val="single" w:sz="2" w:space="0" w:color="759EB4"/>
            </w:tcBorders>
            <w:shd w:val="clear" w:color="auto" w:fill="FFF7F2"/>
          </w:tcPr>
          <w:p>
            <w:pPr>
              <w:pStyle w:val="TableParagraph"/>
              <w:spacing w:before="62"/>
              <w:ind w:left="78"/>
              <w:rPr>
                <w:sz w:val="18"/>
              </w:rPr>
            </w:pPr>
            <w:r>
              <w:rPr>
                <w:color w:val="414142"/>
                <w:w w:val="125"/>
                <w:sz w:val="18"/>
              </w:rPr>
              <w:t>Inhibits cytochrome P450 3A4</w:t>
            </w:r>
          </w:p>
        </w:tc>
      </w:tr>
      <w:tr>
        <w:trPr>
          <w:trHeight w:val="537" w:hRule="atLeast"/>
        </w:trPr>
        <w:tc>
          <w:tcPr>
            <w:tcW w:w="3214" w:type="dxa"/>
            <w:tcBorders>
              <w:top w:val="single" w:sz="2" w:space="0" w:color="759EB4"/>
              <w:right w:val="single" w:sz="2" w:space="0" w:color="759EB4"/>
            </w:tcBorders>
            <w:shd w:val="clear" w:color="auto" w:fill="FFF7F2"/>
          </w:tcPr>
          <w:p>
            <w:pPr>
              <w:pStyle w:val="TableParagraph"/>
              <w:spacing w:line="240" w:lineRule="atLeast" w:before="24"/>
              <w:ind w:left="80" w:right="33"/>
              <w:rPr>
                <w:sz w:val="18"/>
              </w:rPr>
            </w:pPr>
            <w:r>
              <w:rPr>
                <w:color w:val="414142"/>
                <w:w w:val="125"/>
                <w:sz w:val="18"/>
              </w:rPr>
              <w:t>Amlodipine, diltiazem, felodipine, nifedipine, nimodipine</w:t>
            </w:r>
          </w:p>
        </w:tc>
        <w:tc>
          <w:tcPr>
            <w:tcW w:w="6237" w:type="dxa"/>
            <w:tcBorders>
              <w:top w:val="single" w:sz="2" w:space="0" w:color="759EB4"/>
              <w:left w:val="single" w:sz="2" w:space="0" w:color="759EB4"/>
            </w:tcBorders>
            <w:shd w:val="clear" w:color="auto" w:fill="FFF7F2"/>
          </w:tcPr>
          <w:p>
            <w:pPr>
              <w:pStyle w:val="TableParagraph"/>
              <w:spacing w:before="164"/>
              <w:ind w:left="77"/>
              <w:rPr>
                <w:sz w:val="18"/>
              </w:rPr>
            </w:pPr>
            <w:r>
              <w:rPr>
                <w:color w:val="414142"/>
                <w:w w:val="125"/>
                <w:sz w:val="18"/>
              </w:rPr>
              <w:t>Competes with buprenorphine for cytochrome P450 3A4 enzyme</w:t>
            </w:r>
          </w:p>
        </w:tc>
      </w:tr>
      <w:tr>
        <w:trPr>
          <w:trHeight w:val="331" w:hRule="atLeast"/>
        </w:trPr>
        <w:tc>
          <w:tcPr>
            <w:tcW w:w="3214" w:type="dxa"/>
            <w:tcBorders>
              <w:right w:val="single" w:sz="2" w:space="0" w:color="759EB4"/>
            </w:tcBorders>
            <w:shd w:val="clear" w:color="auto" w:fill="D9DADB"/>
          </w:tcPr>
          <w:p>
            <w:pPr>
              <w:pStyle w:val="TableParagraph"/>
              <w:spacing w:before="20"/>
              <w:ind w:left="80"/>
              <w:rPr>
                <w:b/>
                <w:sz w:val="22"/>
              </w:rPr>
            </w:pPr>
            <w:r>
              <w:rPr>
                <w:b/>
                <w:color w:val="231F20"/>
                <w:sz w:val="22"/>
              </w:rPr>
              <w:t>Antiarrhythmics</w:t>
            </w:r>
          </w:p>
        </w:tc>
        <w:tc>
          <w:tcPr>
            <w:tcW w:w="6237" w:type="dxa"/>
            <w:tcBorders>
              <w:left w:val="single" w:sz="2" w:space="0" w:color="759EB4"/>
            </w:tcBorders>
            <w:shd w:val="clear" w:color="auto" w:fill="D9DADB"/>
          </w:tcPr>
          <w:p>
            <w:pPr>
              <w:pStyle w:val="TableParagraph"/>
              <w:rPr>
                <w:rFonts w:ascii="Times New Roman"/>
                <w:sz w:val="18"/>
              </w:rPr>
            </w:pPr>
          </w:p>
        </w:tc>
      </w:tr>
      <w:tr>
        <w:trPr>
          <w:trHeight w:val="328" w:hRule="atLeast"/>
        </w:trPr>
        <w:tc>
          <w:tcPr>
            <w:tcW w:w="3214" w:type="dxa"/>
            <w:tcBorders>
              <w:bottom w:val="single" w:sz="2" w:space="0" w:color="759EB4"/>
              <w:right w:val="single" w:sz="2" w:space="0" w:color="759EB4"/>
            </w:tcBorders>
            <w:shd w:val="clear" w:color="auto" w:fill="FFF7F2"/>
          </w:tcPr>
          <w:p>
            <w:pPr>
              <w:pStyle w:val="TableParagraph"/>
              <w:spacing w:before="63"/>
              <w:ind w:left="80"/>
              <w:rPr>
                <w:sz w:val="18"/>
              </w:rPr>
            </w:pPr>
            <w:r>
              <w:rPr>
                <w:color w:val="414142"/>
                <w:w w:val="125"/>
                <w:sz w:val="18"/>
              </w:rPr>
              <w:t>Amiodarone</w:t>
            </w:r>
          </w:p>
        </w:tc>
        <w:tc>
          <w:tcPr>
            <w:tcW w:w="6237" w:type="dxa"/>
            <w:tcBorders>
              <w:left w:val="single" w:sz="2" w:space="0" w:color="759EB4"/>
              <w:bottom w:val="single" w:sz="2" w:space="0" w:color="759EB4"/>
            </w:tcBorders>
            <w:shd w:val="clear" w:color="auto" w:fill="FFF7F2"/>
          </w:tcPr>
          <w:p>
            <w:pPr>
              <w:pStyle w:val="TableParagraph"/>
              <w:spacing w:before="63"/>
              <w:ind w:left="77"/>
              <w:rPr>
                <w:sz w:val="18"/>
              </w:rPr>
            </w:pPr>
            <w:r>
              <w:rPr>
                <w:color w:val="414142"/>
                <w:w w:val="125"/>
                <w:sz w:val="18"/>
              </w:rPr>
              <w:t>Inhibits cytochrome P450 3A4</w:t>
            </w:r>
          </w:p>
        </w:tc>
      </w:tr>
      <w:tr>
        <w:trPr>
          <w:trHeight w:val="328" w:hRule="atLeast"/>
        </w:trPr>
        <w:tc>
          <w:tcPr>
            <w:tcW w:w="3214" w:type="dxa"/>
            <w:tcBorders>
              <w:top w:val="single" w:sz="2" w:space="0" w:color="759EB4"/>
              <w:right w:val="single" w:sz="2" w:space="0" w:color="759EB4"/>
            </w:tcBorders>
            <w:shd w:val="clear" w:color="auto" w:fill="FFF7F2"/>
          </w:tcPr>
          <w:p>
            <w:pPr>
              <w:pStyle w:val="TableParagraph"/>
              <w:spacing w:before="60"/>
              <w:ind w:left="80"/>
              <w:rPr>
                <w:sz w:val="18"/>
              </w:rPr>
            </w:pPr>
            <w:r>
              <w:rPr>
                <w:color w:val="414142"/>
                <w:w w:val="125"/>
                <w:sz w:val="18"/>
              </w:rPr>
              <w:t>Disopyramide, quinidine</w:t>
            </w:r>
          </w:p>
        </w:tc>
        <w:tc>
          <w:tcPr>
            <w:tcW w:w="6237" w:type="dxa"/>
            <w:tcBorders>
              <w:top w:val="single" w:sz="2" w:space="0" w:color="759EB4"/>
              <w:left w:val="single" w:sz="2" w:space="0" w:color="759EB4"/>
            </w:tcBorders>
            <w:shd w:val="clear" w:color="auto" w:fill="FFF7F2"/>
          </w:tcPr>
          <w:p>
            <w:pPr>
              <w:pStyle w:val="TableParagraph"/>
              <w:spacing w:before="60"/>
              <w:ind w:left="77"/>
              <w:rPr>
                <w:sz w:val="18"/>
              </w:rPr>
            </w:pPr>
            <w:r>
              <w:rPr>
                <w:color w:val="414142"/>
                <w:w w:val="125"/>
                <w:sz w:val="18"/>
              </w:rPr>
              <w:t>Competes with buprenorphine for cytochrome P450 3A4 enzyme</w:t>
            </w:r>
          </w:p>
        </w:tc>
      </w:tr>
      <w:tr>
        <w:trPr>
          <w:trHeight w:val="331" w:hRule="atLeast"/>
        </w:trPr>
        <w:tc>
          <w:tcPr>
            <w:tcW w:w="3214" w:type="dxa"/>
            <w:tcBorders>
              <w:right w:val="single" w:sz="2" w:space="0" w:color="759EB4"/>
            </w:tcBorders>
            <w:shd w:val="clear" w:color="auto" w:fill="D9DADB"/>
          </w:tcPr>
          <w:p>
            <w:pPr>
              <w:pStyle w:val="TableParagraph"/>
              <w:spacing w:before="20"/>
              <w:ind w:left="80"/>
              <w:rPr>
                <w:b/>
                <w:sz w:val="22"/>
              </w:rPr>
            </w:pPr>
            <w:r>
              <w:rPr>
                <w:b/>
                <w:color w:val="231F20"/>
                <w:sz w:val="22"/>
              </w:rPr>
              <w:t>Hormones</w:t>
            </w:r>
          </w:p>
        </w:tc>
        <w:tc>
          <w:tcPr>
            <w:tcW w:w="6237" w:type="dxa"/>
            <w:tcBorders>
              <w:left w:val="single" w:sz="2" w:space="0" w:color="759EB4"/>
            </w:tcBorders>
            <w:shd w:val="clear" w:color="auto" w:fill="D9DADB"/>
          </w:tcPr>
          <w:p>
            <w:pPr>
              <w:pStyle w:val="TableParagraph"/>
              <w:rPr>
                <w:rFonts w:ascii="Times New Roman"/>
                <w:sz w:val="18"/>
              </w:rPr>
            </w:pPr>
          </w:p>
        </w:tc>
      </w:tr>
      <w:tr>
        <w:trPr>
          <w:trHeight w:val="540" w:hRule="atLeast"/>
        </w:trPr>
        <w:tc>
          <w:tcPr>
            <w:tcW w:w="3214" w:type="dxa"/>
            <w:tcBorders>
              <w:right w:val="single" w:sz="2" w:space="0" w:color="759EB4"/>
            </w:tcBorders>
            <w:shd w:val="clear" w:color="auto" w:fill="FFF7F2"/>
          </w:tcPr>
          <w:p>
            <w:pPr>
              <w:pStyle w:val="TableParagraph"/>
              <w:spacing w:line="240" w:lineRule="atLeast" w:before="27"/>
              <w:ind w:left="80"/>
              <w:rPr>
                <w:sz w:val="18"/>
              </w:rPr>
            </w:pPr>
            <w:r>
              <w:rPr>
                <w:color w:val="414142"/>
                <w:w w:val="120"/>
                <w:sz w:val="18"/>
              </w:rPr>
              <w:t>Estrogen, oral contraceptives, </w:t>
            </w:r>
            <w:r>
              <w:rPr>
                <w:color w:val="414142"/>
                <w:w w:val="125"/>
                <w:sz w:val="18"/>
              </w:rPr>
              <w:t>progestins</w:t>
            </w:r>
          </w:p>
        </w:tc>
        <w:tc>
          <w:tcPr>
            <w:tcW w:w="6237" w:type="dxa"/>
            <w:tcBorders>
              <w:left w:val="single" w:sz="2" w:space="0" w:color="759EB4"/>
            </w:tcBorders>
            <w:shd w:val="clear" w:color="auto" w:fill="FFF7F2"/>
          </w:tcPr>
          <w:p>
            <w:pPr>
              <w:pStyle w:val="TableParagraph"/>
              <w:spacing w:before="167"/>
              <w:ind w:left="77"/>
              <w:rPr>
                <w:sz w:val="18"/>
              </w:rPr>
            </w:pPr>
            <w:r>
              <w:rPr>
                <w:color w:val="414142"/>
                <w:w w:val="125"/>
                <w:sz w:val="18"/>
              </w:rPr>
              <w:t>Competes with buprenorphine for cytochrome P450 3A4 enzyme</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Sedative/Hypnotics</w:t>
            </w:r>
          </w:p>
        </w:tc>
      </w:tr>
      <w:tr>
        <w:trPr>
          <w:trHeight w:val="540" w:hRule="atLeast"/>
        </w:trPr>
        <w:tc>
          <w:tcPr>
            <w:tcW w:w="3214" w:type="dxa"/>
            <w:tcBorders>
              <w:right w:val="single" w:sz="2" w:space="0" w:color="759EB4"/>
            </w:tcBorders>
            <w:shd w:val="clear" w:color="auto" w:fill="FFF7F2"/>
          </w:tcPr>
          <w:p>
            <w:pPr>
              <w:pStyle w:val="TableParagraph"/>
              <w:spacing w:line="240" w:lineRule="atLeast" w:before="27"/>
              <w:ind w:left="80" w:right="740"/>
              <w:rPr>
                <w:sz w:val="18"/>
              </w:rPr>
            </w:pPr>
            <w:r>
              <w:rPr>
                <w:color w:val="414142"/>
                <w:w w:val="120"/>
                <w:sz w:val="18"/>
              </w:rPr>
              <w:t>Alprazolam, clonazepam, </w:t>
            </w:r>
            <w:r>
              <w:rPr>
                <w:color w:val="414142"/>
                <w:w w:val="125"/>
                <w:sz w:val="18"/>
              </w:rPr>
              <w:t>diazepam, midazolam</w:t>
            </w:r>
          </w:p>
        </w:tc>
        <w:tc>
          <w:tcPr>
            <w:tcW w:w="6237" w:type="dxa"/>
            <w:tcBorders>
              <w:left w:val="single" w:sz="2" w:space="0" w:color="759EB4"/>
            </w:tcBorders>
            <w:shd w:val="clear" w:color="auto" w:fill="FFF7F2"/>
          </w:tcPr>
          <w:p>
            <w:pPr>
              <w:pStyle w:val="TableParagraph"/>
              <w:spacing w:before="167"/>
              <w:ind w:left="77"/>
              <w:rPr>
                <w:sz w:val="18"/>
              </w:rPr>
            </w:pPr>
            <w:r>
              <w:rPr>
                <w:color w:val="414142"/>
                <w:w w:val="125"/>
                <w:sz w:val="18"/>
              </w:rPr>
              <w:t>Competes with buprenorphine for cytochrome P450 3A4 enzyme</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Immune Suppressants</w:t>
            </w:r>
          </w:p>
        </w:tc>
      </w:tr>
      <w:tr>
        <w:trPr>
          <w:trHeight w:val="331" w:hRule="atLeast"/>
        </w:trPr>
        <w:tc>
          <w:tcPr>
            <w:tcW w:w="3214" w:type="dxa"/>
            <w:tcBorders>
              <w:right w:val="single" w:sz="2" w:space="0" w:color="759EB4"/>
            </w:tcBorders>
            <w:shd w:val="clear" w:color="auto" w:fill="FFF7F2"/>
          </w:tcPr>
          <w:p>
            <w:pPr>
              <w:pStyle w:val="TableParagraph"/>
              <w:spacing w:before="63"/>
              <w:ind w:left="80"/>
              <w:rPr>
                <w:sz w:val="18"/>
              </w:rPr>
            </w:pPr>
            <w:r>
              <w:rPr>
                <w:color w:val="414142"/>
                <w:w w:val="125"/>
                <w:sz w:val="18"/>
              </w:rPr>
              <w:t>Cyclosporine, zaﬁrlukast</w:t>
            </w:r>
          </w:p>
        </w:tc>
        <w:tc>
          <w:tcPr>
            <w:tcW w:w="6237" w:type="dxa"/>
            <w:tcBorders>
              <w:left w:val="single" w:sz="2" w:space="0" w:color="759EB4"/>
            </w:tcBorders>
            <w:shd w:val="clear" w:color="auto" w:fill="FFF7F2"/>
          </w:tcPr>
          <w:p>
            <w:pPr>
              <w:pStyle w:val="TableParagraph"/>
              <w:spacing w:before="63"/>
              <w:ind w:left="77"/>
              <w:rPr>
                <w:sz w:val="18"/>
              </w:rPr>
            </w:pPr>
            <w:r>
              <w:rPr>
                <w:color w:val="414142"/>
                <w:w w:val="125"/>
                <w:sz w:val="18"/>
              </w:rPr>
              <w:t>Inhibits cytochrome P450 3A4</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Statins</w:t>
            </w:r>
          </w:p>
        </w:tc>
      </w:tr>
      <w:tr>
        <w:trPr>
          <w:trHeight w:val="540" w:hRule="atLeast"/>
        </w:trPr>
        <w:tc>
          <w:tcPr>
            <w:tcW w:w="3214" w:type="dxa"/>
            <w:tcBorders>
              <w:right w:val="single" w:sz="2" w:space="0" w:color="759EB4"/>
            </w:tcBorders>
            <w:shd w:val="clear" w:color="auto" w:fill="FFF7F2"/>
          </w:tcPr>
          <w:p>
            <w:pPr>
              <w:pStyle w:val="TableParagraph"/>
              <w:spacing w:line="240" w:lineRule="atLeast" w:before="27"/>
              <w:ind w:left="80" w:right="740"/>
              <w:rPr>
                <w:sz w:val="18"/>
              </w:rPr>
            </w:pPr>
            <w:r>
              <w:rPr>
                <w:color w:val="414142"/>
                <w:w w:val="120"/>
                <w:sz w:val="18"/>
              </w:rPr>
              <w:t>Atorvastatin, lovastatin, simvastatin</w:t>
            </w:r>
          </w:p>
        </w:tc>
        <w:tc>
          <w:tcPr>
            <w:tcW w:w="6237" w:type="dxa"/>
            <w:tcBorders>
              <w:left w:val="single" w:sz="2" w:space="0" w:color="759EB4"/>
            </w:tcBorders>
            <w:shd w:val="clear" w:color="auto" w:fill="FFF7F2"/>
          </w:tcPr>
          <w:p>
            <w:pPr>
              <w:pStyle w:val="TableParagraph"/>
              <w:spacing w:before="167"/>
              <w:ind w:left="77"/>
              <w:rPr>
                <w:sz w:val="18"/>
              </w:rPr>
            </w:pPr>
            <w:r>
              <w:rPr>
                <w:color w:val="414142"/>
                <w:w w:val="125"/>
                <w:sz w:val="18"/>
              </w:rPr>
              <w:t>Competes with buprenorphine for cytochrome P450 3A4 enzyme</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Gastric Agents</w:t>
            </w:r>
          </w:p>
        </w:tc>
      </w:tr>
      <w:tr>
        <w:trPr>
          <w:trHeight w:val="331" w:hRule="atLeast"/>
        </w:trPr>
        <w:tc>
          <w:tcPr>
            <w:tcW w:w="3214" w:type="dxa"/>
            <w:tcBorders>
              <w:right w:val="single" w:sz="2" w:space="0" w:color="759EB4"/>
            </w:tcBorders>
            <w:shd w:val="clear" w:color="auto" w:fill="FFF7F2"/>
          </w:tcPr>
          <w:p>
            <w:pPr>
              <w:pStyle w:val="TableParagraph"/>
              <w:spacing w:before="63"/>
              <w:ind w:left="80"/>
              <w:rPr>
                <w:sz w:val="18"/>
              </w:rPr>
            </w:pPr>
            <w:r>
              <w:rPr>
                <w:color w:val="414142"/>
                <w:w w:val="125"/>
                <w:sz w:val="18"/>
              </w:rPr>
              <w:t>Aprepitant, cimetidine</w:t>
            </w:r>
          </w:p>
        </w:tc>
        <w:tc>
          <w:tcPr>
            <w:tcW w:w="6237" w:type="dxa"/>
            <w:tcBorders>
              <w:left w:val="single" w:sz="2" w:space="0" w:color="759EB4"/>
            </w:tcBorders>
            <w:shd w:val="clear" w:color="auto" w:fill="FFF7F2"/>
          </w:tcPr>
          <w:p>
            <w:pPr>
              <w:pStyle w:val="TableParagraph"/>
              <w:spacing w:before="63"/>
              <w:ind w:left="77"/>
              <w:rPr>
                <w:sz w:val="18"/>
              </w:rPr>
            </w:pPr>
            <w:r>
              <w:rPr>
                <w:color w:val="414142"/>
                <w:w w:val="125"/>
                <w:sz w:val="18"/>
              </w:rPr>
              <w:t>Inhibits cytochrome P450 3A4</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Analgesics</w:t>
            </w:r>
          </w:p>
        </w:tc>
      </w:tr>
      <w:tr>
        <w:trPr>
          <w:trHeight w:val="331" w:hRule="atLeast"/>
        </w:trPr>
        <w:tc>
          <w:tcPr>
            <w:tcW w:w="3214" w:type="dxa"/>
            <w:tcBorders>
              <w:right w:val="single" w:sz="2" w:space="0" w:color="759EB4"/>
            </w:tcBorders>
            <w:shd w:val="clear" w:color="auto" w:fill="FFF7F2"/>
          </w:tcPr>
          <w:p>
            <w:pPr>
              <w:pStyle w:val="TableParagraph"/>
              <w:spacing w:before="63"/>
              <w:ind w:left="80"/>
              <w:rPr>
                <w:sz w:val="18"/>
              </w:rPr>
            </w:pPr>
            <w:r>
              <w:rPr>
                <w:color w:val="414142"/>
                <w:w w:val="125"/>
                <w:sz w:val="18"/>
              </w:rPr>
              <w:t>Fentanyl</w:t>
            </w:r>
          </w:p>
        </w:tc>
        <w:tc>
          <w:tcPr>
            <w:tcW w:w="6237" w:type="dxa"/>
            <w:tcBorders>
              <w:left w:val="single" w:sz="2" w:space="0" w:color="759EB4"/>
            </w:tcBorders>
            <w:shd w:val="clear" w:color="auto" w:fill="FFF7F2"/>
          </w:tcPr>
          <w:p>
            <w:pPr>
              <w:pStyle w:val="TableParagraph"/>
              <w:spacing w:before="63"/>
              <w:ind w:left="77"/>
              <w:rPr>
                <w:sz w:val="18"/>
              </w:rPr>
            </w:pPr>
            <w:r>
              <w:rPr>
                <w:color w:val="414142"/>
                <w:w w:val="125"/>
                <w:sz w:val="18"/>
              </w:rPr>
              <w:t>Competes with buprenorphine for cytochrome P450 3A4 enzyme</w:t>
            </w:r>
          </w:p>
        </w:tc>
      </w:tr>
      <w:tr>
        <w:trPr>
          <w:trHeight w:val="331" w:hRule="atLeast"/>
        </w:trPr>
        <w:tc>
          <w:tcPr>
            <w:tcW w:w="9451" w:type="dxa"/>
            <w:gridSpan w:val="2"/>
            <w:shd w:val="clear" w:color="auto" w:fill="D9DADB"/>
          </w:tcPr>
          <w:p>
            <w:pPr>
              <w:pStyle w:val="TableParagraph"/>
              <w:spacing w:before="65"/>
              <w:ind w:left="80"/>
              <w:rPr>
                <w:rFonts w:ascii="Arial"/>
                <w:b/>
                <w:sz w:val="18"/>
              </w:rPr>
            </w:pPr>
            <w:r>
              <w:rPr>
                <w:rFonts w:ascii="Arial"/>
                <w:b/>
                <w:color w:val="231F20"/>
                <w:w w:val="110"/>
                <w:sz w:val="18"/>
              </w:rPr>
              <w:t>Antihistamines</w:t>
            </w:r>
          </w:p>
        </w:tc>
      </w:tr>
      <w:tr>
        <w:trPr>
          <w:trHeight w:val="331" w:hRule="atLeast"/>
        </w:trPr>
        <w:tc>
          <w:tcPr>
            <w:tcW w:w="3214" w:type="dxa"/>
            <w:tcBorders>
              <w:right w:val="single" w:sz="2" w:space="0" w:color="759EB4"/>
            </w:tcBorders>
            <w:shd w:val="clear" w:color="auto" w:fill="FFF7F2"/>
          </w:tcPr>
          <w:p>
            <w:pPr>
              <w:pStyle w:val="TableParagraph"/>
              <w:spacing w:before="63"/>
              <w:ind w:left="80"/>
              <w:rPr>
                <w:sz w:val="18"/>
              </w:rPr>
            </w:pPr>
            <w:r>
              <w:rPr>
                <w:color w:val="414142"/>
                <w:w w:val="125"/>
                <w:sz w:val="18"/>
              </w:rPr>
              <w:t>Loratadine</w:t>
            </w:r>
          </w:p>
        </w:tc>
        <w:tc>
          <w:tcPr>
            <w:tcW w:w="6237" w:type="dxa"/>
            <w:tcBorders>
              <w:left w:val="single" w:sz="2" w:space="0" w:color="759EB4"/>
            </w:tcBorders>
            <w:shd w:val="clear" w:color="auto" w:fill="FFF7F2"/>
          </w:tcPr>
          <w:p>
            <w:pPr>
              <w:pStyle w:val="TableParagraph"/>
              <w:spacing w:before="63"/>
              <w:ind w:left="77"/>
              <w:rPr>
                <w:sz w:val="18"/>
              </w:rPr>
            </w:pPr>
            <w:r>
              <w:rPr>
                <w:color w:val="414142"/>
                <w:w w:val="125"/>
                <w:sz w:val="18"/>
              </w:rPr>
              <w:t>Competes with buprenorphine for cytochrome P450 3A4 enzyme</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Chemotherapeutics</w:t>
            </w:r>
          </w:p>
        </w:tc>
      </w:tr>
      <w:tr>
        <w:trPr>
          <w:trHeight w:val="540" w:hRule="atLeast"/>
        </w:trPr>
        <w:tc>
          <w:tcPr>
            <w:tcW w:w="3214" w:type="dxa"/>
            <w:tcBorders>
              <w:right w:val="single" w:sz="2" w:space="0" w:color="759EB4"/>
            </w:tcBorders>
            <w:shd w:val="clear" w:color="auto" w:fill="FFF7F2"/>
          </w:tcPr>
          <w:p>
            <w:pPr>
              <w:pStyle w:val="TableParagraph"/>
              <w:spacing w:line="240" w:lineRule="atLeast" w:before="27"/>
              <w:ind w:left="80" w:right="78"/>
              <w:rPr>
                <w:sz w:val="18"/>
              </w:rPr>
            </w:pPr>
            <w:r>
              <w:rPr>
                <w:color w:val="414142"/>
                <w:w w:val="120"/>
                <w:sz w:val="18"/>
              </w:rPr>
              <w:t>Doxorubicin, etoposide, ifosfamide, paclitaxel, vinblastine</w:t>
            </w:r>
          </w:p>
        </w:tc>
        <w:tc>
          <w:tcPr>
            <w:tcW w:w="6237" w:type="dxa"/>
            <w:tcBorders>
              <w:left w:val="single" w:sz="2" w:space="0" w:color="759EB4"/>
            </w:tcBorders>
            <w:shd w:val="clear" w:color="auto" w:fill="FFF7F2"/>
          </w:tcPr>
          <w:p>
            <w:pPr>
              <w:pStyle w:val="TableParagraph"/>
              <w:spacing w:before="167"/>
              <w:ind w:left="77"/>
              <w:rPr>
                <w:sz w:val="18"/>
              </w:rPr>
            </w:pPr>
            <w:r>
              <w:rPr>
                <w:color w:val="414142"/>
                <w:w w:val="125"/>
                <w:sz w:val="18"/>
              </w:rPr>
              <w:t>Competes with buprenorphine for cytochrome P450 3A4 enzyme</w:t>
            </w:r>
          </w:p>
        </w:tc>
      </w:tr>
      <w:tr>
        <w:trPr>
          <w:trHeight w:val="331" w:hRule="atLeast"/>
        </w:trPr>
        <w:tc>
          <w:tcPr>
            <w:tcW w:w="9451" w:type="dxa"/>
            <w:gridSpan w:val="2"/>
            <w:shd w:val="clear" w:color="auto" w:fill="D9DADB"/>
          </w:tcPr>
          <w:p>
            <w:pPr>
              <w:pStyle w:val="TableParagraph"/>
              <w:spacing w:before="20"/>
              <w:ind w:left="80"/>
              <w:rPr>
                <w:b/>
                <w:sz w:val="22"/>
              </w:rPr>
            </w:pPr>
            <w:r>
              <w:rPr>
                <w:b/>
                <w:color w:val="231F20"/>
                <w:sz w:val="22"/>
              </w:rPr>
              <w:t>Blood Thinners</w:t>
            </w:r>
          </w:p>
        </w:tc>
      </w:tr>
      <w:tr>
        <w:trPr>
          <w:trHeight w:val="308" w:hRule="atLeast"/>
        </w:trPr>
        <w:tc>
          <w:tcPr>
            <w:tcW w:w="3214" w:type="dxa"/>
            <w:tcBorders>
              <w:bottom w:val="single" w:sz="18" w:space="0" w:color="377F9A"/>
              <w:right w:val="single" w:sz="2" w:space="0" w:color="759EB4"/>
            </w:tcBorders>
            <w:shd w:val="clear" w:color="auto" w:fill="FFF7F2"/>
          </w:tcPr>
          <w:p>
            <w:pPr>
              <w:pStyle w:val="TableParagraph"/>
              <w:spacing w:before="66"/>
              <w:ind w:left="80"/>
              <w:rPr>
                <w:sz w:val="18"/>
              </w:rPr>
            </w:pPr>
            <w:r>
              <w:rPr>
                <w:color w:val="414142"/>
                <w:w w:val="120"/>
                <w:sz w:val="18"/>
              </w:rPr>
              <w:t>Warfarin</w:t>
            </w:r>
          </w:p>
        </w:tc>
        <w:tc>
          <w:tcPr>
            <w:tcW w:w="6237" w:type="dxa"/>
            <w:tcBorders>
              <w:left w:val="single" w:sz="2" w:space="0" w:color="759EB4"/>
              <w:bottom w:val="single" w:sz="18" w:space="0" w:color="377F9A"/>
            </w:tcBorders>
            <w:shd w:val="clear" w:color="auto" w:fill="FFF7F2"/>
          </w:tcPr>
          <w:p>
            <w:pPr>
              <w:pStyle w:val="TableParagraph"/>
              <w:spacing w:before="66"/>
              <w:ind w:left="77"/>
              <w:rPr>
                <w:sz w:val="18"/>
              </w:rPr>
            </w:pPr>
            <w:r>
              <w:rPr>
                <w:color w:val="414142"/>
                <w:w w:val="125"/>
                <w:sz w:val="18"/>
              </w:rPr>
              <w:t>Competes with buprenorphine for cytochrome P450 3A4 enzyme</w:t>
            </w:r>
          </w:p>
        </w:tc>
      </w:tr>
    </w:tbl>
    <w:p>
      <w:pPr>
        <w:spacing w:line="235" w:lineRule="auto" w:before="120"/>
        <w:ind w:left="523" w:right="595" w:firstLine="0"/>
        <w:jc w:val="left"/>
        <w:rPr>
          <w:rFonts w:ascii="Calibri" w:hAnsi="Calibri"/>
          <w:sz w:val="16"/>
        </w:rPr>
      </w:pPr>
      <w:r>
        <w:rPr>
          <w:rFonts w:ascii="Calibri" w:hAnsi="Calibri"/>
          <w:color w:val="606163"/>
          <w:w w:val="125"/>
          <w:sz w:val="16"/>
        </w:rPr>
        <w:t>Note:</w:t>
      </w:r>
      <w:r>
        <w:rPr>
          <w:rFonts w:ascii="Calibri" w:hAnsi="Calibri"/>
          <w:color w:val="606163"/>
          <w:spacing w:val="-14"/>
          <w:w w:val="125"/>
          <w:sz w:val="16"/>
        </w:rPr>
        <w:t> </w:t>
      </w:r>
      <w:r>
        <w:rPr>
          <w:rFonts w:ascii="Calibri" w:hAnsi="Calibri"/>
          <w:color w:val="606163"/>
          <w:w w:val="125"/>
          <w:sz w:val="16"/>
        </w:rPr>
        <w:t>Consult</w:t>
      </w:r>
      <w:r>
        <w:rPr>
          <w:rFonts w:ascii="Calibri" w:hAnsi="Calibri"/>
          <w:color w:val="606163"/>
          <w:spacing w:val="-14"/>
          <w:w w:val="125"/>
          <w:sz w:val="16"/>
        </w:rPr>
        <w:t> </w:t>
      </w:r>
      <w:r>
        <w:rPr>
          <w:rFonts w:ascii="Calibri" w:hAnsi="Calibri"/>
          <w:color w:val="606163"/>
          <w:w w:val="125"/>
          <w:sz w:val="16"/>
        </w:rPr>
        <w:t>a</w:t>
      </w:r>
      <w:r>
        <w:rPr>
          <w:rFonts w:ascii="Calibri" w:hAnsi="Calibri"/>
          <w:color w:val="606163"/>
          <w:spacing w:val="-14"/>
          <w:w w:val="125"/>
          <w:sz w:val="16"/>
        </w:rPr>
        <w:t> </w:t>
      </w:r>
      <w:r>
        <w:rPr>
          <w:rFonts w:ascii="Calibri" w:hAnsi="Calibri"/>
          <w:color w:val="606163"/>
          <w:w w:val="125"/>
          <w:sz w:val="16"/>
        </w:rPr>
        <w:t>point-of-service</w:t>
      </w:r>
      <w:r>
        <w:rPr>
          <w:rFonts w:ascii="Calibri" w:hAnsi="Calibri"/>
          <w:color w:val="606163"/>
          <w:spacing w:val="-13"/>
          <w:w w:val="125"/>
          <w:sz w:val="16"/>
        </w:rPr>
        <w:t> </w:t>
      </w:r>
      <w:r>
        <w:rPr>
          <w:rFonts w:ascii="Calibri" w:hAnsi="Calibri"/>
          <w:color w:val="606163"/>
          <w:w w:val="125"/>
          <w:sz w:val="16"/>
        </w:rPr>
        <w:t>medical</w:t>
      </w:r>
      <w:r>
        <w:rPr>
          <w:rFonts w:ascii="Calibri" w:hAnsi="Calibri"/>
          <w:color w:val="606163"/>
          <w:spacing w:val="-14"/>
          <w:w w:val="125"/>
          <w:sz w:val="16"/>
        </w:rPr>
        <w:t> </w:t>
      </w:r>
      <w:r>
        <w:rPr>
          <w:rFonts w:ascii="Calibri" w:hAnsi="Calibri"/>
          <w:color w:val="606163"/>
          <w:w w:val="125"/>
          <w:sz w:val="16"/>
        </w:rPr>
        <w:t>reference</w:t>
      </w:r>
      <w:r>
        <w:rPr>
          <w:rFonts w:ascii="Calibri" w:hAnsi="Calibri"/>
          <w:color w:val="606163"/>
          <w:spacing w:val="-14"/>
          <w:w w:val="125"/>
          <w:sz w:val="16"/>
        </w:rPr>
        <w:t> </w:t>
      </w:r>
      <w:r>
        <w:rPr>
          <w:rFonts w:ascii="Calibri" w:hAnsi="Calibri"/>
          <w:color w:val="606163"/>
          <w:w w:val="125"/>
          <w:sz w:val="16"/>
        </w:rPr>
        <w:t>application</w:t>
      </w:r>
      <w:r>
        <w:rPr>
          <w:rFonts w:ascii="Calibri" w:hAnsi="Calibri"/>
          <w:color w:val="606163"/>
          <w:spacing w:val="-13"/>
          <w:w w:val="125"/>
          <w:sz w:val="16"/>
        </w:rPr>
        <w:t> </w:t>
      </w:r>
      <w:r>
        <w:rPr>
          <w:rFonts w:ascii="Calibri" w:hAnsi="Calibri"/>
          <w:color w:val="606163"/>
          <w:w w:val="125"/>
          <w:sz w:val="16"/>
        </w:rPr>
        <w:t>for</w:t>
      </w:r>
      <w:r>
        <w:rPr>
          <w:rFonts w:ascii="Calibri" w:hAnsi="Calibri"/>
          <w:color w:val="606163"/>
          <w:spacing w:val="-14"/>
          <w:w w:val="125"/>
          <w:sz w:val="16"/>
        </w:rPr>
        <w:t> </w:t>
      </w:r>
      <w:r>
        <w:rPr>
          <w:rFonts w:ascii="Calibri" w:hAnsi="Calibri"/>
          <w:color w:val="606163"/>
          <w:w w:val="125"/>
          <w:sz w:val="16"/>
        </w:rPr>
        <w:t>the</w:t>
      </w:r>
      <w:r>
        <w:rPr>
          <w:rFonts w:ascii="Calibri" w:hAnsi="Calibri"/>
          <w:color w:val="606163"/>
          <w:spacing w:val="-14"/>
          <w:w w:val="125"/>
          <w:sz w:val="16"/>
        </w:rPr>
        <w:t> </w:t>
      </w:r>
      <w:r>
        <w:rPr>
          <w:rFonts w:ascii="Calibri" w:hAnsi="Calibri"/>
          <w:color w:val="606163"/>
          <w:w w:val="125"/>
          <w:sz w:val="16"/>
        </w:rPr>
        <w:t>most</w:t>
      </w:r>
      <w:r>
        <w:rPr>
          <w:rFonts w:ascii="Calibri" w:hAnsi="Calibri"/>
          <w:color w:val="606163"/>
          <w:spacing w:val="-13"/>
          <w:w w:val="125"/>
          <w:sz w:val="16"/>
        </w:rPr>
        <w:t> </w:t>
      </w:r>
      <w:r>
        <w:rPr>
          <w:rFonts w:ascii="Calibri" w:hAnsi="Calibri"/>
          <w:color w:val="606163"/>
          <w:w w:val="125"/>
          <w:sz w:val="16"/>
        </w:rPr>
        <w:t>up-to-date</w:t>
      </w:r>
      <w:r>
        <w:rPr>
          <w:rFonts w:ascii="Calibri" w:hAnsi="Calibri"/>
          <w:color w:val="606163"/>
          <w:spacing w:val="-14"/>
          <w:w w:val="125"/>
          <w:sz w:val="16"/>
        </w:rPr>
        <w:t> </w:t>
      </w:r>
      <w:r>
        <w:rPr>
          <w:rFonts w:ascii="Calibri" w:hAnsi="Calibri"/>
          <w:color w:val="606163"/>
          <w:w w:val="125"/>
          <w:sz w:val="16"/>
        </w:rPr>
        <w:t>drug–drug</w:t>
      </w:r>
      <w:r>
        <w:rPr>
          <w:rFonts w:ascii="Calibri" w:hAnsi="Calibri"/>
          <w:color w:val="606163"/>
          <w:spacing w:val="-14"/>
          <w:w w:val="125"/>
          <w:sz w:val="16"/>
        </w:rPr>
        <w:t> </w:t>
      </w:r>
      <w:r>
        <w:rPr>
          <w:rFonts w:ascii="Calibri" w:hAnsi="Calibri"/>
          <w:color w:val="606163"/>
          <w:w w:val="125"/>
          <w:sz w:val="16"/>
        </w:rPr>
        <w:t>interactions before making medication management</w:t>
      </w:r>
      <w:r>
        <w:rPr>
          <w:rFonts w:ascii="Calibri" w:hAnsi="Calibri"/>
          <w:color w:val="606163"/>
          <w:spacing w:val="-16"/>
          <w:w w:val="125"/>
          <w:sz w:val="16"/>
        </w:rPr>
        <w:t> </w:t>
      </w:r>
      <w:r>
        <w:rPr>
          <w:rFonts w:ascii="Calibri" w:hAnsi="Calibri"/>
          <w:color w:val="606163"/>
          <w:w w:val="125"/>
          <w:sz w:val="16"/>
        </w:rPr>
        <w:t>decisions.</w:t>
      </w:r>
    </w:p>
    <w:p>
      <w:pPr>
        <w:spacing w:before="88"/>
        <w:ind w:left="523" w:right="0" w:firstLine="0"/>
        <w:jc w:val="left"/>
        <w:rPr>
          <w:rFonts w:ascii="Calibri"/>
          <w:sz w:val="9"/>
        </w:rPr>
      </w:pPr>
      <w:r>
        <w:rPr>
          <w:rFonts w:ascii="Calibri"/>
          <w:i/>
          <w:color w:val="4D4D4F"/>
          <w:w w:val="125"/>
          <w:sz w:val="16"/>
        </w:rPr>
        <w:t>Adapted from material in the public domain.</w:t>
      </w:r>
      <w:r>
        <w:rPr>
          <w:rFonts w:ascii="Calibri"/>
          <w:color w:val="4D4D4F"/>
          <w:w w:val="125"/>
          <w:position w:val="5"/>
          <w:sz w:val="9"/>
        </w:rPr>
        <w:t>289</w:t>
      </w:r>
    </w:p>
    <w:p>
      <w:pPr>
        <w:spacing w:after="0"/>
        <w:jc w:val="left"/>
        <w:rPr>
          <w:rFonts w:ascii="Calibri"/>
          <w:sz w:val="9"/>
        </w:rPr>
        <w:sectPr>
          <w:pgSz w:w="12240" w:h="15840"/>
          <w:pgMar w:header="576" w:footer="677" w:top="1340" w:bottom="860" w:left="940" w:right="920"/>
        </w:sectPr>
      </w:pPr>
    </w:p>
    <w:p>
      <w:pPr>
        <w:pStyle w:val="BodyText"/>
        <w:spacing w:before="7"/>
        <w:rPr>
          <w:rFonts w:ascii="Calibri"/>
          <w:sz w:val="25"/>
        </w:rPr>
      </w:pPr>
    </w:p>
    <w:p>
      <w:pPr>
        <w:spacing w:after="0"/>
        <w:rPr>
          <w:rFonts w:ascii="Calibri"/>
          <w:sz w:val="25"/>
        </w:rPr>
        <w:sectPr>
          <w:pgSz w:w="12240" w:h="15840"/>
          <w:pgMar w:header="576" w:footer="677" w:top="1340" w:bottom="860" w:left="940" w:right="920"/>
        </w:sectPr>
      </w:pPr>
    </w:p>
    <w:p>
      <w:pPr>
        <w:spacing w:line="242" w:lineRule="auto" w:before="100"/>
        <w:ind w:left="140" w:right="105" w:firstLine="0"/>
        <w:jc w:val="left"/>
        <w:rPr>
          <w:sz w:val="22"/>
        </w:rPr>
      </w:pPr>
      <w:r>
        <w:rPr>
          <w:rFonts w:ascii="Calibri" w:hAnsi="Calibri"/>
          <w:b/>
          <w:color w:val="4D4D4F"/>
          <w:w w:val="110"/>
          <w:sz w:val="22"/>
        </w:rPr>
        <w:t>medications, including some anticonvulsants, and antibiotics, and </w:t>
      </w:r>
      <w:r>
        <w:rPr>
          <w:color w:val="4D4D4F"/>
          <w:w w:val="110"/>
          <w:sz w:val="22"/>
        </w:rPr>
        <w:t>Exhibit 3D.4 lists HIV medications. More information on drug–drug interactions is available online (</w:t>
      </w:r>
      <w:hyperlink r:id="rId59">
        <w:r>
          <w:rPr>
            <w:color w:val="205E9F"/>
            <w:w w:val="110"/>
            <w:sz w:val="22"/>
            <w:u w:val="single" w:color="205E9F"/>
          </w:rPr>
          <w:t>www.drugs.com</w:t>
        </w:r>
      </w:hyperlink>
    </w:p>
    <w:p>
      <w:pPr>
        <w:pStyle w:val="BodyText"/>
        <w:spacing w:before="3"/>
        <w:ind w:left="140"/>
      </w:pPr>
      <w:r>
        <w:rPr>
          <w:color w:val="205E9F"/>
          <w:w w:val="110"/>
          <w:u w:val="single" w:color="205E9F"/>
        </w:rPr>
        <w:t>/drug-interactions/buprenorphine-index.html</w:t>
      </w:r>
    </w:p>
    <w:p>
      <w:pPr>
        <w:pStyle w:val="BodyText"/>
        <w:spacing w:before="9"/>
        <w:ind w:left="140"/>
      </w:pPr>
      <w:r>
        <w:rPr>
          <w:color w:val="205E9F"/>
          <w:w w:val="110"/>
          <w:u w:val="single" w:color="205E9F"/>
        </w:rPr>
        <w:t>?ﬁlter=3&amp;generic_only=</w:t>
      </w:r>
      <w:r>
        <w:rPr>
          <w:color w:val="4D4D4F"/>
          <w:w w:val="110"/>
        </w:rPr>
        <w:t>).</w:t>
      </w:r>
    </w:p>
    <w:p>
      <w:pPr>
        <w:spacing w:line="237" w:lineRule="auto" w:before="186"/>
        <w:ind w:left="140" w:right="105" w:firstLine="0"/>
        <w:jc w:val="left"/>
        <w:rPr>
          <w:sz w:val="13"/>
        </w:rPr>
      </w:pPr>
      <w:r>
        <w:rPr>
          <w:rFonts w:ascii="Calibri" w:hAnsi="Calibri"/>
          <w:b/>
          <w:color w:val="4D4D4F"/>
          <w:w w:val="110"/>
          <w:sz w:val="22"/>
        </w:rPr>
        <w:t>Monitor responses to buprenorphine in patients taking nonnucleoside reverse tran- scriptase inhibitors. </w:t>
      </w:r>
      <w:r>
        <w:rPr>
          <w:color w:val="4D4D4F"/>
          <w:w w:val="110"/>
          <w:sz w:val="22"/>
        </w:rPr>
        <w:t>Changes in </w:t>
      </w:r>
      <w:r>
        <w:rPr>
          <w:color w:val="4D4D4F"/>
          <w:spacing w:val="-3"/>
          <w:w w:val="110"/>
          <w:sz w:val="22"/>
        </w:rPr>
        <w:t>buprenorphine </w:t>
      </w:r>
      <w:r>
        <w:rPr>
          <w:color w:val="4D4D4F"/>
          <w:w w:val="110"/>
          <w:sz w:val="22"/>
        </w:rPr>
        <w:t>concentrations can be clinically</w:t>
      </w:r>
      <w:r>
        <w:rPr>
          <w:color w:val="4D4D4F"/>
          <w:spacing w:val="8"/>
          <w:w w:val="110"/>
          <w:sz w:val="22"/>
        </w:rPr>
        <w:t> </w:t>
      </w:r>
      <w:r>
        <w:rPr>
          <w:color w:val="4D4D4F"/>
          <w:w w:val="110"/>
          <w:sz w:val="22"/>
        </w:rPr>
        <w:t>signiﬁcant.</w:t>
      </w:r>
      <w:r>
        <w:rPr>
          <w:color w:val="4D4D4F"/>
          <w:w w:val="110"/>
          <w:position w:val="7"/>
          <w:sz w:val="13"/>
        </w:rPr>
        <w:t>290</w:t>
      </w:r>
    </w:p>
    <w:p>
      <w:pPr>
        <w:spacing w:line="242" w:lineRule="auto" w:before="184"/>
        <w:ind w:left="140" w:right="105" w:firstLine="0"/>
        <w:jc w:val="left"/>
        <w:rPr>
          <w:sz w:val="13"/>
        </w:rPr>
      </w:pPr>
      <w:r>
        <w:rPr>
          <w:rFonts w:ascii="Calibri"/>
          <w:b/>
          <w:color w:val="4D4D4F"/>
          <w:w w:val="110"/>
          <w:sz w:val="22"/>
        </w:rPr>
        <w:t>Combination antiretroviral therapy (atazana- vir/ritonavir) increases buprenorphine and norbuprenorphine serum concentrations.</w:t>
      </w:r>
      <w:r>
        <w:rPr>
          <w:rFonts w:ascii="Calibri"/>
          <w:b/>
          <w:color w:val="4D4D4F"/>
          <w:w w:val="110"/>
          <w:position w:val="7"/>
          <w:sz w:val="13"/>
        </w:rPr>
        <w:t>291 </w:t>
      </w:r>
      <w:r>
        <w:rPr>
          <w:color w:val="4D4D4F"/>
          <w:w w:val="110"/>
          <w:sz w:val="22"/>
        </w:rPr>
        <w:t>Case reports have demonstrated signs of buprenorphine excess (sedation). Decreasing buprenorphine can improve this</w:t>
      </w:r>
      <w:r>
        <w:rPr>
          <w:color w:val="4D4D4F"/>
          <w:spacing w:val="-6"/>
          <w:w w:val="110"/>
          <w:sz w:val="22"/>
        </w:rPr>
        <w:t> </w:t>
      </w:r>
      <w:r>
        <w:rPr>
          <w:color w:val="4D4D4F"/>
          <w:w w:val="110"/>
          <w:sz w:val="22"/>
        </w:rPr>
        <w:t>symptom.</w:t>
      </w:r>
      <w:r>
        <w:rPr>
          <w:color w:val="4D4D4F"/>
          <w:w w:val="110"/>
          <w:position w:val="7"/>
          <w:sz w:val="13"/>
        </w:rPr>
        <w:t>292</w:t>
      </w:r>
    </w:p>
    <w:p>
      <w:pPr>
        <w:pStyle w:val="BodyText"/>
        <w:spacing w:line="247" w:lineRule="auto" w:before="105"/>
        <w:ind w:left="140"/>
        <w:rPr>
          <w:sz w:val="13"/>
        </w:rPr>
      </w:pPr>
      <w:r>
        <w:rPr/>
        <w:br w:type="column"/>
      </w:r>
      <w:r>
        <w:rPr>
          <w:color w:val="4D4D4F"/>
          <w:w w:val="110"/>
        </w:rPr>
        <w:t>Other research has demonstrated no need to adjust the buprenorphine dose among patients taking atazanavir.</w:t>
      </w:r>
      <w:r>
        <w:rPr>
          <w:color w:val="4D4D4F"/>
          <w:w w:val="110"/>
          <w:position w:val="7"/>
          <w:sz w:val="13"/>
        </w:rPr>
        <w:t>293</w:t>
      </w:r>
    </w:p>
    <w:p>
      <w:pPr>
        <w:spacing w:line="240" w:lineRule="auto" w:before="179"/>
        <w:ind w:left="140" w:right="204" w:firstLine="0"/>
        <w:jc w:val="left"/>
        <w:rPr>
          <w:sz w:val="13"/>
        </w:rPr>
      </w:pPr>
      <w:r>
        <w:rPr>
          <w:rFonts w:ascii="Calibri"/>
          <w:b/>
          <w:color w:val="4D4D4F"/>
          <w:w w:val="110"/>
          <w:sz w:val="22"/>
        </w:rPr>
        <w:t>For tuberculosis treatment, rifampin but not rifabutin may decrease buprenorphine </w:t>
      </w:r>
      <w:r>
        <w:rPr>
          <w:rFonts w:ascii="Calibri"/>
          <w:b/>
          <w:color w:val="4D4D4F"/>
          <w:spacing w:val="-3"/>
          <w:w w:val="110"/>
          <w:sz w:val="22"/>
        </w:rPr>
        <w:t>concen- </w:t>
      </w:r>
      <w:r>
        <w:rPr>
          <w:rFonts w:ascii="Calibri"/>
          <w:b/>
          <w:color w:val="4D4D4F"/>
          <w:w w:val="110"/>
          <w:sz w:val="22"/>
        </w:rPr>
        <w:t>trations.  </w:t>
      </w:r>
      <w:r>
        <w:rPr>
          <w:color w:val="4D4D4F"/>
          <w:w w:val="110"/>
          <w:sz w:val="22"/>
        </w:rPr>
        <w:t>Rifampin produced opioid withdrawal in 50 percent of research volunteers with opioid dependence.</w:t>
      </w:r>
      <w:r>
        <w:rPr>
          <w:color w:val="4D4D4F"/>
          <w:w w:val="110"/>
          <w:position w:val="7"/>
          <w:sz w:val="13"/>
        </w:rPr>
        <w:t>294</w:t>
      </w:r>
    </w:p>
    <w:p>
      <w:pPr>
        <w:spacing w:line="235" w:lineRule="auto" w:before="188"/>
        <w:ind w:left="140" w:right="253" w:firstLine="0"/>
        <w:jc w:val="left"/>
        <w:rPr>
          <w:sz w:val="22"/>
        </w:rPr>
      </w:pPr>
      <w:r>
        <w:rPr>
          <w:rFonts w:ascii="Calibri"/>
          <w:b/>
          <w:color w:val="4D4D4F"/>
          <w:w w:val="110"/>
          <w:sz w:val="22"/>
        </w:rPr>
        <w:t>FDA warns of increased serotonin syndrome risk with prescription opioids, including bu- prenorphine. </w:t>
      </w:r>
      <w:r>
        <w:rPr>
          <w:color w:val="4D4D4F"/>
          <w:w w:val="110"/>
          <w:sz w:val="22"/>
        </w:rPr>
        <w:t>Serotonin syndrome can include:</w:t>
      </w:r>
    </w:p>
    <w:p>
      <w:pPr>
        <w:pStyle w:val="ListParagraph"/>
        <w:numPr>
          <w:ilvl w:val="0"/>
          <w:numId w:val="29"/>
        </w:numPr>
        <w:tabs>
          <w:tab w:pos="410" w:val="left" w:leader="none"/>
        </w:tabs>
        <w:spacing w:line="315" w:lineRule="exact" w:before="100" w:after="0"/>
        <w:ind w:left="410" w:right="0" w:hanging="270"/>
        <w:jc w:val="left"/>
        <w:rPr>
          <w:rFonts w:ascii="Arial" w:hAnsi="Arial"/>
          <w:color w:val="137692"/>
          <w:sz w:val="28"/>
        </w:rPr>
      </w:pPr>
      <w:r>
        <w:rPr>
          <w:color w:val="4D4D4F"/>
          <w:w w:val="115"/>
          <w:sz w:val="22"/>
        </w:rPr>
        <w:t>Changes in mental</w:t>
      </w:r>
      <w:r>
        <w:rPr>
          <w:color w:val="4D4D4F"/>
          <w:spacing w:val="-31"/>
          <w:w w:val="115"/>
          <w:sz w:val="22"/>
        </w:rPr>
        <w:t> </w:t>
      </w:r>
      <w:r>
        <w:rPr>
          <w:color w:val="4D4D4F"/>
          <w:w w:val="115"/>
          <w:sz w:val="22"/>
        </w:rPr>
        <w:t>status.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spacing w:val="-4"/>
          <w:w w:val="115"/>
          <w:sz w:val="22"/>
        </w:rPr>
        <w:t>Fever.</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spacing w:val="-7"/>
          <w:w w:val="105"/>
          <w:sz w:val="22"/>
        </w:rPr>
        <w:t>Tremor.</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Sweating.</w:t>
      </w:r>
    </w:p>
    <w:p>
      <w:pPr>
        <w:pStyle w:val="ListParagraph"/>
        <w:numPr>
          <w:ilvl w:val="0"/>
          <w:numId w:val="29"/>
        </w:numPr>
        <w:tabs>
          <w:tab w:pos="410" w:val="left" w:leader="none"/>
        </w:tabs>
        <w:spacing w:line="315" w:lineRule="exact" w:before="0" w:after="0"/>
        <w:ind w:left="410" w:right="0" w:hanging="270"/>
        <w:jc w:val="left"/>
        <w:rPr>
          <w:rFonts w:ascii="Arial" w:hAnsi="Arial"/>
          <w:color w:val="137692"/>
          <w:sz w:val="28"/>
        </w:rPr>
      </w:pPr>
      <w:r>
        <w:rPr/>
        <w:pict>
          <v:group style="position:absolute;margin-left:53.5pt;margin-top:28.525913pt;width:504.55pt;height:375.9pt;mso-position-horizontal-relative:page;mso-position-vertical-relative:paragraph;z-index:-19552768" coordorigin="1070,571" coordsize="10091,7518">
            <v:rect style="position:absolute;left:1075;top:575;width:10081;height:7508" filled="true" fillcolor="#fff7f2" stroked="false">
              <v:fill type="solid"/>
            </v:rect>
            <v:rect style="position:absolute;left:1075;top:575;width:10081;height:7508" filled="false" stroked="true" strokeweight=".5pt" strokecolor="#88aabd">
              <v:stroke dashstyle="solid"/>
            </v:rect>
            <v:shape style="position:absolute;left:1260;top:672;width:9505;height:669" type="#_x0000_t202" filled="false" stroked="false">
              <v:textbox inset="0,0,0,0">
                <w:txbxContent>
                  <w:p>
                    <w:pPr>
                      <w:spacing w:line="256" w:lineRule="auto" w:before="36"/>
                      <w:ind w:left="0" w:right="0" w:firstLine="0"/>
                      <w:jc w:val="left"/>
                      <w:rPr>
                        <w:rFonts w:ascii="Arial"/>
                        <w:b/>
                        <w:sz w:val="26"/>
                      </w:rPr>
                    </w:pPr>
                    <w:r>
                      <w:rPr>
                        <w:rFonts w:ascii="Arial"/>
                        <w:b/>
                        <w:color w:val="137692"/>
                        <w:w w:val="110"/>
                        <w:sz w:val="26"/>
                      </w:rPr>
                      <w:t>EXHIBIT 3D.4. Potential Interactions Between Buprenorphine and HIV Medications</w:t>
                    </w:r>
                  </w:p>
                </w:txbxContent>
              </v:textbox>
              <w10:wrap type="none"/>
            </v:shape>
            <v:shape style="position:absolute;left:1301;top:7731;width:3840;height:209" type="#_x0000_t202" filled="false" stroked="false">
              <v:textbox inset="0,0,0,0">
                <w:txbxContent>
                  <w:p>
                    <w:pPr>
                      <w:spacing w:line="194" w:lineRule="exact" w:before="14"/>
                      <w:ind w:left="0" w:right="0" w:firstLine="0"/>
                      <w:jc w:val="left"/>
                      <w:rPr>
                        <w:rFonts w:ascii="Calibri"/>
                        <w:i/>
                        <w:sz w:val="9"/>
                      </w:rPr>
                    </w:pPr>
                    <w:r>
                      <w:rPr>
                        <w:rFonts w:ascii="Calibri"/>
                        <w:i/>
                        <w:color w:val="606163"/>
                        <w:w w:val="125"/>
                        <w:sz w:val="16"/>
                      </w:rPr>
                      <w:t>Adapted from material in the public domain.</w:t>
                    </w:r>
                    <w:r>
                      <w:rPr>
                        <w:rFonts w:ascii="Calibri"/>
                        <w:i/>
                        <w:color w:val="606163"/>
                        <w:w w:val="125"/>
                        <w:position w:val="5"/>
                        <w:sz w:val="9"/>
                      </w:rPr>
                      <w:t>309</w:t>
                    </w:r>
                  </w:p>
                </w:txbxContent>
              </v:textbox>
              <w10:wrap type="none"/>
            </v:shape>
            <w10:wrap type="none"/>
          </v:group>
        </w:pict>
      </w:r>
      <w:r>
        <w:rPr>
          <w:color w:val="4D4D4F"/>
          <w:w w:val="115"/>
          <w:sz w:val="22"/>
        </w:rPr>
        <w:t>Dilated</w:t>
      </w:r>
      <w:r>
        <w:rPr>
          <w:color w:val="4D4D4F"/>
          <w:spacing w:val="-10"/>
          <w:w w:val="115"/>
          <w:sz w:val="22"/>
        </w:rPr>
        <w:t> </w:t>
      </w:r>
      <w:r>
        <w:rPr>
          <w:color w:val="4D4D4F"/>
          <w:w w:val="115"/>
          <w:sz w:val="22"/>
        </w:rPr>
        <w:t>pupils.</w:t>
      </w:r>
    </w:p>
    <w:p>
      <w:pPr>
        <w:spacing w:after="0" w:line="315" w:lineRule="exact"/>
        <w:jc w:val="left"/>
        <w:rPr>
          <w:rFonts w:ascii="Arial" w:hAnsi="Arial"/>
          <w:sz w:val="28"/>
        </w:rPr>
        <w:sectPr>
          <w:type w:val="continuous"/>
          <w:pgSz w:w="12240" w:h="15840"/>
          <w:pgMar w:top="540" w:bottom="280" w:left="940" w:right="920"/>
          <w:cols w:num="2" w:equalWidth="0">
            <w:col w:w="4916" w:space="304"/>
            <w:col w:w="516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tbl>
      <w:tblPr>
        <w:tblW w:w="0" w:type="auto"/>
        <w:jc w:val="left"/>
        <w:tblInd w:w="31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98"/>
        <w:gridCol w:w="2570"/>
        <w:gridCol w:w="5038"/>
      </w:tblGrid>
      <w:tr>
        <w:trPr>
          <w:trHeight w:val="453" w:hRule="atLeast"/>
        </w:trPr>
        <w:tc>
          <w:tcPr>
            <w:tcW w:w="2098" w:type="dxa"/>
            <w:tcBorders>
              <w:right w:val="nil"/>
            </w:tcBorders>
            <w:shd w:val="clear" w:color="auto" w:fill="377F9A"/>
          </w:tcPr>
          <w:p>
            <w:pPr>
              <w:pStyle w:val="TableParagraph"/>
              <w:spacing w:before="151"/>
              <w:ind w:left="98"/>
              <w:rPr>
                <w:rFonts w:ascii="Arial"/>
                <w:b/>
                <w:sz w:val="17"/>
              </w:rPr>
            </w:pPr>
            <w:r>
              <w:rPr>
                <w:rFonts w:ascii="Arial"/>
                <w:b/>
                <w:color w:val="FFFFFF"/>
                <w:w w:val="110"/>
                <w:sz w:val="17"/>
              </w:rPr>
              <w:t>MEDICATION</w:t>
            </w:r>
          </w:p>
        </w:tc>
        <w:tc>
          <w:tcPr>
            <w:tcW w:w="2570" w:type="dxa"/>
            <w:tcBorders>
              <w:left w:val="nil"/>
              <w:right w:val="nil"/>
            </w:tcBorders>
            <w:shd w:val="clear" w:color="auto" w:fill="377F9A"/>
          </w:tcPr>
          <w:p>
            <w:pPr>
              <w:pStyle w:val="TableParagraph"/>
              <w:spacing w:before="151"/>
              <w:ind w:left="1052" w:right="1011"/>
              <w:jc w:val="center"/>
              <w:rPr>
                <w:rFonts w:ascii="Arial"/>
                <w:b/>
                <w:sz w:val="17"/>
              </w:rPr>
            </w:pPr>
            <w:r>
              <w:rPr>
                <w:rFonts w:ascii="Arial"/>
                <w:b/>
                <w:color w:val="FFFFFF"/>
                <w:w w:val="105"/>
                <w:sz w:val="17"/>
              </w:rPr>
              <w:t>TYPE</w:t>
            </w:r>
          </w:p>
        </w:tc>
        <w:tc>
          <w:tcPr>
            <w:tcW w:w="5038" w:type="dxa"/>
            <w:tcBorders>
              <w:left w:val="nil"/>
            </w:tcBorders>
            <w:shd w:val="clear" w:color="auto" w:fill="377F9A"/>
          </w:tcPr>
          <w:p>
            <w:pPr>
              <w:pStyle w:val="TableParagraph"/>
              <w:spacing w:before="151"/>
              <w:ind w:left="1358"/>
              <w:rPr>
                <w:rFonts w:ascii="Arial"/>
                <w:b/>
                <w:sz w:val="17"/>
              </w:rPr>
            </w:pPr>
            <w:r>
              <w:rPr>
                <w:rFonts w:ascii="Arial"/>
                <w:b/>
                <w:color w:val="FFFFFF"/>
                <w:w w:val="110"/>
                <w:sz w:val="17"/>
              </w:rPr>
              <w:t>POTENTIAL INTERACTION</w:t>
            </w:r>
          </w:p>
        </w:tc>
      </w:tr>
      <w:tr>
        <w:trPr>
          <w:trHeight w:val="1049" w:hRule="atLeast"/>
        </w:trPr>
        <w:tc>
          <w:tcPr>
            <w:tcW w:w="2098"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8"/>
              </w:rPr>
            </w:pPr>
            <w:r>
              <w:rPr>
                <w:rFonts w:ascii="Arial"/>
                <w:b/>
                <w:color w:val="231F20"/>
                <w:w w:val="110"/>
                <w:sz w:val="18"/>
              </w:rPr>
              <w:t>Atazanavir</w:t>
            </w:r>
          </w:p>
        </w:tc>
        <w:tc>
          <w:tcPr>
            <w:tcW w:w="2570" w:type="dxa"/>
            <w:tcBorders>
              <w:left w:val="single" w:sz="2" w:space="0" w:color="759EB4"/>
              <w:bottom w:val="single" w:sz="2" w:space="0" w:color="759EB4"/>
              <w:right w:val="single" w:sz="2" w:space="0" w:color="759EB4"/>
            </w:tcBorders>
            <w:shd w:val="clear" w:color="auto" w:fill="FFF7F2"/>
          </w:tcPr>
          <w:p>
            <w:pPr>
              <w:pStyle w:val="TableParagraph"/>
              <w:spacing w:before="89"/>
              <w:ind w:left="97"/>
              <w:rPr>
                <w:sz w:val="18"/>
              </w:rPr>
            </w:pPr>
            <w:r>
              <w:rPr>
                <w:color w:val="414142"/>
                <w:w w:val="125"/>
                <w:sz w:val="18"/>
              </w:rPr>
              <w:t>Protease inhibitor</w:t>
            </w:r>
          </w:p>
        </w:tc>
        <w:tc>
          <w:tcPr>
            <w:tcW w:w="5038" w:type="dxa"/>
            <w:tcBorders>
              <w:left w:val="single" w:sz="2" w:space="0" w:color="759EB4"/>
              <w:bottom w:val="single" w:sz="2" w:space="0" w:color="759EB4"/>
              <w:right w:val="nil"/>
            </w:tcBorders>
            <w:shd w:val="clear" w:color="auto" w:fill="FFF7F2"/>
          </w:tcPr>
          <w:p>
            <w:pPr>
              <w:pStyle w:val="TableParagraph"/>
              <w:spacing w:line="235" w:lineRule="auto" w:before="92"/>
              <w:ind w:left="98"/>
              <w:rPr>
                <w:sz w:val="10"/>
              </w:rPr>
            </w:pPr>
            <w:r>
              <w:rPr>
                <w:color w:val="414142"/>
                <w:w w:val="120"/>
                <w:sz w:val="18"/>
              </w:rPr>
              <w:t>Increased buprenorphine concentrations. May cause cognitive impairment</w:t>
            </w:r>
            <w:r>
              <w:rPr>
                <w:color w:val="414142"/>
                <w:w w:val="120"/>
                <w:position w:val="6"/>
                <w:sz w:val="10"/>
              </w:rPr>
              <w:t>295,296 </w:t>
            </w:r>
            <w:r>
              <w:rPr>
                <w:color w:val="414142"/>
                <w:w w:val="120"/>
                <w:sz w:val="18"/>
              </w:rPr>
              <w:t>or oversedation.</w:t>
            </w:r>
            <w:r>
              <w:rPr>
                <w:color w:val="414142"/>
                <w:w w:val="120"/>
                <w:position w:val="6"/>
                <w:sz w:val="10"/>
              </w:rPr>
              <w:t>297,298 </w:t>
            </w:r>
            <w:r>
              <w:rPr>
                <w:color w:val="414142"/>
                <w:w w:val="120"/>
                <w:sz w:val="18"/>
              </w:rPr>
              <w:t>Slower titration or dose reduction of buprenorphine may be warranted.</w:t>
            </w:r>
            <w:r>
              <w:rPr>
                <w:color w:val="414142"/>
                <w:w w:val="120"/>
                <w:position w:val="6"/>
                <w:sz w:val="10"/>
              </w:rPr>
              <w:t>299,300</w:t>
            </w:r>
          </w:p>
        </w:tc>
      </w:tr>
      <w:tr>
        <w:trPr>
          <w:trHeight w:val="835" w:hRule="atLeast"/>
        </w:trPr>
        <w:tc>
          <w:tcPr>
            <w:tcW w:w="209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Darunavir-ritonavir</w:t>
            </w:r>
          </w:p>
        </w:tc>
        <w:tc>
          <w:tcPr>
            <w:tcW w:w="257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7"/>
              <w:rPr>
                <w:sz w:val="18"/>
              </w:rPr>
            </w:pPr>
            <w:r>
              <w:rPr>
                <w:color w:val="414142"/>
                <w:w w:val="125"/>
                <w:sz w:val="18"/>
              </w:rPr>
              <w:t>Protease inhibitor</w:t>
            </w:r>
          </w:p>
        </w:tc>
        <w:tc>
          <w:tcPr>
            <w:tcW w:w="5038"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8"/>
              <w:rPr>
                <w:sz w:val="10"/>
              </w:rPr>
            </w:pPr>
            <w:r>
              <w:rPr>
                <w:color w:val="414142"/>
                <w:w w:val="125"/>
                <w:sz w:val="18"/>
              </w:rPr>
              <w:t>Some pharmacokinetic (PK) effect; dose adjustments unlikely to be needed, but clinical monitoring is recommended.</w:t>
            </w:r>
            <w:r>
              <w:rPr>
                <w:color w:val="414142"/>
                <w:w w:val="125"/>
                <w:position w:val="6"/>
                <w:sz w:val="10"/>
              </w:rPr>
              <w:t>301</w:t>
            </w:r>
          </w:p>
        </w:tc>
      </w:tr>
      <w:tr>
        <w:trPr>
          <w:trHeight w:val="1051" w:hRule="atLeast"/>
        </w:trPr>
        <w:tc>
          <w:tcPr>
            <w:tcW w:w="209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Delavirdine</w:t>
            </w:r>
          </w:p>
        </w:tc>
        <w:tc>
          <w:tcPr>
            <w:tcW w:w="257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Pr>
                <w:sz w:val="18"/>
              </w:rPr>
            </w:pPr>
            <w:r>
              <w:rPr>
                <w:color w:val="414142"/>
                <w:w w:val="120"/>
                <w:sz w:val="18"/>
              </w:rPr>
              <w:t>Nonnucleoside reverse </w:t>
            </w:r>
            <w:r>
              <w:rPr>
                <w:color w:val="414142"/>
                <w:w w:val="125"/>
                <w:sz w:val="18"/>
              </w:rPr>
              <w:t>transcriptase inhibitor</w:t>
            </w:r>
          </w:p>
        </w:tc>
        <w:tc>
          <w:tcPr>
            <w:tcW w:w="5038"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8" w:right="120"/>
              <w:rPr>
                <w:sz w:val="10"/>
              </w:rPr>
            </w:pPr>
            <w:r>
              <w:rPr>
                <w:color w:val="414142"/>
                <w:w w:val="120"/>
                <w:sz w:val="18"/>
              </w:rPr>
              <w:t>Increased buprenorphine concentrations, but no clinically signiﬁcant effect. Dose adjustments unlikely to be needed. However, use with caution, as long- term effects (more than 7 days) are unknown.</w:t>
            </w:r>
            <w:r>
              <w:rPr>
                <w:color w:val="414142"/>
                <w:w w:val="120"/>
                <w:position w:val="6"/>
                <w:sz w:val="10"/>
              </w:rPr>
              <w:t>302,303</w:t>
            </w:r>
          </w:p>
        </w:tc>
      </w:tr>
      <w:tr>
        <w:trPr>
          <w:trHeight w:val="619" w:hRule="atLeast"/>
        </w:trPr>
        <w:tc>
          <w:tcPr>
            <w:tcW w:w="209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05"/>
                <w:sz w:val="18"/>
              </w:rPr>
              <w:t>Efavirenz</w:t>
            </w:r>
          </w:p>
        </w:tc>
        <w:tc>
          <w:tcPr>
            <w:tcW w:w="257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Pr>
                <w:sz w:val="18"/>
              </w:rPr>
            </w:pPr>
            <w:r>
              <w:rPr>
                <w:color w:val="414142"/>
                <w:w w:val="120"/>
                <w:sz w:val="18"/>
              </w:rPr>
              <w:t>Nonnucleoside reverse </w:t>
            </w:r>
            <w:r>
              <w:rPr>
                <w:color w:val="414142"/>
                <w:w w:val="125"/>
                <w:sz w:val="18"/>
              </w:rPr>
              <w:t>transcriptase inhibitor</w:t>
            </w:r>
          </w:p>
        </w:tc>
        <w:tc>
          <w:tcPr>
            <w:tcW w:w="5038"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8" w:right="519"/>
              <w:rPr>
                <w:sz w:val="10"/>
              </w:rPr>
            </w:pPr>
            <w:r>
              <w:rPr>
                <w:color w:val="414142"/>
                <w:w w:val="125"/>
                <w:sz w:val="18"/>
              </w:rPr>
              <w:t>Some PK effect; dose adjustments unlikely to be needed.</w:t>
            </w:r>
            <w:r>
              <w:rPr>
                <w:color w:val="414142"/>
                <w:w w:val="125"/>
                <w:position w:val="6"/>
                <w:sz w:val="10"/>
              </w:rPr>
              <w:t>304</w:t>
            </w:r>
          </w:p>
        </w:tc>
      </w:tr>
      <w:tr>
        <w:trPr>
          <w:trHeight w:val="619" w:hRule="atLeast"/>
        </w:trPr>
        <w:tc>
          <w:tcPr>
            <w:tcW w:w="2098"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Pr>
                <w:rFonts w:ascii="Arial"/>
                <w:b/>
                <w:sz w:val="18"/>
              </w:rPr>
            </w:pPr>
            <w:r>
              <w:rPr>
                <w:rFonts w:ascii="Arial"/>
                <w:b/>
                <w:color w:val="231F20"/>
                <w:w w:val="110"/>
                <w:sz w:val="18"/>
              </w:rPr>
              <w:t>Elvitegravir (with cobicistat)</w:t>
            </w:r>
          </w:p>
        </w:tc>
        <w:tc>
          <w:tcPr>
            <w:tcW w:w="257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7"/>
              <w:rPr>
                <w:sz w:val="18"/>
              </w:rPr>
            </w:pPr>
            <w:r>
              <w:rPr>
                <w:color w:val="414142"/>
                <w:w w:val="125"/>
                <w:sz w:val="18"/>
              </w:rPr>
              <w:t>Integrase inhibitor</w:t>
            </w:r>
          </w:p>
        </w:tc>
        <w:tc>
          <w:tcPr>
            <w:tcW w:w="5038"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8"/>
              <w:rPr>
                <w:sz w:val="10"/>
              </w:rPr>
            </w:pPr>
            <w:r>
              <w:rPr>
                <w:color w:val="414142"/>
                <w:w w:val="125"/>
                <w:sz w:val="18"/>
              </w:rPr>
              <w:t>Some PK effect; no dose adjustments needed.</w:t>
            </w:r>
            <w:r>
              <w:rPr>
                <w:color w:val="414142"/>
                <w:w w:val="125"/>
                <w:position w:val="6"/>
                <w:sz w:val="10"/>
              </w:rPr>
              <w:t>305</w:t>
            </w:r>
          </w:p>
        </w:tc>
      </w:tr>
      <w:tr>
        <w:trPr>
          <w:trHeight w:val="619" w:hRule="atLeast"/>
        </w:trPr>
        <w:tc>
          <w:tcPr>
            <w:tcW w:w="209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Nevirapine</w:t>
            </w:r>
          </w:p>
        </w:tc>
        <w:tc>
          <w:tcPr>
            <w:tcW w:w="257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Pr>
                <w:sz w:val="18"/>
              </w:rPr>
            </w:pPr>
            <w:r>
              <w:rPr>
                <w:color w:val="414142"/>
                <w:w w:val="120"/>
                <w:sz w:val="18"/>
              </w:rPr>
              <w:t>Nonnucleoside reverse </w:t>
            </w:r>
            <w:r>
              <w:rPr>
                <w:color w:val="414142"/>
                <w:w w:val="125"/>
                <w:sz w:val="18"/>
              </w:rPr>
              <w:t>transcriptase inhibitor</w:t>
            </w:r>
          </w:p>
        </w:tc>
        <w:tc>
          <w:tcPr>
            <w:tcW w:w="5038"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8"/>
              <w:rPr>
                <w:sz w:val="10"/>
              </w:rPr>
            </w:pPr>
            <w:r>
              <w:rPr>
                <w:color w:val="414142"/>
                <w:w w:val="125"/>
                <w:sz w:val="18"/>
              </w:rPr>
              <w:t>Some PK effect; no dose adjustments needed.</w:t>
            </w:r>
            <w:r>
              <w:rPr>
                <w:color w:val="414142"/>
                <w:w w:val="125"/>
                <w:position w:val="6"/>
                <w:sz w:val="10"/>
              </w:rPr>
              <w:t>306</w:t>
            </w:r>
          </w:p>
        </w:tc>
      </w:tr>
      <w:tr>
        <w:trPr>
          <w:trHeight w:val="403" w:hRule="atLeast"/>
        </w:trPr>
        <w:tc>
          <w:tcPr>
            <w:tcW w:w="209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Ritonavir</w:t>
            </w:r>
          </w:p>
        </w:tc>
        <w:tc>
          <w:tcPr>
            <w:tcW w:w="2570"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7"/>
              <w:rPr>
                <w:sz w:val="18"/>
              </w:rPr>
            </w:pPr>
            <w:r>
              <w:rPr>
                <w:color w:val="414142"/>
                <w:w w:val="125"/>
                <w:sz w:val="18"/>
              </w:rPr>
              <w:t>Protease inhibitor</w:t>
            </w:r>
          </w:p>
        </w:tc>
        <w:tc>
          <w:tcPr>
            <w:tcW w:w="5038"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8"/>
              <w:rPr>
                <w:sz w:val="10"/>
              </w:rPr>
            </w:pPr>
            <w:r>
              <w:rPr>
                <w:color w:val="414142"/>
                <w:w w:val="125"/>
                <w:sz w:val="18"/>
              </w:rPr>
              <w:t>Some PK effect; no dose adjustments needed.</w:t>
            </w:r>
            <w:r>
              <w:rPr>
                <w:color w:val="414142"/>
                <w:w w:val="125"/>
                <w:position w:val="6"/>
                <w:sz w:val="10"/>
              </w:rPr>
              <w:t>307</w:t>
            </w:r>
          </w:p>
        </w:tc>
      </w:tr>
      <w:tr>
        <w:trPr>
          <w:trHeight w:val="387" w:hRule="atLeast"/>
        </w:trPr>
        <w:tc>
          <w:tcPr>
            <w:tcW w:w="2098" w:type="dxa"/>
            <w:tcBorders>
              <w:top w:val="single" w:sz="2" w:space="0" w:color="759EB4"/>
              <w:left w:val="nil"/>
              <w:bottom w:val="single" w:sz="18" w:space="0" w:color="377F9A"/>
              <w:right w:val="single" w:sz="2" w:space="0" w:color="759EB4"/>
            </w:tcBorders>
            <w:shd w:val="clear" w:color="auto" w:fill="FFF7F2"/>
          </w:tcPr>
          <w:p>
            <w:pPr>
              <w:pStyle w:val="TableParagraph"/>
              <w:spacing w:before="93"/>
              <w:ind w:left="101"/>
              <w:rPr>
                <w:rFonts w:ascii="Arial"/>
                <w:b/>
                <w:sz w:val="18"/>
              </w:rPr>
            </w:pPr>
            <w:r>
              <w:rPr>
                <w:rFonts w:ascii="Arial"/>
                <w:b/>
                <w:color w:val="231F20"/>
                <w:w w:val="105"/>
                <w:sz w:val="18"/>
              </w:rPr>
              <w:t>Tipranavir</w:t>
            </w:r>
          </w:p>
        </w:tc>
        <w:tc>
          <w:tcPr>
            <w:tcW w:w="2570" w:type="dxa"/>
            <w:tcBorders>
              <w:top w:val="single" w:sz="2" w:space="0" w:color="759EB4"/>
              <w:left w:val="single" w:sz="2" w:space="0" w:color="759EB4"/>
              <w:bottom w:val="single" w:sz="18" w:space="0" w:color="377F9A"/>
              <w:right w:val="single" w:sz="2" w:space="0" w:color="759EB4"/>
            </w:tcBorders>
            <w:shd w:val="clear" w:color="auto" w:fill="FFF7F2"/>
          </w:tcPr>
          <w:p>
            <w:pPr>
              <w:pStyle w:val="TableParagraph"/>
              <w:spacing w:before="90"/>
              <w:ind w:left="97"/>
              <w:rPr>
                <w:sz w:val="18"/>
              </w:rPr>
            </w:pPr>
            <w:r>
              <w:rPr>
                <w:color w:val="414142"/>
                <w:w w:val="125"/>
                <w:sz w:val="18"/>
              </w:rPr>
              <w:t>Protease inhibitor</w:t>
            </w:r>
          </w:p>
        </w:tc>
        <w:tc>
          <w:tcPr>
            <w:tcW w:w="5038" w:type="dxa"/>
            <w:tcBorders>
              <w:top w:val="single" w:sz="2" w:space="0" w:color="759EB4"/>
              <w:left w:val="single" w:sz="2" w:space="0" w:color="759EB4"/>
              <w:bottom w:val="single" w:sz="18" w:space="0" w:color="377F9A"/>
              <w:right w:val="nil"/>
            </w:tcBorders>
            <w:shd w:val="clear" w:color="auto" w:fill="FFF7F2"/>
          </w:tcPr>
          <w:p>
            <w:pPr>
              <w:pStyle w:val="TableParagraph"/>
              <w:spacing w:before="90"/>
              <w:ind w:left="98"/>
              <w:rPr>
                <w:sz w:val="10"/>
              </w:rPr>
            </w:pPr>
            <w:r>
              <w:rPr>
                <w:color w:val="414142"/>
                <w:w w:val="125"/>
                <w:sz w:val="18"/>
              </w:rPr>
              <w:t>Some PK effect; no dose adjustments needed.</w:t>
            </w:r>
            <w:r>
              <w:rPr>
                <w:color w:val="414142"/>
                <w:w w:val="125"/>
                <w:position w:val="6"/>
                <w:sz w:val="10"/>
              </w:rPr>
              <w:t>308</w:t>
            </w:r>
          </w:p>
        </w:tc>
      </w:tr>
    </w:tbl>
    <w:p>
      <w:pPr>
        <w:spacing w:after="0"/>
        <w:rPr>
          <w:sz w:val="10"/>
        </w:rPr>
        <w:sectPr>
          <w:type w:val="continuous"/>
          <w:pgSz w:w="12240" w:h="15840"/>
          <w:pgMar w:top="540" w:bottom="280" w:left="940" w:right="920"/>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140" w:right="1"/>
      </w:pPr>
      <w:r>
        <w:rPr>
          <w:color w:val="4D4D4F"/>
          <w:w w:val="110"/>
        </w:rPr>
        <w:t>Serotonin syndrome can occur with </w:t>
      </w:r>
      <w:r>
        <w:rPr>
          <w:color w:val="4D4D4F"/>
          <w:spacing w:val="-2"/>
          <w:w w:val="110"/>
        </w:rPr>
        <w:t>simultaneous </w:t>
      </w:r>
      <w:r>
        <w:rPr>
          <w:color w:val="4D4D4F"/>
          <w:w w:val="110"/>
        </w:rPr>
        <w:t>opioid and antidepressant treatment. There are only a few case reports of serotonin syndrome with buprenorphine,</w:t>
      </w:r>
      <w:r>
        <w:rPr>
          <w:color w:val="4D4D4F"/>
          <w:w w:val="110"/>
          <w:position w:val="7"/>
          <w:sz w:val="13"/>
        </w:rPr>
        <w:t>310 </w:t>
      </w:r>
      <w:r>
        <w:rPr>
          <w:color w:val="4D4D4F"/>
          <w:w w:val="110"/>
        </w:rPr>
        <w:t>but be aware of this possibility given the frequent treatment of mood disorders in patients with OUD.</w:t>
      </w:r>
    </w:p>
    <w:p>
      <w:pPr>
        <w:pStyle w:val="BodyText"/>
        <w:spacing w:before="3"/>
        <w:rPr>
          <w:sz w:val="23"/>
        </w:rPr>
      </w:pPr>
    </w:p>
    <w:p>
      <w:pPr>
        <w:pStyle w:val="Heading3"/>
      </w:pPr>
      <w:bookmarkStart w:name="_TOC_250050" w:id="65"/>
      <w:bookmarkEnd w:id="65"/>
      <w:r>
        <w:rPr>
          <w:color w:val="137692"/>
          <w:w w:val="105"/>
        </w:rPr>
        <w:t>Side Effects</w:t>
      </w:r>
    </w:p>
    <w:p>
      <w:pPr>
        <w:spacing w:line="244" w:lineRule="auto" w:before="43"/>
        <w:ind w:left="140" w:right="130" w:firstLine="0"/>
        <w:jc w:val="left"/>
        <w:rPr>
          <w:sz w:val="22"/>
        </w:rPr>
      </w:pPr>
      <w:r>
        <w:rPr>
          <w:rFonts w:ascii="Calibri" w:hAnsi="Calibri"/>
          <w:b/>
          <w:color w:val="4D4D4F"/>
          <w:w w:val="115"/>
          <w:sz w:val="22"/>
        </w:rPr>
        <w:t>Buprenorphine’s side effects may be less intense</w:t>
      </w:r>
      <w:r>
        <w:rPr>
          <w:rFonts w:ascii="Calibri" w:hAnsi="Calibri"/>
          <w:b/>
          <w:color w:val="4D4D4F"/>
          <w:spacing w:val="-20"/>
          <w:w w:val="115"/>
          <w:sz w:val="22"/>
        </w:rPr>
        <w:t> </w:t>
      </w:r>
      <w:r>
        <w:rPr>
          <w:rFonts w:ascii="Calibri" w:hAnsi="Calibri"/>
          <w:b/>
          <w:color w:val="4D4D4F"/>
          <w:w w:val="115"/>
          <w:sz w:val="22"/>
        </w:rPr>
        <w:t>than</w:t>
      </w:r>
      <w:r>
        <w:rPr>
          <w:rFonts w:ascii="Calibri" w:hAnsi="Calibri"/>
          <w:b/>
          <w:color w:val="4D4D4F"/>
          <w:spacing w:val="-19"/>
          <w:w w:val="115"/>
          <w:sz w:val="22"/>
        </w:rPr>
        <w:t> </w:t>
      </w:r>
      <w:r>
        <w:rPr>
          <w:rFonts w:ascii="Calibri" w:hAnsi="Calibri"/>
          <w:b/>
          <w:color w:val="4D4D4F"/>
          <w:w w:val="115"/>
          <w:sz w:val="22"/>
        </w:rPr>
        <w:t>those</w:t>
      </w:r>
      <w:r>
        <w:rPr>
          <w:rFonts w:ascii="Calibri" w:hAnsi="Calibri"/>
          <w:b/>
          <w:color w:val="4D4D4F"/>
          <w:spacing w:val="-19"/>
          <w:w w:val="115"/>
          <w:sz w:val="22"/>
        </w:rPr>
        <w:t> </w:t>
      </w:r>
      <w:r>
        <w:rPr>
          <w:rFonts w:ascii="Calibri" w:hAnsi="Calibri"/>
          <w:b/>
          <w:color w:val="4D4D4F"/>
          <w:w w:val="115"/>
          <w:sz w:val="22"/>
        </w:rPr>
        <w:t>of</w:t>
      </w:r>
      <w:r>
        <w:rPr>
          <w:rFonts w:ascii="Calibri" w:hAnsi="Calibri"/>
          <w:b/>
          <w:color w:val="4D4D4F"/>
          <w:spacing w:val="-19"/>
          <w:w w:val="115"/>
          <w:sz w:val="22"/>
        </w:rPr>
        <w:t> </w:t>
      </w:r>
      <w:r>
        <w:rPr>
          <w:rFonts w:ascii="Calibri" w:hAnsi="Calibri"/>
          <w:b/>
          <w:color w:val="4D4D4F"/>
          <w:w w:val="115"/>
          <w:sz w:val="22"/>
        </w:rPr>
        <w:t>full</w:t>
      </w:r>
      <w:r>
        <w:rPr>
          <w:rFonts w:ascii="Calibri" w:hAnsi="Calibri"/>
          <w:b/>
          <w:color w:val="4D4D4F"/>
          <w:spacing w:val="-20"/>
          <w:w w:val="115"/>
          <w:sz w:val="22"/>
        </w:rPr>
        <w:t> </w:t>
      </w:r>
      <w:r>
        <w:rPr>
          <w:rFonts w:ascii="Calibri" w:hAnsi="Calibri"/>
          <w:b/>
          <w:color w:val="4D4D4F"/>
          <w:w w:val="115"/>
          <w:sz w:val="22"/>
        </w:rPr>
        <w:t>agonists.</w:t>
      </w:r>
      <w:r>
        <w:rPr>
          <w:rFonts w:ascii="Calibri" w:hAnsi="Calibri"/>
          <w:b/>
          <w:color w:val="4D4D4F"/>
          <w:spacing w:val="-19"/>
          <w:w w:val="115"/>
          <w:sz w:val="22"/>
        </w:rPr>
        <w:t> </w:t>
      </w:r>
      <w:r>
        <w:rPr>
          <w:color w:val="4D4D4F"/>
          <w:w w:val="115"/>
          <w:sz w:val="22"/>
        </w:rPr>
        <w:t>Otherwise, they resemble those of other mu-opioid agonists. Possible side effects include the following (buprenorphine FDA labels list all potential side effects</w:t>
      </w:r>
      <w:r>
        <w:rPr>
          <w:color w:val="4D4D4F"/>
          <w:spacing w:val="-39"/>
          <w:w w:val="115"/>
          <w:sz w:val="22"/>
        </w:rPr>
        <w:t> </w:t>
      </w:r>
      <w:r>
        <w:rPr>
          <w:color w:val="205E9F"/>
          <w:w w:val="115"/>
          <w:sz w:val="22"/>
          <w:u w:val="single" w:color="205E9F"/>
        </w:rPr>
        <w:t>https://dailymed.nlm.nih</w:t>
      </w:r>
    </w:p>
    <w:p>
      <w:pPr>
        <w:pStyle w:val="BodyText"/>
        <w:ind w:left="140"/>
      </w:pPr>
      <w:r>
        <w:rPr>
          <w:color w:val="205E9F"/>
          <w:w w:val="115"/>
          <w:u w:val="single" w:color="205E9F"/>
        </w:rPr>
        <w:t>.gov/dailymed/drugInfo.cfm?setid=8a5edcf9</w:t>
      </w:r>
    </w:p>
    <w:p>
      <w:pPr>
        <w:pStyle w:val="BodyText"/>
        <w:spacing w:before="9"/>
        <w:ind w:left="140"/>
      </w:pPr>
      <w:r>
        <w:rPr>
          <w:color w:val="205E9F"/>
          <w:w w:val="110"/>
          <w:u w:val="single" w:color="205E9F"/>
        </w:rPr>
        <w:t>-828c-4f97-b671-268ab13a8ecd</w:t>
      </w:r>
      <w:r>
        <w:rPr>
          <w:color w:val="4D4D4F"/>
          <w:w w:val="110"/>
        </w:rPr>
        <w:t>):</w:t>
      </w:r>
    </w:p>
    <w:p>
      <w:pPr>
        <w:pStyle w:val="ListParagraph"/>
        <w:numPr>
          <w:ilvl w:val="0"/>
          <w:numId w:val="29"/>
        </w:numPr>
        <w:tabs>
          <w:tab w:pos="410" w:val="left" w:leader="none"/>
        </w:tabs>
        <w:spacing w:line="315" w:lineRule="exact" w:before="106" w:after="0"/>
        <w:ind w:left="410" w:right="0" w:hanging="270"/>
        <w:jc w:val="left"/>
        <w:rPr>
          <w:rFonts w:ascii="Arial" w:hAnsi="Arial"/>
          <w:color w:val="137692"/>
          <w:sz w:val="28"/>
        </w:rPr>
      </w:pPr>
      <w:r>
        <w:rPr>
          <w:color w:val="4D4D4F"/>
          <w:w w:val="110"/>
          <w:sz w:val="22"/>
        </w:rPr>
        <w:t>Oral hypoesthesia (oral</w:t>
      </w:r>
      <w:r>
        <w:rPr>
          <w:color w:val="4D4D4F"/>
          <w:spacing w:val="-20"/>
          <w:w w:val="110"/>
          <w:sz w:val="22"/>
        </w:rPr>
        <w:t> </w:t>
      </w:r>
      <w:r>
        <w:rPr>
          <w:color w:val="4D4D4F"/>
          <w:w w:val="110"/>
          <w:sz w:val="22"/>
        </w:rPr>
        <w:t>numbness)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Constipation</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Glossodynia (tongue</w:t>
      </w:r>
      <w:r>
        <w:rPr>
          <w:color w:val="4D4D4F"/>
          <w:spacing w:val="-11"/>
          <w:w w:val="110"/>
          <w:sz w:val="22"/>
        </w:rPr>
        <w:t> </w:t>
      </w:r>
      <w:r>
        <w:rPr>
          <w:color w:val="4D4D4F"/>
          <w:w w:val="110"/>
          <w:sz w:val="22"/>
        </w:rPr>
        <w:t>pain)</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Oral mucosal</w:t>
      </w:r>
      <w:r>
        <w:rPr>
          <w:color w:val="4D4D4F"/>
          <w:spacing w:val="-13"/>
          <w:w w:val="110"/>
          <w:sz w:val="22"/>
        </w:rPr>
        <w:t> </w:t>
      </w:r>
      <w:r>
        <w:rPr>
          <w:color w:val="4D4D4F"/>
          <w:w w:val="110"/>
          <w:sz w:val="22"/>
        </w:rPr>
        <w:t>erythema</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Vomiting</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Intoxication</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Disturbance in</w:t>
      </w:r>
      <w:r>
        <w:rPr>
          <w:color w:val="4D4D4F"/>
          <w:spacing w:val="-13"/>
          <w:w w:val="110"/>
          <w:sz w:val="22"/>
        </w:rPr>
        <w:t> </w:t>
      </w:r>
      <w:r>
        <w:rPr>
          <w:color w:val="4D4D4F"/>
          <w:w w:val="110"/>
          <w:sz w:val="22"/>
        </w:rPr>
        <w:t>attention</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Palpitations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Insomnia</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Opioid withdrawal</w:t>
      </w:r>
      <w:r>
        <w:rPr>
          <w:color w:val="4D4D4F"/>
          <w:spacing w:val="-13"/>
          <w:w w:val="110"/>
          <w:sz w:val="22"/>
        </w:rPr>
        <w:t> </w:t>
      </w:r>
      <w:r>
        <w:rPr>
          <w:color w:val="4D4D4F"/>
          <w:w w:val="110"/>
          <w:sz w:val="22"/>
        </w:rPr>
        <w:t>syndrome</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Excessive</w:t>
      </w:r>
      <w:r>
        <w:rPr>
          <w:color w:val="4D4D4F"/>
          <w:spacing w:val="-10"/>
          <w:w w:val="115"/>
          <w:sz w:val="22"/>
        </w:rPr>
        <w:t> </w:t>
      </w:r>
      <w:r>
        <w:rPr>
          <w:color w:val="4D4D4F"/>
          <w:w w:val="115"/>
          <w:sz w:val="22"/>
        </w:rPr>
        <w:t>sweating</w:t>
      </w:r>
    </w:p>
    <w:p>
      <w:pPr>
        <w:pStyle w:val="ListParagraph"/>
        <w:numPr>
          <w:ilvl w:val="0"/>
          <w:numId w:val="29"/>
        </w:numPr>
        <w:tabs>
          <w:tab w:pos="410" w:val="left" w:leader="none"/>
        </w:tabs>
        <w:spacing w:line="315" w:lineRule="exact" w:before="0" w:after="0"/>
        <w:ind w:left="410" w:right="0" w:hanging="270"/>
        <w:jc w:val="left"/>
        <w:rPr>
          <w:rFonts w:ascii="Arial" w:hAnsi="Arial"/>
          <w:color w:val="137692"/>
          <w:sz w:val="28"/>
        </w:rPr>
      </w:pPr>
      <w:r>
        <w:rPr>
          <w:color w:val="4D4D4F"/>
          <w:w w:val="110"/>
          <w:sz w:val="22"/>
        </w:rPr>
        <w:t>Blurred</w:t>
      </w:r>
      <w:r>
        <w:rPr>
          <w:color w:val="4D4D4F"/>
          <w:spacing w:val="-7"/>
          <w:w w:val="110"/>
          <w:sz w:val="22"/>
        </w:rPr>
        <w:t> </w:t>
      </w:r>
      <w:r>
        <w:rPr>
          <w:color w:val="4D4D4F"/>
          <w:w w:val="110"/>
          <w:sz w:val="22"/>
        </w:rPr>
        <w:t>vision</w:t>
      </w:r>
    </w:p>
    <w:p>
      <w:pPr>
        <w:spacing w:line="237" w:lineRule="auto" w:before="137"/>
        <w:ind w:left="140" w:right="30" w:firstLine="0"/>
        <w:jc w:val="left"/>
        <w:rPr>
          <w:sz w:val="22"/>
        </w:rPr>
      </w:pPr>
      <w:r>
        <w:rPr>
          <w:rFonts w:ascii="Calibri"/>
          <w:b/>
          <w:color w:val="4D4D4F"/>
          <w:w w:val="115"/>
          <w:sz w:val="22"/>
        </w:rPr>
        <w:t>Serious implant-related adverse events are uncommon but possible </w:t>
      </w:r>
      <w:r>
        <w:rPr>
          <w:color w:val="4D4D4F"/>
          <w:w w:val="115"/>
          <w:sz w:val="22"/>
        </w:rPr>
        <w:t>according to the FDA </w:t>
      </w:r>
      <w:r>
        <w:rPr>
          <w:color w:val="4D4D4F"/>
          <w:w w:val="110"/>
          <w:sz w:val="22"/>
        </w:rPr>
        <w:t>label (</w:t>
      </w:r>
      <w:hyperlink r:id="rId60">
        <w:r>
          <w:rPr>
            <w:color w:val="205E9F"/>
            <w:w w:val="110"/>
            <w:sz w:val="22"/>
            <w:u w:val="single" w:color="205E9F"/>
          </w:rPr>
          <w:t>www.accessdata.fda.gov/drugsatfda_docs</w:t>
        </w:r>
      </w:hyperlink>
    </w:p>
    <w:p>
      <w:pPr>
        <w:pStyle w:val="BodyText"/>
        <w:spacing w:line="247" w:lineRule="auto" w:before="11"/>
        <w:ind w:left="140" w:right="66"/>
      </w:pPr>
      <w:r>
        <w:rPr>
          <w:color w:val="205E9F"/>
          <w:w w:val="115"/>
          <w:u w:val="single" w:color="205E9F"/>
        </w:rPr>
        <w:t>/label/2016/204442Orig1s000lbl.pdf</w:t>
      </w:r>
      <w:r>
        <w:rPr>
          <w:color w:val="4D4D4F"/>
          <w:w w:val="115"/>
        </w:rPr>
        <w:t>).</w:t>
      </w:r>
      <w:r>
        <w:rPr>
          <w:color w:val="4D4D4F"/>
          <w:spacing w:val="-40"/>
          <w:w w:val="115"/>
        </w:rPr>
        <w:t> </w:t>
      </w:r>
      <w:r>
        <w:rPr>
          <w:color w:val="4D4D4F"/>
          <w:w w:val="115"/>
        </w:rPr>
        <w:t>Still,</w:t>
      </w:r>
      <w:r>
        <w:rPr>
          <w:color w:val="4D4D4F"/>
          <w:spacing w:val="-39"/>
          <w:w w:val="115"/>
        </w:rPr>
        <w:t> </w:t>
      </w:r>
      <w:r>
        <w:rPr>
          <w:color w:val="4D4D4F"/>
          <w:spacing w:val="-6"/>
          <w:w w:val="115"/>
        </w:rPr>
        <w:t>more </w:t>
      </w:r>
      <w:r>
        <w:rPr>
          <w:color w:val="4D4D4F"/>
          <w:w w:val="115"/>
        </w:rPr>
        <w:t>than</w:t>
      </w:r>
      <w:r>
        <w:rPr>
          <w:color w:val="4D4D4F"/>
          <w:spacing w:val="-22"/>
          <w:w w:val="115"/>
        </w:rPr>
        <w:t> </w:t>
      </w:r>
      <w:r>
        <w:rPr>
          <w:color w:val="4D4D4F"/>
          <w:w w:val="115"/>
        </w:rPr>
        <w:t>10</w:t>
      </w:r>
      <w:r>
        <w:rPr>
          <w:color w:val="4D4D4F"/>
          <w:spacing w:val="-22"/>
          <w:w w:val="115"/>
        </w:rPr>
        <w:t> </w:t>
      </w:r>
      <w:r>
        <w:rPr>
          <w:color w:val="4D4D4F"/>
          <w:w w:val="115"/>
        </w:rPr>
        <w:t>percent</w:t>
      </w:r>
      <w:r>
        <w:rPr>
          <w:color w:val="4D4D4F"/>
          <w:spacing w:val="-22"/>
          <w:w w:val="115"/>
        </w:rPr>
        <w:t> </w:t>
      </w:r>
      <w:r>
        <w:rPr>
          <w:color w:val="4D4D4F"/>
          <w:w w:val="115"/>
        </w:rPr>
        <w:t>of</w:t>
      </w:r>
      <w:r>
        <w:rPr>
          <w:color w:val="4D4D4F"/>
          <w:spacing w:val="-22"/>
          <w:w w:val="115"/>
        </w:rPr>
        <w:t> </w:t>
      </w:r>
      <w:r>
        <w:rPr>
          <w:color w:val="4D4D4F"/>
          <w:w w:val="115"/>
        </w:rPr>
        <w:t>patients</w:t>
      </w:r>
      <w:r>
        <w:rPr>
          <w:color w:val="4D4D4F"/>
          <w:spacing w:val="-22"/>
          <w:w w:val="115"/>
        </w:rPr>
        <w:t> </w:t>
      </w:r>
      <w:r>
        <w:rPr>
          <w:color w:val="4D4D4F"/>
          <w:w w:val="115"/>
        </w:rPr>
        <w:t>experience</w:t>
      </w:r>
      <w:r>
        <w:rPr>
          <w:color w:val="4D4D4F"/>
          <w:spacing w:val="-22"/>
          <w:w w:val="115"/>
        </w:rPr>
        <w:t> </w:t>
      </w:r>
      <w:r>
        <w:rPr>
          <w:color w:val="4D4D4F"/>
          <w:w w:val="115"/>
        </w:rPr>
        <w:t>implant site</w:t>
      </w:r>
      <w:r>
        <w:rPr>
          <w:color w:val="4D4D4F"/>
          <w:spacing w:val="-15"/>
          <w:w w:val="115"/>
        </w:rPr>
        <w:t> </w:t>
      </w:r>
      <w:r>
        <w:rPr>
          <w:color w:val="4D4D4F"/>
          <w:w w:val="115"/>
        </w:rPr>
        <w:t>pain,</w:t>
      </w:r>
      <w:r>
        <w:rPr>
          <w:color w:val="4D4D4F"/>
          <w:spacing w:val="-15"/>
          <w:w w:val="115"/>
        </w:rPr>
        <w:t> </w:t>
      </w:r>
      <w:r>
        <w:rPr>
          <w:color w:val="4D4D4F"/>
          <w:w w:val="115"/>
        </w:rPr>
        <w:t>itching,</w:t>
      </w:r>
      <w:r>
        <w:rPr>
          <w:color w:val="4D4D4F"/>
          <w:spacing w:val="-15"/>
          <w:w w:val="115"/>
        </w:rPr>
        <w:t> </w:t>
      </w:r>
      <w:r>
        <w:rPr>
          <w:color w:val="4D4D4F"/>
          <w:w w:val="115"/>
        </w:rPr>
        <w:t>or</w:t>
      </w:r>
      <w:r>
        <w:rPr>
          <w:color w:val="4D4D4F"/>
          <w:spacing w:val="-14"/>
          <w:w w:val="115"/>
        </w:rPr>
        <w:t> </w:t>
      </w:r>
      <w:r>
        <w:rPr>
          <w:color w:val="4D4D4F"/>
          <w:w w:val="115"/>
        </w:rPr>
        <w:t>swelling.</w:t>
      </w:r>
      <w:r>
        <w:rPr>
          <w:color w:val="4D4D4F"/>
          <w:spacing w:val="-15"/>
          <w:w w:val="115"/>
        </w:rPr>
        <w:t> </w:t>
      </w:r>
      <w:r>
        <w:rPr>
          <w:color w:val="4D4D4F"/>
          <w:w w:val="115"/>
        </w:rPr>
        <w:t>Migration</w:t>
      </w:r>
      <w:r>
        <w:rPr>
          <w:color w:val="4D4D4F"/>
          <w:spacing w:val="-15"/>
          <w:w w:val="115"/>
        </w:rPr>
        <w:t> </w:t>
      </w:r>
      <w:r>
        <w:rPr>
          <w:color w:val="4D4D4F"/>
          <w:w w:val="115"/>
        </w:rPr>
        <w:t>beyond the</w:t>
      </w:r>
      <w:r>
        <w:rPr>
          <w:color w:val="4D4D4F"/>
          <w:spacing w:val="-22"/>
          <w:w w:val="115"/>
        </w:rPr>
        <w:t> </w:t>
      </w:r>
      <w:r>
        <w:rPr>
          <w:color w:val="4D4D4F"/>
          <w:w w:val="115"/>
        </w:rPr>
        <w:t>local</w:t>
      </w:r>
      <w:r>
        <w:rPr>
          <w:color w:val="4D4D4F"/>
          <w:spacing w:val="-21"/>
          <w:w w:val="115"/>
        </w:rPr>
        <w:t> </w:t>
      </w:r>
      <w:r>
        <w:rPr>
          <w:color w:val="4D4D4F"/>
          <w:w w:val="115"/>
        </w:rPr>
        <w:t>insertion</w:t>
      </w:r>
      <w:r>
        <w:rPr>
          <w:color w:val="4D4D4F"/>
          <w:spacing w:val="-21"/>
          <w:w w:val="115"/>
        </w:rPr>
        <w:t> </w:t>
      </w:r>
      <w:r>
        <w:rPr>
          <w:color w:val="4D4D4F"/>
          <w:w w:val="115"/>
        </w:rPr>
        <w:t>site</w:t>
      </w:r>
      <w:r>
        <w:rPr>
          <w:color w:val="4D4D4F"/>
          <w:spacing w:val="-22"/>
          <w:w w:val="115"/>
        </w:rPr>
        <w:t> </w:t>
      </w:r>
      <w:r>
        <w:rPr>
          <w:color w:val="4D4D4F"/>
          <w:w w:val="115"/>
        </w:rPr>
        <w:t>is</w:t>
      </w:r>
      <w:r>
        <w:rPr>
          <w:color w:val="4D4D4F"/>
          <w:spacing w:val="-21"/>
          <w:w w:val="115"/>
        </w:rPr>
        <w:t> </w:t>
      </w:r>
      <w:r>
        <w:rPr>
          <w:color w:val="4D4D4F"/>
          <w:w w:val="115"/>
        </w:rPr>
        <w:t>rare</w:t>
      </w:r>
      <w:r>
        <w:rPr>
          <w:color w:val="4D4D4F"/>
          <w:spacing w:val="-21"/>
          <w:w w:val="115"/>
        </w:rPr>
        <w:t> </w:t>
      </w:r>
      <w:r>
        <w:rPr>
          <w:color w:val="4D4D4F"/>
          <w:w w:val="115"/>
        </w:rPr>
        <w:t>but</w:t>
      </w:r>
      <w:r>
        <w:rPr>
          <w:color w:val="4D4D4F"/>
          <w:spacing w:val="-22"/>
          <w:w w:val="115"/>
        </w:rPr>
        <w:t> </w:t>
      </w:r>
      <w:r>
        <w:rPr>
          <w:color w:val="4D4D4F"/>
          <w:w w:val="115"/>
        </w:rPr>
        <w:t>possible,</w:t>
      </w:r>
      <w:r>
        <w:rPr>
          <w:color w:val="4D4D4F"/>
          <w:spacing w:val="-21"/>
          <w:w w:val="115"/>
        </w:rPr>
        <w:t> </w:t>
      </w:r>
      <w:r>
        <w:rPr>
          <w:color w:val="4D4D4F"/>
          <w:w w:val="115"/>
        </w:rPr>
        <w:t>as</w:t>
      </w:r>
      <w:r>
        <w:rPr>
          <w:color w:val="4D4D4F"/>
          <w:spacing w:val="-21"/>
          <w:w w:val="115"/>
        </w:rPr>
        <w:t> </w:t>
      </w:r>
      <w:r>
        <w:rPr>
          <w:color w:val="4D4D4F"/>
          <w:w w:val="115"/>
        </w:rPr>
        <w:t>is nerve</w:t>
      </w:r>
      <w:r>
        <w:rPr>
          <w:color w:val="4D4D4F"/>
          <w:spacing w:val="-25"/>
          <w:w w:val="115"/>
        </w:rPr>
        <w:t> </w:t>
      </w:r>
      <w:r>
        <w:rPr>
          <w:color w:val="4D4D4F"/>
          <w:w w:val="115"/>
        </w:rPr>
        <w:t>damage.</w:t>
      </w:r>
      <w:r>
        <w:rPr>
          <w:color w:val="4D4D4F"/>
          <w:spacing w:val="-24"/>
          <w:w w:val="115"/>
        </w:rPr>
        <w:t> </w:t>
      </w:r>
      <w:r>
        <w:rPr>
          <w:color w:val="4D4D4F"/>
          <w:w w:val="115"/>
        </w:rPr>
        <w:t>Buprenorphine</w:t>
      </w:r>
      <w:r>
        <w:rPr>
          <w:color w:val="4D4D4F"/>
          <w:spacing w:val="-25"/>
          <w:w w:val="115"/>
        </w:rPr>
        <w:t> </w:t>
      </w:r>
      <w:r>
        <w:rPr>
          <w:color w:val="4D4D4F"/>
          <w:w w:val="115"/>
        </w:rPr>
        <w:t>may</w:t>
      </w:r>
      <w:r>
        <w:rPr>
          <w:color w:val="4D4D4F"/>
          <w:spacing w:val="-24"/>
          <w:w w:val="115"/>
        </w:rPr>
        <w:t> </w:t>
      </w:r>
      <w:r>
        <w:rPr>
          <w:color w:val="4D4D4F"/>
          <w:w w:val="115"/>
        </w:rPr>
        <w:t>be</w:t>
      </w:r>
      <w:r>
        <w:rPr>
          <w:color w:val="4D4D4F"/>
          <w:spacing w:val="-24"/>
          <w:w w:val="115"/>
        </w:rPr>
        <w:t> </w:t>
      </w:r>
      <w:r>
        <w:rPr>
          <w:color w:val="4D4D4F"/>
          <w:w w:val="115"/>
        </w:rPr>
        <w:t>extruded from implants for potential misuse. Insert implants</w:t>
      </w:r>
      <w:r>
        <w:rPr>
          <w:color w:val="4D4D4F"/>
          <w:spacing w:val="-24"/>
          <w:w w:val="115"/>
        </w:rPr>
        <w:t> </w:t>
      </w:r>
      <w:r>
        <w:rPr>
          <w:color w:val="4D4D4F"/>
          <w:w w:val="115"/>
        </w:rPr>
        <w:t>only</w:t>
      </w:r>
      <w:r>
        <w:rPr>
          <w:color w:val="4D4D4F"/>
          <w:spacing w:val="-24"/>
          <w:w w:val="115"/>
        </w:rPr>
        <w:t> </w:t>
      </w:r>
      <w:r>
        <w:rPr>
          <w:color w:val="4D4D4F"/>
          <w:w w:val="115"/>
        </w:rPr>
        <w:t>in</w:t>
      </w:r>
      <w:r>
        <w:rPr>
          <w:color w:val="4D4D4F"/>
          <w:spacing w:val="-24"/>
          <w:w w:val="115"/>
        </w:rPr>
        <w:t> </w:t>
      </w:r>
      <w:r>
        <w:rPr>
          <w:color w:val="4D4D4F"/>
          <w:w w:val="115"/>
        </w:rPr>
        <w:t>stable</w:t>
      </w:r>
      <w:r>
        <w:rPr>
          <w:color w:val="4D4D4F"/>
          <w:spacing w:val="-24"/>
          <w:w w:val="115"/>
        </w:rPr>
        <w:t> </w:t>
      </w:r>
      <w:r>
        <w:rPr>
          <w:color w:val="4D4D4F"/>
          <w:w w:val="115"/>
        </w:rPr>
        <w:t>patients,</w:t>
      </w:r>
      <w:r>
        <w:rPr>
          <w:color w:val="4D4D4F"/>
          <w:spacing w:val="-23"/>
          <w:w w:val="115"/>
        </w:rPr>
        <w:t> </w:t>
      </w:r>
      <w:r>
        <w:rPr>
          <w:color w:val="4D4D4F"/>
          <w:w w:val="115"/>
        </w:rPr>
        <w:t>for</w:t>
      </w:r>
      <w:r>
        <w:rPr>
          <w:color w:val="4D4D4F"/>
          <w:spacing w:val="-24"/>
          <w:w w:val="115"/>
        </w:rPr>
        <w:t> </w:t>
      </w:r>
      <w:r>
        <w:rPr>
          <w:color w:val="4D4D4F"/>
          <w:w w:val="115"/>
        </w:rPr>
        <w:t>whom</w:t>
      </w:r>
      <w:r>
        <w:rPr>
          <w:color w:val="4D4D4F"/>
          <w:spacing w:val="-24"/>
          <w:w w:val="115"/>
        </w:rPr>
        <w:t> </w:t>
      </w:r>
      <w:r>
        <w:rPr>
          <w:color w:val="4D4D4F"/>
          <w:w w:val="115"/>
        </w:rPr>
        <w:t>FDA has approved this</w:t>
      </w:r>
      <w:r>
        <w:rPr>
          <w:color w:val="4D4D4F"/>
          <w:spacing w:val="-36"/>
          <w:w w:val="115"/>
        </w:rPr>
        <w:t> </w:t>
      </w:r>
      <w:r>
        <w:rPr>
          <w:color w:val="4D4D4F"/>
          <w:w w:val="115"/>
        </w:rPr>
        <w:t>formulation.</w:t>
      </w:r>
    </w:p>
    <w:p>
      <w:pPr>
        <w:spacing w:line="235" w:lineRule="auto" w:before="189"/>
        <w:ind w:left="140" w:right="38" w:firstLine="0"/>
        <w:jc w:val="left"/>
        <w:rPr>
          <w:sz w:val="22"/>
        </w:rPr>
      </w:pPr>
      <w:r>
        <w:rPr>
          <w:rFonts w:ascii="Calibri"/>
          <w:b/>
          <w:color w:val="4D4D4F"/>
          <w:w w:val="110"/>
          <w:sz w:val="22"/>
        </w:rPr>
        <w:t>Implants may extrude and potentially  come out </w:t>
      </w:r>
      <w:r>
        <w:rPr>
          <w:color w:val="4D4D4F"/>
          <w:w w:val="110"/>
          <w:sz w:val="22"/>
        </w:rPr>
        <w:t>(e.g., from incomplete insertion or</w:t>
      </w:r>
      <w:r>
        <w:rPr>
          <w:color w:val="4D4D4F"/>
          <w:spacing w:val="-15"/>
          <w:w w:val="110"/>
          <w:sz w:val="22"/>
        </w:rPr>
        <w:t> </w:t>
      </w:r>
      <w:r>
        <w:rPr>
          <w:color w:val="4D4D4F"/>
          <w:w w:val="110"/>
          <w:sz w:val="22"/>
        </w:rPr>
        <w:t>infection).</w:t>
      </w:r>
    </w:p>
    <w:p>
      <w:pPr>
        <w:pStyle w:val="BodyText"/>
        <w:spacing w:line="247" w:lineRule="auto" w:before="2"/>
        <w:ind w:left="140" w:right="247"/>
      </w:pPr>
      <w:r>
        <w:rPr>
          <w:color w:val="4D4D4F"/>
          <w:w w:val="110"/>
        </w:rPr>
        <w:t>Tell patients to call the implanting physician if an implant looks like it is extruding or comes</w:t>
      </w:r>
    </w:p>
    <w:p>
      <w:pPr>
        <w:pStyle w:val="BodyText"/>
        <w:spacing w:line="247" w:lineRule="auto" w:before="100"/>
        <w:ind w:left="140" w:right="350"/>
      </w:pPr>
      <w:r>
        <w:rPr/>
        <w:br w:type="column"/>
      </w:r>
      <w:r>
        <w:rPr>
          <w:color w:val="4D4D4F"/>
          <w:w w:val="110"/>
        </w:rPr>
        <w:t>out. If the implant comes out, patients should safely store and dispose of it (following local and federal regulations) to protect others from unintended exposure.</w:t>
      </w:r>
    </w:p>
    <w:p>
      <w:pPr>
        <w:pStyle w:val="BodyText"/>
        <w:spacing w:line="247" w:lineRule="auto" w:before="185"/>
        <w:ind w:left="140" w:right="530"/>
      </w:pPr>
      <w:r>
        <w:rPr>
          <w:color w:val="4D4D4F"/>
          <w:w w:val="110"/>
        </w:rPr>
        <w:t>Serious injection site adverse events for the extended-release formulation are uncommon but possible. The most common injection site adverse reactions were pain (7.2 percent),</w:t>
      </w:r>
    </w:p>
    <w:p>
      <w:pPr>
        <w:pStyle w:val="BodyText"/>
        <w:spacing w:line="247" w:lineRule="auto" w:before="5"/>
        <w:ind w:left="140" w:right="157"/>
      </w:pPr>
      <w:r>
        <w:rPr>
          <w:color w:val="4D4D4F"/>
          <w:w w:val="110"/>
        </w:rPr>
        <w:t>pruritus</w:t>
      </w:r>
      <w:r>
        <w:rPr>
          <w:color w:val="4D4D4F"/>
          <w:spacing w:val="-9"/>
          <w:w w:val="110"/>
        </w:rPr>
        <w:t> </w:t>
      </w:r>
      <w:r>
        <w:rPr>
          <w:color w:val="4D4D4F"/>
          <w:w w:val="110"/>
        </w:rPr>
        <w:t>(6.6</w:t>
      </w:r>
      <w:r>
        <w:rPr>
          <w:color w:val="4D4D4F"/>
          <w:spacing w:val="-9"/>
          <w:w w:val="110"/>
        </w:rPr>
        <w:t> </w:t>
      </w:r>
      <w:r>
        <w:rPr>
          <w:color w:val="4D4D4F"/>
          <w:w w:val="110"/>
        </w:rPr>
        <w:t>percent),</w:t>
      </w:r>
      <w:r>
        <w:rPr>
          <w:color w:val="4D4D4F"/>
          <w:spacing w:val="-8"/>
          <w:w w:val="110"/>
        </w:rPr>
        <w:t> </w:t>
      </w:r>
      <w:r>
        <w:rPr>
          <w:color w:val="4D4D4F"/>
          <w:w w:val="110"/>
        </w:rPr>
        <w:t>and</w:t>
      </w:r>
      <w:r>
        <w:rPr>
          <w:color w:val="4D4D4F"/>
          <w:spacing w:val="-9"/>
          <w:w w:val="110"/>
        </w:rPr>
        <w:t> </w:t>
      </w:r>
      <w:r>
        <w:rPr>
          <w:color w:val="4D4D4F"/>
          <w:w w:val="110"/>
        </w:rPr>
        <w:t>erythema</w:t>
      </w:r>
      <w:r>
        <w:rPr>
          <w:color w:val="4D4D4F"/>
          <w:spacing w:val="-8"/>
          <w:w w:val="110"/>
        </w:rPr>
        <w:t> </w:t>
      </w:r>
      <w:r>
        <w:rPr>
          <w:color w:val="4D4D4F"/>
          <w:w w:val="110"/>
        </w:rPr>
        <w:t>(4.7</w:t>
      </w:r>
      <w:r>
        <w:rPr>
          <w:color w:val="4D4D4F"/>
          <w:spacing w:val="-9"/>
          <w:w w:val="110"/>
        </w:rPr>
        <w:t> </w:t>
      </w:r>
      <w:r>
        <w:rPr>
          <w:color w:val="4D4D4F"/>
          <w:spacing w:val="-4"/>
          <w:w w:val="110"/>
        </w:rPr>
        <w:t>percent) </w:t>
      </w:r>
      <w:r>
        <w:rPr>
          <w:color w:val="4D4D4F"/>
          <w:w w:val="110"/>
        </w:rPr>
        <w:t>in phase three trials. </w:t>
      </w:r>
      <w:r>
        <w:rPr>
          <w:color w:val="4D4D4F"/>
          <w:spacing w:val="-9"/>
          <w:w w:val="110"/>
        </w:rPr>
        <w:t>Two </w:t>
      </w:r>
      <w:r>
        <w:rPr>
          <w:color w:val="4D4D4F"/>
          <w:w w:val="110"/>
        </w:rPr>
        <w:t>cases of surgical removal of the monthly depot were</w:t>
      </w:r>
      <w:r>
        <w:rPr>
          <w:color w:val="4D4D4F"/>
          <w:spacing w:val="-39"/>
          <w:w w:val="110"/>
        </w:rPr>
        <w:t> </w:t>
      </w:r>
      <w:r>
        <w:rPr>
          <w:color w:val="4D4D4F"/>
          <w:w w:val="110"/>
        </w:rPr>
        <w:t>reported</w:t>
      </w:r>
    </w:p>
    <w:p>
      <w:pPr>
        <w:pStyle w:val="BodyText"/>
        <w:spacing w:line="247" w:lineRule="auto" w:before="3"/>
        <w:ind w:left="140" w:right="350"/>
      </w:pPr>
      <w:r>
        <w:rPr>
          <w:color w:val="4D4D4F"/>
          <w:w w:val="110"/>
        </w:rPr>
        <w:t>in premarketing clinical studies. Surgical excision under local anesthesia within 14 days of injection is possible. It is recommended </w:t>
      </w:r>
      <w:r>
        <w:rPr>
          <w:color w:val="4D4D4F"/>
          <w:spacing w:val="-4"/>
          <w:w w:val="110"/>
        </w:rPr>
        <w:t>that, </w:t>
      </w:r>
      <w:r>
        <w:rPr>
          <w:color w:val="4D4D4F"/>
          <w:w w:val="110"/>
        </w:rPr>
        <w:t>before treatment, baseline liver function tests be assessed with monthly monitoring during treatment, particularly with the 300 mg</w:t>
      </w:r>
      <w:r>
        <w:rPr>
          <w:color w:val="4D4D4F"/>
          <w:spacing w:val="-6"/>
          <w:w w:val="110"/>
        </w:rPr>
        <w:t> </w:t>
      </w:r>
      <w:r>
        <w:rPr>
          <w:color w:val="4D4D4F"/>
          <w:w w:val="110"/>
        </w:rPr>
        <w:t>dose.</w:t>
      </w:r>
    </w:p>
    <w:p>
      <w:pPr>
        <w:pStyle w:val="BodyText"/>
        <w:spacing w:line="247" w:lineRule="auto" w:before="8"/>
        <w:ind w:left="140" w:right="490"/>
      </w:pPr>
      <w:r>
        <w:rPr>
          <w:color w:val="4D4D4F"/>
          <w:w w:val="110"/>
        </w:rPr>
        <w:t>There are limited data regarding use of the extended-release injection formulation in pregnant women with OUD. In animal repro- ductive studies with Sublocade’s excipient, N-Methyl-2-pyrrolidone, there were reported fetal adverse reactions. Women should be advised that the use of Sublocade during pregnancy should be considered only if the</w:t>
      </w:r>
    </w:p>
    <w:p>
      <w:pPr>
        <w:pStyle w:val="BodyText"/>
        <w:spacing w:line="247" w:lineRule="auto" w:before="10"/>
        <w:ind w:left="140" w:right="503"/>
      </w:pPr>
      <w:r>
        <w:rPr>
          <w:color w:val="4D4D4F"/>
          <w:w w:val="115"/>
        </w:rPr>
        <w:t>beneﬁts</w:t>
      </w:r>
      <w:r>
        <w:rPr>
          <w:color w:val="4D4D4F"/>
          <w:spacing w:val="-27"/>
          <w:w w:val="115"/>
        </w:rPr>
        <w:t> </w:t>
      </w:r>
      <w:r>
        <w:rPr>
          <w:color w:val="4D4D4F"/>
          <w:w w:val="115"/>
        </w:rPr>
        <w:t>outweigh</w:t>
      </w:r>
      <w:r>
        <w:rPr>
          <w:color w:val="4D4D4F"/>
          <w:spacing w:val="-26"/>
          <w:w w:val="115"/>
        </w:rPr>
        <w:t> </w:t>
      </w:r>
      <w:r>
        <w:rPr>
          <w:color w:val="4D4D4F"/>
          <w:w w:val="115"/>
        </w:rPr>
        <w:t>the</w:t>
      </w:r>
      <w:r>
        <w:rPr>
          <w:color w:val="4D4D4F"/>
          <w:spacing w:val="-26"/>
          <w:w w:val="115"/>
        </w:rPr>
        <w:t> </w:t>
      </w:r>
      <w:r>
        <w:rPr>
          <w:color w:val="4D4D4F"/>
          <w:w w:val="115"/>
        </w:rPr>
        <w:t>risks</w:t>
      </w:r>
      <w:r>
        <w:rPr>
          <w:color w:val="4D4D4F"/>
          <w:spacing w:val="-26"/>
          <w:w w:val="115"/>
        </w:rPr>
        <w:t> </w:t>
      </w:r>
      <w:r>
        <w:rPr>
          <w:color w:val="4D4D4F"/>
          <w:w w:val="115"/>
        </w:rPr>
        <w:t>(see</w:t>
      </w:r>
      <w:r>
        <w:rPr>
          <w:color w:val="4D4D4F"/>
          <w:spacing w:val="-26"/>
          <w:w w:val="115"/>
        </w:rPr>
        <w:t> </w:t>
      </w:r>
      <w:r>
        <w:rPr>
          <w:color w:val="4D4D4F"/>
          <w:w w:val="115"/>
        </w:rPr>
        <w:t>FDA</w:t>
      </w:r>
      <w:r>
        <w:rPr>
          <w:color w:val="4D4D4F"/>
          <w:spacing w:val="-26"/>
          <w:w w:val="115"/>
        </w:rPr>
        <w:t> </w:t>
      </w:r>
      <w:r>
        <w:rPr>
          <w:color w:val="4D4D4F"/>
          <w:spacing w:val="-3"/>
          <w:w w:val="115"/>
        </w:rPr>
        <w:t>package </w:t>
      </w:r>
      <w:r>
        <w:rPr>
          <w:color w:val="4D4D4F"/>
          <w:w w:val="115"/>
        </w:rPr>
        <w:t>insert</w:t>
      </w:r>
      <w:r>
        <w:rPr>
          <w:color w:val="4D4D4F"/>
          <w:spacing w:val="-27"/>
          <w:w w:val="115"/>
        </w:rPr>
        <w:t> </w:t>
      </w:r>
      <w:r>
        <w:rPr>
          <w:color w:val="4D4D4F"/>
          <w:w w:val="115"/>
        </w:rPr>
        <w:t>for</w:t>
      </w:r>
      <w:r>
        <w:rPr>
          <w:color w:val="4D4D4F"/>
          <w:spacing w:val="-27"/>
          <w:w w:val="115"/>
        </w:rPr>
        <w:t> </w:t>
      </w:r>
      <w:r>
        <w:rPr>
          <w:color w:val="4D4D4F"/>
          <w:w w:val="115"/>
        </w:rPr>
        <w:t>full</w:t>
      </w:r>
      <w:r>
        <w:rPr>
          <w:color w:val="4D4D4F"/>
          <w:spacing w:val="-27"/>
          <w:w w:val="115"/>
        </w:rPr>
        <w:t> </w:t>
      </w:r>
      <w:r>
        <w:rPr>
          <w:color w:val="4D4D4F"/>
          <w:w w:val="115"/>
        </w:rPr>
        <w:t>details</w:t>
      </w:r>
      <w:r>
        <w:rPr>
          <w:color w:val="4D4D4F"/>
          <w:spacing w:val="-27"/>
          <w:w w:val="115"/>
        </w:rPr>
        <w:t> </w:t>
      </w:r>
      <w:hyperlink r:id="rId61">
        <w:r>
          <w:rPr>
            <w:color w:val="205E9F"/>
            <w:w w:val="115"/>
            <w:u w:val="single" w:color="205E9F"/>
          </w:rPr>
          <w:t>www.accessdata.fda.gov</w:t>
        </w:r>
      </w:hyperlink>
    </w:p>
    <w:p>
      <w:pPr>
        <w:pStyle w:val="BodyText"/>
        <w:spacing w:before="2"/>
        <w:ind w:left="140"/>
      </w:pPr>
      <w:r>
        <w:rPr>
          <w:color w:val="205E9F"/>
          <w:w w:val="115"/>
          <w:u w:val="single" w:color="205E9F"/>
        </w:rPr>
        <w:t>/drugsatfda_docs/label/2017/209819s000lbl.pdf</w:t>
      </w:r>
      <w:r>
        <w:rPr>
          <w:color w:val="4D4D4F"/>
          <w:w w:val="115"/>
        </w:rPr>
        <w:t>).</w:t>
      </w:r>
    </w:p>
    <w:p>
      <w:pPr>
        <w:pStyle w:val="BodyText"/>
        <w:spacing w:before="5"/>
        <w:rPr>
          <w:sz w:val="23"/>
        </w:rPr>
      </w:pPr>
    </w:p>
    <w:p>
      <w:pPr>
        <w:pStyle w:val="Heading3"/>
      </w:pPr>
      <w:bookmarkStart w:name="_TOC_250049" w:id="66"/>
      <w:bookmarkEnd w:id="66"/>
      <w:r>
        <w:rPr>
          <w:color w:val="137692"/>
          <w:w w:val="110"/>
        </w:rPr>
        <w:t>Assessment</w:t>
      </w:r>
    </w:p>
    <w:p>
      <w:pPr>
        <w:spacing w:line="242" w:lineRule="auto" w:before="42"/>
        <w:ind w:left="140" w:right="162" w:firstLine="0"/>
        <w:jc w:val="left"/>
        <w:rPr>
          <w:rFonts w:ascii="Calibri"/>
          <w:b/>
          <w:sz w:val="22"/>
        </w:rPr>
      </w:pPr>
      <w:r>
        <w:rPr>
          <w:rFonts w:ascii="Calibri"/>
          <w:b/>
          <w:color w:val="4D4D4F"/>
          <w:w w:val="110"/>
          <w:sz w:val="22"/>
        </w:rPr>
        <w:t>No evidence clearly  predicts  which  patients are best matched to buprenorphine versus other OUD medications.  </w:t>
      </w:r>
      <w:r>
        <w:rPr>
          <w:color w:val="4D4D4F"/>
          <w:w w:val="110"/>
          <w:sz w:val="22"/>
        </w:rPr>
        <w:t>Thorough  assess- ment helps determine whether buprenorphine treatment is appropriate for a patient. (Part 2 of this TIP covers screening and assessment in </w:t>
      </w:r>
      <w:r>
        <w:rPr>
          <w:color w:val="4D4D4F"/>
          <w:spacing w:val="-6"/>
          <w:w w:val="110"/>
          <w:sz w:val="22"/>
        </w:rPr>
        <w:t>more </w:t>
      </w:r>
      <w:r>
        <w:rPr>
          <w:color w:val="4D4D4F"/>
          <w:w w:val="110"/>
          <w:sz w:val="22"/>
        </w:rPr>
        <w:t>detail.) </w:t>
      </w:r>
      <w:r>
        <w:rPr>
          <w:rFonts w:ascii="Calibri"/>
          <w:b/>
          <w:color w:val="4D4D4F"/>
          <w:w w:val="110"/>
          <w:sz w:val="22"/>
        </w:rPr>
        <w:t>Before prescribing</w:t>
      </w:r>
      <w:r>
        <w:rPr>
          <w:rFonts w:ascii="Calibri"/>
          <w:b/>
          <w:color w:val="4D4D4F"/>
          <w:spacing w:val="-11"/>
          <w:w w:val="110"/>
          <w:sz w:val="22"/>
        </w:rPr>
        <w:t> </w:t>
      </w:r>
      <w:r>
        <w:rPr>
          <w:rFonts w:ascii="Calibri"/>
          <w:b/>
          <w:color w:val="4D4D4F"/>
          <w:w w:val="110"/>
          <w:sz w:val="22"/>
        </w:rPr>
        <w:t>buprenorphine:</w:t>
      </w:r>
    </w:p>
    <w:p>
      <w:pPr>
        <w:pStyle w:val="Heading7"/>
        <w:numPr>
          <w:ilvl w:val="0"/>
          <w:numId w:val="29"/>
        </w:numPr>
        <w:tabs>
          <w:tab w:pos="410" w:val="left" w:leader="none"/>
        </w:tabs>
        <w:spacing w:line="204" w:lineRule="auto" w:before="126" w:after="0"/>
        <w:ind w:left="410" w:right="180" w:hanging="270"/>
        <w:jc w:val="left"/>
        <w:rPr>
          <w:rFonts w:ascii="Arial" w:hAnsi="Arial"/>
          <w:color w:val="137692"/>
          <w:sz w:val="28"/>
        </w:rPr>
      </w:pPr>
      <w:r>
        <w:rPr>
          <w:color w:val="4D4D4F"/>
          <w:spacing w:val="-4"/>
          <w:w w:val="115"/>
        </w:rPr>
        <w:t>Check </w:t>
      </w:r>
      <w:r>
        <w:rPr>
          <w:color w:val="4D4D4F"/>
          <w:spacing w:val="-3"/>
          <w:w w:val="115"/>
        </w:rPr>
        <w:t>the </w:t>
      </w:r>
      <w:r>
        <w:rPr>
          <w:color w:val="4D4D4F"/>
          <w:spacing w:val="-4"/>
          <w:w w:val="115"/>
        </w:rPr>
        <w:t>state prescription </w:t>
      </w:r>
      <w:r>
        <w:rPr>
          <w:color w:val="4D4D4F"/>
          <w:spacing w:val="-3"/>
          <w:w w:val="115"/>
        </w:rPr>
        <w:t>drug </w:t>
      </w:r>
      <w:r>
        <w:rPr>
          <w:color w:val="4D4D4F"/>
          <w:spacing w:val="-4"/>
          <w:w w:val="115"/>
        </w:rPr>
        <w:t>monitoring </w:t>
      </w:r>
      <w:r>
        <w:rPr>
          <w:color w:val="4D4D4F"/>
          <w:w w:val="115"/>
        </w:rPr>
        <w:t>program</w:t>
      </w:r>
      <w:r>
        <w:rPr>
          <w:color w:val="4D4D4F"/>
          <w:spacing w:val="7"/>
          <w:w w:val="115"/>
        </w:rPr>
        <w:t> </w:t>
      </w:r>
      <w:r>
        <w:rPr>
          <w:color w:val="4D4D4F"/>
          <w:w w:val="115"/>
        </w:rPr>
        <w:t>database.</w:t>
      </w:r>
    </w:p>
    <w:p>
      <w:pPr>
        <w:pStyle w:val="ListParagraph"/>
        <w:numPr>
          <w:ilvl w:val="0"/>
          <w:numId w:val="29"/>
        </w:numPr>
        <w:tabs>
          <w:tab w:pos="410" w:val="left" w:leader="none"/>
        </w:tabs>
        <w:spacing w:line="313" w:lineRule="exact" w:before="36" w:after="0"/>
        <w:ind w:left="410" w:right="0" w:hanging="270"/>
        <w:jc w:val="left"/>
        <w:rPr>
          <w:rFonts w:ascii="Arial" w:hAnsi="Arial"/>
          <w:b/>
          <w:color w:val="137692"/>
          <w:sz w:val="28"/>
        </w:rPr>
      </w:pPr>
      <w:r>
        <w:rPr>
          <w:rFonts w:ascii="Calibri" w:hAnsi="Calibri"/>
          <w:b/>
          <w:color w:val="4D4D4F"/>
          <w:w w:val="115"/>
          <w:sz w:val="22"/>
        </w:rPr>
        <w:t>Assess the patient’s</w:t>
      </w:r>
      <w:r>
        <w:rPr>
          <w:rFonts w:ascii="Calibri" w:hAnsi="Calibri"/>
          <w:b/>
          <w:color w:val="4D4D4F"/>
          <w:spacing w:val="18"/>
          <w:w w:val="115"/>
          <w:sz w:val="22"/>
        </w:rPr>
        <w:t> </w:t>
      </w:r>
      <w:r>
        <w:rPr>
          <w:rFonts w:ascii="Calibri" w:hAnsi="Calibri"/>
          <w:b/>
          <w:color w:val="4D4D4F"/>
          <w:spacing w:val="-3"/>
          <w:w w:val="115"/>
          <w:sz w:val="22"/>
        </w:rPr>
        <w:t>history.</w:t>
      </w:r>
    </w:p>
    <w:p>
      <w:pPr>
        <w:pStyle w:val="ListParagraph"/>
        <w:numPr>
          <w:ilvl w:val="1"/>
          <w:numId w:val="29"/>
        </w:numPr>
        <w:tabs>
          <w:tab w:pos="717" w:val="left" w:leader="none"/>
        </w:tabs>
        <w:spacing w:line="247" w:lineRule="auto" w:before="0" w:after="0"/>
        <w:ind w:left="716" w:right="313" w:hanging="270"/>
        <w:jc w:val="left"/>
        <w:rPr>
          <w:rFonts w:ascii="Arial" w:hAnsi="Arial"/>
          <w:color w:val="137692"/>
          <w:sz w:val="24"/>
        </w:rPr>
      </w:pPr>
      <w:r>
        <w:rPr>
          <w:color w:val="4D4D4F"/>
          <w:w w:val="110"/>
          <w:sz w:val="22"/>
        </w:rPr>
        <w:t>Conduct a medical, psychiatric, substance use, and substance use treatment</w:t>
      </w:r>
      <w:r>
        <w:rPr>
          <w:color w:val="4D4D4F"/>
          <w:spacing w:val="25"/>
          <w:w w:val="110"/>
          <w:sz w:val="22"/>
        </w:rPr>
        <w:t> </w:t>
      </w:r>
      <w:r>
        <w:rPr>
          <w:color w:val="4D4D4F"/>
          <w:spacing w:val="-3"/>
          <w:w w:val="110"/>
          <w:sz w:val="22"/>
        </w:rPr>
        <w:t>history.</w:t>
      </w:r>
    </w:p>
    <w:p>
      <w:pPr>
        <w:pStyle w:val="ListParagraph"/>
        <w:numPr>
          <w:ilvl w:val="1"/>
          <w:numId w:val="29"/>
        </w:numPr>
        <w:tabs>
          <w:tab w:pos="717" w:val="left" w:leader="none"/>
        </w:tabs>
        <w:spacing w:line="247" w:lineRule="auto" w:before="15" w:after="0"/>
        <w:ind w:left="716" w:right="463" w:hanging="270"/>
        <w:jc w:val="left"/>
        <w:rPr>
          <w:rFonts w:ascii="Arial" w:hAnsi="Arial"/>
          <w:color w:val="137692"/>
          <w:sz w:val="24"/>
        </w:rPr>
      </w:pPr>
      <w:r>
        <w:rPr>
          <w:color w:val="4D4D4F"/>
          <w:w w:val="115"/>
          <w:sz w:val="22"/>
        </w:rPr>
        <w:t>Assess recent opioid use, including </w:t>
      </w:r>
      <w:r>
        <w:rPr>
          <w:color w:val="4D4D4F"/>
          <w:spacing w:val="-3"/>
          <w:w w:val="115"/>
          <w:sz w:val="22"/>
        </w:rPr>
        <w:t>frequency,</w:t>
      </w:r>
      <w:r>
        <w:rPr>
          <w:color w:val="4D4D4F"/>
          <w:spacing w:val="-23"/>
          <w:w w:val="115"/>
          <w:sz w:val="22"/>
        </w:rPr>
        <w:t> </w:t>
      </w:r>
      <w:r>
        <w:rPr>
          <w:color w:val="4D4D4F"/>
          <w:w w:val="115"/>
          <w:sz w:val="22"/>
        </w:rPr>
        <w:t>quantity,</w:t>
      </w:r>
      <w:r>
        <w:rPr>
          <w:color w:val="4D4D4F"/>
          <w:spacing w:val="-22"/>
          <w:w w:val="115"/>
          <w:sz w:val="22"/>
        </w:rPr>
        <w:t> </w:t>
      </w:r>
      <w:r>
        <w:rPr>
          <w:color w:val="4D4D4F"/>
          <w:w w:val="115"/>
          <w:sz w:val="22"/>
        </w:rPr>
        <w:t>type,</w:t>
      </w:r>
      <w:r>
        <w:rPr>
          <w:color w:val="4D4D4F"/>
          <w:spacing w:val="-22"/>
          <w:w w:val="115"/>
          <w:sz w:val="22"/>
        </w:rPr>
        <w:t> </w:t>
      </w:r>
      <w:r>
        <w:rPr>
          <w:color w:val="4D4D4F"/>
          <w:w w:val="115"/>
          <w:sz w:val="22"/>
        </w:rPr>
        <w:t>route,</w:t>
      </w:r>
      <w:r>
        <w:rPr>
          <w:color w:val="4D4D4F"/>
          <w:spacing w:val="-22"/>
          <w:w w:val="115"/>
          <w:sz w:val="22"/>
        </w:rPr>
        <w:t> </w:t>
      </w:r>
      <w:r>
        <w:rPr>
          <w:color w:val="4D4D4F"/>
          <w:w w:val="115"/>
          <w:sz w:val="22"/>
        </w:rPr>
        <w:t>and</w:t>
      </w:r>
      <w:r>
        <w:rPr>
          <w:color w:val="4D4D4F"/>
          <w:spacing w:val="-22"/>
          <w:w w:val="115"/>
          <w:sz w:val="22"/>
        </w:rPr>
        <w:t> </w:t>
      </w:r>
      <w:r>
        <w:rPr>
          <w:color w:val="4D4D4F"/>
          <w:spacing w:val="-5"/>
          <w:w w:val="115"/>
          <w:sz w:val="22"/>
        </w:rPr>
        <w:t>last </w:t>
      </w:r>
      <w:r>
        <w:rPr>
          <w:color w:val="4D4D4F"/>
          <w:w w:val="115"/>
          <w:sz w:val="22"/>
        </w:rPr>
        <w:t>day of</w:t>
      </w:r>
      <w:r>
        <w:rPr>
          <w:color w:val="4D4D4F"/>
          <w:spacing w:val="-19"/>
          <w:w w:val="115"/>
          <w:sz w:val="22"/>
        </w:rPr>
        <w:t> </w:t>
      </w:r>
      <w:r>
        <w:rPr>
          <w:color w:val="4D4D4F"/>
          <w:w w:val="115"/>
          <w:sz w:val="22"/>
        </w:rPr>
        <w:t>use.</w:t>
      </w:r>
    </w:p>
    <w:p>
      <w:pPr>
        <w:spacing w:after="0" w:line="247" w:lineRule="auto"/>
        <w:jc w:val="left"/>
        <w:rPr>
          <w:rFonts w:ascii="Arial" w:hAnsi="Arial"/>
          <w:sz w:val="24"/>
        </w:rPr>
        <w:sectPr>
          <w:type w:val="continuous"/>
          <w:pgSz w:w="12240" w:h="15840"/>
          <w:pgMar w:top="540" w:bottom="280" w:left="940" w:right="920"/>
          <w:cols w:num="2" w:equalWidth="0">
            <w:col w:w="5011" w:space="209"/>
            <w:col w:w="5160"/>
          </w:cols>
        </w:sectPr>
      </w:pPr>
    </w:p>
    <w:p>
      <w:pPr>
        <w:pStyle w:val="BodyText"/>
        <w:spacing w:before="3"/>
        <w:rPr>
          <w:sz w:val="26"/>
        </w:rPr>
      </w:pPr>
    </w:p>
    <w:p>
      <w:pPr>
        <w:spacing w:after="0"/>
        <w:rPr>
          <w:sz w:val="26"/>
        </w:rPr>
        <w:sectPr>
          <w:pgSz w:w="12240" w:h="15840"/>
          <w:pgMar w:header="576" w:footer="677" w:top="1340" w:bottom="860" w:left="940" w:right="920"/>
        </w:sectPr>
      </w:pPr>
    </w:p>
    <w:p>
      <w:pPr>
        <w:pStyle w:val="ListParagraph"/>
        <w:numPr>
          <w:ilvl w:val="1"/>
          <w:numId w:val="29"/>
        </w:numPr>
        <w:tabs>
          <w:tab w:pos="717" w:val="left" w:leader="none"/>
        </w:tabs>
        <w:spacing w:line="240" w:lineRule="auto" w:before="92" w:after="0"/>
        <w:ind w:left="716" w:right="0" w:hanging="272"/>
        <w:jc w:val="both"/>
        <w:rPr>
          <w:rFonts w:ascii="Arial" w:hAnsi="Arial"/>
          <w:color w:val="137692"/>
          <w:sz w:val="24"/>
        </w:rPr>
      </w:pPr>
      <w:r>
        <w:rPr>
          <w:color w:val="4D4D4F"/>
          <w:w w:val="110"/>
          <w:sz w:val="22"/>
        </w:rPr>
        <w:t>Establish OUD</w:t>
      </w:r>
      <w:r>
        <w:rPr>
          <w:color w:val="4D4D4F"/>
          <w:spacing w:val="-10"/>
          <w:w w:val="110"/>
          <w:sz w:val="22"/>
        </w:rPr>
        <w:t> </w:t>
      </w:r>
      <w:r>
        <w:rPr>
          <w:color w:val="4D4D4F"/>
          <w:w w:val="110"/>
          <w:sz w:val="22"/>
        </w:rPr>
        <w:t>diagnosis.</w:t>
      </w:r>
    </w:p>
    <w:p>
      <w:pPr>
        <w:pStyle w:val="ListParagraph"/>
        <w:numPr>
          <w:ilvl w:val="1"/>
          <w:numId w:val="29"/>
        </w:numPr>
        <w:tabs>
          <w:tab w:pos="717" w:val="left" w:leader="none"/>
        </w:tabs>
        <w:spacing w:line="247" w:lineRule="auto" w:before="31" w:after="0"/>
        <w:ind w:left="716" w:right="254" w:hanging="270"/>
        <w:jc w:val="both"/>
        <w:rPr>
          <w:rFonts w:ascii="Arial" w:hAnsi="Arial"/>
          <w:color w:val="137692"/>
          <w:sz w:val="24"/>
        </w:rPr>
      </w:pPr>
      <w:r>
        <w:rPr>
          <w:color w:val="4D4D4F"/>
          <w:w w:val="115"/>
          <w:sz w:val="22"/>
        </w:rPr>
        <w:t>Assess</w:t>
      </w:r>
      <w:r>
        <w:rPr>
          <w:color w:val="4D4D4F"/>
          <w:spacing w:val="-38"/>
          <w:w w:val="115"/>
          <w:sz w:val="22"/>
        </w:rPr>
        <w:t> </w:t>
      </w:r>
      <w:r>
        <w:rPr>
          <w:color w:val="4D4D4F"/>
          <w:w w:val="115"/>
          <w:sz w:val="22"/>
        </w:rPr>
        <w:t>for</w:t>
      </w:r>
      <w:r>
        <w:rPr>
          <w:color w:val="4D4D4F"/>
          <w:spacing w:val="-37"/>
          <w:w w:val="115"/>
          <w:sz w:val="22"/>
        </w:rPr>
        <w:t> </w:t>
      </w:r>
      <w:r>
        <w:rPr>
          <w:color w:val="4D4D4F"/>
          <w:w w:val="115"/>
          <w:sz w:val="22"/>
        </w:rPr>
        <w:t>other</w:t>
      </w:r>
      <w:r>
        <w:rPr>
          <w:color w:val="4D4D4F"/>
          <w:spacing w:val="-38"/>
          <w:w w:val="115"/>
          <w:sz w:val="22"/>
        </w:rPr>
        <w:t> </w:t>
      </w:r>
      <w:r>
        <w:rPr>
          <w:color w:val="4D4D4F"/>
          <w:w w:val="115"/>
          <w:sz w:val="22"/>
        </w:rPr>
        <w:t>substance</w:t>
      </w:r>
      <w:r>
        <w:rPr>
          <w:color w:val="4D4D4F"/>
          <w:spacing w:val="-37"/>
          <w:w w:val="115"/>
          <w:sz w:val="22"/>
        </w:rPr>
        <w:t> </w:t>
      </w:r>
      <w:r>
        <w:rPr>
          <w:color w:val="4D4D4F"/>
          <w:w w:val="115"/>
          <w:sz w:val="22"/>
        </w:rPr>
        <w:t>use</w:t>
      </w:r>
      <w:r>
        <w:rPr>
          <w:color w:val="4D4D4F"/>
          <w:spacing w:val="-38"/>
          <w:w w:val="115"/>
          <w:sz w:val="22"/>
        </w:rPr>
        <w:t> </w:t>
      </w:r>
      <w:r>
        <w:rPr>
          <w:color w:val="4D4D4F"/>
          <w:w w:val="115"/>
          <w:sz w:val="22"/>
        </w:rPr>
        <w:t>disorders (SUDs),</w:t>
      </w:r>
      <w:r>
        <w:rPr>
          <w:color w:val="4D4D4F"/>
          <w:spacing w:val="-38"/>
          <w:w w:val="115"/>
          <w:sz w:val="22"/>
        </w:rPr>
        <w:t> </w:t>
      </w:r>
      <w:r>
        <w:rPr>
          <w:color w:val="4D4D4F"/>
          <w:w w:val="115"/>
          <w:sz w:val="22"/>
        </w:rPr>
        <w:t>including</w:t>
      </w:r>
      <w:r>
        <w:rPr>
          <w:color w:val="4D4D4F"/>
          <w:spacing w:val="-37"/>
          <w:w w:val="115"/>
          <w:sz w:val="22"/>
        </w:rPr>
        <w:t> </w:t>
      </w:r>
      <w:r>
        <w:rPr>
          <w:color w:val="4D4D4F"/>
          <w:w w:val="115"/>
          <w:sz w:val="22"/>
        </w:rPr>
        <w:t>those</w:t>
      </w:r>
      <w:r>
        <w:rPr>
          <w:color w:val="4D4D4F"/>
          <w:spacing w:val="-37"/>
          <w:w w:val="115"/>
          <w:sz w:val="22"/>
        </w:rPr>
        <w:t> </w:t>
      </w:r>
      <w:r>
        <w:rPr>
          <w:color w:val="4D4D4F"/>
          <w:w w:val="115"/>
          <w:sz w:val="22"/>
        </w:rPr>
        <w:t>involving</w:t>
      </w:r>
      <w:r>
        <w:rPr>
          <w:color w:val="4D4D4F"/>
          <w:spacing w:val="-37"/>
          <w:w w:val="115"/>
          <w:sz w:val="22"/>
        </w:rPr>
        <w:t> </w:t>
      </w:r>
      <w:r>
        <w:rPr>
          <w:color w:val="4D4D4F"/>
          <w:spacing w:val="-3"/>
          <w:w w:val="115"/>
          <w:sz w:val="22"/>
        </w:rPr>
        <w:t>alcohol, </w:t>
      </w:r>
      <w:r>
        <w:rPr>
          <w:color w:val="4D4D4F"/>
          <w:w w:val="115"/>
          <w:sz w:val="22"/>
        </w:rPr>
        <w:t>benzodiazepines, or</w:t>
      </w:r>
      <w:r>
        <w:rPr>
          <w:color w:val="4D4D4F"/>
          <w:spacing w:val="-26"/>
          <w:w w:val="115"/>
          <w:sz w:val="22"/>
        </w:rPr>
        <w:t> </w:t>
      </w:r>
      <w:r>
        <w:rPr>
          <w:color w:val="4D4D4F"/>
          <w:w w:val="115"/>
          <w:sz w:val="22"/>
        </w:rPr>
        <w:t>stimulants.</w:t>
      </w:r>
    </w:p>
    <w:p>
      <w:pPr>
        <w:pStyle w:val="ListParagraph"/>
        <w:numPr>
          <w:ilvl w:val="0"/>
          <w:numId w:val="29"/>
        </w:numPr>
        <w:tabs>
          <w:tab w:pos="410" w:val="left" w:leader="none"/>
        </w:tabs>
        <w:spacing w:line="225" w:lineRule="auto" w:before="41" w:after="0"/>
        <w:ind w:left="410" w:right="164" w:hanging="270"/>
        <w:jc w:val="left"/>
        <w:rPr>
          <w:rFonts w:ascii="Arial" w:hAnsi="Arial"/>
          <w:color w:val="137692"/>
          <w:sz w:val="28"/>
        </w:rPr>
      </w:pPr>
      <w:r>
        <w:rPr>
          <w:rFonts w:ascii="Calibri" w:hAnsi="Calibri"/>
          <w:b/>
          <w:color w:val="4D4D4F"/>
          <w:w w:val="110"/>
          <w:sz w:val="22"/>
        </w:rPr>
        <w:t>Conduct a focused physical examination, </w:t>
      </w:r>
      <w:r>
        <w:rPr>
          <w:color w:val="4D4D4F"/>
          <w:w w:val="110"/>
          <w:sz w:val="22"/>
        </w:rPr>
        <w:t>refer for a physical exam, or get a record of</w:t>
      </w:r>
      <w:r>
        <w:rPr>
          <w:color w:val="4D4D4F"/>
          <w:spacing w:val="-31"/>
          <w:w w:val="110"/>
          <w:sz w:val="22"/>
        </w:rPr>
        <w:t> </w:t>
      </w:r>
      <w:r>
        <w:rPr>
          <w:color w:val="4D4D4F"/>
          <w:spacing w:val="-18"/>
          <w:w w:val="110"/>
          <w:sz w:val="22"/>
        </w:rPr>
        <w:t>a </w:t>
      </w:r>
      <w:r>
        <w:rPr>
          <w:color w:val="4D4D4F"/>
          <w:w w:val="110"/>
          <w:sz w:val="22"/>
        </w:rPr>
        <w:t>recent</w:t>
      </w:r>
      <w:r>
        <w:rPr>
          <w:color w:val="4D4D4F"/>
          <w:spacing w:val="-7"/>
          <w:w w:val="110"/>
          <w:sz w:val="22"/>
        </w:rPr>
        <w:t> </w:t>
      </w:r>
      <w:r>
        <w:rPr>
          <w:color w:val="4D4D4F"/>
          <w:w w:val="110"/>
          <w:sz w:val="22"/>
        </w:rPr>
        <w:t>one.</w:t>
      </w:r>
    </w:p>
    <w:p>
      <w:pPr>
        <w:pStyle w:val="ListParagraph"/>
        <w:numPr>
          <w:ilvl w:val="1"/>
          <w:numId w:val="29"/>
        </w:numPr>
        <w:tabs>
          <w:tab w:pos="716" w:val="left" w:leader="none"/>
        </w:tabs>
        <w:spacing w:line="242" w:lineRule="auto" w:before="37" w:after="0"/>
        <w:ind w:left="716" w:right="38" w:hanging="270"/>
        <w:jc w:val="left"/>
        <w:rPr>
          <w:rFonts w:ascii="Arial" w:hAnsi="Arial"/>
          <w:color w:val="137692"/>
          <w:sz w:val="24"/>
        </w:rPr>
      </w:pPr>
      <w:r>
        <w:rPr>
          <w:rFonts w:ascii="Calibri" w:hAnsi="Calibri"/>
          <w:b/>
          <w:color w:val="4D4D4F"/>
          <w:w w:val="115"/>
          <w:sz w:val="22"/>
        </w:rPr>
        <w:t>Assess for signs and symptoms of intoxi- cation.</w:t>
      </w:r>
      <w:r>
        <w:rPr>
          <w:rFonts w:ascii="Calibri" w:hAnsi="Calibri"/>
          <w:b/>
          <w:color w:val="4D4D4F"/>
          <w:spacing w:val="-5"/>
          <w:w w:val="115"/>
          <w:sz w:val="22"/>
        </w:rPr>
        <w:t> </w:t>
      </w:r>
      <w:r>
        <w:rPr>
          <w:color w:val="4D4D4F"/>
          <w:w w:val="115"/>
          <w:sz w:val="22"/>
        </w:rPr>
        <w:t>Do</w:t>
      </w:r>
      <w:r>
        <w:rPr>
          <w:color w:val="4D4D4F"/>
          <w:spacing w:val="-21"/>
          <w:w w:val="115"/>
          <w:sz w:val="22"/>
        </w:rPr>
        <w:t> </w:t>
      </w:r>
      <w:r>
        <w:rPr>
          <w:color w:val="4D4D4F"/>
          <w:w w:val="115"/>
          <w:sz w:val="22"/>
        </w:rPr>
        <w:t>not</w:t>
      </w:r>
      <w:r>
        <w:rPr>
          <w:color w:val="4D4D4F"/>
          <w:spacing w:val="-21"/>
          <w:w w:val="115"/>
          <w:sz w:val="22"/>
        </w:rPr>
        <w:t> </w:t>
      </w:r>
      <w:r>
        <w:rPr>
          <w:color w:val="4D4D4F"/>
          <w:w w:val="115"/>
          <w:sz w:val="22"/>
        </w:rPr>
        <w:t>give</w:t>
      </w:r>
      <w:r>
        <w:rPr>
          <w:color w:val="4D4D4F"/>
          <w:spacing w:val="-21"/>
          <w:w w:val="115"/>
          <w:sz w:val="22"/>
        </w:rPr>
        <w:t> </w:t>
      </w:r>
      <w:r>
        <w:rPr>
          <w:color w:val="4D4D4F"/>
          <w:w w:val="115"/>
          <w:sz w:val="22"/>
        </w:rPr>
        <w:t>a</w:t>
      </w:r>
      <w:r>
        <w:rPr>
          <w:color w:val="4D4D4F"/>
          <w:spacing w:val="-21"/>
          <w:w w:val="115"/>
          <w:sz w:val="22"/>
        </w:rPr>
        <w:t> </w:t>
      </w:r>
      <w:r>
        <w:rPr>
          <w:color w:val="4D4D4F"/>
          <w:w w:val="115"/>
          <w:sz w:val="22"/>
        </w:rPr>
        <w:t>ﬁrst</w:t>
      </w:r>
      <w:r>
        <w:rPr>
          <w:color w:val="4D4D4F"/>
          <w:spacing w:val="-21"/>
          <w:w w:val="115"/>
          <w:sz w:val="22"/>
        </w:rPr>
        <w:t> </w:t>
      </w:r>
      <w:r>
        <w:rPr>
          <w:color w:val="4D4D4F"/>
          <w:w w:val="115"/>
          <w:sz w:val="22"/>
        </w:rPr>
        <w:t>dose</w:t>
      </w:r>
      <w:r>
        <w:rPr>
          <w:color w:val="4D4D4F"/>
          <w:spacing w:val="-21"/>
          <w:w w:val="115"/>
          <w:sz w:val="22"/>
        </w:rPr>
        <w:t> </w:t>
      </w:r>
      <w:r>
        <w:rPr>
          <w:color w:val="4D4D4F"/>
          <w:w w:val="115"/>
          <w:sz w:val="22"/>
        </w:rPr>
        <w:t>to</w:t>
      </w:r>
      <w:r>
        <w:rPr>
          <w:color w:val="4D4D4F"/>
          <w:spacing w:val="-21"/>
          <w:w w:val="115"/>
          <w:sz w:val="22"/>
        </w:rPr>
        <w:t> </w:t>
      </w:r>
      <w:r>
        <w:rPr>
          <w:color w:val="4D4D4F"/>
          <w:w w:val="115"/>
          <w:sz w:val="22"/>
        </w:rPr>
        <w:t>a</w:t>
      </w:r>
      <w:r>
        <w:rPr>
          <w:color w:val="4D4D4F"/>
          <w:spacing w:val="-21"/>
          <w:w w:val="115"/>
          <w:sz w:val="22"/>
        </w:rPr>
        <w:t> </w:t>
      </w:r>
      <w:r>
        <w:rPr>
          <w:color w:val="4D4D4F"/>
          <w:spacing w:val="-3"/>
          <w:w w:val="115"/>
          <w:sz w:val="22"/>
        </w:rPr>
        <w:t>patient </w:t>
      </w:r>
      <w:r>
        <w:rPr>
          <w:color w:val="4D4D4F"/>
          <w:w w:val="115"/>
          <w:sz w:val="22"/>
        </w:rPr>
        <w:t>who</w:t>
      </w:r>
      <w:r>
        <w:rPr>
          <w:color w:val="4D4D4F"/>
          <w:spacing w:val="-23"/>
          <w:w w:val="115"/>
          <w:sz w:val="22"/>
        </w:rPr>
        <w:t> </w:t>
      </w:r>
      <w:r>
        <w:rPr>
          <w:color w:val="4D4D4F"/>
          <w:w w:val="115"/>
          <w:sz w:val="22"/>
        </w:rPr>
        <w:t>is</w:t>
      </w:r>
      <w:r>
        <w:rPr>
          <w:color w:val="4D4D4F"/>
          <w:spacing w:val="-23"/>
          <w:w w:val="115"/>
          <w:sz w:val="22"/>
        </w:rPr>
        <w:t> </w:t>
      </w:r>
      <w:r>
        <w:rPr>
          <w:color w:val="4D4D4F"/>
          <w:w w:val="115"/>
          <w:sz w:val="22"/>
        </w:rPr>
        <w:t>sedated</w:t>
      </w:r>
      <w:r>
        <w:rPr>
          <w:color w:val="4D4D4F"/>
          <w:spacing w:val="-22"/>
          <w:w w:val="115"/>
          <w:sz w:val="22"/>
        </w:rPr>
        <w:t> </w:t>
      </w:r>
      <w:r>
        <w:rPr>
          <w:color w:val="4D4D4F"/>
          <w:w w:val="115"/>
          <w:sz w:val="22"/>
        </w:rPr>
        <w:t>or</w:t>
      </w:r>
      <w:r>
        <w:rPr>
          <w:color w:val="4D4D4F"/>
          <w:spacing w:val="-23"/>
          <w:w w:val="115"/>
          <w:sz w:val="22"/>
        </w:rPr>
        <w:t> </w:t>
      </w:r>
      <w:r>
        <w:rPr>
          <w:color w:val="4D4D4F"/>
          <w:w w:val="115"/>
          <w:sz w:val="22"/>
        </w:rPr>
        <w:t>intoxicated.</w:t>
      </w:r>
      <w:r>
        <w:rPr>
          <w:color w:val="4D4D4F"/>
          <w:spacing w:val="-23"/>
          <w:w w:val="115"/>
          <w:sz w:val="22"/>
        </w:rPr>
        <w:t> </w:t>
      </w:r>
      <w:r>
        <w:rPr>
          <w:color w:val="4D4D4F"/>
          <w:w w:val="115"/>
          <w:sz w:val="22"/>
        </w:rPr>
        <w:t>Assess</w:t>
      </w:r>
      <w:r>
        <w:rPr>
          <w:color w:val="4D4D4F"/>
          <w:spacing w:val="-22"/>
          <w:w w:val="115"/>
          <w:sz w:val="22"/>
        </w:rPr>
        <w:t> </w:t>
      </w:r>
      <w:r>
        <w:rPr>
          <w:color w:val="4D4D4F"/>
          <w:w w:val="115"/>
          <w:sz w:val="22"/>
        </w:rPr>
        <w:t>and treat</w:t>
      </w:r>
      <w:r>
        <w:rPr>
          <w:color w:val="4D4D4F"/>
          <w:spacing w:val="-16"/>
          <w:w w:val="115"/>
          <w:sz w:val="22"/>
        </w:rPr>
        <w:t> </w:t>
      </w:r>
      <w:r>
        <w:rPr>
          <w:color w:val="4D4D4F"/>
          <w:w w:val="115"/>
          <w:sz w:val="22"/>
        </w:rPr>
        <w:t>him</w:t>
      </w:r>
      <w:r>
        <w:rPr>
          <w:color w:val="4D4D4F"/>
          <w:spacing w:val="-15"/>
          <w:w w:val="115"/>
          <w:sz w:val="22"/>
        </w:rPr>
        <w:t> </w:t>
      </w:r>
      <w:r>
        <w:rPr>
          <w:color w:val="4D4D4F"/>
          <w:w w:val="115"/>
          <w:sz w:val="22"/>
        </w:rPr>
        <w:t>or</w:t>
      </w:r>
      <w:r>
        <w:rPr>
          <w:color w:val="4D4D4F"/>
          <w:spacing w:val="-15"/>
          <w:w w:val="115"/>
          <w:sz w:val="22"/>
        </w:rPr>
        <w:t> </w:t>
      </w:r>
      <w:r>
        <w:rPr>
          <w:color w:val="4D4D4F"/>
          <w:w w:val="115"/>
          <w:sz w:val="22"/>
        </w:rPr>
        <w:t>her</w:t>
      </w:r>
      <w:r>
        <w:rPr>
          <w:color w:val="4D4D4F"/>
          <w:spacing w:val="-15"/>
          <w:w w:val="115"/>
          <w:sz w:val="22"/>
        </w:rPr>
        <w:t> </w:t>
      </w:r>
      <w:r>
        <w:rPr>
          <w:color w:val="4D4D4F"/>
          <w:w w:val="115"/>
          <w:sz w:val="22"/>
        </w:rPr>
        <w:t>appropriately.</w:t>
      </w:r>
    </w:p>
    <w:p>
      <w:pPr>
        <w:pStyle w:val="ListParagraph"/>
        <w:numPr>
          <w:ilvl w:val="1"/>
          <w:numId w:val="29"/>
        </w:numPr>
        <w:tabs>
          <w:tab w:pos="716" w:val="left" w:leader="none"/>
        </w:tabs>
        <w:spacing w:line="247" w:lineRule="auto" w:before="26" w:after="0"/>
        <w:ind w:left="716" w:right="258" w:hanging="270"/>
        <w:jc w:val="left"/>
        <w:rPr>
          <w:rFonts w:ascii="Arial" w:hAnsi="Arial"/>
          <w:color w:val="137692"/>
          <w:sz w:val="24"/>
        </w:rPr>
      </w:pPr>
      <w:r>
        <w:rPr>
          <w:rFonts w:ascii="Calibri" w:hAnsi="Calibri"/>
          <w:b/>
          <w:color w:val="4D4D4F"/>
          <w:w w:val="115"/>
          <w:sz w:val="22"/>
        </w:rPr>
        <w:t>Assess for evidence of opioid with- drawal and physiological dependence. </w:t>
      </w:r>
      <w:r>
        <w:rPr>
          <w:color w:val="4D4D4F"/>
          <w:w w:val="115"/>
          <w:sz w:val="22"/>
        </w:rPr>
        <w:t>The Clinical Opioid Withdrawal Scale </w:t>
      </w:r>
      <w:r>
        <w:rPr>
          <w:color w:val="4D4D4F"/>
          <w:w w:val="110"/>
          <w:sz w:val="22"/>
        </w:rPr>
        <w:t>(COWS)</w:t>
      </w:r>
      <w:r>
        <w:rPr>
          <w:color w:val="4D4D4F"/>
          <w:spacing w:val="-31"/>
          <w:w w:val="110"/>
          <w:sz w:val="22"/>
        </w:rPr>
        <w:t> </w:t>
      </w:r>
      <w:r>
        <w:rPr>
          <w:color w:val="4D4D4F"/>
          <w:w w:val="110"/>
          <w:sz w:val="22"/>
        </w:rPr>
        <w:t>or</w:t>
      </w:r>
      <w:r>
        <w:rPr>
          <w:color w:val="4D4D4F"/>
          <w:spacing w:val="-30"/>
          <w:w w:val="110"/>
          <w:sz w:val="22"/>
        </w:rPr>
        <w:t> </w:t>
      </w:r>
      <w:r>
        <w:rPr>
          <w:color w:val="4D4D4F"/>
          <w:w w:val="110"/>
          <w:sz w:val="22"/>
        </w:rPr>
        <w:t>the</w:t>
      </w:r>
      <w:r>
        <w:rPr>
          <w:color w:val="4D4D4F"/>
          <w:spacing w:val="-31"/>
          <w:w w:val="110"/>
          <w:sz w:val="22"/>
        </w:rPr>
        <w:t> </w:t>
      </w:r>
      <w:r>
        <w:rPr>
          <w:color w:val="4D4D4F"/>
          <w:w w:val="110"/>
          <w:sz w:val="22"/>
        </w:rPr>
        <w:t>Clinical</w:t>
      </w:r>
      <w:r>
        <w:rPr>
          <w:color w:val="4D4D4F"/>
          <w:spacing w:val="-30"/>
          <w:w w:val="110"/>
          <w:sz w:val="22"/>
        </w:rPr>
        <w:t> </w:t>
      </w:r>
      <w:r>
        <w:rPr>
          <w:color w:val="4D4D4F"/>
          <w:w w:val="110"/>
          <w:sz w:val="22"/>
        </w:rPr>
        <w:t>Institute</w:t>
      </w:r>
      <w:r>
        <w:rPr>
          <w:color w:val="4D4D4F"/>
          <w:spacing w:val="-31"/>
          <w:w w:val="110"/>
          <w:sz w:val="22"/>
        </w:rPr>
        <w:t> </w:t>
      </w:r>
      <w:r>
        <w:rPr>
          <w:color w:val="4D4D4F"/>
          <w:w w:val="110"/>
          <w:sz w:val="22"/>
        </w:rPr>
        <w:t>Narcotic Assessment</w:t>
      </w:r>
      <w:r>
        <w:rPr>
          <w:color w:val="4D4D4F"/>
          <w:spacing w:val="-24"/>
          <w:w w:val="110"/>
          <w:sz w:val="22"/>
        </w:rPr>
        <w:t> </w:t>
      </w:r>
      <w:r>
        <w:rPr>
          <w:color w:val="4D4D4F"/>
          <w:w w:val="110"/>
          <w:sz w:val="22"/>
        </w:rPr>
        <w:t>(CINA)</w:t>
      </w:r>
      <w:r>
        <w:rPr>
          <w:color w:val="4D4D4F"/>
          <w:spacing w:val="-24"/>
          <w:w w:val="110"/>
          <w:sz w:val="22"/>
        </w:rPr>
        <w:t> </w:t>
      </w:r>
      <w:r>
        <w:rPr>
          <w:color w:val="4D4D4F"/>
          <w:w w:val="110"/>
          <w:sz w:val="22"/>
        </w:rPr>
        <w:t>Scale</w:t>
      </w:r>
      <w:r>
        <w:rPr>
          <w:color w:val="4D4D4F"/>
          <w:spacing w:val="-24"/>
          <w:w w:val="110"/>
          <w:sz w:val="22"/>
        </w:rPr>
        <w:t> </w:t>
      </w:r>
      <w:r>
        <w:rPr>
          <w:color w:val="4D4D4F"/>
          <w:w w:val="110"/>
          <w:sz w:val="22"/>
        </w:rPr>
        <w:t>for</w:t>
      </w:r>
      <w:r>
        <w:rPr>
          <w:color w:val="4D4D4F"/>
          <w:spacing w:val="-24"/>
          <w:w w:val="110"/>
          <w:sz w:val="22"/>
        </w:rPr>
        <w:t> </w:t>
      </w:r>
      <w:r>
        <w:rPr>
          <w:color w:val="4D4D4F"/>
          <w:w w:val="110"/>
          <w:sz w:val="22"/>
        </w:rPr>
        <w:t>Withdrawal </w:t>
      </w:r>
      <w:r>
        <w:rPr>
          <w:color w:val="4D4D4F"/>
          <w:w w:val="115"/>
          <w:sz w:val="22"/>
        </w:rPr>
        <w:t>Symptoms can be used to assess withdrawal signs (see “Resource Alert: Opioid</w:t>
      </w:r>
      <w:r>
        <w:rPr>
          <w:color w:val="4D4D4F"/>
          <w:spacing w:val="-39"/>
          <w:w w:val="115"/>
          <w:sz w:val="22"/>
        </w:rPr>
        <w:t> </w:t>
      </w:r>
      <w:r>
        <w:rPr>
          <w:color w:val="4D4D4F"/>
          <w:w w:val="115"/>
          <w:sz w:val="22"/>
        </w:rPr>
        <w:t>Withdrawal</w:t>
      </w:r>
      <w:r>
        <w:rPr>
          <w:color w:val="4D4D4F"/>
          <w:spacing w:val="-38"/>
          <w:w w:val="115"/>
          <w:sz w:val="22"/>
        </w:rPr>
        <w:t> </w:t>
      </w:r>
      <w:r>
        <w:rPr>
          <w:color w:val="4D4D4F"/>
          <w:w w:val="115"/>
          <w:sz w:val="22"/>
        </w:rPr>
        <w:t>Scales”).</w:t>
      </w:r>
      <w:r>
        <w:rPr>
          <w:color w:val="4D4D4F"/>
          <w:spacing w:val="-39"/>
          <w:w w:val="115"/>
          <w:sz w:val="22"/>
        </w:rPr>
        <w:t> </w:t>
      </w:r>
      <w:r>
        <w:rPr>
          <w:color w:val="4D4D4F"/>
          <w:w w:val="115"/>
          <w:sz w:val="22"/>
        </w:rPr>
        <w:t>The</w:t>
      </w:r>
      <w:r>
        <w:rPr>
          <w:color w:val="4D4D4F"/>
          <w:spacing w:val="-38"/>
          <w:w w:val="115"/>
          <w:sz w:val="22"/>
        </w:rPr>
        <w:t> </w:t>
      </w:r>
      <w:r>
        <w:rPr>
          <w:color w:val="4D4D4F"/>
          <w:w w:val="115"/>
          <w:sz w:val="22"/>
        </w:rPr>
        <w:t>patient should</w:t>
      </w:r>
      <w:r>
        <w:rPr>
          <w:color w:val="4D4D4F"/>
          <w:spacing w:val="-29"/>
          <w:w w:val="115"/>
          <w:sz w:val="22"/>
        </w:rPr>
        <w:t> </w:t>
      </w:r>
      <w:r>
        <w:rPr>
          <w:color w:val="4D4D4F"/>
          <w:w w:val="115"/>
          <w:sz w:val="22"/>
        </w:rPr>
        <w:t>exhibit</w:t>
      </w:r>
      <w:r>
        <w:rPr>
          <w:color w:val="4D4D4F"/>
          <w:spacing w:val="-28"/>
          <w:w w:val="115"/>
          <w:sz w:val="22"/>
        </w:rPr>
        <w:t> </w:t>
      </w:r>
      <w:r>
        <w:rPr>
          <w:color w:val="4D4D4F"/>
          <w:w w:val="115"/>
          <w:sz w:val="22"/>
        </w:rPr>
        <w:t>signs</w:t>
      </w:r>
      <w:r>
        <w:rPr>
          <w:color w:val="4D4D4F"/>
          <w:spacing w:val="-28"/>
          <w:w w:val="115"/>
          <w:sz w:val="22"/>
        </w:rPr>
        <w:t> </w:t>
      </w:r>
      <w:r>
        <w:rPr>
          <w:color w:val="4D4D4F"/>
          <w:w w:val="115"/>
          <w:sz w:val="22"/>
        </w:rPr>
        <w:t>of</w:t>
      </w:r>
      <w:r>
        <w:rPr>
          <w:color w:val="4D4D4F"/>
          <w:spacing w:val="-28"/>
          <w:w w:val="115"/>
          <w:sz w:val="22"/>
        </w:rPr>
        <w:t> </w:t>
      </w:r>
      <w:r>
        <w:rPr>
          <w:color w:val="4D4D4F"/>
          <w:w w:val="115"/>
          <w:sz w:val="22"/>
        </w:rPr>
        <w:t>opioid</w:t>
      </w:r>
      <w:r>
        <w:rPr>
          <w:color w:val="4D4D4F"/>
          <w:spacing w:val="-28"/>
          <w:w w:val="115"/>
          <w:sz w:val="22"/>
        </w:rPr>
        <w:t> </w:t>
      </w:r>
      <w:r>
        <w:rPr>
          <w:color w:val="4D4D4F"/>
          <w:w w:val="115"/>
          <w:sz w:val="22"/>
        </w:rPr>
        <w:t>withdrawal before</w:t>
      </w:r>
      <w:r>
        <w:rPr>
          <w:color w:val="4D4D4F"/>
          <w:spacing w:val="-29"/>
          <w:w w:val="115"/>
          <w:sz w:val="22"/>
        </w:rPr>
        <w:t> </w:t>
      </w:r>
      <w:r>
        <w:rPr>
          <w:color w:val="4D4D4F"/>
          <w:w w:val="115"/>
          <w:sz w:val="22"/>
        </w:rPr>
        <w:t>taking</w:t>
      </w:r>
      <w:r>
        <w:rPr>
          <w:color w:val="4D4D4F"/>
          <w:spacing w:val="-29"/>
          <w:w w:val="115"/>
          <w:sz w:val="22"/>
        </w:rPr>
        <w:t> </w:t>
      </w:r>
      <w:r>
        <w:rPr>
          <w:color w:val="4D4D4F"/>
          <w:w w:val="115"/>
          <w:sz w:val="22"/>
        </w:rPr>
        <w:t>the</w:t>
      </w:r>
      <w:r>
        <w:rPr>
          <w:color w:val="4D4D4F"/>
          <w:spacing w:val="-29"/>
          <w:w w:val="115"/>
          <w:sz w:val="22"/>
        </w:rPr>
        <w:t> </w:t>
      </w:r>
      <w:r>
        <w:rPr>
          <w:color w:val="4D4D4F"/>
          <w:w w:val="115"/>
          <w:sz w:val="22"/>
        </w:rPr>
        <w:t>ﬁrst</w:t>
      </w:r>
      <w:r>
        <w:rPr>
          <w:color w:val="4D4D4F"/>
          <w:spacing w:val="-28"/>
          <w:w w:val="115"/>
          <w:sz w:val="22"/>
        </w:rPr>
        <w:t> </w:t>
      </w:r>
      <w:r>
        <w:rPr>
          <w:color w:val="4D4D4F"/>
          <w:w w:val="115"/>
          <w:sz w:val="22"/>
        </w:rPr>
        <w:t>dose</w:t>
      </w:r>
      <w:r>
        <w:rPr>
          <w:color w:val="4D4D4F"/>
          <w:spacing w:val="-29"/>
          <w:w w:val="115"/>
          <w:sz w:val="22"/>
        </w:rPr>
        <w:t> </w:t>
      </w:r>
      <w:r>
        <w:rPr>
          <w:color w:val="4D4D4F"/>
          <w:w w:val="115"/>
          <w:sz w:val="22"/>
        </w:rPr>
        <w:t>of</w:t>
      </w:r>
      <w:r>
        <w:rPr>
          <w:color w:val="4D4D4F"/>
          <w:spacing w:val="-29"/>
          <w:w w:val="115"/>
          <w:sz w:val="22"/>
        </w:rPr>
        <w:t> </w:t>
      </w:r>
      <w:r>
        <w:rPr>
          <w:color w:val="4D4D4F"/>
          <w:w w:val="115"/>
          <w:sz w:val="22"/>
        </w:rPr>
        <w:t>buprenor- phine to avoid precipitated withdrawal. For example, the Risk Evaluation and Mitigation</w:t>
      </w:r>
      <w:r>
        <w:rPr>
          <w:color w:val="4D4D4F"/>
          <w:spacing w:val="-39"/>
          <w:w w:val="115"/>
          <w:sz w:val="22"/>
        </w:rPr>
        <w:t> </w:t>
      </w:r>
      <w:r>
        <w:rPr>
          <w:color w:val="4D4D4F"/>
          <w:w w:val="115"/>
          <w:sz w:val="22"/>
        </w:rPr>
        <w:t>Strategy</w:t>
      </w:r>
      <w:r>
        <w:rPr>
          <w:color w:val="4D4D4F"/>
          <w:spacing w:val="-38"/>
          <w:w w:val="115"/>
          <w:sz w:val="22"/>
        </w:rPr>
        <w:t> </w:t>
      </w:r>
      <w:r>
        <w:rPr>
          <w:color w:val="4D4D4F"/>
          <w:w w:val="115"/>
          <w:sz w:val="22"/>
        </w:rPr>
        <w:t>(REMS)</w:t>
      </w:r>
      <w:r>
        <w:rPr>
          <w:color w:val="4D4D4F"/>
          <w:spacing w:val="-38"/>
          <w:w w:val="115"/>
          <w:sz w:val="22"/>
        </w:rPr>
        <w:t> </w:t>
      </w:r>
      <w:r>
        <w:rPr>
          <w:color w:val="4D4D4F"/>
          <w:w w:val="115"/>
          <w:sz w:val="22"/>
        </w:rPr>
        <w:t>for</w:t>
      </w:r>
      <w:r>
        <w:rPr>
          <w:color w:val="4D4D4F"/>
          <w:spacing w:val="-38"/>
          <w:w w:val="115"/>
          <w:sz w:val="22"/>
        </w:rPr>
        <w:t> </w:t>
      </w:r>
      <w:r>
        <w:rPr>
          <w:color w:val="4D4D4F"/>
          <w:spacing w:val="-4"/>
          <w:w w:val="115"/>
          <w:sz w:val="22"/>
        </w:rPr>
        <w:t>buprenor-</w:t>
      </w:r>
    </w:p>
    <w:p>
      <w:pPr>
        <w:pStyle w:val="BodyText"/>
        <w:spacing w:line="247" w:lineRule="auto"/>
        <w:ind w:left="716" w:right="30"/>
      </w:pPr>
      <w:r>
        <w:rPr>
          <w:color w:val="4D4D4F"/>
          <w:w w:val="115"/>
        </w:rPr>
        <w:t>phine</w:t>
      </w:r>
      <w:r>
        <w:rPr>
          <w:color w:val="4D4D4F"/>
          <w:spacing w:val="-34"/>
          <w:w w:val="115"/>
        </w:rPr>
        <w:t> </w:t>
      </w:r>
      <w:r>
        <w:rPr>
          <w:color w:val="4D4D4F"/>
          <w:w w:val="115"/>
        </w:rPr>
        <w:t>indicates</w:t>
      </w:r>
      <w:r>
        <w:rPr>
          <w:color w:val="4D4D4F"/>
          <w:spacing w:val="-33"/>
          <w:w w:val="115"/>
        </w:rPr>
        <w:t> </w:t>
      </w:r>
      <w:r>
        <w:rPr>
          <w:color w:val="4D4D4F"/>
          <w:w w:val="115"/>
        </w:rPr>
        <w:t>that</w:t>
      </w:r>
      <w:r>
        <w:rPr>
          <w:color w:val="4D4D4F"/>
          <w:spacing w:val="-33"/>
          <w:w w:val="115"/>
        </w:rPr>
        <w:t> </w:t>
      </w:r>
      <w:r>
        <w:rPr>
          <w:color w:val="4D4D4F"/>
          <w:w w:val="115"/>
        </w:rPr>
        <w:t>a</w:t>
      </w:r>
      <w:r>
        <w:rPr>
          <w:color w:val="4D4D4F"/>
          <w:spacing w:val="-33"/>
          <w:w w:val="115"/>
        </w:rPr>
        <w:t> </w:t>
      </w:r>
      <w:r>
        <w:rPr>
          <w:color w:val="4D4D4F"/>
          <w:w w:val="115"/>
        </w:rPr>
        <w:t>COWS</w:t>
      </w:r>
      <w:r>
        <w:rPr>
          <w:color w:val="4D4D4F"/>
          <w:spacing w:val="-33"/>
          <w:w w:val="115"/>
        </w:rPr>
        <w:t> </w:t>
      </w:r>
      <w:r>
        <w:rPr>
          <w:color w:val="4D4D4F"/>
          <w:w w:val="115"/>
        </w:rPr>
        <w:t>score</w:t>
      </w:r>
      <w:r>
        <w:rPr>
          <w:color w:val="4D4D4F"/>
          <w:spacing w:val="-33"/>
          <w:w w:val="115"/>
        </w:rPr>
        <w:t> </w:t>
      </w:r>
      <w:r>
        <w:rPr>
          <w:color w:val="4D4D4F"/>
          <w:w w:val="115"/>
        </w:rPr>
        <w:t>of</w:t>
      </w:r>
      <w:r>
        <w:rPr>
          <w:color w:val="4D4D4F"/>
          <w:spacing w:val="-33"/>
          <w:w w:val="115"/>
        </w:rPr>
        <w:t> </w:t>
      </w:r>
      <w:r>
        <w:rPr>
          <w:color w:val="4D4D4F"/>
          <w:w w:val="115"/>
        </w:rPr>
        <w:t>12</w:t>
      </w:r>
      <w:r>
        <w:rPr>
          <w:color w:val="4D4D4F"/>
          <w:spacing w:val="-33"/>
          <w:w w:val="115"/>
        </w:rPr>
        <w:t> </w:t>
      </w:r>
      <w:r>
        <w:rPr>
          <w:color w:val="4D4D4F"/>
          <w:spacing w:val="-9"/>
          <w:w w:val="115"/>
        </w:rPr>
        <w:t>or </w:t>
      </w:r>
      <w:r>
        <w:rPr>
          <w:color w:val="4D4D4F"/>
          <w:w w:val="115"/>
        </w:rPr>
        <w:t>higher</w:t>
      </w:r>
      <w:r>
        <w:rPr>
          <w:color w:val="4D4D4F"/>
          <w:spacing w:val="-19"/>
          <w:w w:val="115"/>
        </w:rPr>
        <w:t> </w:t>
      </w:r>
      <w:r>
        <w:rPr>
          <w:color w:val="4D4D4F"/>
          <w:w w:val="115"/>
        </w:rPr>
        <w:t>is</w:t>
      </w:r>
      <w:r>
        <w:rPr>
          <w:color w:val="4D4D4F"/>
          <w:spacing w:val="-19"/>
          <w:w w:val="115"/>
        </w:rPr>
        <w:t> </w:t>
      </w:r>
      <w:r>
        <w:rPr>
          <w:color w:val="4D4D4F"/>
          <w:w w:val="115"/>
        </w:rPr>
        <w:t>typically</w:t>
      </w:r>
      <w:r>
        <w:rPr>
          <w:color w:val="4D4D4F"/>
          <w:spacing w:val="-19"/>
          <w:w w:val="115"/>
        </w:rPr>
        <w:t> </w:t>
      </w:r>
      <w:r>
        <w:rPr>
          <w:color w:val="4D4D4F"/>
          <w:w w:val="115"/>
        </w:rPr>
        <w:t>adequate</w:t>
      </w:r>
      <w:r>
        <w:rPr>
          <w:color w:val="4D4D4F"/>
          <w:spacing w:val="-19"/>
          <w:w w:val="115"/>
        </w:rPr>
        <w:t> </w:t>
      </w:r>
      <w:r>
        <w:rPr>
          <w:color w:val="4D4D4F"/>
          <w:w w:val="115"/>
        </w:rPr>
        <w:t>for</w:t>
      </w:r>
      <w:r>
        <w:rPr>
          <w:color w:val="4D4D4F"/>
          <w:spacing w:val="-18"/>
          <w:w w:val="115"/>
        </w:rPr>
        <w:t> </w:t>
      </w:r>
      <w:r>
        <w:rPr>
          <w:color w:val="4D4D4F"/>
          <w:w w:val="115"/>
        </w:rPr>
        <w:t>a</w:t>
      </w:r>
      <w:r>
        <w:rPr>
          <w:color w:val="4D4D4F"/>
          <w:spacing w:val="-19"/>
          <w:w w:val="115"/>
        </w:rPr>
        <w:t> </w:t>
      </w:r>
      <w:r>
        <w:rPr>
          <w:color w:val="4D4D4F"/>
          <w:w w:val="115"/>
        </w:rPr>
        <w:t>ﬁrst</w:t>
      </w:r>
      <w:r>
        <w:rPr>
          <w:color w:val="4D4D4F"/>
          <w:spacing w:val="-19"/>
          <w:w w:val="115"/>
        </w:rPr>
        <w:t> </w:t>
      </w:r>
      <w:r>
        <w:rPr>
          <w:color w:val="4D4D4F"/>
          <w:w w:val="115"/>
        </w:rPr>
        <w:t>dose. Conﬁrming opioid withdrawal suggests that</w:t>
      </w:r>
      <w:r>
        <w:rPr>
          <w:color w:val="4D4D4F"/>
          <w:spacing w:val="-13"/>
          <w:w w:val="115"/>
        </w:rPr>
        <w:t> </w:t>
      </w:r>
      <w:r>
        <w:rPr>
          <w:color w:val="4D4D4F"/>
          <w:w w:val="115"/>
        </w:rPr>
        <w:t>the</w:t>
      </w:r>
      <w:r>
        <w:rPr>
          <w:color w:val="4D4D4F"/>
          <w:spacing w:val="-13"/>
          <w:w w:val="115"/>
        </w:rPr>
        <w:t> </w:t>
      </w:r>
      <w:r>
        <w:rPr>
          <w:color w:val="4D4D4F"/>
          <w:w w:val="115"/>
        </w:rPr>
        <w:t>patient</w:t>
      </w:r>
      <w:r>
        <w:rPr>
          <w:color w:val="4D4D4F"/>
          <w:spacing w:val="-13"/>
          <w:w w:val="115"/>
        </w:rPr>
        <w:t> </w:t>
      </w:r>
      <w:r>
        <w:rPr>
          <w:color w:val="4D4D4F"/>
          <w:w w:val="115"/>
        </w:rPr>
        <w:t>is</w:t>
      </w:r>
      <w:r>
        <w:rPr>
          <w:color w:val="4D4D4F"/>
          <w:spacing w:val="-13"/>
          <w:w w:val="115"/>
        </w:rPr>
        <w:t> </w:t>
      </w:r>
      <w:r>
        <w:rPr>
          <w:color w:val="4D4D4F"/>
          <w:w w:val="115"/>
        </w:rPr>
        <w:t>physically</w:t>
      </w:r>
      <w:r>
        <w:rPr>
          <w:color w:val="4D4D4F"/>
          <w:spacing w:val="-13"/>
          <w:w w:val="115"/>
        </w:rPr>
        <w:t> </w:t>
      </w:r>
      <w:r>
        <w:rPr>
          <w:color w:val="4D4D4F"/>
          <w:w w:val="115"/>
        </w:rPr>
        <w:t>dependent</w:t>
      </w:r>
    </w:p>
    <w:p>
      <w:pPr>
        <w:pStyle w:val="BodyText"/>
        <w:spacing w:line="247" w:lineRule="auto"/>
        <w:ind w:left="716" w:right="30"/>
      </w:pPr>
      <w:r>
        <w:rPr>
          <w:color w:val="4D4D4F"/>
          <w:w w:val="110"/>
        </w:rPr>
        <w:t>on opioids and can begin induction with a typical 2 mg/0.5 mg or 4 mg/1 mg bu- prenorphine/naloxone dose.</w:t>
      </w:r>
    </w:p>
    <w:p>
      <w:pPr>
        <w:pStyle w:val="Heading7"/>
        <w:numPr>
          <w:ilvl w:val="0"/>
          <w:numId w:val="29"/>
        </w:numPr>
        <w:tabs>
          <w:tab w:pos="410" w:val="left" w:leader="none"/>
        </w:tabs>
        <w:spacing w:line="313" w:lineRule="exact" w:before="73" w:after="0"/>
        <w:ind w:left="410" w:right="0" w:hanging="270"/>
        <w:jc w:val="left"/>
        <w:rPr>
          <w:rFonts w:ascii="Arial" w:hAnsi="Arial"/>
          <w:color w:val="137692"/>
          <w:sz w:val="28"/>
        </w:rPr>
      </w:pPr>
      <w:r>
        <w:rPr>
          <w:color w:val="4D4D4F"/>
          <w:w w:val="115"/>
        </w:rPr>
        <w:t>Obtain laboratory</w:t>
      </w:r>
      <w:r>
        <w:rPr>
          <w:color w:val="4D4D4F"/>
          <w:spacing w:val="14"/>
          <w:w w:val="115"/>
        </w:rPr>
        <w:t> </w:t>
      </w:r>
      <w:r>
        <w:rPr>
          <w:color w:val="4D4D4F"/>
          <w:w w:val="115"/>
        </w:rPr>
        <w:t>tests.</w:t>
      </w:r>
    </w:p>
    <w:p>
      <w:pPr>
        <w:pStyle w:val="ListParagraph"/>
        <w:numPr>
          <w:ilvl w:val="1"/>
          <w:numId w:val="29"/>
        </w:numPr>
        <w:tabs>
          <w:tab w:pos="716" w:val="left" w:leader="none"/>
        </w:tabs>
        <w:spacing w:line="247" w:lineRule="auto" w:before="0" w:after="0"/>
        <w:ind w:left="716" w:right="49" w:hanging="270"/>
        <w:jc w:val="left"/>
        <w:rPr>
          <w:rFonts w:ascii="Arial" w:hAnsi="Arial"/>
          <w:color w:val="137692"/>
          <w:sz w:val="24"/>
        </w:rPr>
      </w:pPr>
      <w:r>
        <w:rPr>
          <w:rFonts w:ascii="Calibri" w:hAnsi="Calibri"/>
          <w:b/>
          <w:color w:val="4D4D4F"/>
          <w:w w:val="110"/>
          <w:sz w:val="22"/>
        </w:rPr>
        <w:t>Conduct drug and alcohol tests. </w:t>
      </w:r>
      <w:r>
        <w:rPr>
          <w:color w:val="4D4D4F"/>
          <w:w w:val="110"/>
          <w:sz w:val="22"/>
        </w:rPr>
        <w:t>Use reliable urine tests for opioids (including morphine, methadone,  buprenorphine, and oxycodone),  benzodiazepines, cocaine, and other drugs commonly used in the area. Use a breathalyzer to estimate the patient’s blood alcohol content. Do </w:t>
      </w:r>
      <w:r>
        <w:rPr>
          <w:color w:val="4D4D4F"/>
          <w:spacing w:val="-6"/>
          <w:w w:val="110"/>
          <w:sz w:val="22"/>
        </w:rPr>
        <w:t>not </w:t>
      </w:r>
      <w:r>
        <w:rPr>
          <w:color w:val="4D4D4F"/>
          <w:w w:val="110"/>
          <w:sz w:val="22"/>
        </w:rPr>
        <w:t>provide buprenorphine until the alcohol reading is considerably below the legal level of alcohol</w:t>
      </w:r>
      <w:r>
        <w:rPr>
          <w:color w:val="4D4D4F"/>
          <w:spacing w:val="-16"/>
          <w:w w:val="110"/>
          <w:sz w:val="22"/>
        </w:rPr>
        <w:t> </w:t>
      </w:r>
      <w:r>
        <w:rPr>
          <w:color w:val="4D4D4F"/>
          <w:w w:val="110"/>
          <w:sz w:val="22"/>
        </w:rPr>
        <w:t>intoxication.</w:t>
      </w:r>
    </w:p>
    <w:p>
      <w:pPr>
        <w:pStyle w:val="ListParagraph"/>
        <w:numPr>
          <w:ilvl w:val="1"/>
          <w:numId w:val="29"/>
        </w:numPr>
        <w:tabs>
          <w:tab w:pos="716" w:val="left" w:leader="none"/>
        </w:tabs>
        <w:spacing w:line="244" w:lineRule="auto" w:before="17" w:after="0"/>
        <w:ind w:left="716" w:right="54" w:hanging="270"/>
        <w:jc w:val="left"/>
        <w:rPr>
          <w:rFonts w:ascii="Arial" w:hAnsi="Arial"/>
          <w:color w:val="137692"/>
          <w:sz w:val="24"/>
        </w:rPr>
      </w:pPr>
      <w:r>
        <w:rPr>
          <w:rFonts w:ascii="Calibri" w:hAnsi="Calibri"/>
          <w:b/>
          <w:color w:val="4D4D4F"/>
          <w:w w:val="110"/>
          <w:sz w:val="22"/>
        </w:rPr>
        <w:t>Conduct a pregnancy test. </w:t>
      </w:r>
      <w:r>
        <w:rPr>
          <w:color w:val="4D4D4F"/>
          <w:w w:val="110"/>
          <w:sz w:val="22"/>
        </w:rPr>
        <w:t>Transmucosal buprenorphine or methadone maintenance treatment is recommended for</w:t>
      </w:r>
      <w:r>
        <w:rPr>
          <w:color w:val="4D4D4F"/>
          <w:spacing w:val="-38"/>
          <w:w w:val="110"/>
          <w:sz w:val="22"/>
        </w:rPr>
        <w:t> </w:t>
      </w:r>
      <w:r>
        <w:rPr>
          <w:color w:val="4D4D4F"/>
          <w:w w:val="110"/>
          <w:sz w:val="22"/>
        </w:rPr>
        <w:t>OUD</w:t>
      </w:r>
    </w:p>
    <w:p>
      <w:pPr>
        <w:pStyle w:val="BodyText"/>
        <w:spacing w:before="3"/>
        <w:ind w:left="716"/>
      </w:pPr>
      <w:r>
        <w:rPr>
          <w:color w:val="4D4D4F"/>
          <w:w w:val="115"/>
        </w:rPr>
        <w:t>in pregnancy.</w:t>
      </w:r>
      <w:r>
        <w:rPr>
          <w:color w:val="4D4D4F"/>
          <w:w w:val="115"/>
          <w:position w:val="7"/>
          <w:sz w:val="13"/>
        </w:rPr>
        <w:t>311 </w:t>
      </w:r>
      <w:r>
        <w:rPr>
          <w:color w:val="4D4D4F"/>
          <w:w w:val="115"/>
        </w:rPr>
        <w:t>There are limited data</w:t>
      </w:r>
    </w:p>
    <w:p>
      <w:pPr>
        <w:pStyle w:val="BodyText"/>
        <w:spacing w:line="247" w:lineRule="auto" w:before="113"/>
        <w:ind w:left="410" w:right="156"/>
      </w:pPr>
      <w:r>
        <w:rPr/>
        <w:br w:type="column"/>
      </w:r>
      <w:r>
        <w:rPr>
          <w:color w:val="4D4D4F"/>
          <w:w w:val="110"/>
        </w:rPr>
        <w:t>regarding use in pregnant women with OUD with the buprenorphine implants and with the extended-release injection for- mulation. If buprenorphine is used during pregnancy, it should generally be trans- mucosal monoproduct.</w:t>
      </w:r>
      <w:r>
        <w:rPr>
          <w:color w:val="4D4D4F"/>
          <w:w w:val="110"/>
          <w:position w:val="7"/>
          <w:sz w:val="13"/>
        </w:rPr>
        <w:t>312 </w:t>
      </w:r>
      <w:r>
        <w:rPr>
          <w:color w:val="4D4D4F"/>
          <w:w w:val="110"/>
        </w:rPr>
        <w:t>Refer pregnant patients to prenatal care.</w:t>
      </w:r>
    </w:p>
    <w:p>
      <w:pPr>
        <w:pStyle w:val="BodyText"/>
        <w:spacing w:line="247" w:lineRule="auto" w:before="31"/>
        <w:ind w:left="410" w:right="442" w:hanging="270"/>
      </w:pPr>
      <w:r>
        <w:rPr>
          <w:rFonts w:ascii="Arial" w:hAnsi="Arial"/>
          <w:color w:val="137692"/>
          <w:w w:val="145"/>
          <w:sz w:val="24"/>
        </w:rPr>
        <w:t>- </w:t>
      </w:r>
      <w:r>
        <w:rPr>
          <w:rFonts w:ascii="Calibri" w:hAnsi="Calibri"/>
          <w:b/>
          <w:color w:val="4D4D4F"/>
          <w:w w:val="110"/>
        </w:rPr>
        <w:t>Assess liver function. </w:t>
      </w:r>
      <w:r>
        <w:rPr>
          <w:color w:val="4D4D4F"/>
          <w:w w:val="110"/>
        </w:rPr>
        <w:t>If possible, </w:t>
      </w:r>
      <w:r>
        <w:rPr>
          <w:color w:val="4D4D4F"/>
          <w:spacing w:val="-3"/>
          <w:w w:val="110"/>
        </w:rPr>
        <w:t>obtain </w:t>
      </w:r>
      <w:r>
        <w:rPr>
          <w:color w:val="4D4D4F"/>
          <w:w w:val="110"/>
        </w:rPr>
        <w:t>liver function tests, but do not wait for results before starting transmucosal buprenorphine treatment. A  patient with chronic hepatitis can receive OUD treatment with buprenorphine. Discuss risks and beneﬁts if the patient’s liver enzymes are at or above ﬁve times the normal level and monitor liver function during treatment. Patients with transam- inase levels less than ﬁve times normal levels, including patients with  hepatitis C virus, appear to tolerate buprenor- phine well.</w:t>
      </w:r>
      <w:r>
        <w:rPr>
          <w:color w:val="4D4D4F"/>
          <w:w w:val="110"/>
          <w:position w:val="7"/>
          <w:sz w:val="13"/>
        </w:rPr>
        <w:t>313,314 </w:t>
      </w:r>
      <w:r>
        <w:rPr>
          <w:color w:val="4D4D4F"/>
          <w:w w:val="110"/>
        </w:rPr>
        <w:t>Exhibit 3D.2 gives more information about hepatic</w:t>
      </w:r>
      <w:r>
        <w:rPr>
          <w:color w:val="4D4D4F"/>
          <w:spacing w:val="4"/>
          <w:w w:val="110"/>
        </w:rPr>
        <w:t> </w:t>
      </w:r>
      <w:r>
        <w:rPr>
          <w:color w:val="4D4D4F"/>
          <w:w w:val="110"/>
        </w:rPr>
        <w:t>impairment</w:t>
      </w:r>
    </w:p>
    <w:p>
      <w:pPr>
        <w:pStyle w:val="Heading7"/>
        <w:spacing w:line="235" w:lineRule="auto" w:before="8"/>
        <w:ind w:left="410" w:right="156"/>
      </w:pPr>
      <w:r>
        <w:rPr/>
        <w:pict>
          <v:group style="position:absolute;margin-left:315.001007pt;margin-top:90.604454pt;width:243.5pt;height:249.2pt;mso-position-horizontal-relative:page;mso-position-vertical-relative:paragraph;z-index:15763968" coordorigin="6300,1812" coordsize="4870,4984">
            <v:rect style="position:absolute;left:6305;top:1817;width:4860;height:4974" filled="false" stroked="true" strokeweight=".5pt" strokecolor="#88aabd">
              <v:stroke dashstyle="solid"/>
            </v:rect>
            <v:shape style="position:absolute;left:6310;top:2409;width:4850;height:4377" type="#_x0000_t202" filled="false" stroked="false">
              <v:textbox inset="0,0,0,0">
                <w:txbxContent>
                  <w:p>
                    <w:pPr>
                      <w:spacing w:before="59"/>
                      <w:ind w:left="230" w:right="0" w:firstLine="0"/>
                      <w:jc w:val="left"/>
                      <w:rPr>
                        <w:rFonts w:ascii="Arial"/>
                        <w:b/>
                        <w:sz w:val="24"/>
                      </w:rPr>
                    </w:pPr>
                    <w:r>
                      <w:rPr>
                        <w:rFonts w:ascii="Arial"/>
                        <w:b/>
                        <w:color w:val="137692"/>
                        <w:w w:val="110"/>
                        <w:sz w:val="24"/>
                      </w:rPr>
                      <w:t>Opioid Withdrawal Scales</w:t>
                    </w:r>
                  </w:p>
                  <w:p>
                    <w:pPr>
                      <w:spacing w:line="348" w:lineRule="auto" w:before="198"/>
                      <w:ind w:left="230" w:right="619" w:firstLine="0"/>
                      <w:jc w:val="left"/>
                      <w:rPr>
                        <w:rFonts w:ascii="Arial" w:hAnsi="Arial"/>
                        <w:i/>
                        <w:sz w:val="18"/>
                      </w:rPr>
                    </w:pPr>
                    <w:r>
                      <w:rPr>
                        <w:rFonts w:ascii="Arial" w:hAnsi="Arial"/>
                        <w:color w:val="414142"/>
                        <w:w w:val="115"/>
                        <w:sz w:val="18"/>
                      </w:rPr>
                      <w:t>The COWS and other opioid withdrawal scales can be downloaded from Annex 10 of WHO’s </w:t>
                    </w:r>
                    <w:r>
                      <w:rPr>
                        <w:rFonts w:ascii="Arial" w:hAnsi="Arial"/>
                        <w:i/>
                        <w:color w:val="414142"/>
                        <w:w w:val="115"/>
                        <w:sz w:val="18"/>
                      </w:rPr>
                      <w:t>Guidelines for the Psychosocially</w:t>
                    </w:r>
                  </w:p>
                  <w:p>
                    <w:pPr>
                      <w:spacing w:line="348" w:lineRule="auto" w:before="0"/>
                      <w:ind w:left="230" w:right="298" w:firstLine="0"/>
                      <w:jc w:val="left"/>
                      <w:rPr>
                        <w:rFonts w:ascii="Arial"/>
                        <w:sz w:val="18"/>
                      </w:rPr>
                    </w:pPr>
                    <w:r>
                      <w:rPr>
                        <w:rFonts w:ascii="Arial"/>
                        <w:i/>
                        <w:color w:val="414142"/>
                        <w:w w:val="120"/>
                        <w:sz w:val="18"/>
                      </w:rPr>
                      <w:t>Assisted</w:t>
                    </w:r>
                    <w:r>
                      <w:rPr>
                        <w:rFonts w:ascii="Arial"/>
                        <w:i/>
                        <w:color w:val="414142"/>
                        <w:spacing w:val="-36"/>
                        <w:w w:val="120"/>
                        <w:sz w:val="18"/>
                      </w:rPr>
                      <w:t> </w:t>
                    </w:r>
                    <w:r>
                      <w:rPr>
                        <w:rFonts w:ascii="Arial"/>
                        <w:i/>
                        <w:color w:val="414142"/>
                        <w:w w:val="120"/>
                        <w:sz w:val="18"/>
                      </w:rPr>
                      <w:t>Pharmacological</w:t>
                    </w:r>
                    <w:r>
                      <w:rPr>
                        <w:rFonts w:ascii="Arial"/>
                        <w:i/>
                        <w:color w:val="414142"/>
                        <w:spacing w:val="-35"/>
                        <w:w w:val="120"/>
                        <w:sz w:val="18"/>
                      </w:rPr>
                      <w:t> </w:t>
                    </w:r>
                    <w:r>
                      <w:rPr>
                        <w:rFonts w:ascii="Arial"/>
                        <w:i/>
                        <w:color w:val="414142"/>
                        <w:w w:val="120"/>
                        <w:sz w:val="18"/>
                      </w:rPr>
                      <w:t>Treatment</w:t>
                    </w:r>
                    <w:r>
                      <w:rPr>
                        <w:rFonts w:ascii="Arial"/>
                        <w:i/>
                        <w:color w:val="414142"/>
                        <w:spacing w:val="-35"/>
                        <w:w w:val="120"/>
                        <w:sz w:val="18"/>
                      </w:rPr>
                      <w:t> </w:t>
                    </w:r>
                    <w:r>
                      <w:rPr>
                        <w:rFonts w:ascii="Arial"/>
                        <w:i/>
                        <w:color w:val="414142"/>
                        <w:w w:val="120"/>
                        <w:sz w:val="18"/>
                      </w:rPr>
                      <w:t>of</w:t>
                    </w:r>
                    <w:r>
                      <w:rPr>
                        <w:rFonts w:ascii="Arial"/>
                        <w:i/>
                        <w:color w:val="414142"/>
                        <w:spacing w:val="-35"/>
                        <w:w w:val="120"/>
                        <w:sz w:val="18"/>
                      </w:rPr>
                      <w:t> </w:t>
                    </w:r>
                    <w:r>
                      <w:rPr>
                        <w:rFonts w:ascii="Arial"/>
                        <w:i/>
                        <w:color w:val="414142"/>
                        <w:w w:val="120"/>
                        <w:sz w:val="18"/>
                      </w:rPr>
                      <w:t>Opioid </w:t>
                    </w:r>
                    <w:r>
                      <w:rPr>
                        <w:rFonts w:ascii="Arial"/>
                        <w:i/>
                        <w:color w:val="414142"/>
                        <w:w w:val="120"/>
                        <w:sz w:val="18"/>
                      </w:rPr>
                      <w:t>Dependence </w:t>
                    </w:r>
                    <w:r>
                      <w:rPr>
                        <w:rFonts w:ascii="Arial"/>
                        <w:color w:val="414142"/>
                        <w:spacing w:val="2"/>
                        <w:w w:val="120"/>
                        <w:sz w:val="18"/>
                      </w:rPr>
                      <w:t>from </w:t>
                    </w:r>
                    <w:r>
                      <w:rPr>
                        <w:rFonts w:ascii="Arial"/>
                        <w:color w:val="414142"/>
                        <w:w w:val="120"/>
                        <w:sz w:val="18"/>
                      </w:rPr>
                      <w:t>the National Center for Biotechnology</w:t>
                    </w:r>
                    <w:r>
                      <w:rPr>
                        <w:rFonts w:ascii="Arial"/>
                        <w:color w:val="414142"/>
                        <w:spacing w:val="-27"/>
                        <w:w w:val="120"/>
                        <w:sz w:val="18"/>
                      </w:rPr>
                      <w:t> </w:t>
                    </w:r>
                    <w:r>
                      <w:rPr>
                        <w:rFonts w:ascii="Arial"/>
                        <w:color w:val="414142"/>
                        <w:w w:val="120"/>
                        <w:sz w:val="18"/>
                      </w:rPr>
                      <w:t>Information</w:t>
                    </w:r>
                    <w:r>
                      <w:rPr>
                        <w:rFonts w:ascii="Arial"/>
                        <w:color w:val="414142"/>
                        <w:spacing w:val="-27"/>
                        <w:w w:val="120"/>
                        <w:sz w:val="18"/>
                      </w:rPr>
                      <w:t> </w:t>
                    </w:r>
                    <w:r>
                      <w:rPr>
                        <w:rFonts w:ascii="Arial"/>
                        <w:color w:val="414142"/>
                        <w:w w:val="120"/>
                        <w:sz w:val="18"/>
                      </w:rPr>
                      <w:t>website</w:t>
                    </w:r>
                    <w:r>
                      <w:rPr>
                        <w:rFonts w:ascii="Arial"/>
                        <w:color w:val="414142"/>
                        <w:spacing w:val="-26"/>
                        <w:w w:val="120"/>
                        <w:sz w:val="18"/>
                      </w:rPr>
                      <w:t> </w:t>
                    </w:r>
                    <w:r>
                      <w:rPr>
                        <w:rFonts w:ascii="Arial"/>
                        <w:color w:val="414142"/>
                        <w:w w:val="120"/>
                        <w:sz w:val="18"/>
                      </w:rPr>
                      <w:t>(</w:t>
                    </w:r>
                    <w:r>
                      <w:rPr>
                        <w:rFonts w:ascii="Arial"/>
                        <w:color w:val="3B68A6"/>
                        <w:w w:val="120"/>
                        <w:sz w:val="18"/>
                        <w:u w:val="single" w:color="3B68A6"/>
                      </w:rPr>
                      <w:t>www.ncbi</w:t>
                    </w:r>
                  </w:p>
                  <w:p>
                    <w:pPr>
                      <w:spacing w:before="0"/>
                      <w:ind w:left="230" w:right="0" w:firstLine="0"/>
                      <w:jc w:val="left"/>
                      <w:rPr>
                        <w:rFonts w:ascii="Arial"/>
                        <w:sz w:val="18"/>
                      </w:rPr>
                    </w:pPr>
                    <w:r>
                      <w:rPr>
                        <w:rFonts w:ascii="Arial"/>
                        <w:color w:val="3B68A6"/>
                        <w:w w:val="110"/>
                        <w:sz w:val="18"/>
                        <w:u w:val="single" w:color="3B68A6"/>
                      </w:rPr>
                      <w:t>.nlm.nih.gov/books/NBK143183</w:t>
                    </w:r>
                    <w:r>
                      <w:rPr>
                        <w:rFonts w:ascii="Arial"/>
                        <w:color w:val="414142"/>
                        <w:w w:val="110"/>
                        <w:sz w:val="18"/>
                      </w:rPr>
                      <w:t>).</w:t>
                    </w:r>
                  </w:p>
                  <w:p>
                    <w:pPr>
                      <w:spacing w:line="240" w:lineRule="auto" w:before="7"/>
                      <w:rPr>
                        <w:rFonts w:ascii="Arial"/>
                        <w:sz w:val="20"/>
                      </w:rPr>
                    </w:pPr>
                  </w:p>
                  <w:p>
                    <w:pPr>
                      <w:spacing w:line="348" w:lineRule="auto" w:before="0"/>
                      <w:ind w:left="230" w:right="584" w:firstLine="0"/>
                      <w:jc w:val="left"/>
                      <w:rPr>
                        <w:rFonts w:ascii="Arial"/>
                        <w:sz w:val="18"/>
                      </w:rPr>
                    </w:pPr>
                    <w:r>
                      <w:rPr>
                        <w:rFonts w:ascii="Arial"/>
                        <w:color w:val="414142"/>
                        <w:w w:val="115"/>
                        <w:sz w:val="18"/>
                      </w:rPr>
                      <w:t>The</w:t>
                    </w:r>
                    <w:r>
                      <w:rPr>
                        <w:rFonts w:ascii="Arial"/>
                        <w:color w:val="414142"/>
                        <w:spacing w:val="-16"/>
                        <w:w w:val="115"/>
                        <w:sz w:val="18"/>
                      </w:rPr>
                      <w:t> </w:t>
                    </w:r>
                    <w:r>
                      <w:rPr>
                        <w:rFonts w:ascii="Arial"/>
                        <w:color w:val="414142"/>
                        <w:w w:val="115"/>
                        <w:sz w:val="18"/>
                      </w:rPr>
                      <w:t>CINA</w:t>
                    </w:r>
                    <w:r>
                      <w:rPr>
                        <w:rFonts w:ascii="Arial"/>
                        <w:color w:val="414142"/>
                        <w:spacing w:val="-15"/>
                        <w:w w:val="115"/>
                        <w:sz w:val="18"/>
                      </w:rPr>
                      <w:t> </w:t>
                    </w:r>
                    <w:r>
                      <w:rPr>
                        <w:rFonts w:ascii="Arial"/>
                        <w:color w:val="414142"/>
                        <w:w w:val="115"/>
                        <w:sz w:val="18"/>
                      </w:rPr>
                      <w:t>Scale</w:t>
                    </w:r>
                    <w:r>
                      <w:rPr>
                        <w:rFonts w:ascii="Arial"/>
                        <w:color w:val="414142"/>
                        <w:spacing w:val="-15"/>
                        <w:w w:val="115"/>
                        <w:sz w:val="18"/>
                      </w:rPr>
                      <w:t> </w:t>
                    </w:r>
                    <w:r>
                      <w:rPr>
                        <w:rFonts w:ascii="Arial"/>
                        <w:color w:val="414142"/>
                        <w:w w:val="115"/>
                        <w:sz w:val="18"/>
                      </w:rPr>
                      <w:t>for</w:t>
                    </w:r>
                    <w:r>
                      <w:rPr>
                        <w:rFonts w:ascii="Arial"/>
                        <w:color w:val="414142"/>
                        <w:spacing w:val="-15"/>
                        <w:w w:val="115"/>
                        <w:sz w:val="18"/>
                      </w:rPr>
                      <w:t> </w:t>
                    </w:r>
                    <w:r>
                      <w:rPr>
                        <w:rFonts w:ascii="Arial"/>
                        <w:color w:val="414142"/>
                        <w:w w:val="115"/>
                        <w:sz w:val="18"/>
                      </w:rPr>
                      <w:t>Withdrawal</w:t>
                    </w:r>
                    <w:r>
                      <w:rPr>
                        <w:rFonts w:ascii="Arial"/>
                        <w:color w:val="414142"/>
                        <w:spacing w:val="-15"/>
                        <w:w w:val="115"/>
                        <w:sz w:val="18"/>
                      </w:rPr>
                      <w:t> </w:t>
                    </w:r>
                    <w:r>
                      <w:rPr>
                        <w:rFonts w:ascii="Arial"/>
                        <w:color w:val="414142"/>
                        <w:w w:val="115"/>
                        <w:sz w:val="18"/>
                      </w:rPr>
                      <w:t>Symptoms</w:t>
                    </w:r>
                    <w:r>
                      <w:rPr>
                        <w:rFonts w:ascii="Arial"/>
                        <w:color w:val="414142"/>
                        <w:spacing w:val="-15"/>
                        <w:w w:val="115"/>
                        <w:sz w:val="18"/>
                      </w:rPr>
                      <w:t> </w:t>
                    </w:r>
                    <w:r>
                      <w:rPr>
                        <w:rFonts w:ascii="Arial"/>
                        <w:color w:val="414142"/>
                        <w:w w:val="115"/>
                        <w:sz w:val="18"/>
                      </w:rPr>
                      <w:t>is also available online</w:t>
                    </w:r>
                    <w:r>
                      <w:rPr>
                        <w:rFonts w:ascii="Arial"/>
                        <w:color w:val="414142"/>
                        <w:spacing w:val="-25"/>
                        <w:w w:val="115"/>
                        <w:sz w:val="18"/>
                      </w:rPr>
                      <w:t> </w:t>
                    </w:r>
                    <w:r>
                      <w:rPr>
                        <w:rFonts w:ascii="Arial"/>
                        <w:color w:val="414142"/>
                        <w:w w:val="115"/>
                        <w:sz w:val="18"/>
                      </w:rPr>
                      <w:t>(</w:t>
                    </w:r>
                    <w:hyperlink r:id="rId52">
                      <w:r>
                        <w:rPr>
                          <w:rFonts w:ascii="Arial"/>
                          <w:color w:val="3B68A6"/>
                          <w:w w:val="115"/>
                          <w:sz w:val="18"/>
                          <w:u w:val="single" w:color="3B68A6"/>
                        </w:rPr>
                        <w:t>www.ncpoep.org/wp</w:t>
                      </w:r>
                    </w:hyperlink>
                  </w:p>
                  <w:p>
                    <w:pPr>
                      <w:spacing w:before="0"/>
                      <w:ind w:left="230" w:right="0" w:firstLine="0"/>
                      <w:jc w:val="left"/>
                      <w:rPr>
                        <w:rFonts w:ascii="Arial"/>
                        <w:sz w:val="18"/>
                      </w:rPr>
                    </w:pPr>
                    <w:r>
                      <w:rPr>
                        <w:rFonts w:ascii="Arial"/>
                        <w:color w:val="3B68A6"/>
                        <w:w w:val="115"/>
                        <w:sz w:val="18"/>
                        <w:u w:val="single" w:color="3B68A6"/>
                      </w:rPr>
                      <w:t>-content/uploads/2015/02/Appendix_7_Clinical</w:t>
                    </w:r>
                  </w:p>
                  <w:p>
                    <w:pPr>
                      <w:spacing w:before="93"/>
                      <w:ind w:left="230" w:right="0" w:firstLine="0"/>
                      <w:jc w:val="left"/>
                      <w:rPr>
                        <w:rFonts w:ascii="Arial"/>
                        <w:sz w:val="18"/>
                      </w:rPr>
                    </w:pPr>
                    <w:r>
                      <w:rPr>
                        <w:rFonts w:ascii="Arial"/>
                        <w:color w:val="3B68A6"/>
                        <w:w w:val="110"/>
                        <w:sz w:val="18"/>
                        <w:u w:val="single" w:color="3B68A6"/>
                      </w:rPr>
                      <w:t>_Institute_Narcotic_Assessment_CINA_Scale</w:t>
                    </w:r>
                  </w:p>
                  <w:p>
                    <w:pPr>
                      <w:spacing w:before="93"/>
                      <w:ind w:left="230" w:right="0" w:firstLine="0"/>
                      <w:jc w:val="left"/>
                      <w:rPr>
                        <w:rFonts w:ascii="Arial"/>
                        <w:sz w:val="18"/>
                      </w:rPr>
                    </w:pPr>
                    <w:r>
                      <w:rPr>
                        <w:rFonts w:ascii="Arial"/>
                        <w:color w:val="3B68A6"/>
                        <w:w w:val="115"/>
                        <w:sz w:val="18"/>
                        <w:u w:val="single" w:color="3B68A6"/>
                      </w:rPr>
                      <w:t>_for_Withdrawal_Symptoms.pdf</w:t>
                    </w:r>
                    <w:r>
                      <w:rPr>
                        <w:rFonts w:ascii="Arial"/>
                        <w:color w:val="414142"/>
                        <w:w w:val="115"/>
                        <w:sz w:val="18"/>
                      </w:rPr>
                      <w:t>).</w:t>
                    </w:r>
                  </w:p>
                </w:txbxContent>
              </v:textbox>
              <w10:wrap type="none"/>
            </v:shape>
            <v:shape style="position:absolute;left:6310;top:1822;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none"/>
          </v:group>
        </w:pict>
      </w:r>
      <w:r>
        <w:rPr>
          <w:rFonts w:ascii="Gill Sans MT"/>
          <w:b w:val="0"/>
          <w:color w:val="4D4D4F"/>
          <w:w w:val="115"/>
        </w:rPr>
        <w:t>and buprenorphine. </w:t>
      </w:r>
      <w:r>
        <w:rPr>
          <w:color w:val="4D4D4F"/>
          <w:w w:val="115"/>
        </w:rPr>
        <w:t>Liver function tests should be obtained and reviewed </w:t>
      </w:r>
      <w:r>
        <w:rPr>
          <w:color w:val="4D4D4F"/>
          <w:spacing w:val="-4"/>
          <w:w w:val="115"/>
        </w:rPr>
        <w:t>before </w:t>
      </w:r>
      <w:r>
        <w:rPr>
          <w:color w:val="4D4D4F"/>
          <w:w w:val="115"/>
        </w:rPr>
        <w:t>initiating buprenorphine implants or </w:t>
      </w:r>
      <w:r>
        <w:rPr>
          <w:color w:val="4D4D4F"/>
          <w:spacing w:val="-4"/>
          <w:w w:val="115"/>
        </w:rPr>
        <w:t>extended-release buprenorphine </w:t>
      </w:r>
      <w:r>
        <w:rPr>
          <w:color w:val="4D4D4F"/>
          <w:spacing w:val="-3"/>
          <w:w w:val="115"/>
        </w:rPr>
        <w:t>because </w:t>
      </w:r>
      <w:r>
        <w:rPr>
          <w:color w:val="4D4D4F"/>
          <w:w w:val="115"/>
        </w:rPr>
        <w:t>these formulations are long acting.</w:t>
      </w:r>
    </w:p>
    <w:p>
      <w:pPr>
        <w:spacing w:after="0" w:line="235" w:lineRule="auto"/>
        <w:sectPr>
          <w:type w:val="continuous"/>
          <w:pgSz w:w="12240" w:h="15840"/>
          <w:pgMar w:top="540" w:bottom="280" w:left="940" w:right="920"/>
          <w:cols w:num="2" w:equalWidth="0">
            <w:col w:w="5033" w:space="493"/>
            <w:col w:w="4854"/>
          </w:cols>
        </w:sectPr>
      </w:pPr>
    </w:p>
    <w:p>
      <w:pPr>
        <w:pStyle w:val="BodyText"/>
        <w:spacing w:before="11"/>
        <w:rPr>
          <w:rFonts w:ascii="Calibri"/>
          <w:b/>
          <w:sz w:val="24"/>
        </w:rPr>
      </w:pPr>
    </w:p>
    <w:p>
      <w:pPr>
        <w:spacing w:after="0"/>
        <w:rPr>
          <w:rFonts w:ascii="Calibri"/>
          <w:sz w:val="24"/>
        </w:rPr>
        <w:sectPr>
          <w:pgSz w:w="12240" w:h="15840"/>
          <w:pgMar w:header="576" w:footer="677" w:top="1340" w:bottom="860" w:left="940" w:right="920"/>
        </w:sectPr>
      </w:pPr>
    </w:p>
    <w:p>
      <w:pPr>
        <w:pStyle w:val="BodyText"/>
        <w:spacing w:line="247" w:lineRule="auto" w:before="92"/>
        <w:ind w:left="716" w:right="38" w:hanging="270"/>
        <w:rPr>
          <w:sz w:val="13"/>
        </w:rPr>
      </w:pPr>
      <w:r>
        <w:rPr>
          <w:rFonts w:ascii="Arial"/>
          <w:color w:val="137692"/>
          <w:w w:val="145"/>
          <w:sz w:val="24"/>
        </w:rPr>
        <w:t>- </w:t>
      </w:r>
      <w:r>
        <w:rPr>
          <w:rFonts w:ascii="Calibri"/>
          <w:b/>
          <w:color w:val="4D4D4F"/>
          <w:w w:val="110"/>
        </w:rPr>
        <w:t>Conduct  hepatitis  and  HIV  tests. </w:t>
      </w:r>
      <w:r>
        <w:rPr>
          <w:color w:val="4D4D4F"/>
          <w:w w:val="110"/>
        </w:rPr>
        <w:t>Hepatitis B and C are common among patients entering  buprenorphine treatment. HIV infection is also prevalent. Everyone ages 15 to 65 should be tested  at least once for </w:t>
      </w:r>
      <w:r>
        <w:rPr>
          <w:color w:val="4D4D4F"/>
          <w:spacing w:val="-8"/>
          <w:w w:val="110"/>
        </w:rPr>
        <w:t>HIV. </w:t>
      </w:r>
      <w:r>
        <w:rPr>
          <w:color w:val="4D4D4F"/>
          <w:w w:val="110"/>
        </w:rPr>
        <w:t>Persons at higher</w:t>
      </w:r>
      <w:r>
        <w:rPr>
          <w:color w:val="4D4D4F"/>
          <w:spacing w:val="-37"/>
          <w:w w:val="110"/>
        </w:rPr>
        <w:t> </w:t>
      </w:r>
      <w:r>
        <w:rPr>
          <w:color w:val="4D4D4F"/>
          <w:spacing w:val="-4"/>
          <w:w w:val="110"/>
        </w:rPr>
        <w:t>risk, </w:t>
      </w:r>
      <w:r>
        <w:rPr>
          <w:color w:val="4D4D4F"/>
          <w:w w:val="110"/>
        </w:rPr>
        <w:t>such as people who use drugs by injection, should be tested annually.</w:t>
      </w:r>
      <w:r>
        <w:rPr>
          <w:color w:val="4D4D4F"/>
          <w:w w:val="110"/>
          <w:position w:val="7"/>
          <w:sz w:val="13"/>
        </w:rPr>
        <w:t>315  </w:t>
      </w:r>
      <w:r>
        <w:rPr>
          <w:color w:val="4D4D4F"/>
          <w:w w:val="110"/>
        </w:rPr>
        <w:t>Anyone who is injecting or has ever injected drugs, </w:t>
      </w:r>
      <w:r>
        <w:rPr>
          <w:color w:val="4D4D4F"/>
          <w:spacing w:val="-5"/>
          <w:w w:val="110"/>
        </w:rPr>
        <w:t>even </w:t>
      </w:r>
      <w:r>
        <w:rPr>
          <w:color w:val="4D4D4F"/>
          <w:w w:val="110"/>
        </w:rPr>
        <w:t>once, no matter how long ago, should be tested for hepatitis C, regardless of their intention</w:t>
      </w:r>
      <w:r>
        <w:rPr>
          <w:color w:val="4D4D4F"/>
          <w:spacing w:val="-13"/>
          <w:w w:val="110"/>
        </w:rPr>
        <w:t> </w:t>
      </w:r>
      <w:r>
        <w:rPr>
          <w:color w:val="4D4D4F"/>
          <w:w w:val="110"/>
        </w:rPr>
        <w:t>to</w:t>
      </w:r>
      <w:r>
        <w:rPr>
          <w:color w:val="4D4D4F"/>
          <w:spacing w:val="-13"/>
          <w:w w:val="110"/>
        </w:rPr>
        <w:t> </w:t>
      </w:r>
      <w:r>
        <w:rPr>
          <w:color w:val="4D4D4F"/>
          <w:w w:val="110"/>
        </w:rPr>
        <w:t>seek</w:t>
      </w:r>
      <w:r>
        <w:rPr>
          <w:color w:val="4D4D4F"/>
          <w:spacing w:val="-13"/>
          <w:w w:val="110"/>
        </w:rPr>
        <w:t> </w:t>
      </w:r>
      <w:r>
        <w:rPr>
          <w:color w:val="4D4D4F"/>
          <w:w w:val="110"/>
        </w:rPr>
        <w:t>treatment</w:t>
      </w:r>
      <w:r>
        <w:rPr>
          <w:color w:val="4D4D4F"/>
          <w:spacing w:val="-13"/>
          <w:w w:val="110"/>
        </w:rPr>
        <w:t> </w:t>
      </w:r>
      <w:r>
        <w:rPr>
          <w:color w:val="4D4D4F"/>
          <w:w w:val="110"/>
        </w:rPr>
        <w:t>for</w:t>
      </w:r>
      <w:r>
        <w:rPr>
          <w:color w:val="4D4D4F"/>
          <w:spacing w:val="-13"/>
          <w:w w:val="110"/>
        </w:rPr>
        <w:t> </w:t>
      </w:r>
      <w:r>
        <w:rPr>
          <w:color w:val="4D4D4F"/>
          <w:w w:val="110"/>
        </w:rPr>
        <w:t>SUD.</w:t>
      </w:r>
      <w:r>
        <w:rPr>
          <w:color w:val="4D4D4F"/>
          <w:w w:val="110"/>
          <w:position w:val="7"/>
          <w:sz w:val="13"/>
        </w:rPr>
        <w:t>316</w:t>
      </w:r>
      <w:r>
        <w:rPr>
          <w:color w:val="4D4D4F"/>
          <w:spacing w:val="12"/>
          <w:w w:val="110"/>
          <w:position w:val="7"/>
          <w:sz w:val="13"/>
        </w:rPr>
        <w:t> </w:t>
      </w:r>
      <w:r>
        <w:rPr>
          <w:color w:val="4D4D4F"/>
          <w:spacing w:val="-3"/>
          <w:w w:val="110"/>
        </w:rPr>
        <w:t>The Centers </w:t>
      </w:r>
      <w:r>
        <w:rPr>
          <w:color w:val="4D4D4F"/>
          <w:w w:val="110"/>
        </w:rPr>
        <w:t>for </w:t>
      </w:r>
      <w:r>
        <w:rPr>
          <w:color w:val="4D4D4F"/>
          <w:spacing w:val="-3"/>
          <w:w w:val="110"/>
        </w:rPr>
        <w:t>Disease </w:t>
      </w:r>
      <w:r>
        <w:rPr>
          <w:color w:val="4D4D4F"/>
          <w:spacing w:val="-4"/>
          <w:w w:val="110"/>
        </w:rPr>
        <w:t>Control </w:t>
      </w:r>
      <w:r>
        <w:rPr>
          <w:color w:val="4D4D4F"/>
          <w:w w:val="110"/>
        </w:rPr>
        <w:t>and </w:t>
      </w:r>
      <w:r>
        <w:rPr>
          <w:color w:val="4D4D4F"/>
          <w:spacing w:val="-4"/>
          <w:w w:val="110"/>
        </w:rPr>
        <w:t>Prevention recommends </w:t>
      </w:r>
      <w:r>
        <w:rPr>
          <w:color w:val="4D4D4F"/>
          <w:spacing w:val="-3"/>
          <w:w w:val="110"/>
        </w:rPr>
        <w:t>hepatitis </w:t>
      </w:r>
      <w:r>
        <w:rPr>
          <w:color w:val="4D4D4F"/>
          <w:w w:val="110"/>
        </w:rPr>
        <w:t>B </w:t>
      </w:r>
      <w:r>
        <w:rPr>
          <w:color w:val="4D4D4F"/>
          <w:spacing w:val="-3"/>
          <w:w w:val="110"/>
        </w:rPr>
        <w:t>vaccination for individuals seeking </w:t>
      </w:r>
      <w:r>
        <w:rPr>
          <w:color w:val="4D4D4F"/>
          <w:spacing w:val="-4"/>
          <w:w w:val="110"/>
        </w:rPr>
        <w:t>treatment </w:t>
      </w:r>
      <w:r>
        <w:rPr>
          <w:color w:val="4D4D4F"/>
          <w:w w:val="110"/>
        </w:rPr>
        <w:t>for</w:t>
      </w:r>
      <w:r>
        <w:rPr>
          <w:color w:val="4D4D4F"/>
          <w:spacing w:val="-18"/>
          <w:w w:val="110"/>
        </w:rPr>
        <w:t> </w:t>
      </w:r>
      <w:r>
        <w:rPr>
          <w:color w:val="4D4D4F"/>
          <w:w w:val="110"/>
        </w:rPr>
        <w:t>SUDs.</w:t>
      </w:r>
      <w:r>
        <w:rPr>
          <w:color w:val="4D4D4F"/>
          <w:w w:val="110"/>
          <w:position w:val="7"/>
          <w:sz w:val="13"/>
        </w:rPr>
        <w:t>317</w:t>
      </w:r>
    </w:p>
    <w:p>
      <w:pPr>
        <w:pStyle w:val="BodyText"/>
        <w:spacing w:before="6"/>
        <w:rPr>
          <w:sz w:val="23"/>
        </w:rPr>
      </w:pPr>
    </w:p>
    <w:p>
      <w:pPr>
        <w:pStyle w:val="Heading3"/>
      </w:pPr>
      <w:bookmarkStart w:name="_TOC_250048" w:id="67"/>
      <w:bookmarkEnd w:id="67"/>
      <w:r>
        <w:rPr>
          <w:color w:val="137692"/>
          <w:w w:val="105"/>
        </w:rPr>
        <w:t>Patient Selection</w:t>
      </w:r>
    </w:p>
    <w:p>
      <w:pPr>
        <w:spacing w:line="242" w:lineRule="auto" w:before="42"/>
        <w:ind w:left="140" w:right="221" w:firstLine="0"/>
        <w:jc w:val="left"/>
        <w:rPr>
          <w:sz w:val="22"/>
        </w:rPr>
      </w:pPr>
      <w:r>
        <w:rPr>
          <w:rFonts w:ascii="Calibri" w:hAnsi="Calibri"/>
          <w:b/>
          <w:color w:val="4D4D4F"/>
          <w:w w:val="110"/>
          <w:sz w:val="22"/>
        </w:rPr>
        <w:t>No evidence clearly predicts which patients are best treated with buprenorphine </w:t>
      </w:r>
      <w:r>
        <w:rPr>
          <w:color w:val="4D4D4F"/>
          <w:w w:val="110"/>
          <w:sz w:val="22"/>
        </w:rPr>
        <w:t>versus other OUD medications. Inform all patients with OUD about treatment with transmucosal buprenorphine and where it’s available. (See</w:t>
      </w:r>
    </w:p>
    <w:p>
      <w:pPr>
        <w:pStyle w:val="BodyText"/>
        <w:spacing w:line="247" w:lineRule="auto" w:before="10"/>
        <w:ind w:left="140" w:right="23"/>
      </w:pPr>
      <w:r>
        <w:rPr>
          <w:color w:val="4D4D4F"/>
          <w:w w:val="110"/>
        </w:rPr>
        <w:t>“Treatment Planning or Referral” in Part 2 of this TIP for more on shared decision making.)</w:t>
      </w:r>
    </w:p>
    <w:p>
      <w:pPr>
        <w:pStyle w:val="Heading7"/>
        <w:spacing w:line="235" w:lineRule="auto" w:before="181"/>
        <w:ind w:right="111"/>
      </w:pPr>
      <w:r>
        <w:rPr>
          <w:color w:val="4D4D4F"/>
          <w:spacing w:val="-3"/>
          <w:w w:val="110"/>
        </w:rPr>
        <w:t>Patients </w:t>
      </w:r>
      <w:r>
        <w:rPr>
          <w:color w:val="4D4D4F"/>
          <w:w w:val="110"/>
        </w:rPr>
        <w:t>who </w:t>
      </w:r>
      <w:r>
        <w:rPr>
          <w:color w:val="4D4D4F"/>
          <w:spacing w:val="-4"/>
          <w:w w:val="110"/>
        </w:rPr>
        <w:t>responded </w:t>
      </w:r>
      <w:r>
        <w:rPr>
          <w:color w:val="4D4D4F"/>
          <w:spacing w:val="-3"/>
          <w:w w:val="110"/>
        </w:rPr>
        <w:t>well </w:t>
      </w:r>
      <w:r>
        <w:rPr>
          <w:color w:val="4D4D4F"/>
          <w:w w:val="110"/>
        </w:rPr>
        <w:t>to </w:t>
      </w:r>
      <w:r>
        <w:rPr>
          <w:color w:val="4D4D4F"/>
          <w:spacing w:val="-4"/>
          <w:w w:val="110"/>
        </w:rPr>
        <w:t>buprenorphine </w:t>
      </w:r>
      <w:r>
        <w:rPr>
          <w:color w:val="4D4D4F"/>
          <w:w w:val="110"/>
        </w:rPr>
        <w:t>in the past should be considered for this treatment.</w:t>
      </w:r>
    </w:p>
    <w:p>
      <w:pPr>
        <w:spacing w:line="244" w:lineRule="auto" w:before="178"/>
        <w:ind w:left="140" w:right="111" w:firstLine="0"/>
        <w:jc w:val="left"/>
        <w:rPr>
          <w:sz w:val="13"/>
        </w:rPr>
      </w:pPr>
      <w:r>
        <w:rPr>
          <w:rFonts w:ascii="Calibri" w:hAnsi="Calibri"/>
          <w:b/>
          <w:color w:val="4D4D4F"/>
          <w:w w:val="110"/>
          <w:sz w:val="22"/>
        </w:rPr>
        <w:t>Prior use of diverted buprenorphine doesn’t rule out OUD treatment with buprenorphine. </w:t>
      </w:r>
      <w:r>
        <w:rPr>
          <w:color w:val="4D4D4F"/>
          <w:w w:val="110"/>
          <w:sz w:val="22"/>
        </w:rPr>
        <w:t>Diverted buprenorphine is often associated with an inability to access treatment,</w:t>
      </w:r>
      <w:r>
        <w:rPr>
          <w:color w:val="4D4D4F"/>
          <w:w w:val="110"/>
          <w:position w:val="7"/>
          <w:sz w:val="13"/>
        </w:rPr>
        <w:t>318 </w:t>
      </w:r>
      <w:r>
        <w:rPr>
          <w:color w:val="4D4D4F"/>
          <w:w w:val="110"/>
          <w:sz w:val="22"/>
        </w:rPr>
        <w:t>and it’s often used to self-treat opioid withdrawal rather than to “get high.”</w:t>
      </w:r>
      <w:r>
        <w:rPr>
          <w:color w:val="4D4D4F"/>
          <w:w w:val="110"/>
          <w:position w:val="7"/>
          <w:sz w:val="13"/>
        </w:rPr>
        <w:t>319,320</w:t>
      </w:r>
    </w:p>
    <w:p>
      <w:pPr>
        <w:spacing w:line="242" w:lineRule="auto" w:before="176"/>
        <w:ind w:left="140" w:right="111" w:firstLine="0"/>
        <w:jc w:val="left"/>
        <w:rPr>
          <w:sz w:val="22"/>
        </w:rPr>
      </w:pPr>
      <w:r>
        <w:rPr>
          <w:rFonts w:ascii="Calibri"/>
          <w:b/>
          <w:color w:val="4D4D4F"/>
          <w:w w:val="110"/>
          <w:sz w:val="22"/>
        </w:rPr>
        <w:t>Unsuccessful treatment experiences with buprenorphine in the past do not necessarily indicate that buprenorphine will be </w:t>
      </w:r>
      <w:r>
        <w:rPr>
          <w:rFonts w:ascii="Calibri"/>
          <w:b/>
          <w:color w:val="4D4D4F"/>
          <w:spacing w:val="-3"/>
          <w:w w:val="110"/>
          <w:sz w:val="22"/>
        </w:rPr>
        <w:t>ineffective </w:t>
      </w:r>
      <w:r>
        <w:rPr>
          <w:rFonts w:ascii="Calibri"/>
          <w:b/>
          <w:color w:val="4D4D4F"/>
          <w:w w:val="110"/>
          <w:sz w:val="22"/>
        </w:rPr>
        <w:t>again.  </w:t>
      </w:r>
      <w:r>
        <w:rPr>
          <w:color w:val="4D4D4F"/>
          <w:w w:val="110"/>
          <w:sz w:val="22"/>
        </w:rPr>
        <w:t>Motivation and circumstances change over time. Also, treatment varies by </w:t>
      </w:r>
      <w:r>
        <w:rPr>
          <w:color w:val="4D4D4F"/>
          <w:spacing w:val="-3"/>
          <w:w w:val="110"/>
          <w:sz w:val="22"/>
        </w:rPr>
        <w:t>provider, </w:t>
      </w:r>
      <w:r>
        <w:rPr>
          <w:color w:val="4D4D4F"/>
          <w:w w:val="110"/>
          <w:sz w:val="22"/>
        </w:rPr>
        <w:t>clinic, and setting, as it does for other medical illnesses. Records from previous providers can contextualize the extent of past</w:t>
      </w:r>
      <w:r>
        <w:rPr>
          <w:color w:val="4D4D4F"/>
          <w:spacing w:val="-20"/>
          <w:w w:val="110"/>
          <w:sz w:val="22"/>
        </w:rPr>
        <w:t> </w:t>
      </w:r>
      <w:r>
        <w:rPr>
          <w:color w:val="4D4D4F"/>
          <w:w w:val="110"/>
          <w:sz w:val="22"/>
        </w:rPr>
        <w:t>treatment.</w:t>
      </w:r>
    </w:p>
    <w:p>
      <w:pPr>
        <w:pStyle w:val="Heading7"/>
        <w:spacing w:line="235" w:lineRule="auto" w:before="180"/>
        <w:ind w:right="38"/>
      </w:pPr>
      <w:r>
        <w:rPr>
          <w:color w:val="4D4D4F"/>
          <w:w w:val="115"/>
        </w:rPr>
        <w:t>Pregnant women should be considered for transmucosal buprenorphine treatment.</w:t>
      </w:r>
    </w:p>
    <w:p>
      <w:pPr>
        <w:spacing w:line="304" w:lineRule="auto" w:before="158"/>
        <w:ind w:left="438" w:right="735" w:firstLine="0"/>
        <w:jc w:val="left"/>
        <w:rPr>
          <w:rFonts w:ascii="Arial"/>
          <w:b/>
          <w:sz w:val="22"/>
        </w:rPr>
      </w:pPr>
      <w:r>
        <w:rPr/>
        <w:br w:type="column"/>
      </w:r>
      <w:r>
        <w:rPr>
          <w:rFonts w:ascii="Arial"/>
          <w:b/>
          <w:color w:val="B15651"/>
          <w:w w:val="110"/>
          <w:sz w:val="22"/>
        </w:rPr>
        <w:t>Do not taper patients to 8 mg daily solely to switch them to implants.</w:t>
      </w:r>
    </w:p>
    <w:p>
      <w:pPr>
        <w:pStyle w:val="BodyText"/>
        <w:spacing w:before="3"/>
        <w:rPr>
          <w:rFonts w:ascii="Arial"/>
          <w:b/>
          <w:sz w:val="25"/>
        </w:rPr>
      </w:pPr>
    </w:p>
    <w:p>
      <w:pPr>
        <w:pStyle w:val="BodyText"/>
        <w:spacing w:line="244" w:lineRule="auto"/>
        <w:ind w:left="140" w:right="338"/>
        <w:rPr>
          <w:sz w:val="13"/>
        </w:rPr>
      </w:pPr>
      <w:r>
        <w:rPr/>
        <w:pict>
          <v:line style="position:absolute;mso-position-horizontal-relative:page;mso-position-vertical-relative:paragraph;z-index:15764480" from="315.501007pt,-20.346446pt" to="315.501007pt,-46.994446pt" stroked="true" strokeweight="1pt" strokecolor="#759eb4">
            <v:stroke dashstyle="solid"/>
            <w10:wrap type="none"/>
          </v:line>
        </w:pict>
      </w:r>
      <w:r>
        <w:rPr>
          <w:rFonts w:ascii="Calibri" w:hAnsi="Calibri"/>
          <w:b/>
          <w:color w:val="4D4D4F"/>
          <w:w w:val="110"/>
        </w:rPr>
        <w:t>Stable patients are the best candidates for </w:t>
      </w:r>
      <w:r>
        <w:rPr>
          <w:rFonts w:ascii="Calibri" w:hAnsi="Calibri"/>
          <w:b/>
          <w:color w:val="4D4D4F"/>
          <w:spacing w:val="-4"/>
          <w:w w:val="110"/>
        </w:rPr>
        <w:t>buprenorphine </w:t>
      </w:r>
      <w:r>
        <w:rPr>
          <w:rFonts w:ascii="Calibri" w:hAnsi="Calibri"/>
          <w:b/>
          <w:color w:val="4D4D4F"/>
          <w:spacing w:val="-3"/>
          <w:w w:val="110"/>
        </w:rPr>
        <w:t>implants. </w:t>
      </w:r>
      <w:r>
        <w:rPr>
          <w:color w:val="4D4D4F"/>
          <w:spacing w:val="-3"/>
          <w:w w:val="110"/>
        </w:rPr>
        <w:t>Implants </w:t>
      </w:r>
      <w:r>
        <w:rPr>
          <w:color w:val="4D4D4F"/>
          <w:spacing w:val="-4"/>
          <w:w w:val="110"/>
        </w:rPr>
        <w:t>are </w:t>
      </w:r>
      <w:r>
        <w:rPr>
          <w:color w:val="4D4D4F"/>
          <w:spacing w:val="-3"/>
          <w:w w:val="110"/>
        </w:rPr>
        <w:t>indicated </w:t>
      </w:r>
      <w:r>
        <w:rPr>
          <w:color w:val="4D4D4F"/>
          <w:w w:val="110"/>
        </w:rPr>
        <w:t>for patients who have already achieved illicit opioid abstinence and clinical stability while taking transmucosal buprenorphine for at least 90 days. Their current dose should be 8 mg/ day or less.</w:t>
      </w:r>
      <w:r>
        <w:rPr>
          <w:color w:val="4D4D4F"/>
          <w:w w:val="110"/>
          <w:position w:val="7"/>
          <w:sz w:val="13"/>
        </w:rPr>
        <w:t>321 </w:t>
      </w:r>
      <w:r>
        <w:rPr>
          <w:color w:val="4D4D4F"/>
          <w:w w:val="110"/>
        </w:rPr>
        <w:t>There is no absolute deﬁnition of clinical stability, but per the implant package insert, patients may be stable if they</w:t>
      </w:r>
      <w:r>
        <w:rPr>
          <w:color w:val="4D4D4F"/>
          <w:spacing w:val="2"/>
          <w:w w:val="110"/>
        </w:rPr>
        <w:t> </w:t>
      </w:r>
      <w:r>
        <w:rPr>
          <w:color w:val="4D4D4F"/>
          <w:w w:val="110"/>
        </w:rPr>
        <w:t>are:</w:t>
      </w:r>
      <w:r>
        <w:rPr>
          <w:color w:val="4D4D4F"/>
          <w:w w:val="110"/>
          <w:position w:val="7"/>
          <w:sz w:val="13"/>
        </w:rPr>
        <w:t>322</w:t>
      </w:r>
    </w:p>
    <w:p>
      <w:pPr>
        <w:pStyle w:val="ListParagraph"/>
        <w:numPr>
          <w:ilvl w:val="0"/>
          <w:numId w:val="29"/>
        </w:numPr>
        <w:tabs>
          <w:tab w:pos="411" w:val="left" w:leader="none"/>
        </w:tabs>
        <w:spacing w:line="315" w:lineRule="exact" w:before="109" w:after="0"/>
        <w:ind w:left="410" w:right="0" w:hanging="271"/>
        <w:jc w:val="left"/>
        <w:rPr>
          <w:rFonts w:ascii="Arial" w:hAnsi="Arial"/>
          <w:color w:val="137692"/>
          <w:sz w:val="28"/>
        </w:rPr>
      </w:pPr>
      <w:r>
        <w:rPr>
          <w:color w:val="4D4D4F"/>
          <w:w w:val="110"/>
          <w:sz w:val="22"/>
        </w:rPr>
        <w:t>Abstaining currently from illicit</w:t>
      </w:r>
      <w:r>
        <w:rPr>
          <w:color w:val="4D4D4F"/>
          <w:spacing w:val="-21"/>
          <w:w w:val="110"/>
          <w:sz w:val="22"/>
        </w:rPr>
        <w:t> </w:t>
      </w:r>
      <w:r>
        <w:rPr>
          <w:color w:val="4D4D4F"/>
          <w:w w:val="110"/>
          <w:sz w:val="22"/>
        </w:rPr>
        <w:t>opioids.</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0"/>
          <w:sz w:val="22"/>
        </w:rPr>
        <w:t>Having little or no craving for illicit</w:t>
      </w:r>
      <w:r>
        <w:rPr>
          <w:color w:val="4D4D4F"/>
          <w:spacing w:val="-26"/>
          <w:w w:val="110"/>
          <w:sz w:val="22"/>
        </w:rPr>
        <w:t> </w:t>
      </w:r>
      <w:r>
        <w:rPr>
          <w:color w:val="4D4D4F"/>
          <w:w w:val="110"/>
          <w:sz w:val="22"/>
        </w:rPr>
        <w:t>opioids.</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0"/>
          <w:sz w:val="22"/>
        </w:rPr>
        <w:t>Living in a stable</w:t>
      </w:r>
      <w:r>
        <w:rPr>
          <w:color w:val="4D4D4F"/>
          <w:spacing w:val="-18"/>
          <w:w w:val="110"/>
          <w:sz w:val="22"/>
        </w:rPr>
        <w:t> </w:t>
      </w:r>
      <w:r>
        <w:rPr>
          <w:color w:val="4D4D4F"/>
          <w:w w:val="110"/>
          <w:sz w:val="22"/>
        </w:rPr>
        <w:t>environment.</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5"/>
          <w:sz w:val="22"/>
        </w:rPr>
        <w:t>Participating</w:t>
      </w:r>
      <w:r>
        <w:rPr>
          <w:color w:val="4D4D4F"/>
          <w:spacing w:val="-20"/>
          <w:w w:val="115"/>
          <w:sz w:val="22"/>
        </w:rPr>
        <w:t> </w:t>
      </w:r>
      <w:r>
        <w:rPr>
          <w:color w:val="4D4D4F"/>
          <w:w w:val="115"/>
          <w:sz w:val="22"/>
        </w:rPr>
        <w:t>in</w:t>
      </w:r>
      <w:r>
        <w:rPr>
          <w:color w:val="4D4D4F"/>
          <w:spacing w:val="-19"/>
          <w:w w:val="115"/>
          <w:sz w:val="22"/>
        </w:rPr>
        <w:t> </w:t>
      </w:r>
      <w:r>
        <w:rPr>
          <w:color w:val="4D4D4F"/>
          <w:w w:val="115"/>
          <w:sz w:val="22"/>
        </w:rPr>
        <w:t>a</w:t>
      </w:r>
      <w:r>
        <w:rPr>
          <w:color w:val="4D4D4F"/>
          <w:spacing w:val="-19"/>
          <w:w w:val="115"/>
          <w:sz w:val="22"/>
        </w:rPr>
        <w:t> </w:t>
      </w:r>
      <w:r>
        <w:rPr>
          <w:color w:val="4D4D4F"/>
          <w:w w:val="115"/>
          <w:sz w:val="22"/>
        </w:rPr>
        <w:t>structured</w:t>
      </w:r>
      <w:r>
        <w:rPr>
          <w:color w:val="4D4D4F"/>
          <w:spacing w:val="-19"/>
          <w:w w:val="115"/>
          <w:sz w:val="22"/>
        </w:rPr>
        <w:t> </w:t>
      </w:r>
      <w:r>
        <w:rPr>
          <w:color w:val="4D4D4F"/>
          <w:w w:val="115"/>
          <w:sz w:val="22"/>
        </w:rPr>
        <w:t>job</w:t>
      </w:r>
      <w:r>
        <w:rPr>
          <w:color w:val="4D4D4F"/>
          <w:spacing w:val="-19"/>
          <w:w w:val="115"/>
          <w:sz w:val="22"/>
        </w:rPr>
        <w:t> </w:t>
      </w:r>
      <w:r>
        <w:rPr>
          <w:color w:val="4D4D4F"/>
          <w:w w:val="115"/>
          <w:sz w:val="22"/>
        </w:rPr>
        <w:t>or</w:t>
      </w:r>
      <w:r>
        <w:rPr>
          <w:color w:val="4D4D4F"/>
          <w:spacing w:val="-19"/>
          <w:w w:val="115"/>
          <w:sz w:val="22"/>
        </w:rPr>
        <w:t> </w:t>
      </w:r>
      <w:r>
        <w:rPr>
          <w:color w:val="4D4D4F"/>
          <w:w w:val="115"/>
          <w:sz w:val="22"/>
        </w:rPr>
        <w:t>activity.</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5"/>
          <w:sz w:val="22"/>
        </w:rPr>
        <w:t>Engaging</w:t>
      </w:r>
      <w:r>
        <w:rPr>
          <w:color w:val="4D4D4F"/>
          <w:spacing w:val="-10"/>
          <w:w w:val="115"/>
          <w:sz w:val="22"/>
        </w:rPr>
        <w:t> </w:t>
      </w:r>
      <w:r>
        <w:rPr>
          <w:color w:val="4D4D4F"/>
          <w:w w:val="115"/>
          <w:sz w:val="22"/>
        </w:rPr>
        <w:t>in</w:t>
      </w:r>
      <w:r>
        <w:rPr>
          <w:color w:val="4D4D4F"/>
          <w:spacing w:val="-10"/>
          <w:w w:val="115"/>
          <w:sz w:val="22"/>
        </w:rPr>
        <w:t> </w:t>
      </w:r>
      <w:r>
        <w:rPr>
          <w:color w:val="4D4D4F"/>
          <w:w w:val="115"/>
          <w:sz w:val="22"/>
        </w:rPr>
        <w:t>a</w:t>
      </w:r>
      <w:r>
        <w:rPr>
          <w:color w:val="4D4D4F"/>
          <w:spacing w:val="-10"/>
          <w:w w:val="115"/>
          <w:sz w:val="22"/>
        </w:rPr>
        <w:t> </w:t>
      </w:r>
      <w:r>
        <w:rPr>
          <w:color w:val="4D4D4F"/>
          <w:w w:val="115"/>
          <w:sz w:val="22"/>
        </w:rPr>
        <w:t>positive</w:t>
      </w:r>
      <w:r>
        <w:rPr>
          <w:color w:val="4D4D4F"/>
          <w:spacing w:val="-10"/>
          <w:w w:val="115"/>
          <w:sz w:val="22"/>
        </w:rPr>
        <w:t> </w:t>
      </w:r>
      <w:r>
        <w:rPr>
          <w:color w:val="4D4D4F"/>
          <w:w w:val="115"/>
          <w:sz w:val="22"/>
        </w:rPr>
        <w:t>social</w:t>
      </w:r>
      <w:r>
        <w:rPr>
          <w:color w:val="4D4D4F"/>
          <w:spacing w:val="-10"/>
          <w:w w:val="115"/>
          <w:sz w:val="22"/>
        </w:rPr>
        <w:t> </w:t>
      </w:r>
      <w:r>
        <w:rPr>
          <w:color w:val="4D4D4F"/>
          <w:w w:val="115"/>
          <w:sz w:val="22"/>
        </w:rPr>
        <w:t>support</w:t>
      </w:r>
      <w:r>
        <w:rPr>
          <w:color w:val="4D4D4F"/>
          <w:spacing w:val="-10"/>
          <w:w w:val="115"/>
          <w:sz w:val="22"/>
        </w:rPr>
        <w:t> </w:t>
      </w:r>
      <w:r>
        <w:rPr>
          <w:color w:val="4D4D4F"/>
          <w:w w:val="115"/>
          <w:sz w:val="22"/>
        </w:rPr>
        <w:t>system.</w:t>
      </w:r>
    </w:p>
    <w:p>
      <w:pPr>
        <w:pStyle w:val="ListParagraph"/>
        <w:numPr>
          <w:ilvl w:val="0"/>
          <w:numId w:val="29"/>
        </w:numPr>
        <w:tabs>
          <w:tab w:pos="411" w:val="left" w:leader="none"/>
        </w:tabs>
        <w:spacing w:line="225" w:lineRule="auto" w:before="6" w:after="0"/>
        <w:ind w:left="410" w:right="492" w:hanging="270"/>
        <w:jc w:val="both"/>
        <w:rPr>
          <w:rFonts w:ascii="Arial" w:hAnsi="Arial"/>
          <w:color w:val="137692"/>
          <w:sz w:val="28"/>
        </w:rPr>
      </w:pPr>
      <w:r>
        <w:rPr>
          <w:color w:val="4D4D4F"/>
          <w:w w:val="110"/>
          <w:sz w:val="22"/>
        </w:rPr>
        <w:t>Lacking recent hospitalizations, emergency department</w:t>
      </w:r>
      <w:r>
        <w:rPr>
          <w:color w:val="4D4D4F"/>
          <w:spacing w:val="-12"/>
          <w:w w:val="110"/>
          <w:sz w:val="22"/>
        </w:rPr>
        <w:t> </w:t>
      </w:r>
      <w:r>
        <w:rPr>
          <w:color w:val="4D4D4F"/>
          <w:w w:val="110"/>
          <w:sz w:val="22"/>
        </w:rPr>
        <w:t>visits,</w:t>
      </w:r>
      <w:r>
        <w:rPr>
          <w:color w:val="4D4D4F"/>
          <w:spacing w:val="-12"/>
          <w:w w:val="110"/>
          <w:sz w:val="22"/>
        </w:rPr>
        <w:t> </w:t>
      </w:r>
      <w:r>
        <w:rPr>
          <w:color w:val="4D4D4F"/>
          <w:w w:val="110"/>
          <w:sz w:val="22"/>
        </w:rPr>
        <w:t>or</w:t>
      </w:r>
      <w:r>
        <w:rPr>
          <w:color w:val="4D4D4F"/>
          <w:spacing w:val="-11"/>
          <w:w w:val="110"/>
          <w:sz w:val="22"/>
        </w:rPr>
        <w:t> </w:t>
      </w:r>
      <w:r>
        <w:rPr>
          <w:color w:val="4D4D4F"/>
          <w:w w:val="110"/>
          <w:sz w:val="22"/>
        </w:rPr>
        <w:t>crisis</w:t>
      </w:r>
      <w:r>
        <w:rPr>
          <w:color w:val="4D4D4F"/>
          <w:spacing w:val="-12"/>
          <w:w w:val="110"/>
          <w:sz w:val="22"/>
        </w:rPr>
        <w:t> </w:t>
      </w:r>
      <w:r>
        <w:rPr>
          <w:color w:val="4D4D4F"/>
          <w:w w:val="110"/>
          <w:sz w:val="22"/>
        </w:rPr>
        <w:t>interventions</w:t>
      </w:r>
      <w:r>
        <w:rPr>
          <w:color w:val="4D4D4F"/>
          <w:spacing w:val="-12"/>
          <w:w w:val="110"/>
          <w:sz w:val="22"/>
        </w:rPr>
        <w:t> </w:t>
      </w:r>
      <w:r>
        <w:rPr>
          <w:color w:val="4D4D4F"/>
          <w:spacing w:val="-6"/>
          <w:w w:val="110"/>
          <w:sz w:val="22"/>
        </w:rPr>
        <w:t>for </w:t>
      </w:r>
      <w:r>
        <w:rPr>
          <w:color w:val="4D4D4F"/>
          <w:w w:val="110"/>
          <w:sz w:val="22"/>
        </w:rPr>
        <w:t>substance use or mental</w:t>
      </w:r>
      <w:r>
        <w:rPr>
          <w:color w:val="4D4D4F"/>
          <w:spacing w:val="-16"/>
          <w:w w:val="110"/>
          <w:sz w:val="22"/>
        </w:rPr>
        <w:t> </w:t>
      </w:r>
      <w:r>
        <w:rPr>
          <w:color w:val="4D4D4F"/>
          <w:w w:val="110"/>
          <w:sz w:val="22"/>
        </w:rPr>
        <w:t>illness.</w:t>
      </w:r>
    </w:p>
    <w:p>
      <w:pPr>
        <w:pStyle w:val="ListParagraph"/>
        <w:numPr>
          <w:ilvl w:val="0"/>
          <w:numId w:val="29"/>
        </w:numPr>
        <w:tabs>
          <w:tab w:pos="411" w:val="left" w:leader="none"/>
        </w:tabs>
        <w:spacing w:line="208" w:lineRule="auto" w:before="68" w:after="0"/>
        <w:ind w:left="410" w:right="549" w:hanging="270"/>
        <w:jc w:val="both"/>
        <w:rPr>
          <w:rFonts w:ascii="Arial" w:hAnsi="Arial"/>
          <w:color w:val="137692"/>
          <w:sz w:val="28"/>
        </w:rPr>
      </w:pPr>
      <w:r>
        <w:rPr>
          <w:color w:val="4D4D4F"/>
          <w:w w:val="115"/>
          <w:sz w:val="22"/>
        </w:rPr>
        <w:t>Adhering</w:t>
      </w:r>
      <w:r>
        <w:rPr>
          <w:color w:val="4D4D4F"/>
          <w:spacing w:val="-29"/>
          <w:w w:val="115"/>
          <w:sz w:val="22"/>
        </w:rPr>
        <w:t> </w:t>
      </w:r>
      <w:r>
        <w:rPr>
          <w:color w:val="4D4D4F"/>
          <w:w w:val="115"/>
          <w:sz w:val="22"/>
        </w:rPr>
        <w:t>to</w:t>
      </w:r>
      <w:r>
        <w:rPr>
          <w:color w:val="4D4D4F"/>
          <w:spacing w:val="-29"/>
          <w:w w:val="115"/>
          <w:sz w:val="22"/>
        </w:rPr>
        <w:t> </w:t>
      </w:r>
      <w:r>
        <w:rPr>
          <w:color w:val="4D4D4F"/>
          <w:w w:val="115"/>
          <w:sz w:val="22"/>
        </w:rPr>
        <w:t>clinic</w:t>
      </w:r>
      <w:r>
        <w:rPr>
          <w:color w:val="4D4D4F"/>
          <w:spacing w:val="-29"/>
          <w:w w:val="115"/>
          <w:sz w:val="22"/>
        </w:rPr>
        <w:t> </w:t>
      </w:r>
      <w:r>
        <w:rPr>
          <w:color w:val="4D4D4F"/>
          <w:w w:val="115"/>
          <w:sz w:val="22"/>
        </w:rPr>
        <w:t>appointments</w:t>
      </w:r>
      <w:r>
        <w:rPr>
          <w:color w:val="4D4D4F"/>
          <w:spacing w:val="-29"/>
          <w:w w:val="115"/>
          <w:sz w:val="22"/>
        </w:rPr>
        <w:t> </w:t>
      </w:r>
      <w:r>
        <w:rPr>
          <w:color w:val="4D4D4F"/>
          <w:w w:val="115"/>
          <w:sz w:val="22"/>
        </w:rPr>
        <w:t>and</w:t>
      </w:r>
      <w:r>
        <w:rPr>
          <w:color w:val="4D4D4F"/>
          <w:spacing w:val="-28"/>
          <w:w w:val="115"/>
          <w:sz w:val="22"/>
        </w:rPr>
        <w:t> </w:t>
      </w:r>
      <w:r>
        <w:rPr>
          <w:color w:val="4D4D4F"/>
          <w:spacing w:val="-4"/>
          <w:w w:val="115"/>
          <w:sz w:val="22"/>
        </w:rPr>
        <w:t>other </w:t>
      </w:r>
      <w:r>
        <w:rPr>
          <w:color w:val="4D4D4F"/>
          <w:w w:val="115"/>
          <w:sz w:val="22"/>
        </w:rPr>
        <w:t>aspects</w:t>
      </w:r>
      <w:r>
        <w:rPr>
          <w:color w:val="4D4D4F"/>
          <w:spacing w:val="-23"/>
          <w:w w:val="115"/>
          <w:sz w:val="22"/>
        </w:rPr>
        <w:t> </w:t>
      </w:r>
      <w:r>
        <w:rPr>
          <w:color w:val="4D4D4F"/>
          <w:w w:val="115"/>
          <w:sz w:val="22"/>
        </w:rPr>
        <w:t>of</w:t>
      </w:r>
      <w:r>
        <w:rPr>
          <w:color w:val="4D4D4F"/>
          <w:spacing w:val="-23"/>
          <w:w w:val="115"/>
          <w:sz w:val="22"/>
        </w:rPr>
        <w:t> </w:t>
      </w:r>
      <w:r>
        <w:rPr>
          <w:color w:val="4D4D4F"/>
          <w:w w:val="115"/>
          <w:sz w:val="22"/>
        </w:rPr>
        <w:t>treatment</w:t>
      </w:r>
      <w:r>
        <w:rPr>
          <w:color w:val="4D4D4F"/>
          <w:spacing w:val="-23"/>
          <w:w w:val="115"/>
          <w:sz w:val="22"/>
        </w:rPr>
        <w:t> </w:t>
      </w:r>
      <w:r>
        <w:rPr>
          <w:color w:val="4D4D4F"/>
          <w:w w:val="115"/>
          <w:sz w:val="22"/>
        </w:rPr>
        <w:t>and</w:t>
      </w:r>
      <w:r>
        <w:rPr>
          <w:color w:val="4D4D4F"/>
          <w:spacing w:val="-23"/>
          <w:w w:val="115"/>
          <w:sz w:val="22"/>
        </w:rPr>
        <w:t> </w:t>
      </w:r>
      <w:r>
        <w:rPr>
          <w:color w:val="4D4D4F"/>
          <w:w w:val="115"/>
          <w:sz w:val="22"/>
        </w:rPr>
        <w:t>recovery</w:t>
      </w:r>
      <w:r>
        <w:rPr>
          <w:color w:val="4D4D4F"/>
          <w:spacing w:val="-23"/>
          <w:w w:val="115"/>
          <w:sz w:val="22"/>
        </w:rPr>
        <w:t> </w:t>
      </w:r>
      <w:r>
        <w:rPr>
          <w:color w:val="4D4D4F"/>
          <w:w w:val="115"/>
          <w:sz w:val="22"/>
        </w:rPr>
        <w:t>plans.</w:t>
      </w:r>
    </w:p>
    <w:p>
      <w:pPr>
        <w:pStyle w:val="BodyText"/>
        <w:rPr>
          <w:sz w:val="24"/>
        </w:rPr>
      </w:pPr>
    </w:p>
    <w:p>
      <w:pPr>
        <w:pStyle w:val="Heading3"/>
      </w:pPr>
      <w:bookmarkStart w:name="_TOC_250047" w:id="68"/>
      <w:bookmarkEnd w:id="68"/>
      <w:r>
        <w:rPr>
          <w:color w:val="137692"/>
          <w:w w:val="110"/>
        </w:rPr>
        <w:t>Informed Consent</w:t>
      </w:r>
    </w:p>
    <w:p>
      <w:pPr>
        <w:pStyle w:val="Heading7"/>
        <w:spacing w:before="42"/>
      </w:pPr>
      <w:r>
        <w:rPr>
          <w:color w:val="4D4D4F"/>
          <w:w w:val="110"/>
        </w:rPr>
        <w:t>Inform all patients of:</w:t>
      </w:r>
    </w:p>
    <w:p>
      <w:pPr>
        <w:pStyle w:val="ListParagraph"/>
        <w:numPr>
          <w:ilvl w:val="0"/>
          <w:numId w:val="29"/>
        </w:numPr>
        <w:tabs>
          <w:tab w:pos="411" w:val="left" w:leader="none"/>
        </w:tabs>
        <w:spacing w:line="208" w:lineRule="auto" w:before="127" w:after="0"/>
        <w:ind w:left="410" w:right="496" w:hanging="270"/>
        <w:jc w:val="left"/>
        <w:rPr>
          <w:rFonts w:ascii="Arial" w:hAnsi="Arial"/>
          <w:color w:val="137692"/>
          <w:sz w:val="28"/>
        </w:rPr>
      </w:pPr>
      <w:r>
        <w:rPr>
          <w:color w:val="4D4D4F"/>
          <w:w w:val="110"/>
          <w:sz w:val="22"/>
        </w:rPr>
        <w:t>Their OUD diagnosis and the nature of </w:t>
      </w:r>
      <w:r>
        <w:rPr>
          <w:color w:val="4D4D4F"/>
          <w:spacing w:val="-4"/>
          <w:w w:val="110"/>
          <w:sz w:val="22"/>
        </w:rPr>
        <w:t>the </w:t>
      </w:r>
      <w:r>
        <w:rPr>
          <w:color w:val="4D4D4F"/>
          <w:w w:val="110"/>
          <w:sz w:val="22"/>
        </w:rPr>
        <w:t>disorder.</w:t>
      </w:r>
    </w:p>
    <w:p>
      <w:pPr>
        <w:pStyle w:val="ListParagraph"/>
        <w:numPr>
          <w:ilvl w:val="0"/>
          <w:numId w:val="29"/>
        </w:numPr>
        <w:tabs>
          <w:tab w:pos="411" w:val="left" w:leader="none"/>
        </w:tabs>
        <w:spacing w:line="208" w:lineRule="auto" w:before="69" w:after="0"/>
        <w:ind w:left="410" w:right="257" w:hanging="270"/>
        <w:jc w:val="left"/>
        <w:rPr>
          <w:rFonts w:ascii="Arial" w:hAnsi="Arial"/>
          <w:color w:val="137692"/>
          <w:sz w:val="28"/>
        </w:rPr>
      </w:pPr>
      <w:r>
        <w:rPr>
          <w:color w:val="4D4D4F"/>
          <w:w w:val="110"/>
          <w:sz w:val="22"/>
        </w:rPr>
        <w:t>Risks and beneﬁts of all available medications for</w:t>
      </w:r>
      <w:r>
        <w:rPr>
          <w:color w:val="4D4D4F"/>
          <w:spacing w:val="-8"/>
          <w:w w:val="110"/>
          <w:sz w:val="22"/>
        </w:rPr>
        <w:t> </w:t>
      </w:r>
      <w:r>
        <w:rPr>
          <w:color w:val="4D4D4F"/>
          <w:w w:val="110"/>
          <w:sz w:val="22"/>
        </w:rPr>
        <w:t>OUD.</w:t>
      </w:r>
    </w:p>
    <w:p>
      <w:pPr>
        <w:pStyle w:val="ListParagraph"/>
        <w:numPr>
          <w:ilvl w:val="0"/>
          <w:numId w:val="29"/>
        </w:numPr>
        <w:tabs>
          <w:tab w:pos="411" w:val="left" w:leader="none"/>
        </w:tabs>
        <w:spacing w:line="208" w:lineRule="auto" w:before="69" w:after="0"/>
        <w:ind w:left="410" w:right="1181" w:hanging="270"/>
        <w:jc w:val="left"/>
        <w:rPr>
          <w:rFonts w:ascii="Arial" w:hAnsi="Arial"/>
          <w:color w:val="137692"/>
          <w:sz w:val="28"/>
        </w:rPr>
      </w:pPr>
      <w:r>
        <w:rPr>
          <w:color w:val="4D4D4F"/>
          <w:w w:val="110"/>
          <w:sz w:val="22"/>
        </w:rPr>
        <w:t>Risks and beneﬁts of </w:t>
      </w:r>
      <w:r>
        <w:rPr>
          <w:color w:val="4D4D4F"/>
          <w:spacing w:val="-2"/>
          <w:w w:val="110"/>
          <w:sz w:val="22"/>
        </w:rPr>
        <w:t>nonmedication </w:t>
      </w:r>
      <w:r>
        <w:rPr>
          <w:color w:val="4D4D4F"/>
          <w:w w:val="110"/>
          <w:sz w:val="22"/>
        </w:rPr>
        <w:t>treatments.</w:t>
      </w:r>
    </w:p>
    <w:p>
      <w:pPr>
        <w:spacing w:line="242" w:lineRule="auto" w:before="190"/>
        <w:ind w:left="140" w:right="101" w:firstLine="0"/>
        <w:jc w:val="left"/>
        <w:rPr>
          <w:sz w:val="22"/>
        </w:rPr>
      </w:pPr>
      <w:r>
        <w:rPr>
          <w:rFonts w:ascii="Calibri" w:hAnsi="Calibri"/>
          <w:b/>
          <w:color w:val="4D4D4F"/>
          <w:w w:val="110"/>
          <w:sz w:val="22"/>
        </w:rPr>
        <w:t>Educate patients about basic buprenorphine pharmacology and induction expectations </w:t>
      </w:r>
      <w:r>
        <w:rPr>
          <w:color w:val="4D4D4F"/>
          <w:w w:val="110"/>
          <w:sz w:val="22"/>
        </w:rPr>
        <w:t>(Exhibit 3D.5). They should understand the need to be in opioid withdrawal that’s visible to the</w:t>
      </w:r>
    </w:p>
    <w:p>
      <w:pPr>
        <w:pStyle w:val="BodyText"/>
        <w:rPr>
          <w:sz w:val="26"/>
        </w:rPr>
      </w:pPr>
    </w:p>
    <w:p>
      <w:pPr>
        <w:pStyle w:val="BodyText"/>
        <w:rPr>
          <w:sz w:val="24"/>
        </w:rPr>
      </w:pPr>
    </w:p>
    <w:p>
      <w:pPr>
        <w:spacing w:line="304" w:lineRule="auto" w:before="1"/>
        <w:ind w:left="417" w:right="594" w:firstLine="0"/>
        <w:jc w:val="left"/>
        <w:rPr>
          <w:rFonts w:ascii="Arial" w:hAnsi="Arial"/>
          <w:b/>
          <w:sz w:val="22"/>
        </w:rPr>
      </w:pPr>
      <w:r>
        <w:rPr/>
        <w:pict>
          <v:line style="position:absolute;mso-position-horizontal-relative:page;mso-position-vertical-relative:paragraph;z-index:15764992" from="314.460999pt,74.362868pt" to="314.460999pt,-.285132pt" stroked="true" strokeweight="1pt" strokecolor="#759eb4">
            <v:stroke dashstyle="solid"/>
            <w10:wrap type="none"/>
          </v:line>
        </w:pict>
      </w:r>
      <w:r>
        <w:rPr>
          <w:rFonts w:ascii="Arial" w:hAnsi="Arial"/>
          <w:b/>
          <w:color w:val="B15651"/>
          <w:w w:val="110"/>
          <w:sz w:val="22"/>
        </w:rPr>
        <w:t>Use language and written materials appropriate to each patient’s comprehension level to ensure that he or she understands the options and can make informed decisions.</w:t>
      </w:r>
    </w:p>
    <w:p>
      <w:pPr>
        <w:spacing w:after="0" w:line="304" w:lineRule="auto"/>
        <w:jc w:val="left"/>
        <w:rPr>
          <w:rFonts w:ascii="Arial" w:hAnsi="Arial"/>
          <w:sz w:val="22"/>
        </w:rPr>
        <w:sectPr>
          <w:type w:val="continuous"/>
          <w:pgSz w:w="12240" w:h="15840"/>
          <w:pgMar w:top="540" w:bottom="280" w:left="940" w:right="920"/>
          <w:cols w:num="2" w:equalWidth="0">
            <w:col w:w="5029" w:space="191"/>
            <w:col w:w="5160"/>
          </w:cols>
        </w:sectPr>
      </w:pPr>
    </w:p>
    <w:p>
      <w:pPr>
        <w:pStyle w:val="BodyText"/>
        <w:spacing w:before="7"/>
        <w:rPr>
          <w:rFonts w:ascii="Arial"/>
          <w:b/>
          <w:sz w:val="27"/>
        </w:rPr>
      </w:pPr>
    </w:p>
    <w:p>
      <w:pPr>
        <w:spacing w:after="0"/>
        <w:rPr>
          <w:rFonts w:ascii="Arial"/>
          <w:sz w:val="27"/>
        </w:rPr>
        <w:sectPr>
          <w:pgSz w:w="12240" w:h="15840"/>
          <w:pgMar w:header="576" w:footer="677" w:top="1340" w:bottom="860" w:left="940" w:right="920"/>
        </w:sectPr>
      </w:pPr>
    </w:p>
    <w:p>
      <w:pPr>
        <w:pStyle w:val="BodyText"/>
        <w:spacing w:before="7"/>
        <w:rPr>
          <w:rFonts w:ascii="Arial"/>
          <w:b/>
          <w:sz w:val="29"/>
        </w:rPr>
      </w:pPr>
      <w:r>
        <w:rPr/>
        <w:pict>
          <v:group style="position:absolute;margin-left:54pt;margin-top:90.000999pt;width:243pt;height:666.45pt;mso-position-horizontal-relative:page;mso-position-vertical-relative:page;z-index:-19550720" coordorigin="1080,1800" coordsize="4860,13329">
            <v:rect style="position:absolute;left:1085;top:1805;width:4850;height:13319" filled="true" fillcolor="#fff7f2" stroked="false">
              <v:fill type="solid"/>
            </v:rect>
            <v:rect style="position:absolute;left:1085;top:1805;width:4850;height:13319" filled="false" stroked="true" strokeweight=".5pt" strokecolor="#89aabe">
              <v:stroke dashstyle="solid"/>
            </v:rect>
            <v:line style="position:absolute" from="1335,3038" to="5685,3038" stroked="true" strokeweight="2pt" strokecolor="#588da6">
              <v:stroke dashstyle="solid"/>
            </v:line>
            <w10:wrap type="none"/>
          </v:group>
        </w:pict>
      </w:r>
    </w:p>
    <w:p>
      <w:pPr>
        <w:pStyle w:val="Heading3"/>
        <w:spacing w:line="249" w:lineRule="auto"/>
        <w:ind w:left="394" w:right="920"/>
        <w:rPr>
          <w:rFonts w:ascii="Arial"/>
        </w:rPr>
      </w:pPr>
      <w:r>
        <w:rPr>
          <w:rFonts w:ascii="Arial"/>
          <w:color w:val="147592"/>
          <w:w w:val="110"/>
        </w:rPr>
        <w:t>EXHIBIT 3D.5. </w:t>
      </w:r>
      <w:r>
        <w:rPr>
          <w:rFonts w:ascii="Arial"/>
          <w:color w:val="147592"/>
          <w:spacing w:val="-3"/>
          <w:w w:val="110"/>
        </w:rPr>
        <w:t>Key </w:t>
      </w:r>
      <w:r>
        <w:rPr>
          <w:rFonts w:ascii="Arial"/>
          <w:color w:val="147592"/>
          <w:spacing w:val="-4"/>
          <w:w w:val="110"/>
        </w:rPr>
        <w:t>Points </w:t>
      </w:r>
      <w:r>
        <w:rPr>
          <w:rFonts w:ascii="Arial"/>
          <w:color w:val="147592"/>
          <w:w w:val="110"/>
        </w:rPr>
        <w:t>of Patient Education for Buprenorphine</w:t>
      </w:r>
    </w:p>
    <w:p>
      <w:pPr>
        <w:spacing w:line="256" w:lineRule="auto" w:before="238"/>
        <w:ind w:left="394" w:right="920" w:firstLine="0"/>
        <w:jc w:val="left"/>
        <w:rPr>
          <w:rFonts w:ascii="Calibri"/>
          <w:sz w:val="18"/>
        </w:rPr>
      </w:pPr>
      <w:r>
        <w:rPr>
          <w:rFonts w:ascii="Calibri"/>
          <w:color w:val="414042"/>
          <w:w w:val="125"/>
          <w:sz w:val="18"/>
        </w:rPr>
        <w:t>Before starting OUD treatment with buprenorphine, patients should:</w:t>
      </w:r>
    </w:p>
    <w:p>
      <w:pPr>
        <w:pStyle w:val="ListParagraph"/>
        <w:numPr>
          <w:ilvl w:val="0"/>
          <w:numId w:val="38"/>
        </w:numPr>
        <w:tabs>
          <w:tab w:pos="575" w:val="left" w:leader="none"/>
        </w:tabs>
        <w:spacing w:line="230" w:lineRule="auto" w:before="49" w:after="0"/>
        <w:ind w:left="574" w:right="174" w:hanging="180"/>
        <w:jc w:val="left"/>
        <w:rPr>
          <w:rFonts w:ascii="Calibri" w:hAnsi="Calibri"/>
          <w:sz w:val="18"/>
        </w:rPr>
      </w:pPr>
      <w:r>
        <w:rPr>
          <w:rFonts w:ascii="Calibri" w:hAnsi="Calibri"/>
          <w:color w:val="4C4D4F"/>
          <w:spacing w:val="-3"/>
          <w:w w:val="125"/>
          <w:sz w:val="18"/>
        </w:rPr>
        <w:t>Tell </w:t>
      </w:r>
      <w:r>
        <w:rPr>
          <w:rFonts w:ascii="Calibri" w:hAnsi="Calibri"/>
          <w:color w:val="4C4D4F"/>
          <w:w w:val="125"/>
          <w:sz w:val="18"/>
        </w:rPr>
        <w:t>providers the prescribed and over-the- counter</w:t>
      </w:r>
      <w:r>
        <w:rPr>
          <w:rFonts w:ascii="Calibri" w:hAnsi="Calibri"/>
          <w:color w:val="4C4D4F"/>
          <w:spacing w:val="-10"/>
          <w:w w:val="125"/>
          <w:sz w:val="18"/>
        </w:rPr>
        <w:t> </w:t>
      </w:r>
      <w:r>
        <w:rPr>
          <w:rFonts w:ascii="Calibri" w:hAnsi="Calibri"/>
          <w:color w:val="4C4D4F"/>
          <w:w w:val="125"/>
          <w:sz w:val="18"/>
        </w:rPr>
        <w:t>medications</w:t>
      </w:r>
      <w:r>
        <w:rPr>
          <w:rFonts w:ascii="Calibri" w:hAnsi="Calibri"/>
          <w:color w:val="4C4D4F"/>
          <w:spacing w:val="-9"/>
          <w:w w:val="125"/>
          <w:sz w:val="18"/>
        </w:rPr>
        <w:t> </w:t>
      </w:r>
      <w:r>
        <w:rPr>
          <w:rFonts w:ascii="Calibri" w:hAnsi="Calibri"/>
          <w:color w:val="4C4D4F"/>
          <w:w w:val="125"/>
          <w:sz w:val="18"/>
        </w:rPr>
        <w:t>they</w:t>
      </w:r>
      <w:r>
        <w:rPr>
          <w:rFonts w:ascii="Calibri" w:hAnsi="Calibri"/>
          <w:color w:val="4C4D4F"/>
          <w:spacing w:val="-9"/>
          <w:w w:val="125"/>
          <w:sz w:val="18"/>
        </w:rPr>
        <w:t> </w:t>
      </w:r>
      <w:r>
        <w:rPr>
          <w:rFonts w:ascii="Calibri" w:hAnsi="Calibri"/>
          <w:color w:val="4C4D4F"/>
          <w:w w:val="125"/>
          <w:sz w:val="18"/>
        </w:rPr>
        <w:t>take</w:t>
      </w:r>
      <w:r>
        <w:rPr>
          <w:rFonts w:ascii="Calibri" w:hAnsi="Calibri"/>
          <w:color w:val="4C4D4F"/>
          <w:spacing w:val="-9"/>
          <w:w w:val="125"/>
          <w:sz w:val="18"/>
        </w:rPr>
        <w:t> </w:t>
      </w:r>
      <w:r>
        <w:rPr>
          <w:rFonts w:ascii="Calibri" w:hAnsi="Calibri"/>
          <w:color w:val="4C4D4F"/>
          <w:w w:val="125"/>
          <w:sz w:val="18"/>
        </w:rPr>
        <w:t>to</w:t>
      </w:r>
      <w:r>
        <w:rPr>
          <w:rFonts w:ascii="Calibri" w:hAnsi="Calibri"/>
          <w:color w:val="4C4D4F"/>
          <w:spacing w:val="-9"/>
          <w:w w:val="125"/>
          <w:sz w:val="18"/>
        </w:rPr>
        <w:t> </w:t>
      </w:r>
      <w:r>
        <w:rPr>
          <w:rFonts w:ascii="Calibri" w:hAnsi="Calibri"/>
          <w:color w:val="4C4D4F"/>
          <w:w w:val="125"/>
          <w:sz w:val="18"/>
        </w:rPr>
        <w:t>allow</w:t>
      </w:r>
      <w:r>
        <w:rPr>
          <w:rFonts w:ascii="Calibri" w:hAnsi="Calibri"/>
          <w:color w:val="4C4D4F"/>
          <w:spacing w:val="-9"/>
          <w:w w:val="125"/>
          <w:sz w:val="18"/>
        </w:rPr>
        <w:t> </w:t>
      </w:r>
      <w:r>
        <w:rPr>
          <w:rFonts w:ascii="Calibri" w:hAnsi="Calibri"/>
          <w:color w:val="4C4D4F"/>
          <w:spacing w:val="-3"/>
          <w:w w:val="125"/>
          <w:sz w:val="18"/>
        </w:rPr>
        <w:t>drug </w:t>
      </w:r>
      <w:r>
        <w:rPr>
          <w:rFonts w:ascii="Calibri" w:hAnsi="Calibri"/>
          <w:color w:val="4C4D4F"/>
          <w:w w:val="125"/>
          <w:sz w:val="18"/>
        </w:rPr>
        <w:t>interaction</w:t>
      </w:r>
      <w:r>
        <w:rPr>
          <w:rFonts w:ascii="Calibri" w:hAnsi="Calibri"/>
          <w:color w:val="4C4D4F"/>
          <w:spacing w:val="-5"/>
          <w:w w:val="125"/>
          <w:sz w:val="18"/>
        </w:rPr>
        <w:t> </w:t>
      </w:r>
      <w:r>
        <w:rPr>
          <w:rFonts w:ascii="Calibri" w:hAnsi="Calibri"/>
          <w:color w:val="4C4D4F"/>
          <w:w w:val="125"/>
          <w:sz w:val="18"/>
        </w:rPr>
        <w:t>assessment.</w:t>
      </w:r>
    </w:p>
    <w:p>
      <w:pPr>
        <w:pStyle w:val="ListParagraph"/>
        <w:numPr>
          <w:ilvl w:val="0"/>
          <w:numId w:val="38"/>
        </w:numPr>
        <w:tabs>
          <w:tab w:pos="575" w:val="left" w:leader="none"/>
        </w:tabs>
        <w:spacing w:line="230" w:lineRule="auto" w:before="6" w:after="0"/>
        <w:ind w:left="574" w:right="101" w:hanging="180"/>
        <w:jc w:val="left"/>
        <w:rPr>
          <w:rFonts w:ascii="Calibri" w:hAnsi="Calibri"/>
          <w:sz w:val="18"/>
        </w:rPr>
      </w:pPr>
      <w:r>
        <w:rPr>
          <w:rFonts w:ascii="Calibri" w:hAnsi="Calibri"/>
          <w:color w:val="4C4D4F"/>
          <w:w w:val="120"/>
          <w:sz w:val="18"/>
        </w:rPr>
        <w:t>Understand the goal of the ﬁrst week of treatment: </w:t>
      </w:r>
      <w:r>
        <w:rPr>
          <w:rFonts w:ascii="Calibri" w:hAnsi="Calibri"/>
          <w:color w:val="4C4D4F"/>
          <w:spacing w:val="-5"/>
          <w:w w:val="120"/>
          <w:sz w:val="18"/>
        </w:rPr>
        <w:t>To </w:t>
      </w:r>
      <w:r>
        <w:rPr>
          <w:rFonts w:ascii="Calibri" w:hAnsi="Calibri"/>
          <w:color w:val="4C4D4F"/>
          <w:w w:val="120"/>
          <w:sz w:val="18"/>
        </w:rPr>
        <w:t>improve withdrawal </w:t>
      </w:r>
      <w:r>
        <w:rPr>
          <w:rFonts w:ascii="Calibri" w:hAnsi="Calibri"/>
          <w:color w:val="4C4D4F"/>
          <w:spacing w:val="-3"/>
          <w:w w:val="120"/>
          <w:sz w:val="18"/>
        </w:rPr>
        <w:t>symptoms </w:t>
      </w:r>
      <w:r>
        <w:rPr>
          <w:rFonts w:ascii="Calibri" w:hAnsi="Calibri"/>
          <w:color w:val="4C4D4F"/>
          <w:w w:val="120"/>
          <w:sz w:val="18"/>
        </w:rPr>
        <w:t>without</w:t>
      </w:r>
      <w:r>
        <w:rPr>
          <w:rFonts w:ascii="Calibri" w:hAnsi="Calibri"/>
          <w:color w:val="4C4D4F"/>
          <w:spacing w:val="-3"/>
          <w:w w:val="120"/>
          <w:sz w:val="18"/>
        </w:rPr>
        <w:t> </w:t>
      </w:r>
      <w:r>
        <w:rPr>
          <w:rFonts w:ascii="Calibri" w:hAnsi="Calibri"/>
          <w:color w:val="4C4D4F"/>
          <w:w w:val="120"/>
          <w:sz w:val="18"/>
        </w:rPr>
        <w:t>oversedation.</w:t>
      </w:r>
    </w:p>
    <w:p>
      <w:pPr>
        <w:pStyle w:val="ListParagraph"/>
        <w:numPr>
          <w:ilvl w:val="0"/>
          <w:numId w:val="38"/>
        </w:numPr>
        <w:tabs>
          <w:tab w:pos="575" w:val="left" w:leader="none"/>
        </w:tabs>
        <w:spacing w:line="208" w:lineRule="auto" w:before="26" w:after="0"/>
        <w:ind w:left="574" w:right="150" w:hanging="180"/>
        <w:jc w:val="left"/>
        <w:rPr>
          <w:rFonts w:ascii="Calibri" w:hAnsi="Calibri"/>
          <w:sz w:val="18"/>
        </w:rPr>
      </w:pPr>
      <w:r>
        <w:rPr>
          <w:rFonts w:ascii="Calibri" w:hAnsi="Calibri"/>
          <w:color w:val="4C4D4F"/>
          <w:spacing w:val="-3"/>
          <w:w w:val="120"/>
          <w:sz w:val="18"/>
        </w:rPr>
        <w:t>Tell </w:t>
      </w:r>
      <w:r>
        <w:rPr>
          <w:rFonts w:ascii="Calibri" w:hAnsi="Calibri"/>
          <w:color w:val="4C4D4F"/>
          <w:w w:val="120"/>
          <w:sz w:val="18"/>
        </w:rPr>
        <w:t>providers if they feel sedated or </w:t>
      </w:r>
      <w:r>
        <w:rPr>
          <w:rFonts w:ascii="Calibri" w:hAnsi="Calibri"/>
          <w:color w:val="4C4D4F"/>
          <w:spacing w:val="-3"/>
          <w:w w:val="120"/>
          <w:sz w:val="18"/>
        </w:rPr>
        <w:t>euphoric </w:t>
      </w:r>
      <w:r>
        <w:rPr>
          <w:rFonts w:ascii="Calibri" w:hAnsi="Calibri"/>
          <w:color w:val="4C4D4F"/>
          <w:w w:val="120"/>
          <w:sz w:val="18"/>
        </w:rPr>
        <w:t>within </w:t>
      </w:r>
      <w:r>
        <w:rPr>
          <w:rFonts w:ascii="Calibri" w:hAnsi="Calibri"/>
          <w:color w:val="4C4D4F"/>
          <w:sz w:val="18"/>
        </w:rPr>
        <w:t>1 </w:t>
      </w:r>
      <w:r>
        <w:rPr>
          <w:rFonts w:ascii="Calibri" w:hAnsi="Calibri"/>
          <w:color w:val="4C4D4F"/>
          <w:w w:val="120"/>
          <w:sz w:val="18"/>
        </w:rPr>
        <w:t>to 4 hours after their</w:t>
      </w:r>
      <w:r>
        <w:rPr>
          <w:rFonts w:ascii="Calibri" w:hAnsi="Calibri"/>
          <w:color w:val="4C4D4F"/>
          <w:spacing w:val="-5"/>
          <w:w w:val="120"/>
          <w:sz w:val="18"/>
        </w:rPr>
        <w:t> </w:t>
      </w:r>
      <w:r>
        <w:rPr>
          <w:rFonts w:ascii="Calibri" w:hAnsi="Calibri"/>
          <w:color w:val="4C4D4F"/>
          <w:w w:val="120"/>
          <w:sz w:val="18"/>
        </w:rPr>
        <w:t>dose.</w:t>
      </w:r>
    </w:p>
    <w:p>
      <w:pPr>
        <w:pStyle w:val="ListParagraph"/>
        <w:numPr>
          <w:ilvl w:val="0"/>
          <w:numId w:val="38"/>
        </w:numPr>
        <w:tabs>
          <w:tab w:pos="575" w:val="left" w:leader="none"/>
        </w:tabs>
        <w:spacing w:line="208" w:lineRule="auto" w:before="29" w:after="0"/>
        <w:ind w:left="574" w:right="504" w:hanging="180"/>
        <w:jc w:val="left"/>
        <w:rPr>
          <w:rFonts w:ascii="Calibri" w:hAnsi="Calibri"/>
          <w:sz w:val="18"/>
        </w:rPr>
      </w:pPr>
      <w:r>
        <w:rPr>
          <w:rFonts w:ascii="Calibri" w:hAnsi="Calibri"/>
          <w:color w:val="4C4D4F"/>
          <w:w w:val="125"/>
          <w:sz w:val="18"/>
        </w:rPr>
        <w:t>Be</w:t>
      </w:r>
      <w:r>
        <w:rPr>
          <w:rFonts w:ascii="Calibri" w:hAnsi="Calibri"/>
          <w:color w:val="4C4D4F"/>
          <w:spacing w:val="-11"/>
          <w:w w:val="125"/>
          <w:sz w:val="18"/>
        </w:rPr>
        <w:t> </w:t>
      </w:r>
      <w:r>
        <w:rPr>
          <w:rFonts w:ascii="Calibri" w:hAnsi="Calibri"/>
          <w:color w:val="4C4D4F"/>
          <w:w w:val="125"/>
          <w:sz w:val="18"/>
        </w:rPr>
        <w:t>given</w:t>
      </w:r>
      <w:r>
        <w:rPr>
          <w:rFonts w:ascii="Calibri" w:hAnsi="Calibri"/>
          <w:color w:val="4C4D4F"/>
          <w:spacing w:val="-11"/>
          <w:w w:val="125"/>
          <w:sz w:val="18"/>
        </w:rPr>
        <w:t> </w:t>
      </w:r>
      <w:r>
        <w:rPr>
          <w:rFonts w:ascii="Calibri" w:hAnsi="Calibri"/>
          <w:color w:val="4C4D4F"/>
          <w:w w:val="125"/>
          <w:sz w:val="18"/>
        </w:rPr>
        <w:t>the</w:t>
      </w:r>
      <w:r>
        <w:rPr>
          <w:rFonts w:ascii="Calibri" w:hAnsi="Calibri"/>
          <w:color w:val="4C4D4F"/>
          <w:spacing w:val="-11"/>
          <w:w w:val="125"/>
          <w:sz w:val="18"/>
        </w:rPr>
        <w:t> </w:t>
      </w:r>
      <w:r>
        <w:rPr>
          <w:rFonts w:ascii="Calibri" w:hAnsi="Calibri"/>
          <w:color w:val="4C4D4F"/>
          <w:w w:val="125"/>
          <w:sz w:val="18"/>
        </w:rPr>
        <w:t>appropriate</w:t>
      </w:r>
      <w:r>
        <w:rPr>
          <w:rFonts w:ascii="Calibri" w:hAnsi="Calibri"/>
          <w:color w:val="4C4D4F"/>
          <w:spacing w:val="-11"/>
          <w:w w:val="125"/>
          <w:sz w:val="18"/>
        </w:rPr>
        <w:t> </w:t>
      </w:r>
      <w:r>
        <w:rPr>
          <w:rFonts w:ascii="Calibri" w:hAnsi="Calibri"/>
          <w:color w:val="4C4D4F"/>
          <w:w w:val="125"/>
          <w:sz w:val="18"/>
        </w:rPr>
        <w:t>buprenorphine medication</w:t>
      </w:r>
      <w:r>
        <w:rPr>
          <w:rFonts w:ascii="Calibri" w:hAnsi="Calibri"/>
          <w:color w:val="4C4D4F"/>
          <w:spacing w:val="-5"/>
          <w:w w:val="125"/>
          <w:sz w:val="18"/>
        </w:rPr>
        <w:t> </w:t>
      </w:r>
      <w:r>
        <w:rPr>
          <w:rFonts w:ascii="Calibri" w:hAnsi="Calibri"/>
          <w:color w:val="4C4D4F"/>
          <w:w w:val="125"/>
          <w:sz w:val="18"/>
        </w:rPr>
        <w:t>guide.</w:t>
      </w:r>
    </w:p>
    <w:p>
      <w:pPr>
        <w:pStyle w:val="ListParagraph"/>
        <w:numPr>
          <w:ilvl w:val="0"/>
          <w:numId w:val="38"/>
        </w:numPr>
        <w:tabs>
          <w:tab w:pos="575" w:val="left" w:leader="none"/>
        </w:tabs>
        <w:spacing w:line="293" w:lineRule="exact" w:before="1" w:after="0"/>
        <w:ind w:left="574" w:right="0" w:hanging="181"/>
        <w:jc w:val="left"/>
        <w:rPr>
          <w:rFonts w:ascii="Calibri" w:hAnsi="Calibri"/>
          <w:sz w:val="18"/>
        </w:rPr>
      </w:pPr>
      <w:r>
        <w:rPr>
          <w:rFonts w:ascii="Calibri" w:hAnsi="Calibri"/>
          <w:color w:val="4C4D4F"/>
          <w:w w:val="125"/>
          <w:sz w:val="18"/>
        </w:rPr>
        <w:t>Know possible side effects,</w:t>
      </w:r>
      <w:r>
        <w:rPr>
          <w:rFonts w:ascii="Calibri" w:hAnsi="Calibri"/>
          <w:color w:val="4C4D4F"/>
          <w:spacing w:val="-25"/>
          <w:w w:val="125"/>
          <w:sz w:val="18"/>
        </w:rPr>
        <w:t> </w:t>
      </w:r>
      <w:r>
        <w:rPr>
          <w:rFonts w:ascii="Calibri" w:hAnsi="Calibri"/>
          <w:color w:val="4C4D4F"/>
          <w:w w:val="125"/>
          <w:sz w:val="18"/>
        </w:rPr>
        <w:t>including:</w:t>
      </w:r>
    </w:p>
    <w:p>
      <w:pPr>
        <w:pStyle w:val="ListParagraph"/>
        <w:numPr>
          <w:ilvl w:val="1"/>
          <w:numId w:val="38"/>
        </w:numPr>
        <w:tabs>
          <w:tab w:pos="755" w:val="left" w:leader="none"/>
        </w:tabs>
        <w:spacing w:line="258" w:lineRule="exact" w:before="0" w:after="0"/>
        <w:ind w:left="754" w:right="0" w:hanging="181"/>
        <w:jc w:val="left"/>
        <w:rPr>
          <w:rFonts w:ascii="Calibri" w:hAnsi="Calibri"/>
          <w:sz w:val="18"/>
        </w:rPr>
      </w:pPr>
      <w:r>
        <w:rPr>
          <w:rFonts w:ascii="Calibri" w:hAnsi="Calibri"/>
          <w:color w:val="414042"/>
          <w:w w:val="125"/>
          <w:sz w:val="18"/>
        </w:rPr>
        <w:t>Headache.</w:t>
      </w:r>
    </w:p>
    <w:p>
      <w:pPr>
        <w:pStyle w:val="ListParagraph"/>
        <w:numPr>
          <w:ilvl w:val="1"/>
          <w:numId w:val="38"/>
        </w:numPr>
        <w:tabs>
          <w:tab w:pos="755" w:val="left" w:leader="none"/>
        </w:tabs>
        <w:spacing w:line="250" w:lineRule="exact" w:before="0" w:after="0"/>
        <w:ind w:left="754" w:right="0" w:hanging="181"/>
        <w:jc w:val="left"/>
        <w:rPr>
          <w:rFonts w:ascii="Calibri" w:hAnsi="Calibri"/>
          <w:sz w:val="18"/>
        </w:rPr>
      </w:pPr>
      <w:r>
        <w:rPr>
          <w:rFonts w:ascii="Calibri" w:hAnsi="Calibri"/>
          <w:color w:val="414042"/>
          <w:w w:val="125"/>
          <w:sz w:val="18"/>
        </w:rPr>
        <w:t>Dizziness.</w:t>
      </w:r>
    </w:p>
    <w:p>
      <w:pPr>
        <w:pStyle w:val="ListParagraph"/>
        <w:numPr>
          <w:ilvl w:val="1"/>
          <w:numId w:val="38"/>
        </w:numPr>
        <w:tabs>
          <w:tab w:pos="755" w:val="left" w:leader="none"/>
        </w:tabs>
        <w:spacing w:line="250" w:lineRule="exact" w:before="0" w:after="0"/>
        <w:ind w:left="754" w:right="0" w:hanging="181"/>
        <w:jc w:val="left"/>
        <w:rPr>
          <w:rFonts w:ascii="Calibri" w:hAnsi="Calibri"/>
          <w:sz w:val="18"/>
        </w:rPr>
      </w:pPr>
      <w:r>
        <w:rPr>
          <w:rFonts w:ascii="Calibri" w:hAnsi="Calibri"/>
          <w:color w:val="4C4D4F"/>
          <w:w w:val="120"/>
          <w:sz w:val="18"/>
        </w:rPr>
        <w:t>Nausea.</w:t>
      </w:r>
    </w:p>
    <w:p>
      <w:pPr>
        <w:pStyle w:val="ListParagraph"/>
        <w:numPr>
          <w:ilvl w:val="1"/>
          <w:numId w:val="38"/>
        </w:numPr>
        <w:tabs>
          <w:tab w:pos="755" w:val="left" w:leader="none"/>
        </w:tabs>
        <w:spacing w:line="250" w:lineRule="exact" w:before="0" w:after="0"/>
        <w:ind w:left="754" w:right="0" w:hanging="181"/>
        <w:jc w:val="left"/>
        <w:rPr>
          <w:rFonts w:ascii="Calibri" w:hAnsi="Calibri"/>
          <w:sz w:val="18"/>
        </w:rPr>
      </w:pPr>
      <w:r>
        <w:rPr>
          <w:rFonts w:ascii="Calibri" w:hAnsi="Calibri"/>
          <w:color w:val="4C4D4F"/>
          <w:w w:val="125"/>
          <w:sz w:val="18"/>
        </w:rPr>
        <w:t>Vomi</w:t>
      </w:r>
      <w:r>
        <w:rPr>
          <w:rFonts w:ascii="Calibri" w:hAnsi="Calibri"/>
          <w:color w:val="414042"/>
          <w:w w:val="125"/>
          <w:sz w:val="18"/>
        </w:rPr>
        <w:t>ting.</w:t>
      </w:r>
    </w:p>
    <w:p>
      <w:pPr>
        <w:pStyle w:val="ListParagraph"/>
        <w:numPr>
          <w:ilvl w:val="1"/>
          <w:numId w:val="38"/>
        </w:numPr>
        <w:tabs>
          <w:tab w:pos="755" w:val="left" w:leader="none"/>
        </w:tabs>
        <w:spacing w:line="250" w:lineRule="exact" w:before="0" w:after="0"/>
        <w:ind w:left="754" w:right="0" w:hanging="181"/>
        <w:jc w:val="left"/>
        <w:rPr>
          <w:rFonts w:ascii="Calibri" w:hAnsi="Calibri"/>
          <w:sz w:val="18"/>
        </w:rPr>
      </w:pPr>
      <w:r>
        <w:rPr>
          <w:rFonts w:ascii="Calibri" w:hAnsi="Calibri"/>
          <w:color w:val="4C4D4F"/>
          <w:w w:val="125"/>
          <w:sz w:val="18"/>
        </w:rPr>
        <w:t>Sweating.</w:t>
      </w:r>
    </w:p>
    <w:p>
      <w:pPr>
        <w:pStyle w:val="ListParagraph"/>
        <w:numPr>
          <w:ilvl w:val="1"/>
          <w:numId w:val="38"/>
        </w:numPr>
        <w:tabs>
          <w:tab w:pos="755" w:val="left" w:leader="none"/>
        </w:tabs>
        <w:spacing w:line="250" w:lineRule="exact" w:before="0" w:after="0"/>
        <w:ind w:left="754" w:right="0" w:hanging="181"/>
        <w:jc w:val="left"/>
        <w:rPr>
          <w:rFonts w:ascii="Calibri" w:hAnsi="Calibri"/>
          <w:sz w:val="18"/>
        </w:rPr>
      </w:pPr>
      <w:r>
        <w:rPr>
          <w:rFonts w:ascii="Calibri" w:hAnsi="Calibri"/>
          <w:color w:val="4C4D4F"/>
          <w:w w:val="120"/>
          <w:sz w:val="18"/>
        </w:rPr>
        <w:t>Constipation.</w:t>
      </w:r>
    </w:p>
    <w:p>
      <w:pPr>
        <w:pStyle w:val="ListParagraph"/>
        <w:numPr>
          <w:ilvl w:val="1"/>
          <w:numId w:val="38"/>
        </w:numPr>
        <w:tabs>
          <w:tab w:pos="755" w:val="left" w:leader="none"/>
        </w:tabs>
        <w:spacing w:line="272" w:lineRule="exact" w:before="0" w:after="0"/>
        <w:ind w:left="754" w:right="0" w:hanging="181"/>
        <w:jc w:val="left"/>
        <w:rPr>
          <w:rFonts w:ascii="Calibri" w:hAnsi="Calibri"/>
          <w:sz w:val="18"/>
        </w:rPr>
      </w:pPr>
      <w:r>
        <w:rPr>
          <w:rFonts w:ascii="Calibri" w:hAnsi="Calibri"/>
          <w:color w:val="4C4D4F"/>
          <w:w w:val="125"/>
          <w:sz w:val="18"/>
        </w:rPr>
        <w:t>Sexual</w:t>
      </w:r>
      <w:r>
        <w:rPr>
          <w:rFonts w:ascii="Calibri" w:hAnsi="Calibri"/>
          <w:color w:val="4C4D4F"/>
          <w:spacing w:val="-5"/>
          <w:w w:val="125"/>
          <w:sz w:val="18"/>
        </w:rPr>
        <w:t> </w:t>
      </w:r>
      <w:r>
        <w:rPr>
          <w:rFonts w:ascii="Calibri" w:hAnsi="Calibri"/>
          <w:color w:val="4C4D4F"/>
          <w:w w:val="125"/>
          <w:sz w:val="18"/>
        </w:rPr>
        <w:t>dysfunction.</w:t>
      </w:r>
    </w:p>
    <w:p>
      <w:pPr>
        <w:pStyle w:val="ListParagraph"/>
        <w:numPr>
          <w:ilvl w:val="0"/>
          <w:numId w:val="38"/>
        </w:numPr>
        <w:tabs>
          <w:tab w:pos="575" w:val="left" w:leader="none"/>
        </w:tabs>
        <w:spacing w:line="208" w:lineRule="auto" w:before="15" w:after="0"/>
        <w:ind w:left="574" w:right="59" w:hanging="180"/>
        <w:jc w:val="left"/>
        <w:rPr>
          <w:rFonts w:ascii="Calibri" w:hAnsi="Calibri"/>
          <w:sz w:val="18"/>
        </w:rPr>
      </w:pPr>
      <w:r>
        <w:rPr>
          <w:rFonts w:ascii="Calibri" w:hAnsi="Calibri"/>
          <w:color w:val="4C4D4F"/>
          <w:w w:val="125"/>
          <w:sz w:val="18"/>
        </w:rPr>
        <w:t>Agree</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2"/>
          <w:w w:val="125"/>
          <w:sz w:val="18"/>
        </w:rPr>
        <w:t> </w:t>
      </w:r>
      <w:r>
        <w:rPr>
          <w:rFonts w:ascii="Calibri" w:hAnsi="Calibri"/>
          <w:color w:val="4C4D4F"/>
          <w:w w:val="125"/>
          <w:sz w:val="18"/>
        </w:rPr>
        <w:t>store</w:t>
      </w:r>
      <w:r>
        <w:rPr>
          <w:rFonts w:ascii="Calibri" w:hAnsi="Calibri"/>
          <w:color w:val="4C4D4F"/>
          <w:spacing w:val="-12"/>
          <w:w w:val="125"/>
          <w:sz w:val="18"/>
        </w:rPr>
        <w:t> </w:t>
      </w:r>
      <w:r>
        <w:rPr>
          <w:rFonts w:ascii="Calibri" w:hAnsi="Calibri"/>
          <w:color w:val="4C4D4F"/>
          <w:w w:val="125"/>
          <w:sz w:val="18"/>
        </w:rPr>
        <w:t>medication</w:t>
      </w:r>
      <w:r>
        <w:rPr>
          <w:rFonts w:ascii="Calibri" w:hAnsi="Calibri"/>
          <w:color w:val="4C4D4F"/>
          <w:spacing w:val="-12"/>
          <w:w w:val="125"/>
          <w:sz w:val="18"/>
        </w:rPr>
        <w:t> </w:t>
      </w:r>
      <w:r>
        <w:rPr>
          <w:rFonts w:ascii="Calibri" w:hAnsi="Calibri"/>
          <w:color w:val="4C4D4F"/>
          <w:w w:val="125"/>
          <w:sz w:val="18"/>
        </w:rPr>
        <w:t>securely</w:t>
      </w:r>
      <w:r>
        <w:rPr>
          <w:rFonts w:ascii="Calibri" w:hAnsi="Calibri"/>
          <w:color w:val="4C4D4F"/>
          <w:spacing w:val="-12"/>
          <w:w w:val="125"/>
          <w:sz w:val="18"/>
        </w:rPr>
        <w:t> </w:t>
      </w:r>
      <w:r>
        <w:rPr>
          <w:rFonts w:ascii="Calibri" w:hAnsi="Calibri"/>
          <w:color w:val="4C4D4F"/>
          <w:w w:val="125"/>
          <w:sz w:val="18"/>
        </w:rPr>
        <w:t>and</w:t>
      </w:r>
      <w:r>
        <w:rPr>
          <w:rFonts w:ascii="Calibri" w:hAnsi="Calibri"/>
          <w:color w:val="4C4D4F"/>
          <w:spacing w:val="-12"/>
          <w:w w:val="125"/>
          <w:sz w:val="18"/>
        </w:rPr>
        <w:t> </w:t>
      </w:r>
      <w:r>
        <w:rPr>
          <w:rFonts w:ascii="Calibri" w:hAnsi="Calibri"/>
          <w:color w:val="4C4D4F"/>
          <w:w w:val="125"/>
          <w:sz w:val="18"/>
        </w:rPr>
        <w:t>out</w:t>
      </w:r>
      <w:r>
        <w:rPr>
          <w:rFonts w:ascii="Calibri" w:hAnsi="Calibri"/>
          <w:color w:val="4C4D4F"/>
          <w:spacing w:val="-12"/>
          <w:w w:val="125"/>
          <w:sz w:val="18"/>
        </w:rPr>
        <w:t> </w:t>
      </w:r>
      <w:r>
        <w:rPr>
          <w:rFonts w:ascii="Calibri" w:hAnsi="Calibri"/>
          <w:color w:val="4C4D4F"/>
          <w:w w:val="125"/>
          <w:sz w:val="18"/>
        </w:rPr>
        <w:t>of the reach of</w:t>
      </w:r>
      <w:r>
        <w:rPr>
          <w:rFonts w:ascii="Calibri" w:hAnsi="Calibri"/>
          <w:color w:val="4C4D4F"/>
          <w:spacing w:val="-16"/>
          <w:w w:val="125"/>
          <w:sz w:val="18"/>
        </w:rPr>
        <w:t> </w:t>
      </w:r>
      <w:r>
        <w:rPr>
          <w:rFonts w:ascii="Calibri" w:hAnsi="Calibri"/>
          <w:color w:val="4C4D4F"/>
          <w:w w:val="125"/>
          <w:sz w:val="18"/>
        </w:rPr>
        <w:t>others.</w:t>
      </w:r>
    </w:p>
    <w:p>
      <w:pPr>
        <w:pStyle w:val="ListParagraph"/>
        <w:numPr>
          <w:ilvl w:val="0"/>
          <w:numId w:val="38"/>
        </w:numPr>
        <w:tabs>
          <w:tab w:pos="575" w:val="left" w:leader="none"/>
        </w:tabs>
        <w:spacing w:line="230" w:lineRule="auto" w:before="9" w:after="0"/>
        <w:ind w:left="574" w:right="162" w:hanging="180"/>
        <w:jc w:val="left"/>
        <w:rPr>
          <w:rFonts w:ascii="Calibri" w:hAnsi="Calibri"/>
          <w:sz w:val="18"/>
        </w:rPr>
      </w:pPr>
      <w:r>
        <w:rPr>
          <w:rFonts w:ascii="Calibri" w:hAnsi="Calibri"/>
          <w:color w:val="4C4D4F"/>
          <w:w w:val="125"/>
          <w:sz w:val="18"/>
        </w:rPr>
        <w:t>Alert providers if they discontinue medications,</w:t>
      </w:r>
      <w:r>
        <w:rPr>
          <w:rFonts w:ascii="Calibri" w:hAnsi="Calibri"/>
          <w:color w:val="4C4D4F"/>
          <w:spacing w:val="-12"/>
          <w:w w:val="125"/>
          <w:sz w:val="18"/>
        </w:rPr>
        <w:t> </w:t>
      </w:r>
      <w:r>
        <w:rPr>
          <w:rFonts w:ascii="Calibri" w:hAnsi="Calibri"/>
          <w:color w:val="4C4D4F"/>
          <w:w w:val="125"/>
          <w:sz w:val="18"/>
        </w:rPr>
        <w:t>start</w:t>
      </w:r>
      <w:r>
        <w:rPr>
          <w:rFonts w:ascii="Calibri" w:hAnsi="Calibri"/>
          <w:color w:val="4C4D4F"/>
          <w:spacing w:val="-11"/>
          <w:w w:val="125"/>
          <w:sz w:val="18"/>
        </w:rPr>
        <w:t> </w:t>
      </w:r>
      <w:r>
        <w:rPr>
          <w:rFonts w:ascii="Calibri" w:hAnsi="Calibri"/>
          <w:color w:val="4C4D4F"/>
          <w:w w:val="125"/>
          <w:sz w:val="18"/>
        </w:rPr>
        <w:t>new</w:t>
      </w:r>
      <w:r>
        <w:rPr>
          <w:rFonts w:ascii="Calibri" w:hAnsi="Calibri"/>
          <w:color w:val="4C4D4F"/>
          <w:spacing w:val="-11"/>
          <w:w w:val="125"/>
          <w:sz w:val="18"/>
        </w:rPr>
        <w:t> </w:t>
      </w:r>
      <w:r>
        <w:rPr>
          <w:rFonts w:ascii="Calibri" w:hAnsi="Calibri"/>
          <w:color w:val="4C4D4F"/>
          <w:w w:val="125"/>
          <w:sz w:val="18"/>
        </w:rPr>
        <w:t>ones,</w:t>
      </w:r>
      <w:r>
        <w:rPr>
          <w:rFonts w:ascii="Calibri" w:hAnsi="Calibri"/>
          <w:color w:val="4C4D4F"/>
          <w:spacing w:val="-11"/>
          <w:w w:val="125"/>
          <w:sz w:val="18"/>
        </w:rPr>
        <w:t> </w:t>
      </w:r>
      <w:r>
        <w:rPr>
          <w:rFonts w:ascii="Calibri" w:hAnsi="Calibri"/>
          <w:color w:val="4C4D4F"/>
          <w:w w:val="125"/>
          <w:sz w:val="18"/>
        </w:rPr>
        <w:t>or</w:t>
      </w:r>
      <w:r>
        <w:rPr>
          <w:rFonts w:ascii="Calibri" w:hAnsi="Calibri"/>
          <w:color w:val="4C4D4F"/>
          <w:spacing w:val="-12"/>
          <w:w w:val="125"/>
          <w:sz w:val="18"/>
        </w:rPr>
        <w:t> </w:t>
      </w:r>
      <w:r>
        <w:rPr>
          <w:rFonts w:ascii="Calibri" w:hAnsi="Calibri"/>
          <w:color w:val="4C4D4F"/>
          <w:w w:val="125"/>
          <w:sz w:val="18"/>
        </w:rPr>
        <w:t>change</w:t>
      </w:r>
      <w:r>
        <w:rPr>
          <w:rFonts w:ascii="Calibri" w:hAnsi="Calibri"/>
          <w:color w:val="4C4D4F"/>
          <w:spacing w:val="-11"/>
          <w:w w:val="125"/>
          <w:sz w:val="18"/>
        </w:rPr>
        <w:t> </w:t>
      </w:r>
      <w:r>
        <w:rPr>
          <w:rFonts w:ascii="Calibri" w:hAnsi="Calibri"/>
          <w:color w:val="4C4D4F"/>
          <w:spacing w:val="-3"/>
          <w:w w:val="125"/>
          <w:sz w:val="18"/>
        </w:rPr>
        <w:t>their </w:t>
      </w:r>
      <w:r>
        <w:rPr>
          <w:rFonts w:ascii="Calibri" w:hAnsi="Calibri"/>
          <w:color w:val="4C4D4F"/>
          <w:w w:val="125"/>
          <w:sz w:val="18"/>
        </w:rPr>
        <w:t>medication</w:t>
      </w:r>
      <w:r>
        <w:rPr>
          <w:rFonts w:ascii="Calibri" w:hAnsi="Calibri"/>
          <w:color w:val="4C4D4F"/>
          <w:spacing w:val="-5"/>
          <w:w w:val="125"/>
          <w:sz w:val="18"/>
        </w:rPr>
        <w:t> </w:t>
      </w:r>
      <w:r>
        <w:rPr>
          <w:rFonts w:ascii="Calibri" w:hAnsi="Calibri"/>
          <w:color w:val="4C4D4F"/>
          <w:w w:val="125"/>
          <w:sz w:val="18"/>
        </w:rPr>
        <w:t>dose.</w:t>
      </w:r>
    </w:p>
    <w:p>
      <w:pPr>
        <w:pStyle w:val="ListParagraph"/>
        <w:numPr>
          <w:ilvl w:val="0"/>
          <w:numId w:val="38"/>
        </w:numPr>
        <w:tabs>
          <w:tab w:pos="575" w:val="left" w:leader="none"/>
        </w:tabs>
        <w:spacing w:line="230" w:lineRule="auto" w:before="6" w:after="0"/>
        <w:ind w:left="574" w:right="465" w:hanging="180"/>
        <w:jc w:val="left"/>
        <w:rPr>
          <w:rFonts w:ascii="Calibri" w:hAnsi="Calibri"/>
          <w:sz w:val="18"/>
        </w:rPr>
      </w:pPr>
      <w:r>
        <w:rPr>
          <w:rFonts w:ascii="Calibri" w:hAnsi="Calibri"/>
          <w:color w:val="4C4D4F"/>
          <w:w w:val="125"/>
          <w:sz w:val="18"/>
        </w:rPr>
        <w:t>Understand that discontinuing buprenorphine</w:t>
      </w:r>
      <w:r>
        <w:rPr>
          <w:rFonts w:ascii="Calibri" w:hAnsi="Calibri"/>
          <w:color w:val="4C4D4F"/>
          <w:spacing w:val="-22"/>
          <w:w w:val="125"/>
          <w:sz w:val="18"/>
        </w:rPr>
        <w:t> </w:t>
      </w:r>
      <w:r>
        <w:rPr>
          <w:rFonts w:ascii="Calibri" w:hAnsi="Calibri"/>
          <w:color w:val="4C4D4F"/>
          <w:w w:val="125"/>
          <w:sz w:val="18"/>
        </w:rPr>
        <w:t>increases</w:t>
      </w:r>
      <w:r>
        <w:rPr>
          <w:rFonts w:ascii="Calibri" w:hAnsi="Calibri"/>
          <w:color w:val="4C4D4F"/>
          <w:spacing w:val="-22"/>
          <w:w w:val="125"/>
          <w:sz w:val="18"/>
        </w:rPr>
        <w:t> </w:t>
      </w:r>
      <w:r>
        <w:rPr>
          <w:rFonts w:ascii="Calibri" w:hAnsi="Calibri"/>
          <w:color w:val="4C4D4F"/>
          <w:w w:val="125"/>
          <w:sz w:val="18"/>
        </w:rPr>
        <w:t>risk</w:t>
      </w:r>
      <w:r>
        <w:rPr>
          <w:rFonts w:ascii="Calibri" w:hAnsi="Calibri"/>
          <w:color w:val="4C4D4F"/>
          <w:spacing w:val="-21"/>
          <w:w w:val="125"/>
          <w:sz w:val="18"/>
        </w:rPr>
        <w:t> </w:t>
      </w:r>
      <w:r>
        <w:rPr>
          <w:rFonts w:ascii="Calibri" w:hAnsi="Calibri"/>
          <w:color w:val="4C4D4F"/>
          <w:w w:val="125"/>
          <w:sz w:val="18"/>
        </w:rPr>
        <w:t>of</w:t>
      </w:r>
      <w:r>
        <w:rPr>
          <w:rFonts w:ascii="Calibri" w:hAnsi="Calibri"/>
          <w:color w:val="4C4D4F"/>
          <w:spacing w:val="-22"/>
          <w:w w:val="125"/>
          <w:sz w:val="18"/>
        </w:rPr>
        <w:t> </w:t>
      </w:r>
      <w:r>
        <w:rPr>
          <w:rFonts w:ascii="Calibri" w:hAnsi="Calibri"/>
          <w:color w:val="4C4D4F"/>
          <w:w w:val="125"/>
          <w:sz w:val="18"/>
        </w:rPr>
        <w:t>overdose death</w:t>
      </w:r>
      <w:r>
        <w:rPr>
          <w:rFonts w:ascii="Calibri" w:hAnsi="Calibri"/>
          <w:color w:val="4C4D4F"/>
          <w:spacing w:val="-10"/>
          <w:w w:val="125"/>
          <w:sz w:val="18"/>
        </w:rPr>
        <w:t> </w:t>
      </w:r>
      <w:r>
        <w:rPr>
          <w:rFonts w:ascii="Calibri" w:hAnsi="Calibri"/>
          <w:color w:val="4C4D4F"/>
          <w:w w:val="125"/>
          <w:sz w:val="18"/>
        </w:rPr>
        <w:t>upon</w:t>
      </w:r>
      <w:r>
        <w:rPr>
          <w:rFonts w:ascii="Calibri" w:hAnsi="Calibri"/>
          <w:color w:val="4C4D4F"/>
          <w:spacing w:val="-9"/>
          <w:w w:val="125"/>
          <w:sz w:val="18"/>
        </w:rPr>
        <w:t> </w:t>
      </w:r>
      <w:r>
        <w:rPr>
          <w:rFonts w:ascii="Calibri" w:hAnsi="Calibri"/>
          <w:color w:val="4C4D4F"/>
          <w:w w:val="125"/>
          <w:sz w:val="18"/>
        </w:rPr>
        <w:t>return</w:t>
      </w:r>
      <w:r>
        <w:rPr>
          <w:rFonts w:ascii="Calibri" w:hAnsi="Calibri"/>
          <w:color w:val="4C4D4F"/>
          <w:spacing w:val="-9"/>
          <w:w w:val="125"/>
          <w:sz w:val="18"/>
        </w:rPr>
        <w:t> </w:t>
      </w:r>
      <w:r>
        <w:rPr>
          <w:rFonts w:ascii="Calibri" w:hAnsi="Calibri"/>
          <w:color w:val="4C4D4F"/>
          <w:w w:val="125"/>
          <w:sz w:val="18"/>
        </w:rPr>
        <w:t>to</w:t>
      </w:r>
      <w:r>
        <w:rPr>
          <w:rFonts w:ascii="Calibri" w:hAnsi="Calibri"/>
          <w:color w:val="4C4D4F"/>
          <w:spacing w:val="-10"/>
          <w:w w:val="125"/>
          <w:sz w:val="18"/>
        </w:rPr>
        <w:t> </w:t>
      </w:r>
      <w:r>
        <w:rPr>
          <w:rFonts w:ascii="Calibri" w:hAnsi="Calibri"/>
          <w:color w:val="4C4D4F"/>
          <w:w w:val="125"/>
          <w:sz w:val="18"/>
        </w:rPr>
        <w:t>illicit</w:t>
      </w:r>
      <w:r>
        <w:rPr>
          <w:rFonts w:ascii="Calibri" w:hAnsi="Calibri"/>
          <w:color w:val="4C4D4F"/>
          <w:spacing w:val="-9"/>
          <w:w w:val="125"/>
          <w:sz w:val="18"/>
        </w:rPr>
        <w:t> </w:t>
      </w:r>
      <w:r>
        <w:rPr>
          <w:rFonts w:ascii="Calibri" w:hAnsi="Calibri"/>
          <w:color w:val="4C4D4F"/>
          <w:w w:val="125"/>
          <w:sz w:val="18"/>
        </w:rPr>
        <w:t>opioid</w:t>
      </w:r>
      <w:r>
        <w:rPr>
          <w:rFonts w:ascii="Calibri" w:hAnsi="Calibri"/>
          <w:color w:val="4C4D4F"/>
          <w:spacing w:val="-9"/>
          <w:w w:val="125"/>
          <w:sz w:val="18"/>
        </w:rPr>
        <w:t> </w:t>
      </w:r>
      <w:r>
        <w:rPr>
          <w:rFonts w:ascii="Calibri" w:hAnsi="Calibri"/>
          <w:color w:val="4C4D4F"/>
          <w:w w:val="125"/>
          <w:sz w:val="18"/>
        </w:rPr>
        <w:t>use.</w:t>
      </w:r>
    </w:p>
    <w:p>
      <w:pPr>
        <w:pStyle w:val="ListParagraph"/>
        <w:numPr>
          <w:ilvl w:val="0"/>
          <w:numId w:val="38"/>
        </w:numPr>
        <w:tabs>
          <w:tab w:pos="575" w:val="left" w:leader="none"/>
        </w:tabs>
        <w:spacing w:line="230" w:lineRule="auto" w:before="6" w:after="0"/>
        <w:ind w:left="574" w:right="147" w:hanging="180"/>
        <w:jc w:val="left"/>
        <w:rPr>
          <w:rFonts w:ascii="Calibri" w:hAnsi="Calibri"/>
          <w:sz w:val="18"/>
        </w:rPr>
      </w:pPr>
      <w:r>
        <w:rPr>
          <w:rFonts w:ascii="Calibri" w:hAnsi="Calibri"/>
          <w:color w:val="4C4D4F"/>
          <w:w w:val="125"/>
          <w:sz w:val="18"/>
        </w:rPr>
        <w:t>Know</w:t>
      </w:r>
      <w:r>
        <w:rPr>
          <w:rFonts w:ascii="Calibri" w:hAnsi="Calibri"/>
          <w:color w:val="4C4D4F"/>
          <w:spacing w:val="-13"/>
          <w:w w:val="125"/>
          <w:sz w:val="18"/>
        </w:rPr>
        <w:t> </w:t>
      </w:r>
      <w:r>
        <w:rPr>
          <w:rFonts w:ascii="Calibri" w:hAnsi="Calibri"/>
          <w:color w:val="4C4D4F"/>
          <w:w w:val="125"/>
          <w:sz w:val="18"/>
        </w:rPr>
        <w:t>that</w:t>
      </w:r>
      <w:r>
        <w:rPr>
          <w:rFonts w:ascii="Calibri" w:hAnsi="Calibri"/>
          <w:color w:val="4C4D4F"/>
          <w:spacing w:val="-12"/>
          <w:w w:val="125"/>
          <w:sz w:val="18"/>
        </w:rPr>
        <w:t> </w:t>
      </w:r>
      <w:r>
        <w:rPr>
          <w:rFonts w:ascii="Calibri" w:hAnsi="Calibri"/>
          <w:color w:val="4C4D4F"/>
          <w:w w:val="125"/>
          <w:sz w:val="18"/>
        </w:rPr>
        <w:t>use</w:t>
      </w:r>
      <w:r>
        <w:rPr>
          <w:rFonts w:ascii="Calibri" w:hAnsi="Calibri"/>
          <w:color w:val="4C4D4F"/>
          <w:spacing w:val="-12"/>
          <w:w w:val="125"/>
          <w:sz w:val="18"/>
        </w:rPr>
        <w:t> </w:t>
      </w:r>
      <w:r>
        <w:rPr>
          <w:rFonts w:ascii="Calibri" w:hAnsi="Calibri"/>
          <w:color w:val="4C4D4F"/>
          <w:w w:val="125"/>
          <w:sz w:val="18"/>
        </w:rPr>
        <w:t>of</w:t>
      </w:r>
      <w:r>
        <w:rPr>
          <w:rFonts w:ascii="Calibri" w:hAnsi="Calibri"/>
          <w:color w:val="4C4D4F"/>
          <w:spacing w:val="-13"/>
          <w:w w:val="125"/>
          <w:sz w:val="18"/>
        </w:rPr>
        <w:t> </w:t>
      </w:r>
      <w:r>
        <w:rPr>
          <w:rFonts w:ascii="Calibri" w:hAnsi="Calibri"/>
          <w:color w:val="4C4D4F"/>
          <w:w w:val="125"/>
          <w:sz w:val="18"/>
        </w:rPr>
        <w:t>alcohol</w:t>
      </w:r>
      <w:r>
        <w:rPr>
          <w:rFonts w:ascii="Calibri" w:hAnsi="Calibri"/>
          <w:color w:val="4C4D4F"/>
          <w:spacing w:val="-12"/>
          <w:w w:val="125"/>
          <w:sz w:val="18"/>
        </w:rPr>
        <w:t> </w:t>
      </w:r>
      <w:r>
        <w:rPr>
          <w:rFonts w:ascii="Calibri" w:hAnsi="Calibri"/>
          <w:color w:val="4C4D4F"/>
          <w:w w:val="125"/>
          <w:sz w:val="18"/>
        </w:rPr>
        <w:t>or</w:t>
      </w:r>
      <w:r>
        <w:rPr>
          <w:rFonts w:ascii="Calibri" w:hAnsi="Calibri"/>
          <w:color w:val="4C4D4F"/>
          <w:spacing w:val="-12"/>
          <w:w w:val="125"/>
          <w:sz w:val="18"/>
        </w:rPr>
        <w:t> </w:t>
      </w:r>
      <w:r>
        <w:rPr>
          <w:rFonts w:ascii="Calibri" w:hAnsi="Calibri"/>
          <w:color w:val="4C4D4F"/>
          <w:w w:val="125"/>
          <w:sz w:val="18"/>
        </w:rPr>
        <w:t>benzodiazepines with buprenorphine increases the risk of overdose and</w:t>
      </w:r>
      <w:r>
        <w:rPr>
          <w:rFonts w:ascii="Calibri" w:hAnsi="Calibri"/>
          <w:color w:val="4C4D4F"/>
          <w:spacing w:val="-11"/>
          <w:w w:val="125"/>
          <w:sz w:val="18"/>
        </w:rPr>
        <w:t> </w:t>
      </w:r>
      <w:r>
        <w:rPr>
          <w:rFonts w:ascii="Calibri" w:hAnsi="Calibri"/>
          <w:color w:val="4C4D4F"/>
          <w:w w:val="125"/>
          <w:sz w:val="18"/>
        </w:rPr>
        <w:t>death.</w:t>
      </w:r>
    </w:p>
    <w:p>
      <w:pPr>
        <w:pStyle w:val="ListParagraph"/>
        <w:numPr>
          <w:ilvl w:val="0"/>
          <w:numId w:val="38"/>
        </w:numPr>
        <w:tabs>
          <w:tab w:pos="575" w:val="left" w:leader="none"/>
        </w:tabs>
        <w:spacing w:line="208" w:lineRule="auto" w:before="26" w:after="0"/>
        <w:ind w:left="574" w:right="467" w:hanging="180"/>
        <w:jc w:val="left"/>
        <w:rPr>
          <w:rFonts w:ascii="Calibri" w:hAnsi="Calibri"/>
          <w:sz w:val="18"/>
        </w:rPr>
      </w:pPr>
      <w:r>
        <w:rPr>
          <w:rFonts w:ascii="Calibri" w:hAnsi="Calibri"/>
          <w:color w:val="4C4D4F"/>
          <w:w w:val="125"/>
          <w:sz w:val="18"/>
        </w:rPr>
        <w:t>Understand the importance of </w:t>
      </w:r>
      <w:r>
        <w:rPr>
          <w:rFonts w:ascii="Calibri" w:hAnsi="Calibri"/>
          <w:color w:val="4C4D4F"/>
          <w:spacing w:val="-3"/>
          <w:w w:val="125"/>
          <w:sz w:val="18"/>
        </w:rPr>
        <w:t>informing </w:t>
      </w:r>
      <w:r>
        <w:rPr>
          <w:rFonts w:ascii="Calibri" w:hAnsi="Calibri"/>
          <w:color w:val="4C4D4F"/>
          <w:w w:val="125"/>
          <w:sz w:val="18"/>
        </w:rPr>
        <w:t>providers if they become</w:t>
      </w:r>
      <w:r>
        <w:rPr>
          <w:rFonts w:ascii="Calibri" w:hAnsi="Calibri"/>
          <w:color w:val="4C4D4F"/>
          <w:spacing w:val="-29"/>
          <w:w w:val="125"/>
          <w:sz w:val="18"/>
        </w:rPr>
        <w:t> </w:t>
      </w:r>
      <w:r>
        <w:rPr>
          <w:rFonts w:ascii="Calibri" w:hAnsi="Calibri"/>
          <w:color w:val="4C4D4F"/>
          <w:w w:val="125"/>
          <w:sz w:val="18"/>
        </w:rPr>
        <w:t>pregnant.</w:t>
      </w:r>
    </w:p>
    <w:p>
      <w:pPr>
        <w:pStyle w:val="ListParagraph"/>
        <w:numPr>
          <w:ilvl w:val="0"/>
          <w:numId w:val="38"/>
        </w:numPr>
        <w:tabs>
          <w:tab w:pos="575" w:val="left" w:leader="none"/>
        </w:tabs>
        <w:spacing w:line="208" w:lineRule="auto" w:before="29" w:after="0"/>
        <w:ind w:left="574" w:right="249" w:hanging="180"/>
        <w:jc w:val="left"/>
        <w:rPr>
          <w:rFonts w:ascii="Calibri" w:hAnsi="Calibri"/>
          <w:sz w:val="18"/>
        </w:rPr>
      </w:pPr>
      <w:r>
        <w:rPr>
          <w:rFonts w:ascii="Calibri" w:hAnsi="Calibri"/>
          <w:color w:val="4C4D4F"/>
          <w:spacing w:val="-3"/>
          <w:w w:val="125"/>
          <w:sz w:val="18"/>
        </w:rPr>
        <w:t>Tell</w:t>
      </w:r>
      <w:r>
        <w:rPr>
          <w:rFonts w:ascii="Calibri" w:hAnsi="Calibri"/>
          <w:color w:val="4C4D4F"/>
          <w:spacing w:val="-15"/>
          <w:w w:val="125"/>
          <w:sz w:val="18"/>
        </w:rPr>
        <w:t> </w:t>
      </w:r>
      <w:r>
        <w:rPr>
          <w:rFonts w:ascii="Calibri" w:hAnsi="Calibri"/>
          <w:color w:val="4C4D4F"/>
          <w:w w:val="125"/>
          <w:sz w:val="18"/>
        </w:rPr>
        <w:t>providers</w:t>
      </w:r>
      <w:r>
        <w:rPr>
          <w:rFonts w:ascii="Calibri" w:hAnsi="Calibri"/>
          <w:color w:val="4C4D4F"/>
          <w:spacing w:val="-15"/>
          <w:w w:val="125"/>
          <w:sz w:val="18"/>
        </w:rPr>
        <w:t> </w:t>
      </w:r>
      <w:r>
        <w:rPr>
          <w:rFonts w:ascii="Calibri" w:hAnsi="Calibri"/>
          <w:color w:val="4C4D4F"/>
          <w:w w:val="125"/>
          <w:sz w:val="18"/>
        </w:rPr>
        <w:t>if</w:t>
      </w:r>
      <w:r>
        <w:rPr>
          <w:rFonts w:ascii="Calibri" w:hAnsi="Calibri"/>
          <w:color w:val="4C4D4F"/>
          <w:spacing w:val="-15"/>
          <w:w w:val="125"/>
          <w:sz w:val="18"/>
        </w:rPr>
        <w:t> </w:t>
      </w:r>
      <w:r>
        <w:rPr>
          <w:rFonts w:ascii="Calibri" w:hAnsi="Calibri"/>
          <w:color w:val="4C4D4F"/>
          <w:w w:val="125"/>
          <w:sz w:val="18"/>
        </w:rPr>
        <w:t>they</w:t>
      </w:r>
      <w:r>
        <w:rPr>
          <w:rFonts w:ascii="Calibri" w:hAnsi="Calibri"/>
          <w:color w:val="4C4D4F"/>
          <w:spacing w:val="-15"/>
          <w:w w:val="125"/>
          <w:sz w:val="18"/>
        </w:rPr>
        <w:t> </w:t>
      </w:r>
      <w:r>
        <w:rPr>
          <w:rFonts w:ascii="Calibri" w:hAnsi="Calibri"/>
          <w:color w:val="4C4D4F"/>
          <w:w w:val="125"/>
          <w:sz w:val="18"/>
        </w:rPr>
        <w:t>are</w:t>
      </w:r>
      <w:r>
        <w:rPr>
          <w:rFonts w:ascii="Calibri" w:hAnsi="Calibri"/>
          <w:color w:val="4C4D4F"/>
          <w:spacing w:val="-15"/>
          <w:w w:val="125"/>
          <w:sz w:val="18"/>
        </w:rPr>
        <w:t> </w:t>
      </w:r>
      <w:r>
        <w:rPr>
          <w:rFonts w:ascii="Calibri" w:hAnsi="Calibri"/>
          <w:color w:val="4C4D4F"/>
          <w:w w:val="125"/>
          <w:sz w:val="18"/>
        </w:rPr>
        <w:t>having</w:t>
      </w:r>
      <w:r>
        <w:rPr>
          <w:rFonts w:ascii="Calibri" w:hAnsi="Calibri"/>
          <w:color w:val="4C4D4F"/>
          <w:spacing w:val="-15"/>
          <w:w w:val="125"/>
          <w:sz w:val="18"/>
        </w:rPr>
        <w:t> </w:t>
      </w:r>
      <w:r>
        <w:rPr>
          <w:rFonts w:ascii="Calibri" w:hAnsi="Calibri"/>
          <w:color w:val="4C4D4F"/>
          <w:w w:val="125"/>
          <w:sz w:val="18"/>
        </w:rPr>
        <w:t>a</w:t>
      </w:r>
      <w:r>
        <w:rPr>
          <w:rFonts w:ascii="Calibri" w:hAnsi="Calibri"/>
          <w:color w:val="4C4D4F"/>
          <w:spacing w:val="-15"/>
          <w:w w:val="125"/>
          <w:sz w:val="18"/>
        </w:rPr>
        <w:t> </w:t>
      </w:r>
      <w:r>
        <w:rPr>
          <w:rFonts w:ascii="Calibri" w:hAnsi="Calibri"/>
          <w:color w:val="4C4D4F"/>
          <w:w w:val="125"/>
          <w:sz w:val="18"/>
        </w:rPr>
        <w:t>procedure that may require pain</w:t>
      </w:r>
      <w:r>
        <w:rPr>
          <w:rFonts w:ascii="Calibri" w:hAnsi="Calibri"/>
          <w:color w:val="4C4D4F"/>
          <w:spacing w:val="-23"/>
          <w:w w:val="125"/>
          <w:sz w:val="18"/>
        </w:rPr>
        <w:t> </w:t>
      </w:r>
      <w:r>
        <w:rPr>
          <w:rFonts w:ascii="Calibri" w:hAnsi="Calibri"/>
          <w:color w:val="4C4D4F"/>
          <w:w w:val="125"/>
          <w:sz w:val="18"/>
        </w:rPr>
        <w:t>medication.</w:t>
      </w:r>
    </w:p>
    <w:p>
      <w:pPr>
        <w:pStyle w:val="ListParagraph"/>
        <w:numPr>
          <w:ilvl w:val="0"/>
          <w:numId w:val="38"/>
        </w:numPr>
        <w:tabs>
          <w:tab w:pos="575" w:val="left" w:leader="none"/>
        </w:tabs>
        <w:spacing w:line="208" w:lineRule="auto" w:before="30" w:after="0"/>
        <w:ind w:left="574" w:right="580" w:hanging="180"/>
        <w:jc w:val="left"/>
        <w:rPr>
          <w:rFonts w:ascii="Calibri" w:hAnsi="Calibri"/>
          <w:sz w:val="18"/>
        </w:rPr>
      </w:pPr>
      <w:r>
        <w:rPr>
          <w:rFonts w:ascii="Calibri" w:hAnsi="Calibri"/>
          <w:color w:val="4C4D4F"/>
          <w:w w:val="125"/>
          <w:sz w:val="18"/>
        </w:rPr>
        <w:t>Be</w:t>
      </w:r>
      <w:r>
        <w:rPr>
          <w:rFonts w:ascii="Calibri" w:hAnsi="Calibri"/>
          <w:color w:val="4C4D4F"/>
          <w:spacing w:val="-12"/>
          <w:w w:val="125"/>
          <w:sz w:val="18"/>
        </w:rPr>
        <w:t> </w:t>
      </w:r>
      <w:r>
        <w:rPr>
          <w:rFonts w:ascii="Calibri" w:hAnsi="Calibri"/>
          <w:color w:val="4C4D4F"/>
          <w:w w:val="125"/>
          <w:sz w:val="18"/>
        </w:rPr>
        <w:t>aware</w:t>
      </w:r>
      <w:r>
        <w:rPr>
          <w:rFonts w:ascii="Calibri" w:hAnsi="Calibri"/>
          <w:color w:val="4C4D4F"/>
          <w:spacing w:val="-12"/>
          <w:w w:val="125"/>
          <w:sz w:val="18"/>
        </w:rPr>
        <w:t> </w:t>
      </w:r>
      <w:r>
        <w:rPr>
          <w:rFonts w:ascii="Calibri" w:hAnsi="Calibri"/>
          <w:color w:val="4C4D4F"/>
          <w:w w:val="125"/>
          <w:sz w:val="18"/>
        </w:rPr>
        <w:t>of</w:t>
      </w:r>
      <w:r>
        <w:rPr>
          <w:rFonts w:ascii="Calibri" w:hAnsi="Calibri"/>
          <w:color w:val="4C4D4F"/>
          <w:spacing w:val="-11"/>
          <w:w w:val="125"/>
          <w:sz w:val="18"/>
        </w:rPr>
        <w:t> </w:t>
      </w:r>
      <w:r>
        <w:rPr>
          <w:rFonts w:ascii="Calibri" w:hAnsi="Calibri"/>
          <w:color w:val="4C4D4F"/>
          <w:w w:val="125"/>
          <w:sz w:val="18"/>
        </w:rPr>
        <w:t>resources</w:t>
      </w:r>
      <w:r>
        <w:rPr>
          <w:rFonts w:ascii="Calibri" w:hAnsi="Calibri"/>
          <w:color w:val="4C4D4F"/>
          <w:spacing w:val="-12"/>
          <w:w w:val="125"/>
          <w:sz w:val="18"/>
        </w:rPr>
        <w:t> </w:t>
      </w:r>
      <w:r>
        <w:rPr>
          <w:rFonts w:ascii="Calibri" w:hAnsi="Calibri"/>
          <w:color w:val="4C4D4F"/>
          <w:w w:val="125"/>
          <w:sz w:val="18"/>
        </w:rPr>
        <w:t>through</w:t>
      </w:r>
      <w:r>
        <w:rPr>
          <w:rFonts w:ascii="Calibri" w:hAnsi="Calibri"/>
          <w:color w:val="4C4D4F"/>
          <w:spacing w:val="-11"/>
          <w:w w:val="125"/>
          <w:sz w:val="18"/>
        </w:rPr>
        <w:t> </w:t>
      </w:r>
      <w:r>
        <w:rPr>
          <w:rFonts w:ascii="Calibri" w:hAnsi="Calibri"/>
          <w:color w:val="4C4D4F"/>
          <w:w w:val="125"/>
          <w:sz w:val="18"/>
        </w:rPr>
        <w:t>which</w:t>
      </w:r>
      <w:r>
        <w:rPr>
          <w:rFonts w:ascii="Calibri" w:hAnsi="Calibri"/>
          <w:color w:val="4C4D4F"/>
          <w:spacing w:val="-12"/>
          <w:w w:val="125"/>
          <w:sz w:val="18"/>
        </w:rPr>
        <w:t> </w:t>
      </w:r>
      <w:r>
        <w:rPr>
          <w:rFonts w:ascii="Calibri" w:hAnsi="Calibri"/>
          <w:color w:val="4C4D4F"/>
          <w:w w:val="125"/>
          <w:sz w:val="18"/>
        </w:rPr>
        <w:t>to obtain further education</w:t>
      </w:r>
      <w:r>
        <w:rPr>
          <w:rFonts w:ascii="Calibri" w:hAnsi="Calibri"/>
          <w:color w:val="4C4D4F"/>
          <w:spacing w:val="-21"/>
          <w:w w:val="125"/>
          <w:sz w:val="18"/>
        </w:rPr>
        <w:t> </w:t>
      </w:r>
      <w:r>
        <w:rPr>
          <w:rFonts w:ascii="Calibri" w:hAnsi="Calibri"/>
          <w:color w:val="4C4D4F"/>
          <w:w w:val="125"/>
          <w:sz w:val="18"/>
        </w:rPr>
        <w:t>for:</w:t>
      </w:r>
    </w:p>
    <w:p>
      <w:pPr>
        <w:pStyle w:val="ListParagraph"/>
        <w:numPr>
          <w:ilvl w:val="1"/>
          <w:numId w:val="38"/>
        </w:numPr>
        <w:tabs>
          <w:tab w:pos="755" w:val="left" w:leader="none"/>
        </w:tabs>
        <w:spacing w:line="230" w:lineRule="auto" w:before="9" w:after="0"/>
        <w:ind w:left="754" w:right="135" w:hanging="180"/>
        <w:jc w:val="left"/>
        <w:rPr>
          <w:rFonts w:ascii="Calibri" w:hAnsi="Calibri"/>
          <w:sz w:val="18"/>
        </w:rPr>
      </w:pPr>
      <w:r>
        <w:rPr>
          <w:rFonts w:ascii="Calibri" w:hAnsi="Calibri"/>
          <w:color w:val="4C4D4F"/>
          <w:w w:val="120"/>
          <w:sz w:val="18"/>
        </w:rPr>
        <w:t>Themselves: </w:t>
      </w:r>
      <w:r>
        <w:rPr>
          <w:rFonts w:ascii="Calibri" w:hAnsi="Calibri"/>
          <w:i/>
          <w:color w:val="4C4D4F"/>
          <w:w w:val="120"/>
          <w:sz w:val="18"/>
        </w:rPr>
        <w:t>Decisions in Recovery: </w:t>
      </w:r>
      <w:r>
        <w:rPr>
          <w:rFonts w:ascii="Calibri" w:hAnsi="Calibri"/>
          <w:i/>
          <w:color w:val="4C4D4F"/>
          <w:w w:val="120"/>
          <w:sz w:val="18"/>
        </w:rPr>
        <w:t>Treatment for Opioid Use Disorder </w:t>
      </w:r>
      <w:r>
        <w:rPr>
          <w:rFonts w:ascii="Calibri" w:hAnsi="Calibri"/>
          <w:color w:val="4C4D4F"/>
          <w:spacing w:val="-3"/>
          <w:w w:val="120"/>
          <w:sz w:val="18"/>
        </w:rPr>
        <w:t>(</w:t>
      </w:r>
      <w:r>
        <w:rPr>
          <w:rFonts w:ascii="Calibri" w:hAnsi="Calibri"/>
          <w:color w:val="205E9E"/>
          <w:spacing w:val="-3"/>
          <w:w w:val="120"/>
          <w:sz w:val="18"/>
          <w:u w:val="single" w:color="205E9E"/>
        </w:rPr>
        <w:t>https:// </w:t>
      </w:r>
      <w:r>
        <w:rPr>
          <w:rFonts w:ascii="Calibri" w:hAnsi="Calibri"/>
          <w:color w:val="205E9E"/>
          <w:w w:val="120"/>
          <w:sz w:val="18"/>
          <w:u w:val="single" w:color="205E9E"/>
        </w:rPr>
        <w:t>store.samhsa.gov/product/SMA16-4993</w:t>
      </w:r>
      <w:r>
        <w:rPr>
          <w:rFonts w:ascii="Calibri" w:hAnsi="Calibri"/>
          <w:color w:val="4C4D4F"/>
          <w:w w:val="120"/>
          <w:sz w:val="18"/>
        </w:rPr>
        <w:t>)</w:t>
      </w:r>
    </w:p>
    <w:p>
      <w:pPr>
        <w:pStyle w:val="ListParagraph"/>
        <w:numPr>
          <w:ilvl w:val="1"/>
          <w:numId w:val="38"/>
        </w:numPr>
        <w:tabs>
          <w:tab w:pos="755" w:val="left" w:leader="none"/>
        </w:tabs>
        <w:spacing w:line="230" w:lineRule="auto" w:before="6" w:after="0"/>
        <w:ind w:left="754" w:right="177" w:hanging="180"/>
        <w:jc w:val="left"/>
        <w:rPr>
          <w:rFonts w:ascii="Calibri" w:hAnsi="Calibri"/>
          <w:sz w:val="18"/>
        </w:rPr>
      </w:pPr>
      <w:r>
        <w:rPr>
          <w:rFonts w:ascii="Calibri" w:hAnsi="Calibri"/>
          <w:color w:val="4C4D4F"/>
          <w:w w:val="125"/>
          <w:sz w:val="18"/>
        </w:rPr>
        <w:t>Their families and friends: </w:t>
      </w:r>
      <w:r>
        <w:rPr>
          <w:rFonts w:ascii="Calibri" w:hAnsi="Calibri"/>
          <w:i/>
          <w:color w:val="4C4D4F"/>
          <w:spacing w:val="-3"/>
          <w:w w:val="125"/>
          <w:sz w:val="18"/>
        </w:rPr>
        <w:t>Medication- </w:t>
      </w:r>
      <w:r>
        <w:rPr>
          <w:rFonts w:ascii="Calibri" w:hAnsi="Calibri"/>
          <w:i/>
          <w:color w:val="4C4D4F"/>
          <w:spacing w:val="-3"/>
          <w:w w:val="125"/>
          <w:sz w:val="18"/>
        </w:rPr>
        <w:t>Assisted Treatment </w:t>
      </w:r>
      <w:r>
        <w:rPr>
          <w:rFonts w:ascii="Calibri" w:hAnsi="Calibri"/>
          <w:i/>
          <w:color w:val="4C4D4F"/>
          <w:spacing w:val="-2"/>
          <w:w w:val="125"/>
          <w:sz w:val="18"/>
        </w:rPr>
        <w:t>for </w:t>
      </w:r>
      <w:r>
        <w:rPr>
          <w:rFonts w:ascii="Calibri" w:hAnsi="Calibri"/>
          <w:i/>
          <w:color w:val="4C4D4F"/>
          <w:w w:val="125"/>
          <w:sz w:val="18"/>
        </w:rPr>
        <w:t>Opioid Addiction: </w:t>
      </w:r>
      <w:r>
        <w:rPr>
          <w:rFonts w:ascii="Calibri" w:hAnsi="Calibri"/>
          <w:i/>
          <w:color w:val="4C4D4F"/>
          <w:spacing w:val="-3"/>
          <w:w w:val="125"/>
          <w:sz w:val="18"/>
        </w:rPr>
        <w:t>Facts </w:t>
      </w:r>
      <w:r>
        <w:rPr>
          <w:rFonts w:ascii="Calibri" w:hAnsi="Calibri"/>
          <w:i/>
          <w:color w:val="4C4D4F"/>
          <w:spacing w:val="-2"/>
          <w:w w:val="125"/>
          <w:sz w:val="18"/>
        </w:rPr>
        <w:t>for </w:t>
      </w:r>
      <w:r>
        <w:rPr>
          <w:rFonts w:ascii="Calibri" w:hAnsi="Calibri"/>
          <w:i/>
          <w:color w:val="4C4D4F"/>
          <w:spacing w:val="-3"/>
          <w:w w:val="125"/>
          <w:sz w:val="18"/>
        </w:rPr>
        <w:t>Families </w:t>
      </w:r>
      <w:r>
        <w:rPr>
          <w:rFonts w:ascii="Calibri" w:hAnsi="Calibri"/>
          <w:i/>
          <w:color w:val="4C4D4F"/>
          <w:w w:val="125"/>
          <w:sz w:val="18"/>
        </w:rPr>
        <w:t>and </w:t>
      </w:r>
      <w:r>
        <w:rPr>
          <w:rFonts w:ascii="Calibri" w:hAnsi="Calibri"/>
          <w:i/>
          <w:color w:val="4C4D4F"/>
          <w:spacing w:val="-3"/>
          <w:w w:val="125"/>
          <w:sz w:val="18"/>
        </w:rPr>
        <w:t>Friends</w:t>
      </w:r>
      <w:r>
        <w:rPr>
          <w:rFonts w:ascii="Calibri" w:hAnsi="Calibri"/>
          <w:i/>
          <w:color w:val="4C4D4F"/>
          <w:spacing w:val="-37"/>
          <w:w w:val="125"/>
          <w:sz w:val="18"/>
        </w:rPr>
        <w:t> </w:t>
      </w:r>
      <w:r>
        <w:rPr>
          <w:rFonts w:ascii="Calibri" w:hAnsi="Calibri"/>
          <w:color w:val="4C4D4F"/>
          <w:spacing w:val="-6"/>
          <w:w w:val="125"/>
          <w:sz w:val="18"/>
        </w:rPr>
        <w:t>(</w:t>
      </w:r>
      <w:r>
        <w:rPr>
          <w:rFonts w:ascii="Calibri" w:hAnsi="Calibri"/>
          <w:color w:val="205E9E"/>
          <w:spacing w:val="-6"/>
          <w:w w:val="125"/>
          <w:sz w:val="18"/>
          <w:u w:val="single" w:color="205E9E"/>
        </w:rPr>
        <w:t>https://mha</w:t>
      </w:r>
      <w:r>
        <w:rPr>
          <w:rFonts w:ascii="Calibri" w:hAnsi="Calibri"/>
          <w:color w:val="205E9E"/>
          <w:spacing w:val="-6"/>
          <w:w w:val="125"/>
          <w:sz w:val="18"/>
        </w:rPr>
        <w:t>.</w:t>
      </w:r>
    </w:p>
    <w:p>
      <w:pPr>
        <w:spacing w:line="256" w:lineRule="auto" w:before="19"/>
        <w:ind w:left="754" w:right="38" w:firstLine="0"/>
        <w:jc w:val="left"/>
        <w:rPr>
          <w:rFonts w:ascii="Calibri"/>
          <w:sz w:val="18"/>
        </w:rPr>
      </w:pPr>
      <w:r>
        <w:rPr>
          <w:rFonts w:ascii="Calibri"/>
          <w:color w:val="205E9E"/>
          <w:spacing w:val="-5"/>
          <w:w w:val="120"/>
          <w:sz w:val="18"/>
          <w:u w:val="single" w:color="205E9E"/>
        </w:rPr>
        <w:t>ohio.gov/Portals/0/assets/HealthProfessionals/</w:t>
      </w:r>
      <w:r>
        <w:rPr>
          <w:rFonts w:ascii="Calibri"/>
          <w:color w:val="205E9E"/>
          <w:spacing w:val="-5"/>
          <w:w w:val="120"/>
          <w:sz w:val="18"/>
        </w:rPr>
        <w:t> </w:t>
      </w:r>
      <w:r>
        <w:rPr>
          <w:rFonts w:ascii="Calibri"/>
          <w:color w:val="205E9E"/>
          <w:spacing w:val="-4"/>
          <w:w w:val="120"/>
          <w:sz w:val="18"/>
          <w:u w:val="single" w:color="205E9E"/>
        </w:rPr>
        <w:t>About%20MH%20and%20Addiction%20</w:t>
      </w:r>
      <w:r>
        <w:rPr>
          <w:rFonts w:ascii="Calibri"/>
          <w:color w:val="205E9E"/>
          <w:spacing w:val="-4"/>
          <w:w w:val="120"/>
          <w:sz w:val="18"/>
        </w:rPr>
        <w:t> </w:t>
      </w:r>
      <w:r>
        <w:rPr>
          <w:rFonts w:ascii="Calibri"/>
          <w:color w:val="205E9E"/>
          <w:spacing w:val="-5"/>
          <w:w w:val="120"/>
          <w:sz w:val="18"/>
          <w:u w:val="single" w:color="205E9E"/>
        </w:rPr>
        <w:t>Treatment/MAT/SMA14-4443</w:t>
      </w:r>
      <w:r>
        <w:rPr>
          <w:rFonts w:ascii="Calibri"/>
          <w:color w:val="205E9E"/>
          <w:spacing w:val="-5"/>
          <w:w w:val="120"/>
          <w:sz w:val="18"/>
        </w:rPr>
        <w:t>.</w:t>
      </w:r>
    </w:p>
    <w:p>
      <w:pPr>
        <w:spacing w:before="3"/>
        <w:ind w:left="754" w:right="0" w:firstLine="0"/>
        <w:jc w:val="left"/>
        <w:rPr>
          <w:rFonts w:ascii="Calibri"/>
          <w:sz w:val="18"/>
        </w:rPr>
      </w:pPr>
      <w:r>
        <w:rPr>
          <w:rFonts w:ascii="Calibri"/>
          <w:color w:val="205E9E"/>
          <w:w w:val="110"/>
          <w:sz w:val="18"/>
          <w:u w:val="single" w:color="205E9E"/>
        </w:rPr>
        <w:t>pdf?ver=2018-11-26-113004-157</w:t>
      </w:r>
      <w:r>
        <w:rPr>
          <w:rFonts w:ascii="Calibri"/>
          <w:color w:val="4C4D4F"/>
          <w:w w:val="110"/>
          <w:sz w:val="18"/>
        </w:rPr>
        <w:t>)</w:t>
      </w:r>
    </w:p>
    <w:p>
      <w:pPr>
        <w:pStyle w:val="BodyText"/>
        <w:spacing w:line="247" w:lineRule="auto" w:before="100"/>
        <w:ind w:left="394" w:right="373"/>
      </w:pPr>
      <w:r>
        <w:rPr/>
        <w:br w:type="column"/>
      </w:r>
      <w:r>
        <w:rPr>
          <w:color w:val="4C4D4F"/>
          <w:w w:val="110"/>
        </w:rPr>
        <w:t>prescriber (or, for home induction, that meets predeﬁned self-assessment criteria) to avoid precipitated withdrawal.</w:t>
      </w:r>
    </w:p>
    <w:p>
      <w:pPr>
        <w:pStyle w:val="BodyText"/>
        <w:spacing w:before="1"/>
      </w:pPr>
    </w:p>
    <w:p>
      <w:pPr>
        <w:pStyle w:val="Heading2"/>
        <w:spacing w:line="208" w:lineRule="auto" w:before="0"/>
        <w:ind w:left="394" w:right="373"/>
      </w:pPr>
      <w:bookmarkStart w:name="_TOC_250046" w:id="69"/>
      <w:r>
        <w:rPr>
          <w:color w:val="147592"/>
          <w:w w:val="105"/>
        </w:rPr>
        <w:t>Initiating Buprenorphine </w:t>
      </w:r>
      <w:bookmarkEnd w:id="69"/>
      <w:r>
        <w:rPr>
          <w:color w:val="147592"/>
          <w:w w:val="110"/>
        </w:rPr>
        <w:t>Treatment</w:t>
      </w:r>
    </w:p>
    <w:p>
      <w:pPr>
        <w:pStyle w:val="BodyText"/>
        <w:spacing w:line="247" w:lineRule="auto" w:before="43"/>
        <w:ind w:left="394" w:right="209"/>
      </w:pPr>
      <w:r>
        <w:rPr>
          <w:color w:val="4C4D4F"/>
          <w:w w:val="110"/>
        </w:rPr>
        <w:t>It can be helpful to use a buprenorphine treatment agreement for patients treated in ofﬁce-based settings (see Chapter 3D Appendix for a sample treatment agreement).</w:t>
      </w:r>
    </w:p>
    <w:p>
      <w:pPr>
        <w:pStyle w:val="BodyText"/>
        <w:spacing w:line="247" w:lineRule="auto" w:before="179"/>
        <w:ind w:left="394" w:right="238"/>
        <w:rPr>
          <w:sz w:val="13"/>
        </w:rPr>
      </w:pPr>
      <w:r>
        <w:rPr>
          <w:rFonts w:ascii="Calibri" w:hAnsi="Calibri"/>
          <w:b/>
          <w:color w:val="4C4D4F"/>
          <w:w w:val="115"/>
        </w:rPr>
        <w:t>Induction can occur in the ofﬁce or at home. </w:t>
      </w:r>
      <w:r>
        <w:rPr>
          <w:color w:val="4C4D4F"/>
          <w:w w:val="115"/>
        </w:rPr>
        <w:t>Most</w:t>
      </w:r>
      <w:r>
        <w:rPr>
          <w:color w:val="4C4D4F"/>
          <w:spacing w:val="-33"/>
          <w:w w:val="115"/>
        </w:rPr>
        <w:t> </w:t>
      </w:r>
      <w:r>
        <w:rPr>
          <w:color w:val="4C4D4F"/>
          <w:w w:val="115"/>
        </w:rPr>
        <w:t>clinical</w:t>
      </w:r>
      <w:r>
        <w:rPr>
          <w:color w:val="4C4D4F"/>
          <w:spacing w:val="-32"/>
          <w:w w:val="115"/>
        </w:rPr>
        <w:t> </w:t>
      </w:r>
      <w:r>
        <w:rPr>
          <w:color w:val="4C4D4F"/>
          <w:w w:val="115"/>
        </w:rPr>
        <w:t>trials</w:t>
      </w:r>
      <w:r>
        <w:rPr>
          <w:color w:val="4C4D4F"/>
          <w:spacing w:val="-32"/>
          <w:w w:val="115"/>
        </w:rPr>
        <w:t> </w:t>
      </w:r>
      <w:r>
        <w:rPr>
          <w:color w:val="4C4D4F"/>
          <w:w w:val="115"/>
        </w:rPr>
        <w:t>were</w:t>
      </w:r>
      <w:r>
        <w:rPr>
          <w:color w:val="4C4D4F"/>
          <w:spacing w:val="-32"/>
          <w:w w:val="115"/>
        </w:rPr>
        <w:t> </w:t>
      </w:r>
      <w:r>
        <w:rPr>
          <w:color w:val="4C4D4F"/>
          <w:w w:val="115"/>
        </w:rPr>
        <w:t>conducted</w:t>
      </w:r>
      <w:r>
        <w:rPr>
          <w:color w:val="4C4D4F"/>
          <w:spacing w:val="-32"/>
          <w:w w:val="115"/>
        </w:rPr>
        <w:t> </w:t>
      </w:r>
      <w:r>
        <w:rPr>
          <w:color w:val="4C4D4F"/>
          <w:w w:val="115"/>
        </w:rPr>
        <w:t>with</w:t>
      </w:r>
      <w:r>
        <w:rPr>
          <w:color w:val="4C4D4F"/>
          <w:spacing w:val="-32"/>
          <w:w w:val="115"/>
        </w:rPr>
        <w:t> </w:t>
      </w:r>
      <w:r>
        <w:rPr>
          <w:color w:val="4C4D4F"/>
          <w:w w:val="115"/>
        </w:rPr>
        <w:t>ofﬁce- based induction, and extant guidance recom- mends</w:t>
      </w:r>
      <w:r>
        <w:rPr>
          <w:color w:val="4C4D4F"/>
          <w:spacing w:val="-31"/>
          <w:w w:val="115"/>
        </w:rPr>
        <w:t> </w:t>
      </w:r>
      <w:r>
        <w:rPr>
          <w:color w:val="4C4D4F"/>
          <w:w w:val="115"/>
        </w:rPr>
        <w:t>this</w:t>
      </w:r>
      <w:r>
        <w:rPr>
          <w:color w:val="4C4D4F"/>
          <w:spacing w:val="-30"/>
          <w:w w:val="115"/>
        </w:rPr>
        <w:t> </w:t>
      </w:r>
      <w:r>
        <w:rPr>
          <w:color w:val="4C4D4F"/>
          <w:w w:val="115"/>
        </w:rPr>
        <w:t>approach.</w:t>
      </w:r>
      <w:r>
        <w:rPr>
          <w:color w:val="4C4D4F"/>
          <w:w w:val="115"/>
          <w:position w:val="7"/>
          <w:sz w:val="13"/>
        </w:rPr>
        <w:t>323</w:t>
      </w:r>
      <w:r>
        <w:rPr>
          <w:color w:val="4C4D4F"/>
          <w:spacing w:val="-2"/>
          <w:w w:val="115"/>
          <w:position w:val="7"/>
          <w:sz w:val="13"/>
        </w:rPr>
        <w:t> </w:t>
      </w:r>
      <w:r>
        <w:rPr>
          <w:color w:val="4C4D4F"/>
          <w:spacing w:val="-3"/>
          <w:w w:val="115"/>
        </w:rPr>
        <w:t>However,</w:t>
      </w:r>
      <w:r>
        <w:rPr>
          <w:color w:val="4C4D4F"/>
          <w:spacing w:val="-31"/>
          <w:w w:val="115"/>
        </w:rPr>
        <w:t> </w:t>
      </w:r>
      <w:r>
        <w:rPr>
          <w:color w:val="4C4D4F"/>
          <w:w w:val="115"/>
        </w:rPr>
        <w:t>ofﬁce-based induction can be a barrier to treatment initia- tion.</w:t>
      </w:r>
      <w:r>
        <w:rPr>
          <w:color w:val="4C4D4F"/>
          <w:spacing w:val="-38"/>
          <w:w w:val="115"/>
        </w:rPr>
        <w:t> </w:t>
      </w:r>
      <w:r>
        <w:rPr>
          <w:color w:val="4C4D4F"/>
          <w:w w:val="115"/>
        </w:rPr>
        <w:t>Home</w:t>
      </w:r>
      <w:r>
        <w:rPr>
          <w:color w:val="4C4D4F"/>
          <w:spacing w:val="-38"/>
          <w:w w:val="115"/>
        </w:rPr>
        <w:t> </w:t>
      </w:r>
      <w:r>
        <w:rPr>
          <w:color w:val="4C4D4F"/>
          <w:w w:val="115"/>
        </w:rPr>
        <w:t>induction</w:t>
      </w:r>
      <w:r>
        <w:rPr>
          <w:color w:val="4C4D4F"/>
          <w:spacing w:val="-38"/>
          <w:w w:val="115"/>
        </w:rPr>
        <w:t> </w:t>
      </w:r>
      <w:r>
        <w:rPr>
          <w:color w:val="4C4D4F"/>
          <w:w w:val="115"/>
        </w:rPr>
        <w:t>is</w:t>
      </w:r>
      <w:r>
        <w:rPr>
          <w:color w:val="4C4D4F"/>
          <w:spacing w:val="-37"/>
          <w:w w:val="115"/>
        </w:rPr>
        <w:t> </w:t>
      </w:r>
      <w:r>
        <w:rPr>
          <w:color w:val="4C4D4F"/>
          <w:w w:val="115"/>
        </w:rPr>
        <w:t>increasingly</w:t>
      </w:r>
      <w:r>
        <w:rPr>
          <w:color w:val="4C4D4F"/>
          <w:spacing w:val="-38"/>
          <w:w w:val="115"/>
        </w:rPr>
        <w:t> </w:t>
      </w:r>
      <w:r>
        <w:rPr>
          <w:color w:val="4C4D4F"/>
          <w:spacing w:val="-3"/>
          <w:w w:val="115"/>
        </w:rPr>
        <w:t>common.</w:t>
      </w:r>
      <w:r>
        <w:rPr>
          <w:color w:val="4C4D4F"/>
          <w:spacing w:val="-3"/>
          <w:w w:val="115"/>
          <w:position w:val="7"/>
          <w:sz w:val="13"/>
        </w:rPr>
        <w:t>324</w:t>
      </w:r>
    </w:p>
    <w:p>
      <w:pPr>
        <w:pStyle w:val="BodyText"/>
        <w:spacing w:before="7"/>
      </w:pPr>
    </w:p>
    <w:p>
      <w:pPr>
        <w:pStyle w:val="Heading3"/>
        <w:ind w:left="394"/>
      </w:pPr>
      <w:bookmarkStart w:name="_TOC_250045" w:id="70"/>
      <w:bookmarkEnd w:id="70"/>
      <w:r>
        <w:rPr>
          <w:color w:val="147592"/>
          <w:w w:val="105"/>
        </w:rPr>
        <w:t>Office-Based Induction</w:t>
      </w:r>
    </w:p>
    <w:p>
      <w:pPr>
        <w:pStyle w:val="BodyText"/>
        <w:spacing w:line="244" w:lineRule="auto" w:before="47"/>
        <w:ind w:left="394" w:right="204"/>
        <w:rPr>
          <w:rFonts w:ascii="Calibri" w:hAnsi="Calibri"/>
          <w:b/>
        </w:rPr>
      </w:pPr>
      <w:r>
        <w:rPr>
          <w:color w:val="4C4D4F"/>
          <w:w w:val="115"/>
        </w:rPr>
        <w:t>Providers can perform ofﬁce-based induction by ordering and storing induction doses in the ofﬁce</w:t>
      </w:r>
      <w:r>
        <w:rPr>
          <w:color w:val="4C4D4F"/>
          <w:spacing w:val="-36"/>
          <w:w w:val="115"/>
        </w:rPr>
        <w:t> </w:t>
      </w:r>
      <w:r>
        <w:rPr>
          <w:color w:val="4C4D4F"/>
          <w:w w:val="115"/>
        </w:rPr>
        <w:t>or</w:t>
      </w:r>
      <w:r>
        <w:rPr>
          <w:color w:val="4C4D4F"/>
          <w:spacing w:val="-36"/>
          <w:w w:val="115"/>
        </w:rPr>
        <w:t> </w:t>
      </w:r>
      <w:r>
        <w:rPr>
          <w:color w:val="4C4D4F"/>
          <w:w w:val="115"/>
        </w:rPr>
        <w:t>by</w:t>
      </w:r>
      <w:r>
        <w:rPr>
          <w:color w:val="4C4D4F"/>
          <w:spacing w:val="-36"/>
          <w:w w:val="115"/>
        </w:rPr>
        <w:t> </w:t>
      </w:r>
      <w:r>
        <w:rPr>
          <w:color w:val="4C4D4F"/>
          <w:w w:val="115"/>
        </w:rPr>
        <w:t>prescribing</w:t>
      </w:r>
      <w:r>
        <w:rPr>
          <w:color w:val="4C4D4F"/>
          <w:spacing w:val="-36"/>
          <w:w w:val="115"/>
        </w:rPr>
        <w:t> </w:t>
      </w:r>
      <w:r>
        <w:rPr>
          <w:color w:val="4C4D4F"/>
          <w:w w:val="115"/>
        </w:rPr>
        <w:t>medication</w:t>
      </w:r>
      <w:r>
        <w:rPr>
          <w:color w:val="4C4D4F"/>
          <w:spacing w:val="-36"/>
          <w:w w:val="115"/>
        </w:rPr>
        <w:t> </w:t>
      </w:r>
      <w:r>
        <w:rPr>
          <w:color w:val="4C4D4F"/>
          <w:w w:val="115"/>
        </w:rPr>
        <w:t>and</w:t>
      </w:r>
      <w:r>
        <w:rPr>
          <w:color w:val="4C4D4F"/>
          <w:spacing w:val="-36"/>
          <w:w w:val="115"/>
        </w:rPr>
        <w:t> </w:t>
      </w:r>
      <w:r>
        <w:rPr>
          <w:color w:val="4C4D4F"/>
          <w:w w:val="115"/>
        </w:rPr>
        <w:t>instruct- ing</w:t>
      </w:r>
      <w:r>
        <w:rPr>
          <w:color w:val="4C4D4F"/>
          <w:spacing w:val="-15"/>
          <w:w w:val="115"/>
        </w:rPr>
        <w:t> </w:t>
      </w:r>
      <w:r>
        <w:rPr>
          <w:color w:val="4C4D4F"/>
          <w:w w:val="115"/>
        </w:rPr>
        <w:t>patients</w:t>
      </w:r>
      <w:r>
        <w:rPr>
          <w:color w:val="4C4D4F"/>
          <w:spacing w:val="-15"/>
          <w:w w:val="115"/>
        </w:rPr>
        <w:t> </w:t>
      </w:r>
      <w:r>
        <w:rPr>
          <w:color w:val="4C4D4F"/>
          <w:w w:val="115"/>
        </w:rPr>
        <w:t>to</w:t>
      </w:r>
      <w:r>
        <w:rPr>
          <w:color w:val="4C4D4F"/>
          <w:spacing w:val="-15"/>
          <w:w w:val="115"/>
        </w:rPr>
        <w:t> </w:t>
      </w:r>
      <w:r>
        <w:rPr>
          <w:color w:val="4C4D4F"/>
          <w:w w:val="115"/>
        </w:rPr>
        <w:t>bring</w:t>
      </w:r>
      <w:r>
        <w:rPr>
          <w:color w:val="4C4D4F"/>
          <w:spacing w:val="-14"/>
          <w:w w:val="115"/>
        </w:rPr>
        <w:t> </w:t>
      </w:r>
      <w:r>
        <w:rPr>
          <w:color w:val="4C4D4F"/>
          <w:w w:val="115"/>
        </w:rPr>
        <w:t>it</w:t>
      </w:r>
      <w:r>
        <w:rPr>
          <w:color w:val="4C4D4F"/>
          <w:spacing w:val="-15"/>
          <w:w w:val="115"/>
        </w:rPr>
        <w:t> </w:t>
      </w:r>
      <w:r>
        <w:rPr>
          <w:color w:val="4C4D4F"/>
          <w:w w:val="115"/>
        </w:rPr>
        <w:t>to</w:t>
      </w:r>
      <w:r>
        <w:rPr>
          <w:color w:val="4C4D4F"/>
          <w:spacing w:val="-15"/>
          <w:w w:val="115"/>
        </w:rPr>
        <w:t> </w:t>
      </w:r>
      <w:r>
        <w:rPr>
          <w:color w:val="4C4D4F"/>
          <w:w w:val="115"/>
        </w:rPr>
        <w:t>the</w:t>
      </w:r>
      <w:r>
        <w:rPr>
          <w:color w:val="4C4D4F"/>
          <w:spacing w:val="-14"/>
          <w:w w:val="115"/>
        </w:rPr>
        <w:t> </w:t>
      </w:r>
      <w:r>
        <w:rPr>
          <w:color w:val="4C4D4F"/>
          <w:w w:val="115"/>
        </w:rPr>
        <w:t>ofﬁce</w:t>
      </w:r>
      <w:r>
        <w:rPr>
          <w:color w:val="4C4D4F"/>
          <w:spacing w:val="-15"/>
          <w:w w:val="115"/>
        </w:rPr>
        <w:t> </w:t>
      </w:r>
      <w:r>
        <w:rPr>
          <w:color w:val="4C4D4F"/>
          <w:w w:val="115"/>
        </w:rPr>
        <w:t>on</w:t>
      </w:r>
      <w:r>
        <w:rPr>
          <w:color w:val="4C4D4F"/>
          <w:spacing w:val="-15"/>
          <w:w w:val="115"/>
        </w:rPr>
        <w:t> </w:t>
      </w:r>
      <w:r>
        <w:rPr>
          <w:color w:val="4C4D4F"/>
          <w:w w:val="115"/>
        </w:rPr>
        <w:t>the</w:t>
      </w:r>
      <w:r>
        <w:rPr>
          <w:color w:val="4C4D4F"/>
          <w:spacing w:val="-15"/>
          <w:w w:val="115"/>
        </w:rPr>
        <w:t> </w:t>
      </w:r>
      <w:r>
        <w:rPr>
          <w:color w:val="4C4D4F"/>
          <w:w w:val="115"/>
        </w:rPr>
        <w:t>day of induction. </w:t>
      </w:r>
      <w:r>
        <w:rPr>
          <w:rFonts w:ascii="Calibri" w:hAnsi="Calibri"/>
          <w:b/>
          <w:color w:val="4C4D4F"/>
          <w:w w:val="115"/>
        </w:rPr>
        <w:t>Ofﬁce-based induction allows providers</w:t>
      </w:r>
      <w:r>
        <w:rPr>
          <w:rFonts w:ascii="Calibri" w:hAnsi="Calibri"/>
          <w:b/>
          <w:color w:val="4C4D4F"/>
          <w:spacing w:val="7"/>
          <w:w w:val="115"/>
        </w:rPr>
        <w:t> </w:t>
      </w:r>
      <w:r>
        <w:rPr>
          <w:rFonts w:ascii="Calibri" w:hAnsi="Calibri"/>
          <w:b/>
          <w:color w:val="4C4D4F"/>
          <w:w w:val="115"/>
        </w:rPr>
        <w:t>to:</w:t>
      </w:r>
    </w:p>
    <w:p>
      <w:pPr>
        <w:pStyle w:val="ListParagraph"/>
        <w:numPr>
          <w:ilvl w:val="0"/>
          <w:numId w:val="38"/>
        </w:numPr>
        <w:tabs>
          <w:tab w:pos="665" w:val="left" w:leader="none"/>
        </w:tabs>
        <w:spacing w:line="264" w:lineRule="exact" w:before="104" w:after="0"/>
        <w:ind w:left="664" w:right="148" w:hanging="270"/>
        <w:jc w:val="left"/>
        <w:rPr>
          <w:sz w:val="22"/>
        </w:rPr>
      </w:pPr>
      <w:r>
        <w:rPr>
          <w:rFonts w:ascii="Calibri" w:hAnsi="Calibri"/>
          <w:b/>
          <w:color w:val="4C4D4F"/>
          <w:w w:val="110"/>
          <w:sz w:val="22"/>
        </w:rPr>
        <w:t>Ensure that patients know how to take medication </w:t>
      </w:r>
      <w:r>
        <w:rPr>
          <w:color w:val="4C4D4F"/>
          <w:w w:val="110"/>
          <w:sz w:val="22"/>
        </w:rPr>
        <w:t>without swallowing or spitting it out if they have too much saliva or</w:t>
      </w:r>
      <w:r>
        <w:rPr>
          <w:color w:val="4C4D4F"/>
          <w:spacing w:val="-40"/>
          <w:w w:val="110"/>
          <w:sz w:val="22"/>
        </w:rPr>
        <w:t> </w:t>
      </w:r>
      <w:r>
        <w:rPr>
          <w:color w:val="4C4D4F"/>
          <w:w w:val="110"/>
          <w:sz w:val="22"/>
        </w:rPr>
        <w:t>experience unpleasant tastes. </w:t>
      </w:r>
      <w:r>
        <w:rPr>
          <w:color w:val="4C4D4F"/>
          <w:spacing w:val="-7"/>
          <w:w w:val="110"/>
          <w:sz w:val="22"/>
        </w:rPr>
        <w:t>Tell </w:t>
      </w:r>
      <w:r>
        <w:rPr>
          <w:color w:val="4C4D4F"/>
          <w:w w:val="110"/>
          <w:sz w:val="22"/>
        </w:rPr>
        <w:t>them to wait to eat or drink until the medication is totally</w:t>
      </w:r>
      <w:r>
        <w:rPr>
          <w:color w:val="4C4D4F"/>
          <w:spacing w:val="4"/>
          <w:w w:val="110"/>
          <w:sz w:val="22"/>
        </w:rPr>
        <w:t> </w:t>
      </w:r>
      <w:r>
        <w:rPr>
          <w:color w:val="4C4D4F"/>
          <w:w w:val="110"/>
          <w:sz w:val="22"/>
        </w:rPr>
        <w:t>dissolved.</w:t>
      </w:r>
    </w:p>
    <w:p>
      <w:pPr>
        <w:pStyle w:val="Heading7"/>
        <w:numPr>
          <w:ilvl w:val="0"/>
          <w:numId w:val="38"/>
        </w:numPr>
        <w:tabs>
          <w:tab w:pos="665" w:val="left" w:leader="none"/>
        </w:tabs>
        <w:spacing w:line="315" w:lineRule="exact" w:before="32" w:after="0"/>
        <w:ind w:left="664" w:right="0" w:hanging="271"/>
        <w:jc w:val="left"/>
      </w:pPr>
      <w:r>
        <w:rPr>
          <w:color w:val="4C4D4F"/>
          <w:w w:val="110"/>
        </w:rPr>
        <w:t>Enhance the therapeutic</w:t>
      </w:r>
      <w:r>
        <w:rPr>
          <w:color w:val="4C4D4F"/>
          <w:spacing w:val="42"/>
          <w:w w:val="110"/>
        </w:rPr>
        <w:t> </w:t>
      </w:r>
      <w:r>
        <w:rPr>
          <w:color w:val="4C4D4F"/>
          <w:w w:val="110"/>
        </w:rPr>
        <w:t>relationship.</w:t>
      </w:r>
    </w:p>
    <w:p>
      <w:pPr>
        <w:pStyle w:val="ListParagraph"/>
        <w:numPr>
          <w:ilvl w:val="0"/>
          <w:numId w:val="38"/>
        </w:numPr>
        <w:tabs>
          <w:tab w:pos="665" w:val="left" w:leader="none"/>
        </w:tabs>
        <w:spacing w:line="218" w:lineRule="auto" w:before="12" w:after="0"/>
        <w:ind w:left="664" w:right="431" w:hanging="270"/>
        <w:jc w:val="left"/>
        <w:rPr>
          <w:rFonts w:ascii="Calibri" w:hAnsi="Calibri"/>
          <w:b/>
          <w:sz w:val="22"/>
        </w:rPr>
      </w:pPr>
      <w:r>
        <w:rPr>
          <w:rFonts w:ascii="Calibri" w:hAnsi="Calibri"/>
          <w:b/>
          <w:color w:val="4C4D4F"/>
          <w:spacing w:val="-3"/>
          <w:w w:val="115"/>
          <w:sz w:val="22"/>
        </w:rPr>
        <w:t>Verify </w:t>
      </w:r>
      <w:r>
        <w:rPr>
          <w:rFonts w:ascii="Calibri" w:hAnsi="Calibri"/>
          <w:b/>
          <w:color w:val="4C4D4F"/>
          <w:w w:val="115"/>
          <w:sz w:val="22"/>
        </w:rPr>
        <w:t>the presence of opioid</w:t>
      </w:r>
      <w:r>
        <w:rPr>
          <w:rFonts w:ascii="Calibri" w:hAnsi="Calibri"/>
          <w:b/>
          <w:color w:val="4C4D4F"/>
          <w:spacing w:val="-35"/>
          <w:w w:val="115"/>
          <w:sz w:val="22"/>
        </w:rPr>
        <w:t> </w:t>
      </w:r>
      <w:r>
        <w:rPr>
          <w:rFonts w:ascii="Calibri" w:hAnsi="Calibri"/>
          <w:b/>
          <w:color w:val="4C4D4F"/>
          <w:w w:val="115"/>
          <w:sz w:val="22"/>
        </w:rPr>
        <w:t>withdrawal and absence of precipitated opioid withdrawal.</w:t>
      </w:r>
    </w:p>
    <w:p>
      <w:pPr>
        <w:pStyle w:val="Heading7"/>
        <w:numPr>
          <w:ilvl w:val="0"/>
          <w:numId w:val="38"/>
        </w:numPr>
        <w:tabs>
          <w:tab w:pos="665" w:val="left" w:leader="none"/>
        </w:tabs>
        <w:spacing w:line="218" w:lineRule="auto" w:before="54" w:after="0"/>
        <w:ind w:left="664" w:right="546" w:hanging="270"/>
        <w:jc w:val="left"/>
      </w:pPr>
      <w:r>
        <w:rPr>
          <w:color w:val="4C4D4F"/>
          <w:w w:val="115"/>
        </w:rPr>
        <w:t>Ensure the lack of sedation 1 to 2 </w:t>
      </w:r>
      <w:r>
        <w:rPr>
          <w:color w:val="4C4D4F"/>
          <w:spacing w:val="-3"/>
          <w:w w:val="115"/>
        </w:rPr>
        <w:t>hours </w:t>
      </w:r>
      <w:r>
        <w:rPr>
          <w:color w:val="4C4D4F"/>
          <w:w w:val="115"/>
        </w:rPr>
        <w:t>after the ﬁrst dose in patients taking sedatives.</w:t>
      </w:r>
    </w:p>
    <w:p>
      <w:pPr>
        <w:pStyle w:val="ListParagraph"/>
        <w:numPr>
          <w:ilvl w:val="0"/>
          <w:numId w:val="38"/>
        </w:numPr>
        <w:tabs>
          <w:tab w:pos="665" w:val="left" w:leader="none"/>
        </w:tabs>
        <w:spacing w:line="264" w:lineRule="exact" w:before="45" w:after="0"/>
        <w:ind w:left="664" w:right="209" w:hanging="270"/>
        <w:jc w:val="left"/>
        <w:rPr>
          <w:sz w:val="22"/>
        </w:rPr>
      </w:pPr>
      <w:r>
        <w:rPr>
          <w:rFonts w:ascii="Calibri" w:hAnsi="Calibri"/>
          <w:b/>
          <w:color w:val="4C4D4F"/>
          <w:w w:val="110"/>
          <w:sz w:val="22"/>
        </w:rPr>
        <w:t>Use time between doses for patient self- assessment. </w:t>
      </w:r>
      <w:r>
        <w:rPr>
          <w:color w:val="4C4D4F"/>
          <w:w w:val="110"/>
          <w:sz w:val="22"/>
        </w:rPr>
        <w:t>See the Chapter 3D Appendix for sample goal-setting forms that help patients identify treatment goals and </w:t>
      </w:r>
      <w:r>
        <w:rPr>
          <w:color w:val="4C4D4F"/>
          <w:spacing w:val="-3"/>
          <w:w w:val="110"/>
          <w:sz w:val="22"/>
        </w:rPr>
        <w:t>triggers </w:t>
      </w:r>
      <w:r>
        <w:rPr>
          <w:color w:val="4C4D4F"/>
          <w:w w:val="110"/>
          <w:sz w:val="22"/>
        </w:rPr>
        <w:t>for</w:t>
      </w:r>
      <w:r>
        <w:rPr>
          <w:color w:val="4C4D4F"/>
          <w:spacing w:val="-7"/>
          <w:w w:val="110"/>
          <w:sz w:val="22"/>
        </w:rPr>
        <w:t> </w:t>
      </w:r>
      <w:r>
        <w:rPr>
          <w:color w:val="4C4D4F"/>
          <w:w w:val="110"/>
          <w:sz w:val="22"/>
        </w:rPr>
        <w:t>use.</w:t>
      </w:r>
    </w:p>
    <w:p>
      <w:pPr>
        <w:pStyle w:val="BodyText"/>
        <w:spacing w:before="2"/>
        <w:rPr>
          <w:sz w:val="23"/>
        </w:rPr>
      </w:pPr>
    </w:p>
    <w:p>
      <w:pPr>
        <w:pStyle w:val="Heading3"/>
        <w:ind w:left="394"/>
      </w:pPr>
      <w:bookmarkStart w:name="_TOC_250044" w:id="71"/>
      <w:bookmarkEnd w:id="71"/>
      <w:r>
        <w:rPr>
          <w:color w:val="147592"/>
          <w:w w:val="110"/>
        </w:rPr>
        <w:t>Home Induction</w:t>
      </w:r>
    </w:p>
    <w:p>
      <w:pPr>
        <w:spacing w:line="244" w:lineRule="auto" w:before="43"/>
        <w:ind w:left="394" w:right="209" w:firstLine="0"/>
        <w:jc w:val="left"/>
        <w:rPr>
          <w:sz w:val="22"/>
        </w:rPr>
      </w:pPr>
      <w:r>
        <w:rPr>
          <w:rFonts w:ascii="Calibri" w:hAnsi="Calibri"/>
          <w:b/>
          <w:color w:val="4C4D4F"/>
          <w:w w:val="110"/>
          <w:sz w:val="22"/>
        </w:rPr>
        <w:t>Home induction can be safe and effective.</w:t>
      </w:r>
      <w:r>
        <w:rPr>
          <w:rFonts w:ascii="Calibri" w:hAnsi="Calibri"/>
          <w:b/>
          <w:color w:val="4C4D4F"/>
          <w:w w:val="110"/>
          <w:position w:val="7"/>
          <w:sz w:val="13"/>
        </w:rPr>
        <w:t>325 </w:t>
      </w:r>
      <w:r>
        <w:rPr>
          <w:color w:val="4C4D4F"/>
          <w:w w:val="110"/>
          <w:sz w:val="22"/>
        </w:rPr>
        <w:t>Retention rates </w:t>
      </w:r>
      <w:r>
        <w:rPr>
          <w:color w:val="4C4D4F"/>
          <w:spacing w:val="-3"/>
          <w:w w:val="110"/>
          <w:sz w:val="22"/>
        </w:rPr>
        <w:t>are </w:t>
      </w:r>
      <w:r>
        <w:rPr>
          <w:color w:val="4C4D4F"/>
          <w:spacing w:val="-4"/>
          <w:w w:val="110"/>
          <w:sz w:val="22"/>
        </w:rPr>
        <w:t>similar </w:t>
      </w:r>
      <w:r>
        <w:rPr>
          <w:color w:val="4C4D4F"/>
          <w:w w:val="110"/>
          <w:sz w:val="22"/>
        </w:rPr>
        <w:t>to </w:t>
      </w:r>
      <w:r>
        <w:rPr>
          <w:color w:val="4C4D4F"/>
          <w:spacing w:val="-4"/>
          <w:w w:val="110"/>
          <w:sz w:val="22"/>
        </w:rPr>
        <w:t>ofﬁce </w:t>
      </w:r>
      <w:r>
        <w:rPr>
          <w:color w:val="4C4D4F"/>
          <w:spacing w:val="-5"/>
          <w:w w:val="110"/>
          <w:sz w:val="22"/>
        </w:rPr>
        <w:t>inductions,</w:t>
      </w:r>
      <w:r>
        <w:rPr>
          <w:color w:val="4C4D4F"/>
          <w:spacing w:val="-5"/>
          <w:w w:val="110"/>
          <w:position w:val="7"/>
          <w:sz w:val="13"/>
        </w:rPr>
        <w:t>326 </w:t>
      </w:r>
      <w:r>
        <w:rPr>
          <w:color w:val="4C4D4F"/>
          <w:spacing w:val="-3"/>
          <w:w w:val="110"/>
          <w:sz w:val="22"/>
        </w:rPr>
        <w:t>but </w:t>
      </w:r>
      <w:r>
        <w:rPr>
          <w:color w:val="4C4D4F"/>
          <w:w w:val="110"/>
          <w:sz w:val="22"/>
        </w:rPr>
        <w:t>no </w:t>
      </w:r>
      <w:r>
        <w:rPr>
          <w:color w:val="4C4D4F"/>
          <w:spacing w:val="-4"/>
          <w:w w:val="110"/>
          <w:sz w:val="22"/>
        </w:rPr>
        <w:t>comparison </w:t>
      </w:r>
      <w:r>
        <w:rPr>
          <w:color w:val="4C4D4F"/>
          <w:spacing w:val="-3"/>
          <w:w w:val="110"/>
          <w:sz w:val="22"/>
        </w:rPr>
        <w:t>data </w:t>
      </w:r>
      <w:r>
        <w:rPr>
          <w:color w:val="4C4D4F"/>
          <w:spacing w:val="-4"/>
          <w:w w:val="110"/>
          <w:sz w:val="22"/>
        </w:rPr>
        <w:t>from large randomized</w:t>
      </w:r>
    </w:p>
    <w:p>
      <w:pPr>
        <w:spacing w:after="0" w:line="244" w:lineRule="auto"/>
        <w:jc w:val="left"/>
        <w:rPr>
          <w:sz w:val="22"/>
        </w:rPr>
        <w:sectPr>
          <w:type w:val="continuous"/>
          <w:pgSz w:w="12240" w:h="15840"/>
          <w:pgMar w:top="540" w:bottom="280" w:left="940" w:right="920"/>
          <w:cols w:num="2" w:equalWidth="0">
            <w:col w:w="4747" w:space="278"/>
            <w:col w:w="5355"/>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1"/>
        <w:ind w:left="140" w:right="82" w:hanging="1"/>
      </w:pPr>
      <w:r>
        <w:rPr>
          <w:color w:val="4D4D4F"/>
          <w:spacing w:val="-4"/>
          <w:w w:val="110"/>
        </w:rPr>
        <w:t>controlled studies exist. </w:t>
      </w:r>
      <w:r>
        <w:rPr>
          <w:color w:val="4D4D4F"/>
          <w:spacing w:val="-3"/>
          <w:w w:val="110"/>
        </w:rPr>
        <w:t>The </w:t>
      </w:r>
      <w:r>
        <w:rPr>
          <w:color w:val="4D4D4F"/>
          <w:spacing w:val="-4"/>
          <w:w w:val="110"/>
        </w:rPr>
        <w:t>American Society of Addiction Medicine National Practice Guideline </w:t>
      </w:r>
      <w:r>
        <w:rPr>
          <w:color w:val="4D4D4F"/>
          <w:w w:val="110"/>
        </w:rPr>
        <w:t>recommends home induction only if the </w:t>
      </w:r>
      <w:r>
        <w:rPr>
          <w:color w:val="4D4D4F"/>
          <w:spacing w:val="-4"/>
          <w:w w:val="110"/>
        </w:rPr>
        <w:t>patient </w:t>
      </w:r>
      <w:r>
        <w:rPr>
          <w:color w:val="4D4D4F"/>
          <w:w w:val="110"/>
        </w:rPr>
        <w:t>or </w:t>
      </w:r>
      <w:r>
        <w:rPr>
          <w:color w:val="4D4D4F"/>
          <w:spacing w:val="-4"/>
          <w:w w:val="110"/>
        </w:rPr>
        <w:t>prescriber </w:t>
      </w:r>
      <w:r>
        <w:rPr>
          <w:color w:val="4D4D4F"/>
          <w:spacing w:val="-3"/>
          <w:w w:val="110"/>
        </w:rPr>
        <w:t>has </w:t>
      </w:r>
      <w:r>
        <w:rPr>
          <w:color w:val="4D4D4F"/>
          <w:spacing w:val="-4"/>
          <w:w w:val="110"/>
        </w:rPr>
        <w:t>experience </w:t>
      </w:r>
      <w:r>
        <w:rPr>
          <w:color w:val="4D4D4F"/>
          <w:spacing w:val="-3"/>
          <w:w w:val="110"/>
        </w:rPr>
        <w:t>with </w:t>
      </w:r>
      <w:r>
        <w:rPr>
          <w:color w:val="4D4D4F"/>
          <w:spacing w:val="-4"/>
          <w:w w:val="110"/>
        </w:rPr>
        <w:t>using </w:t>
      </w:r>
      <w:r>
        <w:rPr>
          <w:color w:val="4D4D4F"/>
          <w:spacing w:val="-6"/>
          <w:w w:val="110"/>
        </w:rPr>
        <w:t>buprenor- </w:t>
      </w:r>
      <w:r>
        <w:rPr>
          <w:color w:val="4D4D4F"/>
          <w:spacing w:val="-4"/>
          <w:w w:val="110"/>
        </w:rPr>
        <w:t>phine.</w:t>
      </w:r>
      <w:r>
        <w:rPr>
          <w:color w:val="4D4D4F"/>
          <w:spacing w:val="-4"/>
          <w:w w:val="110"/>
          <w:position w:val="7"/>
          <w:sz w:val="13"/>
        </w:rPr>
        <w:t>327,328 </w:t>
      </w:r>
      <w:r>
        <w:rPr>
          <w:color w:val="4D4D4F"/>
          <w:spacing w:val="-4"/>
          <w:w w:val="110"/>
        </w:rPr>
        <w:t>Clinical experience indicates that patients suitable </w:t>
      </w:r>
      <w:r>
        <w:rPr>
          <w:color w:val="4D4D4F"/>
          <w:spacing w:val="-3"/>
          <w:w w:val="110"/>
        </w:rPr>
        <w:t>for home </w:t>
      </w:r>
      <w:r>
        <w:rPr>
          <w:color w:val="4D4D4F"/>
          <w:spacing w:val="-4"/>
          <w:w w:val="110"/>
        </w:rPr>
        <w:t>induction:</w:t>
      </w:r>
    </w:p>
    <w:p>
      <w:pPr>
        <w:pStyle w:val="ListParagraph"/>
        <w:numPr>
          <w:ilvl w:val="0"/>
          <w:numId w:val="29"/>
        </w:numPr>
        <w:tabs>
          <w:tab w:pos="410" w:val="left" w:leader="none"/>
        </w:tabs>
        <w:spacing w:line="208" w:lineRule="auto" w:before="132" w:after="0"/>
        <w:ind w:left="410" w:right="1133" w:hanging="270"/>
        <w:jc w:val="left"/>
        <w:rPr>
          <w:rFonts w:ascii="Arial" w:hAnsi="Arial"/>
          <w:color w:val="137692"/>
          <w:sz w:val="28"/>
        </w:rPr>
      </w:pPr>
      <w:r>
        <w:rPr>
          <w:color w:val="4D4D4F"/>
          <w:w w:val="110"/>
          <w:sz w:val="22"/>
        </w:rPr>
        <w:t>Can describe, understand, and </w:t>
      </w:r>
      <w:r>
        <w:rPr>
          <w:color w:val="4D4D4F"/>
          <w:spacing w:val="-5"/>
          <w:w w:val="110"/>
          <w:sz w:val="22"/>
        </w:rPr>
        <w:t>rate </w:t>
      </w:r>
      <w:r>
        <w:rPr>
          <w:color w:val="4D4D4F"/>
          <w:w w:val="110"/>
          <w:sz w:val="22"/>
        </w:rPr>
        <w:t>withdrawal.</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Can understand induction dosing</w:t>
      </w:r>
      <w:r>
        <w:rPr>
          <w:color w:val="4D4D4F"/>
          <w:spacing w:val="15"/>
          <w:w w:val="110"/>
          <w:sz w:val="22"/>
        </w:rPr>
        <w:t> </w:t>
      </w:r>
      <w:r>
        <w:rPr>
          <w:color w:val="4D4D4F"/>
          <w:w w:val="110"/>
          <w:sz w:val="22"/>
        </w:rPr>
        <w:t>instructions.</w:t>
      </w:r>
    </w:p>
    <w:p>
      <w:pPr>
        <w:pStyle w:val="ListParagraph"/>
        <w:numPr>
          <w:ilvl w:val="0"/>
          <w:numId w:val="29"/>
        </w:numPr>
        <w:tabs>
          <w:tab w:pos="410" w:val="left" w:leader="none"/>
        </w:tabs>
        <w:spacing w:line="208" w:lineRule="auto" w:before="22" w:after="0"/>
        <w:ind w:left="410" w:right="570" w:hanging="270"/>
        <w:jc w:val="left"/>
        <w:rPr>
          <w:rFonts w:ascii="Arial" w:hAnsi="Arial"/>
          <w:color w:val="137692"/>
          <w:sz w:val="28"/>
        </w:rPr>
      </w:pPr>
      <w:r>
        <w:rPr>
          <w:color w:val="4D4D4F"/>
          <w:w w:val="110"/>
          <w:sz w:val="22"/>
        </w:rPr>
        <w:t>Can and will contact their provider</w:t>
      </w:r>
      <w:r>
        <w:rPr>
          <w:color w:val="4D4D4F"/>
          <w:spacing w:val="-31"/>
          <w:w w:val="110"/>
          <w:sz w:val="22"/>
        </w:rPr>
        <w:t> </w:t>
      </w:r>
      <w:r>
        <w:rPr>
          <w:color w:val="4D4D4F"/>
          <w:spacing w:val="-4"/>
          <w:w w:val="110"/>
          <w:sz w:val="22"/>
        </w:rPr>
        <w:t>about </w:t>
      </w:r>
      <w:r>
        <w:rPr>
          <w:color w:val="4D4D4F"/>
          <w:w w:val="110"/>
          <w:sz w:val="22"/>
        </w:rPr>
        <w:t>problems.</w:t>
      </w:r>
    </w:p>
    <w:p>
      <w:pPr>
        <w:spacing w:line="244" w:lineRule="auto" w:before="190"/>
        <w:ind w:left="140" w:right="38" w:firstLine="0"/>
        <w:jc w:val="left"/>
        <w:rPr>
          <w:sz w:val="22"/>
        </w:rPr>
      </w:pPr>
      <w:r>
        <w:rPr>
          <w:rFonts w:ascii="Calibri" w:hAnsi="Calibri"/>
          <w:b/>
          <w:color w:val="4D4D4F"/>
          <w:w w:val="110"/>
          <w:sz w:val="22"/>
        </w:rPr>
        <w:t>Educate patients about how to assess their withdrawal, when to start the ﬁrst dose, how  to take the medication </w:t>
      </w:r>
      <w:r>
        <w:rPr>
          <w:rFonts w:ascii="Calibri" w:hAnsi="Calibri"/>
          <w:b/>
          <w:color w:val="4D4D4F"/>
          <w:spacing w:val="-3"/>
          <w:w w:val="110"/>
          <w:sz w:val="22"/>
        </w:rPr>
        <w:t>properly, </w:t>
      </w:r>
      <w:r>
        <w:rPr>
          <w:rFonts w:ascii="Calibri" w:hAnsi="Calibri"/>
          <w:b/>
          <w:color w:val="4D4D4F"/>
          <w:w w:val="110"/>
          <w:sz w:val="22"/>
        </w:rPr>
        <w:t>and how to manage withdrawal on induction </w:t>
      </w:r>
      <w:r>
        <w:rPr>
          <w:rFonts w:ascii="Calibri" w:hAnsi="Calibri"/>
          <w:b/>
          <w:color w:val="4D4D4F"/>
          <w:spacing w:val="-6"/>
          <w:w w:val="110"/>
          <w:sz w:val="22"/>
        </w:rPr>
        <w:t>day. </w:t>
      </w:r>
      <w:r>
        <w:rPr>
          <w:color w:val="4D4D4F"/>
          <w:w w:val="110"/>
          <w:sz w:val="22"/>
        </w:rPr>
        <w:t>Instruct patients to take their ﬁrst dose when they expe- rience opioid withdrawal at least 12 hours after last use of heroin or a short-acting prescription opioid. Effectively switching from methadone to buprenorphine can be challenging. This should generally be started with ofﬁce-based induction. Consult with a medical expert knowledgeable about methadone in these situations until </w:t>
      </w:r>
      <w:r>
        <w:rPr>
          <w:color w:val="4D4D4F"/>
          <w:spacing w:val="-3"/>
          <w:w w:val="110"/>
          <w:sz w:val="22"/>
        </w:rPr>
        <w:t>experi- </w:t>
      </w:r>
      <w:r>
        <w:rPr>
          <w:color w:val="4D4D4F"/>
          <w:w w:val="110"/>
          <w:sz w:val="22"/>
        </w:rPr>
        <w:t>ence is gained. Withdrawal can</w:t>
      </w:r>
      <w:r>
        <w:rPr>
          <w:color w:val="4D4D4F"/>
          <w:spacing w:val="-11"/>
          <w:w w:val="110"/>
          <w:sz w:val="22"/>
        </w:rPr>
        <w:t> </w:t>
      </w:r>
      <w:r>
        <w:rPr>
          <w:color w:val="4D4D4F"/>
          <w:w w:val="110"/>
          <w:sz w:val="22"/>
        </w:rPr>
        <w:t>include:</w:t>
      </w:r>
    </w:p>
    <w:p>
      <w:pPr>
        <w:pStyle w:val="ListParagraph"/>
        <w:numPr>
          <w:ilvl w:val="0"/>
          <w:numId w:val="29"/>
        </w:numPr>
        <w:tabs>
          <w:tab w:pos="410" w:val="left" w:leader="none"/>
        </w:tabs>
        <w:spacing w:line="315" w:lineRule="exact" w:before="96" w:after="0"/>
        <w:ind w:left="410" w:right="0" w:hanging="270"/>
        <w:jc w:val="left"/>
        <w:rPr>
          <w:rFonts w:ascii="Arial" w:hAnsi="Arial"/>
          <w:color w:val="137692"/>
          <w:sz w:val="28"/>
        </w:rPr>
      </w:pPr>
      <w:r>
        <w:rPr>
          <w:color w:val="4D4D4F"/>
          <w:w w:val="115"/>
          <w:sz w:val="22"/>
        </w:rPr>
        <w:t>Goose</w:t>
      </w:r>
      <w:r>
        <w:rPr>
          <w:color w:val="4D4D4F"/>
          <w:spacing w:val="-10"/>
          <w:w w:val="115"/>
          <w:sz w:val="22"/>
        </w:rPr>
        <w:t> </w:t>
      </w:r>
      <w:r>
        <w:rPr>
          <w:color w:val="4D4D4F"/>
          <w:w w:val="115"/>
          <w:sz w:val="22"/>
        </w:rPr>
        <w:t>bumps.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Nausea.</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Abdominal</w:t>
      </w:r>
      <w:r>
        <w:rPr>
          <w:color w:val="4D4D4F"/>
          <w:spacing w:val="-11"/>
          <w:w w:val="115"/>
          <w:sz w:val="22"/>
        </w:rPr>
        <w:t> </w:t>
      </w:r>
      <w:r>
        <w:rPr>
          <w:color w:val="4D4D4F"/>
          <w:w w:val="115"/>
          <w:sz w:val="22"/>
        </w:rPr>
        <w:t>cramps.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Running</w:t>
      </w:r>
      <w:r>
        <w:rPr>
          <w:color w:val="4D4D4F"/>
          <w:spacing w:val="-10"/>
          <w:w w:val="115"/>
          <w:sz w:val="22"/>
        </w:rPr>
        <w:t> </w:t>
      </w:r>
      <w:r>
        <w:rPr>
          <w:color w:val="4D4D4F"/>
          <w:w w:val="115"/>
          <w:sz w:val="22"/>
        </w:rPr>
        <w:t>nose.</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spacing w:val="-4"/>
          <w:w w:val="115"/>
          <w:sz w:val="22"/>
        </w:rPr>
        <w:t>Tearing.</w:t>
      </w:r>
    </w:p>
    <w:p>
      <w:pPr>
        <w:pStyle w:val="ListParagraph"/>
        <w:numPr>
          <w:ilvl w:val="0"/>
          <w:numId w:val="29"/>
        </w:numPr>
        <w:tabs>
          <w:tab w:pos="410" w:val="left" w:leader="none"/>
        </w:tabs>
        <w:spacing w:line="315" w:lineRule="exact" w:before="0" w:after="0"/>
        <w:ind w:left="410" w:right="0" w:hanging="270"/>
        <w:jc w:val="left"/>
        <w:rPr>
          <w:rFonts w:ascii="Arial" w:hAnsi="Arial"/>
          <w:color w:val="137692"/>
          <w:sz w:val="28"/>
        </w:rPr>
      </w:pPr>
      <w:r>
        <w:rPr>
          <w:color w:val="4D4D4F"/>
          <w:spacing w:val="-3"/>
          <w:w w:val="115"/>
          <w:sz w:val="22"/>
        </w:rPr>
        <w:t>Yawning.</w:t>
      </w:r>
    </w:p>
    <w:p>
      <w:pPr>
        <w:spacing w:line="235" w:lineRule="auto" w:before="140"/>
        <w:ind w:left="140" w:right="82" w:firstLine="0"/>
        <w:jc w:val="left"/>
        <w:rPr>
          <w:sz w:val="22"/>
        </w:rPr>
      </w:pPr>
      <w:r>
        <w:rPr>
          <w:rFonts w:ascii="Calibri" w:hAnsi="Calibri"/>
          <w:b/>
          <w:color w:val="4D4D4F"/>
          <w:w w:val="110"/>
          <w:sz w:val="22"/>
        </w:rPr>
        <w:t>Be available for phone consultation during the induction period and for an in-ofﬁce evalua- tion </w:t>
      </w:r>
      <w:r>
        <w:rPr>
          <w:color w:val="4D4D4F"/>
          <w:w w:val="110"/>
          <w:sz w:val="22"/>
        </w:rPr>
        <w:t>should the need arise. See patients in the</w:t>
      </w:r>
    </w:p>
    <w:p>
      <w:pPr>
        <w:pStyle w:val="BodyText"/>
        <w:rPr>
          <w:sz w:val="27"/>
        </w:rPr>
      </w:pPr>
    </w:p>
    <w:p>
      <w:pPr>
        <w:pStyle w:val="Heading7"/>
        <w:spacing w:line="304" w:lineRule="auto"/>
        <w:ind w:left="437" w:right="82"/>
        <w:rPr>
          <w:rFonts w:ascii="Arial"/>
        </w:rPr>
      </w:pPr>
      <w:r>
        <w:rPr/>
        <w:pict>
          <v:line style="position:absolute;mso-position-horizontal-relative:page;mso-position-vertical-relative:paragraph;z-index:15766016" from="54.5pt,90.32287pt" to="54.5pt,-.325130pt" stroked="true" strokeweight="1pt" strokecolor="#759eb4">
            <v:stroke dashstyle="solid"/>
            <w10:wrap type="none"/>
          </v:line>
        </w:pict>
      </w:r>
      <w:r>
        <w:rPr>
          <w:rFonts w:ascii="Arial"/>
          <w:color w:val="B15651"/>
          <w:w w:val="110"/>
        </w:rPr>
        <w:t>Advise patients to abstain from tobacco before dosing. Many patients with OUD use tobacco products.</w:t>
      </w:r>
    </w:p>
    <w:p>
      <w:pPr>
        <w:spacing w:line="304" w:lineRule="auto" w:before="0"/>
        <w:ind w:left="437" w:right="82" w:firstLine="0"/>
        <w:jc w:val="left"/>
        <w:rPr>
          <w:rFonts w:ascii="Arial"/>
          <w:b/>
          <w:sz w:val="22"/>
        </w:rPr>
      </w:pPr>
      <w:r>
        <w:rPr>
          <w:rFonts w:ascii="Arial"/>
          <w:b/>
          <w:color w:val="B15651"/>
          <w:w w:val="105"/>
          <w:sz w:val="22"/>
        </w:rPr>
        <w:t>Nicotine causes vasoconstriction, decreasing the surface area of blood vessels that absorb buprenorphine.</w:t>
      </w:r>
    </w:p>
    <w:p>
      <w:pPr>
        <w:pStyle w:val="BodyText"/>
        <w:spacing w:line="247" w:lineRule="auto" w:before="100"/>
        <w:ind w:left="139" w:right="101"/>
      </w:pPr>
      <w:r>
        <w:rPr/>
        <w:br w:type="column"/>
      </w:r>
      <w:r>
        <w:rPr>
          <w:color w:val="4D4D4F"/>
          <w:w w:val="110"/>
        </w:rPr>
        <w:t>ofﬁce within approximately 7 days of the start of home induction. (See the Chapter 3D Appendix for a sample buprenorphine/naloxone home dosage schedule.)</w:t>
      </w:r>
    </w:p>
    <w:p>
      <w:pPr>
        <w:pStyle w:val="BodyText"/>
        <w:spacing w:before="1"/>
        <w:rPr>
          <w:sz w:val="23"/>
        </w:rPr>
      </w:pPr>
    </w:p>
    <w:p>
      <w:pPr>
        <w:pStyle w:val="Heading3"/>
        <w:ind w:left="139"/>
      </w:pPr>
      <w:bookmarkStart w:name="_TOC_250043" w:id="72"/>
      <w:bookmarkEnd w:id="72"/>
      <w:r>
        <w:rPr>
          <w:color w:val="137692"/>
          <w:w w:val="110"/>
        </w:rPr>
        <w:t>Induction</w:t>
      </w:r>
    </w:p>
    <w:p>
      <w:pPr>
        <w:pStyle w:val="Heading5"/>
        <w:spacing w:line="247" w:lineRule="auto" w:before="82"/>
        <w:ind w:left="139" w:right="1056"/>
      </w:pPr>
      <w:r>
        <w:rPr>
          <w:i/>
          <w:color w:val="137692"/>
          <w:spacing w:val="-3"/>
          <w:w w:val="105"/>
        </w:rPr>
        <w:t>Patients</w:t>
      </w:r>
      <w:r>
        <w:rPr>
          <w:i/>
          <w:color w:val="137692"/>
          <w:spacing w:val="-26"/>
          <w:w w:val="105"/>
        </w:rPr>
        <w:t> </w:t>
      </w:r>
      <w:r>
        <w:rPr>
          <w:i/>
          <w:color w:val="137692"/>
          <w:w w:val="105"/>
        </w:rPr>
        <w:t>who</w:t>
      </w:r>
      <w:r>
        <w:rPr>
          <w:i/>
          <w:color w:val="137692"/>
          <w:spacing w:val="-26"/>
          <w:w w:val="105"/>
        </w:rPr>
        <w:t> </w:t>
      </w:r>
      <w:r>
        <w:rPr>
          <w:i/>
          <w:color w:val="137692"/>
          <w:w w:val="105"/>
        </w:rPr>
        <w:t>are</w:t>
      </w:r>
      <w:r>
        <w:rPr>
          <w:i/>
          <w:color w:val="137692"/>
          <w:spacing w:val="-26"/>
          <w:w w:val="105"/>
        </w:rPr>
        <w:t> </w:t>
      </w:r>
      <w:r>
        <w:rPr>
          <w:i/>
          <w:color w:val="137692"/>
          <w:w w:val="105"/>
        </w:rPr>
        <w:t>currently</w:t>
      </w:r>
      <w:r>
        <w:rPr>
          <w:i/>
          <w:color w:val="137692"/>
          <w:spacing w:val="-26"/>
          <w:w w:val="105"/>
        </w:rPr>
        <w:t> </w:t>
      </w:r>
      <w:r>
        <w:rPr>
          <w:i/>
          <w:color w:val="137692"/>
          <w:w w:val="105"/>
        </w:rPr>
        <w:t>physically </w:t>
      </w:r>
      <w:r>
        <w:rPr>
          <w:color w:val="137692"/>
          <w:w w:val="105"/>
        </w:rPr>
        <w:t>dependent on</w:t>
      </w:r>
      <w:r>
        <w:rPr>
          <w:color w:val="137692"/>
          <w:spacing w:val="-24"/>
          <w:w w:val="105"/>
        </w:rPr>
        <w:t> </w:t>
      </w:r>
      <w:r>
        <w:rPr>
          <w:color w:val="137692"/>
          <w:w w:val="105"/>
        </w:rPr>
        <w:t>opioids</w:t>
      </w:r>
    </w:p>
    <w:p>
      <w:pPr>
        <w:spacing w:line="240" w:lineRule="auto" w:before="35"/>
        <w:ind w:left="139" w:right="594" w:firstLine="0"/>
        <w:jc w:val="left"/>
        <w:rPr>
          <w:sz w:val="22"/>
        </w:rPr>
      </w:pPr>
      <w:r>
        <w:rPr>
          <w:rFonts w:ascii="Calibri"/>
          <w:b/>
          <w:color w:val="4D4D4F"/>
          <w:w w:val="110"/>
          <w:sz w:val="22"/>
        </w:rPr>
        <w:t>Patients should begin buprenorphine </w:t>
      </w:r>
      <w:r>
        <w:rPr>
          <w:rFonts w:ascii="Calibri"/>
          <w:b/>
          <w:color w:val="4D4D4F"/>
          <w:spacing w:val="-4"/>
          <w:w w:val="110"/>
          <w:sz w:val="22"/>
        </w:rPr>
        <w:t>when </w:t>
      </w:r>
      <w:r>
        <w:rPr>
          <w:rFonts w:ascii="Calibri"/>
          <w:b/>
          <w:color w:val="4D4D4F"/>
          <w:w w:val="110"/>
          <w:sz w:val="22"/>
        </w:rPr>
        <w:t>they are exhibiting clear signs of opioid withdrawal. </w:t>
      </w:r>
      <w:r>
        <w:rPr>
          <w:color w:val="4D4D4F"/>
          <w:w w:val="110"/>
          <w:sz w:val="22"/>
        </w:rPr>
        <w:t>Induction typically starts with a 2 mg to 4 mg dose of buprenorphine or a 2 mg/0.5 mg to 4 mg/1 mg dose of</w:t>
      </w:r>
      <w:r>
        <w:rPr>
          <w:color w:val="4D4D4F"/>
          <w:spacing w:val="8"/>
          <w:w w:val="110"/>
          <w:sz w:val="22"/>
        </w:rPr>
        <w:t> </w:t>
      </w:r>
      <w:r>
        <w:rPr>
          <w:color w:val="4D4D4F"/>
          <w:w w:val="110"/>
          <w:sz w:val="22"/>
        </w:rPr>
        <w:t>buprenor-</w:t>
      </w:r>
    </w:p>
    <w:p>
      <w:pPr>
        <w:pStyle w:val="BodyText"/>
        <w:spacing w:line="247" w:lineRule="auto" w:before="9"/>
        <w:ind w:left="139" w:right="316" w:hanging="1"/>
      </w:pPr>
      <w:r>
        <w:rPr>
          <w:color w:val="4D4D4F"/>
          <w:w w:val="115"/>
        </w:rPr>
        <w:t>phine/naloxone.</w:t>
      </w:r>
      <w:r>
        <w:rPr>
          <w:color w:val="4D4D4F"/>
          <w:w w:val="115"/>
          <w:position w:val="7"/>
          <w:sz w:val="13"/>
        </w:rPr>
        <w:t>329 </w:t>
      </w:r>
      <w:r>
        <w:rPr>
          <w:color w:val="4D4D4F"/>
          <w:w w:val="115"/>
        </w:rPr>
        <w:t>Depending on the formula- tion</w:t>
      </w:r>
      <w:r>
        <w:rPr>
          <w:color w:val="4D4D4F"/>
          <w:spacing w:val="-17"/>
          <w:w w:val="115"/>
        </w:rPr>
        <w:t> </w:t>
      </w:r>
      <w:r>
        <w:rPr>
          <w:color w:val="4D4D4F"/>
          <w:w w:val="115"/>
        </w:rPr>
        <w:t>used</w:t>
      </w:r>
      <w:r>
        <w:rPr>
          <w:color w:val="4D4D4F"/>
          <w:spacing w:val="-17"/>
          <w:w w:val="115"/>
        </w:rPr>
        <w:t> </w:t>
      </w:r>
      <w:r>
        <w:rPr>
          <w:color w:val="4D4D4F"/>
          <w:w w:val="115"/>
        </w:rPr>
        <w:t>and</w:t>
      </w:r>
      <w:r>
        <w:rPr>
          <w:color w:val="4D4D4F"/>
          <w:spacing w:val="-17"/>
          <w:w w:val="115"/>
        </w:rPr>
        <w:t> </w:t>
      </w:r>
      <w:r>
        <w:rPr>
          <w:color w:val="4D4D4F"/>
          <w:w w:val="115"/>
        </w:rPr>
        <w:t>whether</w:t>
      </w:r>
      <w:r>
        <w:rPr>
          <w:color w:val="4D4D4F"/>
          <w:spacing w:val="-16"/>
          <w:w w:val="115"/>
        </w:rPr>
        <w:t> </w:t>
      </w:r>
      <w:r>
        <w:rPr>
          <w:color w:val="4D4D4F"/>
          <w:w w:val="115"/>
        </w:rPr>
        <w:t>a</w:t>
      </w:r>
      <w:r>
        <w:rPr>
          <w:color w:val="4D4D4F"/>
          <w:spacing w:val="-17"/>
          <w:w w:val="115"/>
        </w:rPr>
        <w:t> </w:t>
      </w:r>
      <w:r>
        <w:rPr>
          <w:color w:val="4D4D4F"/>
          <w:w w:val="115"/>
        </w:rPr>
        <w:t>given</w:t>
      </w:r>
      <w:r>
        <w:rPr>
          <w:color w:val="4D4D4F"/>
          <w:spacing w:val="-17"/>
          <w:w w:val="115"/>
        </w:rPr>
        <w:t> </w:t>
      </w:r>
      <w:r>
        <w:rPr>
          <w:color w:val="4D4D4F"/>
          <w:w w:val="115"/>
        </w:rPr>
        <w:t>patient</w:t>
      </w:r>
      <w:r>
        <w:rPr>
          <w:color w:val="4D4D4F"/>
          <w:spacing w:val="-16"/>
          <w:w w:val="115"/>
        </w:rPr>
        <w:t> </w:t>
      </w:r>
      <w:r>
        <w:rPr>
          <w:color w:val="4D4D4F"/>
          <w:w w:val="115"/>
        </w:rPr>
        <w:t>has</w:t>
      </w:r>
      <w:r>
        <w:rPr>
          <w:color w:val="4D4D4F"/>
          <w:spacing w:val="-17"/>
          <w:w w:val="115"/>
        </w:rPr>
        <w:t> </w:t>
      </w:r>
      <w:r>
        <w:rPr>
          <w:color w:val="4D4D4F"/>
          <w:w w:val="115"/>
        </w:rPr>
        <w:t>a</w:t>
      </w:r>
      <w:r>
        <w:rPr>
          <w:color w:val="4D4D4F"/>
          <w:spacing w:val="-17"/>
          <w:w w:val="115"/>
        </w:rPr>
        <w:t> </w:t>
      </w:r>
      <w:r>
        <w:rPr>
          <w:color w:val="4D4D4F"/>
          <w:spacing w:val="-6"/>
          <w:w w:val="115"/>
        </w:rPr>
        <w:t>dry </w:t>
      </w:r>
      <w:r>
        <w:rPr>
          <w:color w:val="4D4D4F"/>
          <w:w w:val="115"/>
        </w:rPr>
        <w:t>mouth, the dose can take between 3 and 10 minutes</w:t>
      </w:r>
      <w:r>
        <w:rPr>
          <w:color w:val="4D4D4F"/>
          <w:spacing w:val="-26"/>
          <w:w w:val="115"/>
        </w:rPr>
        <w:t> </w:t>
      </w:r>
      <w:r>
        <w:rPr>
          <w:color w:val="4D4D4F"/>
          <w:w w:val="115"/>
        </w:rPr>
        <w:t>to</w:t>
      </w:r>
      <w:r>
        <w:rPr>
          <w:color w:val="4D4D4F"/>
          <w:spacing w:val="-25"/>
          <w:w w:val="115"/>
        </w:rPr>
        <w:t> </w:t>
      </w:r>
      <w:r>
        <w:rPr>
          <w:color w:val="4D4D4F"/>
          <w:w w:val="115"/>
        </w:rPr>
        <w:t>dissolve</w:t>
      </w:r>
      <w:r>
        <w:rPr>
          <w:color w:val="4D4D4F"/>
          <w:spacing w:val="-25"/>
          <w:w w:val="115"/>
        </w:rPr>
        <w:t> </w:t>
      </w:r>
      <w:r>
        <w:rPr>
          <w:color w:val="4D4D4F"/>
          <w:spacing w:val="-3"/>
          <w:w w:val="115"/>
        </w:rPr>
        <w:t>fully.</w:t>
      </w:r>
      <w:r>
        <w:rPr>
          <w:color w:val="4D4D4F"/>
          <w:spacing w:val="-25"/>
          <w:w w:val="115"/>
        </w:rPr>
        <w:t> </w:t>
      </w:r>
      <w:r>
        <w:rPr>
          <w:color w:val="4D4D4F"/>
          <w:w w:val="115"/>
        </w:rPr>
        <w:t>After</w:t>
      </w:r>
      <w:r>
        <w:rPr>
          <w:color w:val="4D4D4F"/>
          <w:spacing w:val="-25"/>
          <w:w w:val="115"/>
        </w:rPr>
        <w:t> </w:t>
      </w:r>
      <w:r>
        <w:rPr>
          <w:color w:val="4D4D4F"/>
          <w:w w:val="115"/>
        </w:rPr>
        <w:t>approximately</w:t>
      </w:r>
    </w:p>
    <w:p>
      <w:pPr>
        <w:pStyle w:val="BodyText"/>
        <w:spacing w:line="247" w:lineRule="auto" w:before="5"/>
        <w:ind w:left="139" w:right="471"/>
      </w:pPr>
      <w:r>
        <w:rPr>
          <w:color w:val="4D4D4F"/>
          <w:w w:val="110"/>
        </w:rPr>
        <w:t>2 hours, an additional 2 mg to 4 mg dose of buprenorphine/naloxone can be given if </w:t>
      </w:r>
      <w:r>
        <w:rPr>
          <w:color w:val="4D4D4F"/>
          <w:spacing w:val="-5"/>
          <w:w w:val="110"/>
        </w:rPr>
        <w:t>there </w:t>
      </w:r>
      <w:r>
        <w:rPr>
          <w:color w:val="4D4D4F"/>
          <w:w w:val="110"/>
        </w:rPr>
        <w:t>is continued withdrawal and lack of</w:t>
      </w:r>
      <w:r>
        <w:rPr>
          <w:color w:val="4D4D4F"/>
          <w:spacing w:val="18"/>
          <w:w w:val="110"/>
        </w:rPr>
        <w:t> </w:t>
      </w:r>
      <w:r>
        <w:rPr>
          <w:color w:val="4D4D4F"/>
          <w:w w:val="110"/>
        </w:rPr>
        <w:t>sedation.</w:t>
      </w:r>
    </w:p>
    <w:p>
      <w:pPr>
        <w:pStyle w:val="BodyText"/>
        <w:spacing w:line="247" w:lineRule="auto" w:before="89"/>
        <w:ind w:left="139" w:right="253"/>
      </w:pPr>
      <w:r>
        <w:rPr>
          <w:rFonts w:ascii="Calibri" w:hAnsi="Calibri"/>
          <w:b/>
          <w:color w:val="4D4D4F"/>
          <w:w w:val="110"/>
        </w:rPr>
        <w:t>Always individualize dosing. </w:t>
      </w:r>
      <w:r>
        <w:rPr>
          <w:color w:val="4D4D4F"/>
          <w:w w:val="110"/>
        </w:rPr>
        <w:t>The FDA label recommends a maximum buprenorphine/ naloxone dose of 8 mg on Day 1 and 16 mg on Day 2.</w:t>
      </w:r>
      <w:r>
        <w:rPr>
          <w:color w:val="4D4D4F"/>
          <w:w w:val="110"/>
          <w:position w:val="7"/>
          <w:sz w:val="13"/>
        </w:rPr>
        <w:t>330 </w:t>
      </w:r>
      <w:r>
        <w:rPr>
          <w:color w:val="4D4D4F"/>
          <w:w w:val="110"/>
        </w:rPr>
        <w:t>When dosing outside of FDA recom- mendations, document the clinical rationale, including risks and beneﬁts. Remember that some patients stabilize on lower doses.</w:t>
      </w:r>
    </w:p>
    <w:p>
      <w:pPr>
        <w:pStyle w:val="Heading7"/>
        <w:spacing w:line="235" w:lineRule="auto" w:before="178"/>
        <w:ind w:right="594"/>
      </w:pPr>
      <w:r>
        <w:rPr>
          <w:color w:val="4D4D4F"/>
          <w:w w:val="115"/>
        </w:rPr>
        <w:t>If patients experience sedation upon ﬁrst dose, stop and reevaluate the following:</w:t>
      </w:r>
    </w:p>
    <w:p>
      <w:pPr>
        <w:pStyle w:val="ListParagraph"/>
        <w:numPr>
          <w:ilvl w:val="0"/>
          <w:numId w:val="29"/>
        </w:numPr>
        <w:tabs>
          <w:tab w:pos="410" w:val="left" w:leader="none"/>
        </w:tabs>
        <w:spacing w:line="208" w:lineRule="auto" w:before="129" w:after="0"/>
        <w:ind w:left="409" w:right="993" w:hanging="270"/>
        <w:jc w:val="left"/>
        <w:rPr>
          <w:rFonts w:ascii="Arial" w:hAnsi="Arial"/>
          <w:color w:val="137692"/>
          <w:sz w:val="28"/>
        </w:rPr>
      </w:pPr>
      <w:r>
        <w:rPr>
          <w:color w:val="4D4D4F"/>
          <w:w w:val="115"/>
          <w:sz w:val="22"/>
        </w:rPr>
        <w:t>Did</w:t>
      </w:r>
      <w:r>
        <w:rPr>
          <w:color w:val="4D4D4F"/>
          <w:spacing w:val="-18"/>
          <w:w w:val="115"/>
          <w:sz w:val="22"/>
        </w:rPr>
        <w:t> </w:t>
      </w:r>
      <w:r>
        <w:rPr>
          <w:color w:val="4D4D4F"/>
          <w:w w:val="115"/>
          <w:sz w:val="22"/>
        </w:rPr>
        <w:t>they</w:t>
      </w:r>
      <w:r>
        <w:rPr>
          <w:color w:val="4D4D4F"/>
          <w:spacing w:val="-17"/>
          <w:w w:val="115"/>
          <w:sz w:val="22"/>
        </w:rPr>
        <w:t> </w:t>
      </w:r>
      <w:r>
        <w:rPr>
          <w:color w:val="4D4D4F"/>
          <w:w w:val="115"/>
          <w:sz w:val="22"/>
        </w:rPr>
        <w:t>recently</w:t>
      </w:r>
      <w:r>
        <w:rPr>
          <w:color w:val="4D4D4F"/>
          <w:spacing w:val="-17"/>
          <w:w w:val="115"/>
          <w:sz w:val="22"/>
        </w:rPr>
        <w:t> </w:t>
      </w:r>
      <w:r>
        <w:rPr>
          <w:color w:val="4D4D4F"/>
          <w:w w:val="115"/>
          <w:sz w:val="22"/>
        </w:rPr>
        <w:t>take</w:t>
      </w:r>
      <w:r>
        <w:rPr>
          <w:color w:val="4D4D4F"/>
          <w:spacing w:val="-17"/>
          <w:w w:val="115"/>
          <w:sz w:val="22"/>
        </w:rPr>
        <w:t> </w:t>
      </w:r>
      <w:r>
        <w:rPr>
          <w:color w:val="4D4D4F"/>
          <w:w w:val="115"/>
          <w:sz w:val="22"/>
        </w:rPr>
        <w:t>other</w:t>
      </w:r>
      <w:r>
        <w:rPr>
          <w:color w:val="4D4D4F"/>
          <w:spacing w:val="-18"/>
          <w:w w:val="115"/>
          <w:sz w:val="22"/>
        </w:rPr>
        <w:t> </w:t>
      </w:r>
      <w:r>
        <w:rPr>
          <w:color w:val="4D4D4F"/>
          <w:w w:val="115"/>
          <w:sz w:val="22"/>
        </w:rPr>
        <w:t>sedating medications (e.g.,</w:t>
      </w:r>
      <w:r>
        <w:rPr>
          <w:color w:val="4D4D4F"/>
          <w:spacing w:val="-26"/>
          <w:w w:val="115"/>
          <w:sz w:val="22"/>
        </w:rPr>
        <w:t> </w:t>
      </w:r>
      <w:r>
        <w:rPr>
          <w:color w:val="4D4D4F"/>
          <w:w w:val="115"/>
          <w:sz w:val="22"/>
        </w:rPr>
        <w:t>benzodiazepines)?</w:t>
      </w:r>
    </w:p>
    <w:p>
      <w:pPr>
        <w:pStyle w:val="ListParagraph"/>
        <w:numPr>
          <w:ilvl w:val="0"/>
          <w:numId w:val="29"/>
        </w:numPr>
        <w:tabs>
          <w:tab w:pos="410" w:val="left" w:leader="none"/>
        </w:tabs>
        <w:spacing w:line="225" w:lineRule="auto" w:before="53" w:after="0"/>
        <w:ind w:left="409" w:right="256" w:hanging="270"/>
        <w:jc w:val="left"/>
        <w:rPr>
          <w:rFonts w:ascii="Arial" w:hAnsi="Arial"/>
          <w:color w:val="137692"/>
          <w:sz w:val="28"/>
        </w:rPr>
      </w:pPr>
      <w:r>
        <w:rPr>
          <w:color w:val="4D4D4F"/>
          <w:w w:val="110"/>
          <w:sz w:val="22"/>
        </w:rPr>
        <w:t>Have they recently been in a controlled envi- ronment, such as a hospital, jail, or </w:t>
      </w:r>
      <w:r>
        <w:rPr>
          <w:color w:val="4D4D4F"/>
          <w:spacing w:val="-3"/>
          <w:w w:val="110"/>
          <w:sz w:val="22"/>
        </w:rPr>
        <w:t>residential </w:t>
      </w:r>
      <w:r>
        <w:rPr>
          <w:color w:val="4D4D4F"/>
          <w:w w:val="110"/>
          <w:sz w:val="22"/>
        </w:rPr>
        <w:t>drug treatment</w:t>
      </w:r>
      <w:r>
        <w:rPr>
          <w:color w:val="4D4D4F"/>
          <w:spacing w:val="-10"/>
          <w:w w:val="110"/>
          <w:sz w:val="22"/>
        </w:rPr>
        <w:t> </w:t>
      </w:r>
      <w:r>
        <w:rPr>
          <w:color w:val="4D4D4F"/>
          <w:w w:val="110"/>
          <w:sz w:val="22"/>
        </w:rPr>
        <w:t>facility?</w:t>
      </w:r>
    </w:p>
    <w:p>
      <w:pPr>
        <w:pStyle w:val="ListParagraph"/>
        <w:numPr>
          <w:ilvl w:val="0"/>
          <w:numId w:val="29"/>
        </w:numPr>
        <w:tabs>
          <w:tab w:pos="410" w:val="left" w:leader="none"/>
        </w:tabs>
        <w:spacing w:line="208" w:lineRule="auto" w:before="69" w:after="0"/>
        <w:ind w:left="409" w:right="641" w:hanging="270"/>
        <w:jc w:val="left"/>
        <w:rPr>
          <w:rFonts w:ascii="Arial" w:hAnsi="Arial"/>
          <w:color w:val="137692"/>
          <w:sz w:val="28"/>
        </w:rPr>
      </w:pPr>
      <w:r>
        <w:rPr>
          <w:color w:val="4D4D4F"/>
          <w:spacing w:val="-3"/>
          <w:w w:val="115"/>
          <w:sz w:val="22"/>
        </w:rPr>
        <w:t>Was</w:t>
      </w:r>
      <w:r>
        <w:rPr>
          <w:color w:val="4D4D4F"/>
          <w:spacing w:val="-34"/>
          <w:w w:val="115"/>
          <w:sz w:val="22"/>
        </w:rPr>
        <w:t> </w:t>
      </w:r>
      <w:r>
        <w:rPr>
          <w:color w:val="4D4D4F"/>
          <w:w w:val="115"/>
          <w:sz w:val="22"/>
        </w:rPr>
        <w:t>the</w:t>
      </w:r>
      <w:r>
        <w:rPr>
          <w:color w:val="4D4D4F"/>
          <w:spacing w:val="-33"/>
          <w:w w:val="115"/>
          <w:sz w:val="22"/>
        </w:rPr>
        <w:t> </w:t>
      </w:r>
      <w:r>
        <w:rPr>
          <w:color w:val="4D4D4F"/>
          <w:w w:val="115"/>
          <w:sz w:val="22"/>
        </w:rPr>
        <w:t>history</w:t>
      </w:r>
      <w:r>
        <w:rPr>
          <w:color w:val="4D4D4F"/>
          <w:spacing w:val="-34"/>
          <w:w w:val="115"/>
          <w:sz w:val="22"/>
        </w:rPr>
        <w:t> </w:t>
      </w:r>
      <w:r>
        <w:rPr>
          <w:color w:val="4D4D4F"/>
          <w:w w:val="115"/>
          <w:sz w:val="22"/>
        </w:rPr>
        <w:t>of</w:t>
      </w:r>
      <w:r>
        <w:rPr>
          <w:color w:val="4D4D4F"/>
          <w:spacing w:val="-33"/>
          <w:w w:val="115"/>
          <w:sz w:val="22"/>
        </w:rPr>
        <w:t> </w:t>
      </w:r>
      <w:r>
        <w:rPr>
          <w:color w:val="4D4D4F"/>
          <w:w w:val="115"/>
          <w:sz w:val="22"/>
        </w:rPr>
        <w:t>recency</w:t>
      </w:r>
      <w:r>
        <w:rPr>
          <w:color w:val="4D4D4F"/>
          <w:spacing w:val="-34"/>
          <w:w w:val="115"/>
          <w:sz w:val="22"/>
        </w:rPr>
        <w:t> </w:t>
      </w:r>
      <w:r>
        <w:rPr>
          <w:color w:val="4D4D4F"/>
          <w:w w:val="115"/>
          <w:sz w:val="22"/>
        </w:rPr>
        <w:t>and</w:t>
      </w:r>
      <w:r>
        <w:rPr>
          <w:color w:val="4D4D4F"/>
          <w:spacing w:val="-33"/>
          <w:w w:val="115"/>
          <w:sz w:val="22"/>
        </w:rPr>
        <w:t> </w:t>
      </w:r>
      <w:r>
        <w:rPr>
          <w:color w:val="4D4D4F"/>
          <w:w w:val="115"/>
          <w:sz w:val="22"/>
        </w:rPr>
        <w:t>amount</w:t>
      </w:r>
      <w:r>
        <w:rPr>
          <w:color w:val="4D4D4F"/>
          <w:spacing w:val="-34"/>
          <w:w w:val="115"/>
          <w:sz w:val="22"/>
        </w:rPr>
        <w:t> </w:t>
      </w:r>
      <w:r>
        <w:rPr>
          <w:color w:val="4D4D4F"/>
          <w:spacing w:val="-8"/>
          <w:w w:val="115"/>
          <w:sz w:val="22"/>
        </w:rPr>
        <w:t>of </w:t>
      </w:r>
      <w:r>
        <w:rPr>
          <w:color w:val="4D4D4F"/>
          <w:w w:val="115"/>
          <w:sz w:val="22"/>
        </w:rPr>
        <w:t>opioid use</w:t>
      </w:r>
      <w:r>
        <w:rPr>
          <w:color w:val="4D4D4F"/>
          <w:spacing w:val="-21"/>
          <w:w w:val="115"/>
          <w:sz w:val="22"/>
        </w:rPr>
        <w:t> </w:t>
      </w:r>
      <w:r>
        <w:rPr>
          <w:color w:val="4D4D4F"/>
          <w:w w:val="115"/>
          <w:sz w:val="22"/>
        </w:rPr>
        <w:t>inaccurate?</w:t>
      </w:r>
    </w:p>
    <w:p>
      <w:pPr>
        <w:pStyle w:val="ListParagraph"/>
        <w:numPr>
          <w:ilvl w:val="0"/>
          <w:numId w:val="29"/>
        </w:numPr>
        <w:tabs>
          <w:tab w:pos="410" w:val="left" w:leader="none"/>
        </w:tabs>
        <w:spacing w:line="315" w:lineRule="exact" w:before="40" w:after="0"/>
        <w:ind w:left="409" w:right="0" w:hanging="271"/>
        <w:jc w:val="left"/>
        <w:rPr>
          <w:rFonts w:ascii="Arial" w:hAnsi="Arial"/>
          <w:color w:val="137692"/>
          <w:sz w:val="28"/>
        </w:rPr>
      </w:pPr>
      <w:r>
        <w:rPr>
          <w:color w:val="4D4D4F"/>
          <w:spacing w:val="-3"/>
          <w:w w:val="115"/>
          <w:sz w:val="22"/>
        </w:rPr>
        <w:t>Was</w:t>
      </w:r>
      <w:r>
        <w:rPr>
          <w:color w:val="4D4D4F"/>
          <w:spacing w:val="-15"/>
          <w:w w:val="115"/>
          <w:sz w:val="22"/>
        </w:rPr>
        <w:t> </w:t>
      </w:r>
      <w:r>
        <w:rPr>
          <w:color w:val="4D4D4F"/>
          <w:w w:val="115"/>
          <w:sz w:val="22"/>
        </w:rPr>
        <w:t>the</w:t>
      </w:r>
      <w:r>
        <w:rPr>
          <w:color w:val="4D4D4F"/>
          <w:spacing w:val="-14"/>
          <w:w w:val="115"/>
          <w:sz w:val="22"/>
        </w:rPr>
        <w:t> </w:t>
      </w:r>
      <w:r>
        <w:rPr>
          <w:color w:val="4D4D4F"/>
          <w:w w:val="115"/>
          <w:sz w:val="22"/>
        </w:rPr>
        <w:t>heroin</w:t>
      </w:r>
      <w:r>
        <w:rPr>
          <w:color w:val="4D4D4F"/>
          <w:spacing w:val="-15"/>
          <w:w w:val="115"/>
          <w:sz w:val="22"/>
        </w:rPr>
        <w:t> </w:t>
      </w:r>
      <w:r>
        <w:rPr>
          <w:color w:val="4D4D4F"/>
          <w:w w:val="115"/>
          <w:sz w:val="22"/>
        </w:rPr>
        <w:t>used</w:t>
      </w:r>
      <w:r>
        <w:rPr>
          <w:color w:val="4D4D4F"/>
          <w:spacing w:val="-14"/>
          <w:w w:val="115"/>
          <w:sz w:val="22"/>
        </w:rPr>
        <w:t> </w:t>
      </w:r>
      <w:r>
        <w:rPr>
          <w:color w:val="4D4D4F"/>
          <w:w w:val="115"/>
          <w:sz w:val="22"/>
        </w:rPr>
        <w:t>of</w:t>
      </w:r>
      <w:r>
        <w:rPr>
          <w:color w:val="4D4D4F"/>
          <w:spacing w:val="-14"/>
          <w:w w:val="115"/>
          <w:sz w:val="22"/>
        </w:rPr>
        <w:t> </w:t>
      </w:r>
      <w:r>
        <w:rPr>
          <w:color w:val="4D4D4F"/>
          <w:w w:val="115"/>
          <w:sz w:val="22"/>
        </w:rPr>
        <w:t>poor</w:t>
      </w:r>
      <w:r>
        <w:rPr>
          <w:color w:val="4D4D4F"/>
          <w:spacing w:val="-15"/>
          <w:w w:val="115"/>
          <w:sz w:val="22"/>
        </w:rPr>
        <w:t> </w:t>
      </w:r>
      <w:r>
        <w:rPr>
          <w:color w:val="4D4D4F"/>
          <w:w w:val="115"/>
          <w:sz w:val="22"/>
        </w:rPr>
        <w:t>quality?</w:t>
      </w:r>
    </w:p>
    <w:p>
      <w:pPr>
        <w:pStyle w:val="ListParagraph"/>
        <w:numPr>
          <w:ilvl w:val="0"/>
          <w:numId w:val="29"/>
        </w:numPr>
        <w:tabs>
          <w:tab w:pos="410" w:val="left" w:leader="none"/>
        </w:tabs>
        <w:spacing w:line="208" w:lineRule="auto" w:before="22" w:after="0"/>
        <w:ind w:left="409" w:right="382" w:hanging="270"/>
        <w:jc w:val="left"/>
        <w:rPr>
          <w:rFonts w:ascii="Arial" w:hAnsi="Arial"/>
          <w:color w:val="137692"/>
          <w:sz w:val="28"/>
        </w:rPr>
      </w:pPr>
      <w:r>
        <w:rPr>
          <w:color w:val="4D4D4F"/>
          <w:spacing w:val="-3"/>
          <w:w w:val="110"/>
          <w:sz w:val="22"/>
        </w:rPr>
        <w:t>Was </w:t>
      </w:r>
      <w:r>
        <w:rPr>
          <w:color w:val="4D4D4F"/>
          <w:w w:val="110"/>
          <w:sz w:val="22"/>
        </w:rPr>
        <w:t>their use mostly of low-potency</w:t>
      </w:r>
      <w:r>
        <w:rPr>
          <w:color w:val="4D4D4F"/>
          <w:spacing w:val="-46"/>
          <w:w w:val="110"/>
          <w:sz w:val="22"/>
        </w:rPr>
        <w:t> </w:t>
      </w:r>
      <w:r>
        <w:rPr>
          <w:color w:val="4D4D4F"/>
          <w:spacing w:val="-3"/>
          <w:w w:val="110"/>
          <w:sz w:val="22"/>
        </w:rPr>
        <w:t>opioids </w:t>
      </w:r>
      <w:r>
        <w:rPr>
          <w:color w:val="4D4D4F"/>
          <w:w w:val="110"/>
          <w:sz w:val="22"/>
        </w:rPr>
        <w:t>(e.g.,</w:t>
      </w:r>
      <w:r>
        <w:rPr>
          <w:color w:val="4D4D4F"/>
          <w:spacing w:val="-5"/>
          <w:w w:val="110"/>
          <w:sz w:val="22"/>
        </w:rPr>
        <w:t> </w:t>
      </w:r>
      <w:r>
        <w:rPr>
          <w:color w:val="4D4D4F"/>
          <w:w w:val="110"/>
          <w:sz w:val="22"/>
        </w:rPr>
        <w:t>codeine)?</w:t>
      </w:r>
    </w:p>
    <w:p>
      <w:pPr>
        <w:pStyle w:val="Heading7"/>
        <w:spacing w:line="235" w:lineRule="auto" w:before="194"/>
        <w:ind w:left="139" w:right="545"/>
        <w:jc w:val="both"/>
      </w:pPr>
      <w:r>
        <w:rPr>
          <w:color w:val="4D4D4F"/>
          <w:w w:val="115"/>
        </w:rPr>
        <w:t>Consider whether a dose decrease, </w:t>
      </w:r>
      <w:r>
        <w:rPr>
          <w:color w:val="4D4D4F"/>
          <w:spacing w:val="-3"/>
          <w:w w:val="115"/>
        </w:rPr>
        <w:t>change </w:t>
      </w:r>
      <w:r>
        <w:rPr>
          <w:color w:val="4D4D4F"/>
          <w:w w:val="115"/>
        </w:rPr>
        <w:t>in treatment plan, or both are </w:t>
      </w:r>
      <w:r>
        <w:rPr>
          <w:color w:val="4D4D4F"/>
          <w:spacing w:val="-3"/>
          <w:w w:val="115"/>
        </w:rPr>
        <w:t>necessary. </w:t>
      </w:r>
      <w:r>
        <w:rPr>
          <w:color w:val="4D4D4F"/>
          <w:w w:val="115"/>
        </w:rPr>
        <w:t>If induction is still indicated, adjust the dose</w:t>
      </w:r>
    </w:p>
    <w:p>
      <w:pPr>
        <w:spacing w:after="0" w:line="235" w:lineRule="auto"/>
        <w:jc w:val="both"/>
        <w:sectPr>
          <w:type w:val="continuous"/>
          <w:pgSz w:w="12240" w:h="15840"/>
          <w:pgMar w:top="540" w:bottom="280" w:left="940" w:right="920"/>
          <w:cols w:num="2" w:equalWidth="0">
            <w:col w:w="5031" w:space="189"/>
            <w:col w:w="5160"/>
          </w:cols>
        </w:sectPr>
      </w:pPr>
    </w:p>
    <w:p>
      <w:pPr>
        <w:pStyle w:val="BodyText"/>
        <w:spacing w:before="7"/>
        <w:rPr>
          <w:rFonts w:ascii="Calibri"/>
          <w:b/>
          <w:sz w:val="25"/>
        </w:rPr>
      </w:pPr>
    </w:p>
    <w:p>
      <w:pPr>
        <w:spacing w:after="0"/>
        <w:rPr>
          <w:rFonts w:ascii="Calibri"/>
          <w:sz w:val="25"/>
        </w:rPr>
        <w:sectPr>
          <w:pgSz w:w="12240" w:h="15840"/>
          <w:pgMar w:header="576" w:footer="677" w:top="1340" w:bottom="860" w:left="940" w:right="920"/>
        </w:sectPr>
      </w:pPr>
    </w:p>
    <w:p>
      <w:pPr>
        <w:spacing w:line="244" w:lineRule="auto" w:before="100"/>
        <w:ind w:left="140" w:right="48" w:firstLine="0"/>
        <w:jc w:val="left"/>
        <w:rPr>
          <w:sz w:val="22"/>
        </w:rPr>
      </w:pPr>
      <w:r>
        <w:rPr>
          <w:rFonts w:ascii="Calibri"/>
          <w:b/>
          <w:color w:val="4D4D4F"/>
          <w:w w:val="110"/>
          <w:sz w:val="22"/>
        </w:rPr>
        <w:t>more slowly as needed to minimize sedation. </w:t>
      </w:r>
      <w:r>
        <w:rPr>
          <w:color w:val="4D4D4F"/>
          <w:w w:val="110"/>
          <w:sz w:val="22"/>
        </w:rPr>
        <w:t>The dose can be adjusted on subsequent days to address continued withdrawal or uncontrollable craving if the patient is not sedated.</w:t>
      </w:r>
    </w:p>
    <w:p>
      <w:pPr>
        <w:spacing w:line="254" w:lineRule="auto" w:before="221"/>
        <w:ind w:left="140" w:right="141" w:firstLine="0"/>
        <w:jc w:val="left"/>
        <w:rPr>
          <w:sz w:val="22"/>
        </w:rPr>
      </w:pPr>
      <w:r>
        <w:rPr>
          <w:b/>
          <w:i/>
          <w:color w:val="137692"/>
          <w:spacing w:val="-3"/>
          <w:w w:val="110"/>
          <w:sz w:val="24"/>
        </w:rPr>
        <w:t>Patients</w:t>
      </w:r>
      <w:r>
        <w:rPr>
          <w:b/>
          <w:i/>
          <w:color w:val="137692"/>
          <w:spacing w:val="-41"/>
          <w:w w:val="110"/>
          <w:sz w:val="24"/>
        </w:rPr>
        <w:t> </w:t>
      </w:r>
      <w:r>
        <w:rPr>
          <w:b/>
          <w:i/>
          <w:color w:val="137692"/>
          <w:w w:val="110"/>
          <w:sz w:val="24"/>
        </w:rPr>
        <w:t>with</w:t>
      </w:r>
      <w:r>
        <w:rPr>
          <w:b/>
          <w:i/>
          <w:color w:val="137692"/>
          <w:spacing w:val="-40"/>
          <w:w w:val="110"/>
          <w:sz w:val="24"/>
        </w:rPr>
        <w:t> </w:t>
      </w:r>
      <w:r>
        <w:rPr>
          <w:b/>
          <w:i/>
          <w:color w:val="137692"/>
          <w:w w:val="110"/>
          <w:sz w:val="24"/>
        </w:rPr>
        <w:t>a</w:t>
      </w:r>
      <w:r>
        <w:rPr>
          <w:b/>
          <w:i/>
          <w:color w:val="137692"/>
          <w:spacing w:val="-40"/>
          <w:w w:val="110"/>
          <w:sz w:val="24"/>
        </w:rPr>
        <w:t> </w:t>
      </w:r>
      <w:r>
        <w:rPr>
          <w:b/>
          <w:i/>
          <w:color w:val="137692"/>
          <w:w w:val="110"/>
          <w:sz w:val="24"/>
        </w:rPr>
        <w:t>history</w:t>
      </w:r>
      <w:r>
        <w:rPr>
          <w:b/>
          <w:i/>
          <w:color w:val="137692"/>
          <w:spacing w:val="-40"/>
          <w:w w:val="110"/>
          <w:sz w:val="24"/>
        </w:rPr>
        <w:t> </w:t>
      </w:r>
      <w:r>
        <w:rPr>
          <w:b/>
          <w:i/>
          <w:color w:val="137692"/>
          <w:spacing w:val="-3"/>
          <w:w w:val="110"/>
          <w:sz w:val="24"/>
        </w:rPr>
        <w:t>of</w:t>
      </w:r>
      <w:r>
        <w:rPr>
          <w:b/>
          <w:i/>
          <w:color w:val="137692"/>
          <w:spacing w:val="-40"/>
          <w:w w:val="110"/>
          <w:sz w:val="24"/>
        </w:rPr>
        <w:t> </w:t>
      </w:r>
      <w:r>
        <w:rPr>
          <w:b/>
          <w:i/>
          <w:color w:val="137692"/>
          <w:w w:val="110"/>
          <w:sz w:val="24"/>
        </w:rPr>
        <w:t>OUD</w:t>
      </w:r>
      <w:r>
        <w:rPr>
          <w:b/>
          <w:i/>
          <w:color w:val="137692"/>
          <w:spacing w:val="-40"/>
          <w:w w:val="110"/>
          <w:sz w:val="24"/>
        </w:rPr>
        <w:t> </w:t>
      </w:r>
      <w:r>
        <w:rPr>
          <w:b/>
          <w:i/>
          <w:color w:val="137692"/>
          <w:w w:val="110"/>
          <w:sz w:val="24"/>
        </w:rPr>
        <w:t>who</w:t>
      </w:r>
      <w:r>
        <w:rPr>
          <w:b/>
          <w:i/>
          <w:color w:val="137692"/>
          <w:spacing w:val="-40"/>
          <w:w w:val="110"/>
          <w:sz w:val="24"/>
        </w:rPr>
        <w:t> </w:t>
      </w:r>
      <w:r>
        <w:rPr>
          <w:b/>
          <w:i/>
          <w:color w:val="137692"/>
          <w:w w:val="110"/>
          <w:sz w:val="24"/>
        </w:rPr>
        <w:t>are</w:t>
      </w:r>
      <w:r>
        <w:rPr>
          <w:b/>
          <w:i/>
          <w:color w:val="137692"/>
          <w:spacing w:val="-40"/>
          <w:w w:val="110"/>
          <w:sz w:val="24"/>
        </w:rPr>
        <w:t> </w:t>
      </w:r>
      <w:r>
        <w:rPr>
          <w:b/>
          <w:i/>
          <w:color w:val="137692"/>
          <w:spacing w:val="-3"/>
          <w:w w:val="110"/>
          <w:sz w:val="24"/>
        </w:rPr>
        <w:t>not </w:t>
      </w:r>
      <w:r>
        <w:rPr>
          <w:b/>
          <w:i/>
          <w:color w:val="137692"/>
          <w:w w:val="110"/>
          <w:sz w:val="24"/>
        </w:rPr>
        <w:t>currently</w:t>
      </w:r>
      <w:r>
        <w:rPr>
          <w:b/>
          <w:i/>
          <w:color w:val="137692"/>
          <w:spacing w:val="-45"/>
          <w:w w:val="110"/>
          <w:sz w:val="24"/>
        </w:rPr>
        <w:t> </w:t>
      </w:r>
      <w:r>
        <w:rPr>
          <w:b/>
          <w:i/>
          <w:color w:val="137692"/>
          <w:w w:val="110"/>
          <w:sz w:val="24"/>
        </w:rPr>
        <w:t>physically</w:t>
      </w:r>
      <w:r>
        <w:rPr>
          <w:b/>
          <w:i/>
          <w:color w:val="137692"/>
          <w:spacing w:val="-44"/>
          <w:w w:val="110"/>
          <w:sz w:val="24"/>
        </w:rPr>
        <w:t> </w:t>
      </w:r>
      <w:r>
        <w:rPr>
          <w:b/>
          <w:i/>
          <w:color w:val="137692"/>
          <w:w w:val="110"/>
          <w:sz w:val="24"/>
        </w:rPr>
        <w:t>dependent</w:t>
      </w:r>
      <w:r>
        <w:rPr>
          <w:b/>
          <w:i/>
          <w:color w:val="137692"/>
          <w:spacing w:val="-44"/>
          <w:w w:val="110"/>
          <w:sz w:val="24"/>
        </w:rPr>
        <w:t> </w:t>
      </w:r>
      <w:r>
        <w:rPr>
          <w:b/>
          <w:i/>
          <w:color w:val="137692"/>
          <w:w w:val="110"/>
          <w:sz w:val="24"/>
        </w:rPr>
        <w:t>on</w:t>
      </w:r>
      <w:r>
        <w:rPr>
          <w:b/>
          <w:i/>
          <w:color w:val="137692"/>
          <w:spacing w:val="-45"/>
          <w:w w:val="110"/>
          <w:sz w:val="24"/>
        </w:rPr>
        <w:t> </w:t>
      </w:r>
      <w:r>
        <w:rPr>
          <w:b/>
          <w:i/>
          <w:color w:val="137692"/>
          <w:w w:val="110"/>
          <w:sz w:val="24"/>
        </w:rPr>
        <w:t>opioids </w:t>
      </w:r>
      <w:r>
        <w:rPr>
          <w:rFonts w:ascii="Calibri"/>
          <w:b/>
          <w:color w:val="4D4D4F"/>
          <w:spacing w:val="-3"/>
          <w:w w:val="110"/>
          <w:sz w:val="22"/>
        </w:rPr>
        <w:t>Buprenorphine </w:t>
      </w:r>
      <w:r>
        <w:rPr>
          <w:rFonts w:ascii="Calibri"/>
          <w:b/>
          <w:color w:val="4D4D4F"/>
          <w:w w:val="110"/>
          <w:sz w:val="22"/>
        </w:rPr>
        <w:t>induction </w:t>
      </w:r>
      <w:r>
        <w:rPr>
          <w:color w:val="4D4D4F"/>
          <w:w w:val="110"/>
          <w:sz w:val="22"/>
        </w:rPr>
        <w:t>can be  appropriate for certain patients with a history of</w:t>
      </w:r>
      <w:r>
        <w:rPr>
          <w:color w:val="4D4D4F"/>
          <w:spacing w:val="-39"/>
          <w:w w:val="110"/>
          <w:sz w:val="22"/>
        </w:rPr>
        <w:t> </w:t>
      </w:r>
      <w:r>
        <w:rPr>
          <w:color w:val="4D4D4F"/>
          <w:w w:val="110"/>
          <w:sz w:val="22"/>
        </w:rPr>
        <w:t>opioid</w:t>
      </w:r>
    </w:p>
    <w:p>
      <w:pPr>
        <w:pStyle w:val="BodyText"/>
        <w:spacing w:line="247" w:lineRule="auto"/>
        <w:ind w:left="140" w:right="48"/>
      </w:pPr>
      <w:r>
        <w:rPr>
          <w:color w:val="4D4D4F"/>
          <w:w w:val="110"/>
        </w:rPr>
        <w:t>addiction at high risk for return to use of opioids but not currently dependent on them. This includes patients who’ve been incarcerated</w:t>
      </w:r>
    </w:p>
    <w:p>
      <w:pPr>
        <w:pStyle w:val="BodyText"/>
        <w:spacing w:line="247" w:lineRule="auto"/>
        <w:ind w:left="140" w:right="148" w:hanging="1"/>
      </w:pPr>
      <w:r>
        <w:rPr>
          <w:color w:val="4D4D4F"/>
          <w:w w:val="110"/>
        </w:rPr>
        <w:t>or in other controlled environments.</w:t>
      </w:r>
      <w:r>
        <w:rPr>
          <w:color w:val="4D4D4F"/>
          <w:w w:val="110"/>
          <w:position w:val="7"/>
          <w:sz w:val="13"/>
        </w:rPr>
        <w:t>331 </w:t>
      </w:r>
      <w:r>
        <w:rPr>
          <w:color w:val="4D4D4F"/>
          <w:w w:val="110"/>
        </w:rPr>
        <w:t>Before starting treatment, discuss risks and beneﬁts of buprenorphine and other medications (including extended-release naltrexone [XR-NXT]).</w:t>
      </w:r>
    </w:p>
    <w:p>
      <w:pPr>
        <w:pStyle w:val="BodyText"/>
        <w:spacing w:line="247" w:lineRule="auto" w:before="5"/>
        <w:ind w:left="140" w:right="223"/>
      </w:pPr>
      <w:r>
        <w:rPr>
          <w:color w:val="4D4D4F"/>
          <w:w w:val="110"/>
        </w:rPr>
        <w:t>Buprenorphine doses should begin at </w:t>
      </w:r>
      <w:r>
        <w:rPr>
          <w:color w:val="4D4D4F"/>
          <w:spacing w:val="-3"/>
          <w:w w:val="110"/>
        </w:rPr>
        <w:t>lower- </w:t>
      </w:r>
      <w:r>
        <w:rPr>
          <w:color w:val="4D4D4F"/>
          <w:w w:val="110"/>
        </w:rPr>
        <w:t>than-usual levels (e.g., 1 mg). They should be increased more slowly than in tolerant patients to avoid oversedation and possible overdose. </w:t>
      </w:r>
      <w:r>
        <w:rPr>
          <w:color w:val="4D4D4F"/>
          <w:spacing w:val="-9"/>
          <w:w w:val="110"/>
        </w:rPr>
        <w:t>Take </w:t>
      </w:r>
      <w:r>
        <w:rPr>
          <w:color w:val="4D4D4F"/>
          <w:spacing w:val="-3"/>
          <w:w w:val="110"/>
        </w:rPr>
        <w:t>particular </w:t>
      </w:r>
      <w:r>
        <w:rPr>
          <w:color w:val="4D4D4F"/>
          <w:spacing w:val="-4"/>
          <w:w w:val="110"/>
        </w:rPr>
        <w:t>care </w:t>
      </w:r>
      <w:r>
        <w:rPr>
          <w:color w:val="4D4D4F"/>
          <w:spacing w:val="-3"/>
          <w:w w:val="110"/>
        </w:rPr>
        <w:t>with patients </w:t>
      </w:r>
      <w:r>
        <w:rPr>
          <w:color w:val="4D4D4F"/>
          <w:w w:val="110"/>
        </w:rPr>
        <w:t>who </w:t>
      </w:r>
      <w:r>
        <w:rPr>
          <w:color w:val="4D4D4F"/>
          <w:spacing w:val="-4"/>
          <w:w w:val="110"/>
        </w:rPr>
        <w:t>are </w:t>
      </w:r>
      <w:r>
        <w:rPr>
          <w:color w:val="4D4D4F"/>
          <w:spacing w:val="-3"/>
          <w:w w:val="110"/>
        </w:rPr>
        <w:t>being </w:t>
      </w:r>
      <w:r>
        <w:rPr>
          <w:color w:val="4D4D4F"/>
          <w:w w:val="110"/>
        </w:rPr>
        <w:t>treated with other central nervous system depressant medications.</w:t>
      </w:r>
      <w:r>
        <w:rPr>
          <w:color w:val="4D4D4F"/>
          <w:w w:val="110"/>
          <w:position w:val="7"/>
          <w:sz w:val="13"/>
        </w:rPr>
        <w:t>332 </w:t>
      </w:r>
      <w:r>
        <w:rPr>
          <w:color w:val="4D4D4F"/>
          <w:w w:val="110"/>
        </w:rPr>
        <w:t>At the beginning</w:t>
      </w:r>
    </w:p>
    <w:p>
      <w:pPr>
        <w:pStyle w:val="BodyText"/>
        <w:spacing w:line="247" w:lineRule="auto" w:before="8"/>
        <w:ind w:left="140" w:right="237"/>
      </w:pPr>
      <w:r>
        <w:rPr>
          <w:color w:val="4D4D4F"/>
          <w:w w:val="110"/>
        </w:rPr>
        <w:t>of treatment, directly administer doses in an OTP or in the ofﬁce. This will allow patients to be observed for sedation after dosing and will reduce the risk that patients take more medication than prescribed.</w:t>
      </w:r>
    </w:p>
    <w:p>
      <w:pPr>
        <w:pStyle w:val="BodyText"/>
        <w:spacing w:line="247" w:lineRule="auto" w:before="186"/>
        <w:ind w:left="140" w:right="147"/>
      </w:pPr>
      <w:r>
        <w:rPr>
          <w:color w:val="4D4D4F"/>
          <w:w w:val="110"/>
        </w:rPr>
        <w:t>In one </w:t>
      </w:r>
      <w:r>
        <w:rPr>
          <w:color w:val="4D4D4F"/>
          <w:spacing w:val="-3"/>
          <w:w w:val="110"/>
        </w:rPr>
        <w:t>study, </w:t>
      </w:r>
      <w:r>
        <w:rPr>
          <w:color w:val="4D4D4F"/>
          <w:w w:val="110"/>
        </w:rPr>
        <w:t>research participants not currently physically dependent on opioids but with a history</w:t>
      </w:r>
      <w:r>
        <w:rPr>
          <w:color w:val="4D4D4F"/>
          <w:spacing w:val="-16"/>
          <w:w w:val="110"/>
        </w:rPr>
        <w:t> </w:t>
      </w:r>
      <w:r>
        <w:rPr>
          <w:color w:val="4D4D4F"/>
          <w:w w:val="110"/>
        </w:rPr>
        <w:t>of</w:t>
      </w:r>
      <w:r>
        <w:rPr>
          <w:color w:val="4D4D4F"/>
          <w:spacing w:val="-15"/>
          <w:w w:val="110"/>
        </w:rPr>
        <w:t> </w:t>
      </w:r>
      <w:r>
        <w:rPr>
          <w:color w:val="4D4D4F"/>
          <w:w w:val="110"/>
        </w:rPr>
        <w:t>OUD</w:t>
      </w:r>
      <w:r>
        <w:rPr>
          <w:color w:val="4D4D4F"/>
          <w:spacing w:val="-15"/>
          <w:w w:val="110"/>
        </w:rPr>
        <w:t> </w:t>
      </w:r>
      <w:r>
        <w:rPr>
          <w:color w:val="4D4D4F"/>
          <w:w w:val="110"/>
        </w:rPr>
        <w:t>were</w:t>
      </w:r>
      <w:r>
        <w:rPr>
          <w:color w:val="4D4D4F"/>
          <w:spacing w:val="-15"/>
          <w:w w:val="110"/>
        </w:rPr>
        <w:t> </w:t>
      </w:r>
      <w:r>
        <w:rPr>
          <w:color w:val="4D4D4F"/>
          <w:w w:val="110"/>
        </w:rPr>
        <w:t>started</w:t>
      </w:r>
      <w:r>
        <w:rPr>
          <w:color w:val="4D4D4F"/>
          <w:spacing w:val="-15"/>
          <w:w w:val="110"/>
        </w:rPr>
        <w:t> </w:t>
      </w:r>
      <w:r>
        <w:rPr>
          <w:color w:val="4D4D4F"/>
          <w:w w:val="110"/>
        </w:rPr>
        <w:t>on</w:t>
      </w:r>
      <w:r>
        <w:rPr>
          <w:color w:val="4D4D4F"/>
          <w:spacing w:val="-15"/>
          <w:w w:val="110"/>
        </w:rPr>
        <w:t> </w:t>
      </w:r>
      <w:r>
        <w:rPr>
          <w:color w:val="4D4D4F"/>
          <w:w w:val="110"/>
        </w:rPr>
        <w:t>1</w:t>
      </w:r>
      <w:r>
        <w:rPr>
          <w:color w:val="4D4D4F"/>
          <w:spacing w:val="-16"/>
          <w:w w:val="110"/>
        </w:rPr>
        <w:t> </w:t>
      </w:r>
      <w:r>
        <w:rPr>
          <w:color w:val="4D4D4F"/>
          <w:w w:val="110"/>
        </w:rPr>
        <w:t>mg</w:t>
      </w:r>
      <w:r>
        <w:rPr>
          <w:color w:val="4D4D4F"/>
          <w:spacing w:val="-15"/>
          <w:w w:val="110"/>
        </w:rPr>
        <w:t> </w:t>
      </w:r>
      <w:r>
        <w:rPr>
          <w:color w:val="4D4D4F"/>
          <w:w w:val="110"/>
        </w:rPr>
        <w:t>buprenor- phine with weekly 1 mg dose increases to 4 </w:t>
      </w:r>
      <w:r>
        <w:rPr>
          <w:color w:val="4D4D4F"/>
          <w:spacing w:val="-6"/>
          <w:w w:val="110"/>
        </w:rPr>
        <w:t>mg, </w:t>
      </w:r>
      <w:r>
        <w:rPr>
          <w:color w:val="4D4D4F"/>
          <w:w w:val="110"/>
        </w:rPr>
        <w:t>followed by 2 mg weekly increases to 8</w:t>
      </w:r>
      <w:r>
        <w:rPr>
          <w:color w:val="4D4D4F"/>
          <w:spacing w:val="-1"/>
          <w:w w:val="110"/>
        </w:rPr>
        <w:t> </w:t>
      </w:r>
      <w:r>
        <w:rPr>
          <w:color w:val="4D4D4F"/>
          <w:w w:val="110"/>
        </w:rPr>
        <w:t>mg.</w:t>
      </w:r>
    </w:p>
    <w:p>
      <w:pPr>
        <w:pStyle w:val="BodyText"/>
        <w:spacing w:line="247" w:lineRule="auto" w:before="6"/>
        <w:ind w:left="140" w:right="128"/>
      </w:pPr>
      <w:r>
        <w:rPr>
          <w:color w:val="4D4D4F"/>
          <w:w w:val="115"/>
        </w:rPr>
        <w:t>Most</w:t>
      </w:r>
      <w:r>
        <w:rPr>
          <w:color w:val="4D4D4F"/>
          <w:spacing w:val="-26"/>
          <w:w w:val="115"/>
        </w:rPr>
        <w:t> </w:t>
      </w:r>
      <w:r>
        <w:rPr>
          <w:color w:val="4D4D4F"/>
          <w:w w:val="115"/>
        </w:rPr>
        <w:t>patients</w:t>
      </w:r>
      <w:r>
        <w:rPr>
          <w:color w:val="4D4D4F"/>
          <w:spacing w:val="-25"/>
          <w:w w:val="115"/>
        </w:rPr>
        <w:t> </w:t>
      </w:r>
      <w:r>
        <w:rPr>
          <w:color w:val="4D4D4F"/>
          <w:w w:val="115"/>
        </w:rPr>
        <w:t>tolerated</w:t>
      </w:r>
      <w:r>
        <w:rPr>
          <w:color w:val="4D4D4F"/>
          <w:spacing w:val="-26"/>
          <w:w w:val="115"/>
        </w:rPr>
        <w:t> </w:t>
      </w:r>
      <w:r>
        <w:rPr>
          <w:color w:val="4D4D4F"/>
          <w:w w:val="115"/>
        </w:rPr>
        <w:t>this</w:t>
      </w:r>
      <w:r>
        <w:rPr>
          <w:color w:val="4D4D4F"/>
          <w:spacing w:val="-25"/>
          <w:w w:val="115"/>
        </w:rPr>
        <w:t> </w:t>
      </w:r>
      <w:r>
        <w:rPr>
          <w:color w:val="4D4D4F"/>
          <w:w w:val="115"/>
        </w:rPr>
        <w:t>dose</w:t>
      </w:r>
      <w:r>
        <w:rPr>
          <w:color w:val="4D4D4F"/>
          <w:spacing w:val="-25"/>
          <w:w w:val="115"/>
        </w:rPr>
        <w:t> </w:t>
      </w:r>
      <w:r>
        <w:rPr>
          <w:color w:val="4D4D4F"/>
          <w:w w:val="115"/>
        </w:rPr>
        <w:t>induction,</w:t>
      </w:r>
      <w:r>
        <w:rPr>
          <w:color w:val="4D4D4F"/>
          <w:spacing w:val="-26"/>
          <w:w w:val="115"/>
        </w:rPr>
        <w:t> </w:t>
      </w:r>
      <w:r>
        <w:rPr>
          <w:color w:val="4D4D4F"/>
          <w:spacing w:val="-6"/>
          <w:w w:val="115"/>
        </w:rPr>
        <w:t>and </w:t>
      </w:r>
      <w:r>
        <w:rPr>
          <w:color w:val="4D4D4F"/>
          <w:w w:val="115"/>
        </w:rPr>
        <w:t>the</w:t>
      </w:r>
      <w:r>
        <w:rPr>
          <w:color w:val="4D4D4F"/>
          <w:spacing w:val="-11"/>
          <w:w w:val="115"/>
        </w:rPr>
        <w:t> </w:t>
      </w:r>
      <w:r>
        <w:rPr>
          <w:color w:val="4D4D4F"/>
          <w:w w:val="115"/>
        </w:rPr>
        <w:t>mean</w:t>
      </w:r>
      <w:r>
        <w:rPr>
          <w:color w:val="4D4D4F"/>
          <w:spacing w:val="-10"/>
          <w:w w:val="115"/>
        </w:rPr>
        <w:t> </w:t>
      </w:r>
      <w:r>
        <w:rPr>
          <w:color w:val="4D4D4F"/>
          <w:w w:val="115"/>
        </w:rPr>
        <w:t>daily</w:t>
      </w:r>
      <w:r>
        <w:rPr>
          <w:color w:val="4D4D4F"/>
          <w:spacing w:val="-11"/>
          <w:w w:val="115"/>
        </w:rPr>
        <w:t> </w:t>
      </w:r>
      <w:r>
        <w:rPr>
          <w:color w:val="4D4D4F"/>
          <w:w w:val="115"/>
        </w:rPr>
        <w:t>dose</w:t>
      </w:r>
      <w:r>
        <w:rPr>
          <w:color w:val="4D4D4F"/>
          <w:spacing w:val="-10"/>
          <w:w w:val="115"/>
        </w:rPr>
        <w:t> </w:t>
      </w:r>
      <w:r>
        <w:rPr>
          <w:color w:val="4D4D4F"/>
          <w:w w:val="115"/>
        </w:rPr>
        <w:t>exceeded</w:t>
      </w:r>
      <w:r>
        <w:rPr>
          <w:color w:val="4D4D4F"/>
          <w:spacing w:val="-10"/>
          <w:w w:val="115"/>
        </w:rPr>
        <w:t> </w:t>
      </w:r>
      <w:r>
        <w:rPr>
          <w:color w:val="4D4D4F"/>
          <w:w w:val="115"/>
        </w:rPr>
        <w:t>8</w:t>
      </w:r>
      <w:r>
        <w:rPr>
          <w:color w:val="4D4D4F"/>
          <w:spacing w:val="-11"/>
          <w:w w:val="115"/>
        </w:rPr>
        <w:t> </w:t>
      </w:r>
      <w:r>
        <w:rPr>
          <w:color w:val="4D4D4F"/>
          <w:w w:val="115"/>
        </w:rPr>
        <w:t>mg</w:t>
      </w:r>
      <w:r>
        <w:rPr>
          <w:color w:val="4D4D4F"/>
          <w:spacing w:val="-10"/>
          <w:w w:val="115"/>
        </w:rPr>
        <w:t> </w:t>
      </w:r>
      <w:r>
        <w:rPr>
          <w:color w:val="4D4D4F"/>
          <w:w w:val="115"/>
        </w:rPr>
        <w:t>per</w:t>
      </w:r>
      <w:r>
        <w:rPr>
          <w:color w:val="4D4D4F"/>
          <w:spacing w:val="-11"/>
          <w:w w:val="115"/>
        </w:rPr>
        <w:t> </w:t>
      </w:r>
      <w:r>
        <w:rPr>
          <w:color w:val="4D4D4F"/>
          <w:w w:val="115"/>
        </w:rPr>
        <w:t>day</w:t>
      </w:r>
    </w:p>
    <w:p>
      <w:pPr>
        <w:pStyle w:val="BodyText"/>
        <w:spacing w:line="247" w:lineRule="auto" w:before="3"/>
        <w:ind w:left="140" w:right="358"/>
      </w:pPr>
      <w:r>
        <w:rPr>
          <w:color w:val="4D4D4F"/>
          <w:w w:val="115"/>
        </w:rPr>
        <w:t>by</w:t>
      </w:r>
      <w:r>
        <w:rPr>
          <w:color w:val="4D4D4F"/>
          <w:spacing w:val="-21"/>
          <w:w w:val="115"/>
        </w:rPr>
        <w:t> </w:t>
      </w:r>
      <w:r>
        <w:rPr>
          <w:color w:val="4D4D4F"/>
          <w:w w:val="115"/>
        </w:rPr>
        <w:t>the</w:t>
      </w:r>
      <w:r>
        <w:rPr>
          <w:color w:val="4D4D4F"/>
          <w:spacing w:val="-20"/>
          <w:w w:val="115"/>
        </w:rPr>
        <w:t> </w:t>
      </w:r>
      <w:r>
        <w:rPr>
          <w:color w:val="4D4D4F"/>
          <w:w w:val="115"/>
        </w:rPr>
        <w:t>ﬁfth</w:t>
      </w:r>
      <w:r>
        <w:rPr>
          <w:color w:val="4D4D4F"/>
          <w:spacing w:val="-21"/>
          <w:w w:val="115"/>
        </w:rPr>
        <w:t> </w:t>
      </w:r>
      <w:r>
        <w:rPr>
          <w:color w:val="4D4D4F"/>
          <w:w w:val="115"/>
        </w:rPr>
        <w:t>week,</w:t>
      </w:r>
      <w:r>
        <w:rPr>
          <w:color w:val="4D4D4F"/>
          <w:spacing w:val="-20"/>
          <w:w w:val="115"/>
        </w:rPr>
        <w:t> </w:t>
      </w:r>
      <w:r>
        <w:rPr>
          <w:color w:val="4D4D4F"/>
          <w:w w:val="115"/>
        </w:rPr>
        <w:t>when</w:t>
      </w:r>
      <w:r>
        <w:rPr>
          <w:color w:val="4D4D4F"/>
          <w:spacing w:val="-21"/>
          <w:w w:val="115"/>
        </w:rPr>
        <w:t> </w:t>
      </w:r>
      <w:r>
        <w:rPr>
          <w:color w:val="4D4D4F"/>
          <w:w w:val="115"/>
        </w:rPr>
        <w:t>the</w:t>
      </w:r>
      <w:r>
        <w:rPr>
          <w:color w:val="4D4D4F"/>
          <w:spacing w:val="-20"/>
          <w:w w:val="115"/>
        </w:rPr>
        <w:t> </w:t>
      </w:r>
      <w:r>
        <w:rPr>
          <w:color w:val="4D4D4F"/>
          <w:w w:val="115"/>
        </w:rPr>
        <w:t>planned</w:t>
      </w:r>
      <w:r>
        <w:rPr>
          <w:color w:val="4D4D4F"/>
          <w:spacing w:val="-21"/>
          <w:w w:val="115"/>
        </w:rPr>
        <w:t> </w:t>
      </w:r>
      <w:r>
        <w:rPr>
          <w:color w:val="4D4D4F"/>
          <w:w w:val="115"/>
        </w:rPr>
        <w:t>dose</w:t>
      </w:r>
      <w:r>
        <w:rPr>
          <w:color w:val="4D4D4F"/>
          <w:spacing w:val="-20"/>
          <w:w w:val="115"/>
        </w:rPr>
        <w:t> </w:t>
      </w:r>
      <w:r>
        <w:rPr>
          <w:color w:val="4D4D4F"/>
          <w:spacing w:val="-5"/>
          <w:w w:val="115"/>
        </w:rPr>
        <w:t>was </w:t>
      </w:r>
      <w:r>
        <w:rPr>
          <w:color w:val="4D4D4F"/>
          <w:w w:val="115"/>
        </w:rPr>
        <w:t>6</w:t>
      </w:r>
      <w:r>
        <w:rPr>
          <w:color w:val="4D4D4F"/>
          <w:spacing w:val="-20"/>
          <w:w w:val="115"/>
        </w:rPr>
        <w:t> </w:t>
      </w:r>
      <w:r>
        <w:rPr>
          <w:color w:val="4D4D4F"/>
          <w:w w:val="115"/>
        </w:rPr>
        <w:t>mg.</w:t>
      </w:r>
      <w:r>
        <w:rPr>
          <w:color w:val="4D4D4F"/>
          <w:w w:val="115"/>
          <w:position w:val="7"/>
          <w:sz w:val="13"/>
        </w:rPr>
        <w:t>333</w:t>
      </w:r>
      <w:r>
        <w:rPr>
          <w:color w:val="4D4D4F"/>
          <w:spacing w:val="9"/>
          <w:w w:val="115"/>
          <w:position w:val="7"/>
          <w:sz w:val="13"/>
        </w:rPr>
        <w:t> </w:t>
      </w:r>
      <w:r>
        <w:rPr>
          <w:color w:val="4D4D4F"/>
          <w:w w:val="115"/>
        </w:rPr>
        <w:t>As</w:t>
      </w:r>
      <w:r>
        <w:rPr>
          <w:color w:val="4D4D4F"/>
          <w:spacing w:val="-20"/>
          <w:w w:val="115"/>
        </w:rPr>
        <w:t> </w:t>
      </w:r>
      <w:r>
        <w:rPr>
          <w:color w:val="4D4D4F"/>
          <w:w w:val="115"/>
        </w:rPr>
        <w:t>with</w:t>
      </w:r>
      <w:r>
        <w:rPr>
          <w:color w:val="4D4D4F"/>
          <w:spacing w:val="-19"/>
          <w:w w:val="115"/>
        </w:rPr>
        <w:t> </w:t>
      </w:r>
      <w:r>
        <w:rPr>
          <w:color w:val="4D4D4F"/>
          <w:w w:val="115"/>
        </w:rPr>
        <w:t>all</w:t>
      </w:r>
      <w:r>
        <w:rPr>
          <w:color w:val="4D4D4F"/>
          <w:spacing w:val="-20"/>
          <w:w w:val="115"/>
        </w:rPr>
        <w:t> </w:t>
      </w:r>
      <w:r>
        <w:rPr>
          <w:color w:val="4D4D4F"/>
          <w:w w:val="115"/>
        </w:rPr>
        <w:t>opioid</w:t>
      </w:r>
      <w:r>
        <w:rPr>
          <w:color w:val="4D4D4F"/>
          <w:spacing w:val="-19"/>
          <w:w w:val="115"/>
        </w:rPr>
        <w:t> </w:t>
      </w:r>
      <w:r>
        <w:rPr>
          <w:color w:val="4D4D4F"/>
          <w:w w:val="115"/>
        </w:rPr>
        <w:t>agonist</w:t>
      </w:r>
      <w:r>
        <w:rPr>
          <w:color w:val="4D4D4F"/>
          <w:spacing w:val="-20"/>
          <w:w w:val="115"/>
        </w:rPr>
        <w:t> </w:t>
      </w:r>
      <w:r>
        <w:rPr>
          <w:color w:val="4D4D4F"/>
          <w:w w:val="115"/>
        </w:rPr>
        <w:t>treatment, dosing should be individualized and based</w:t>
      </w:r>
      <w:r>
        <w:rPr>
          <w:color w:val="4D4D4F"/>
          <w:spacing w:val="-51"/>
          <w:w w:val="115"/>
        </w:rPr>
        <w:t> </w:t>
      </w:r>
      <w:r>
        <w:rPr>
          <w:color w:val="4D4D4F"/>
          <w:spacing w:val="-9"/>
          <w:w w:val="115"/>
        </w:rPr>
        <w:t>on </w:t>
      </w:r>
      <w:r>
        <w:rPr>
          <w:color w:val="4D4D4F"/>
          <w:w w:val="115"/>
        </w:rPr>
        <w:t>careful</w:t>
      </w:r>
      <w:r>
        <w:rPr>
          <w:color w:val="4D4D4F"/>
          <w:spacing w:val="-27"/>
          <w:w w:val="115"/>
        </w:rPr>
        <w:t> </w:t>
      </w:r>
      <w:r>
        <w:rPr>
          <w:color w:val="4D4D4F"/>
          <w:w w:val="115"/>
        </w:rPr>
        <w:t>patient</w:t>
      </w:r>
      <w:r>
        <w:rPr>
          <w:color w:val="4D4D4F"/>
          <w:spacing w:val="-26"/>
          <w:w w:val="115"/>
        </w:rPr>
        <w:t> </w:t>
      </w:r>
      <w:r>
        <w:rPr>
          <w:color w:val="4D4D4F"/>
          <w:w w:val="115"/>
        </w:rPr>
        <w:t>assessment</w:t>
      </w:r>
      <w:r>
        <w:rPr>
          <w:color w:val="4D4D4F"/>
          <w:spacing w:val="-26"/>
          <w:w w:val="115"/>
        </w:rPr>
        <w:t> </w:t>
      </w:r>
      <w:r>
        <w:rPr>
          <w:color w:val="4D4D4F"/>
          <w:w w:val="115"/>
        </w:rPr>
        <w:t>during</w:t>
      </w:r>
      <w:r>
        <w:rPr>
          <w:color w:val="4D4D4F"/>
          <w:spacing w:val="-27"/>
          <w:w w:val="115"/>
        </w:rPr>
        <w:t> </w:t>
      </w:r>
      <w:r>
        <w:rPr>
          <w:color w:val="4D4D4F"/>
          <w:w w:val="115"/>
        </w:rPr>
        <w:t>treatment.</w:t>
      </w:r>
    </w:p>
    <w:p>
      <w:pPr>
        <w:pStyle w:val="Heading5"/>
        <w:spacing w:line="247" w:lineRule="auto" w:before="219"/>
        <w:ind w:right="1189"/>
      </w:pPr>
      <w:r>
        <w:rPr>
          <w:i/>
          <w:color w:val="137692"/>
          <w:w w:val="105"/>
        </w:rPr>
        <w:t>Patients who are currently taking </w:t>
      </w:r>
      <w:r>
        <w:rPr>
          <w:color w:val="137692"/>
          <w:w w:val="105"/>
        </w:rPr>
        <w:t>methadone</w:t>
      </w:r>
    </w:p>
    <w:p>
      <w:pPr>
        <w:pStyle w:val="BodyText"/>
        <w:spacing w:line="247" w:lineRule="auto" w:before="40"/>
        <w:ind w:left="140" w:right="48"/>
      </w:pPr>
      <w:r>
        <w:rPr>
          <w:color w:val="4D4D4F"/>
          <w:w w:val="110"/>
        </w:rPr>
        <w:t>Some patients who take methadone may wish to switch to buprenorphine treatment for a variety of reasons. This often requires methadone</w:t>
      </w:r>
    </w:p>
    <w:p>
      <w:pPr>
        <w:pStyle w:val="BodyText"/>
        <w:spacing w:line="247" w:lineRule="auto" w:before="105"/>
        <w:ind w:left="140" w:right="452"/>
      </w:pPr>
      <w:r>
        <w:rPr/>
        <w:br w:type="column"/>
      </w:r>
      <w:r>
        <w:rPr>
          <w:color w:val="4D4D4F"/>
          <w:w w:val="110"/>
        </w:rPr>
        <w:t>dose reduction before switching medications, which</w:t>
      </w:r>
      <w:r>
        <w:rPr>
          <w:color w:val="4D4D4F"/>
          <w:spacing w:val="-10"/>
          <w:w w:val="110"/>
        </w:rPr>
        <w:t> </w:t>
      </w:r>
      <w:r>
        <w:rPr>
          <w:color w:val="4D4D4F"/>
          <w:w w:val="110"/>
        </w:rPr>
        <w:t>may</w:t>
      </w:r>
      <w:r>
        <w:rPr>
          <w:color w:val="4D4D4F"/>
          <w:spacing w:val="-10"/>
          <w:w w:val="110"/>
        </w:rPr>
        <w:t> </w:t>
      </w:r>
      <w:r>
        <w:rPr>
          <w:color w:val="4D4D4F"/>
          <w:w w:val="110"/>
        </w:rPr>
        <w:t>increase</w:t>
      </w:r>
      <w:r>
        <w:rPr>
          <w:color w:val="4D4D4F"/>
          <w:spacing w:val="-9"/>
          <w:w w:val="110"/>
        </w:rPr>
        <w:t> </w:t>
      </w:r>
      <w:r>
        <w:rPr>
          <w:color w:val="4D4D4F"/>
          <w:w w:val="110"/>
        </w:rPr>
        <w:t>the</w:t>
      </w:r>
      <w:r>
        <w:rPr>
          <w:color w:val="4D4D4F"/>
          <w:spacing w:val="-10"/>
          <w:w w:val="110"/>
        </w:rPr>
        <w:t> </w:t>
      </w:r>
      <w:r>
        <w:rPr>
          <w:color w:val="4D4D4F"/>
          <w:w w:val="110"/>
        </w:rPr>
        <w:t>risk</w:t>
      </w:r>
      <w:r>
        <w:rPr>
          <w:color w:val="4D4D4F"/>
          <w:spacing w:val="-10"/>
          <w:w w:val="110"/>
        </w:rPr>
        <w:t> </w:t>
      </w:r>
      <w:r>
        <w:rPr>
          <w:color w:val="4D4D4F"/>
          <w:w w:val="110"/>
        </w:rPr>
        <w:t>of</w:t>
      </w:r>
      <w:r>
        <w:rPr>
          <w:color w:val="4D4D4F"/>
          <w:spacing w:val="-9"/>
          <w:w w:val="110"/>
        </w:rPr>
        <w:t> </w:t>
      </w:r>
      <w:r>
        <w:rPr>
          <w:color w:val="4D4D4F"/>
          <w:w w:val="110"/>
        </w:rPr>
        <w:t>return</w:t>
      </w:r>
      <w:r>
        <w:rPr>
          <w:color w:val="4D4D4F"/>
          <w:spacing w:val="-10"/>
          <w:w w:val="110"/>
        </w:rPr>
        <w:t> </w:t>
      </w:r>
      <w:r>
        <w:rPr>
          <w:color w:val="4D4D4F"/>
          <w:w w:val="110"/>
        </w:rPr>
        <w:t>to</w:t>
      </w:r>
      <w:r>
        <w:rPr>
          <w:color w:val="4D4D4F"/>
          <w:spacing w:val="-9"/>
          <w:w w:val="110"/>
        </w:rPr>
        <w:t> </w:t>
      </w:r>
      <w:r>
        <w:rPr>
          <w:color w:val="4D4D4F"/>
          <w:spacing w:val="-3"/>
          <w:w w:val="110"/>
        </w:rPr>
        <w:t>opioid </w:t>
      </w:r>
      <w:r>
        <w:rPr>
          <w:color w:val="4D4D4F"/>
          <w:w w:val="110"/>
        </w:rPr>
        <w:t>use. Exercise caution with this approach and thoroughly discuss the risks and beneﬁts with the patients before embarking on the change in medication. Experienced prescribers </w:t>
      </w:r>
      <w:r>
        <w:rPr>
          <w:color w:val="4D4D4F"/>
          <w:spacing w:val="-3"/>
          <w:w w:val="110"/>
        </w:rPr>
        <w:t>should </w:t>
      </w:r>
      <w:r>
        <w:rPr>
          <w:color w:val="4D4D4F"/>
          <w:w w:val="110"/>
        </w:rPr>
        <w:t>conduct this procedure in the ofﬁce, not</w:t>
      </w:r>
      <w:r>
        <w:rPr>
          <w:color w:val="4D4D4F"/>
          <w:spacing w:val="-29"/>
          <w:w w:val="110"/>
        </w:rPr>
        <w:t> </w:t>
      </w:r>
      <w:r>
        <w:rPr>
          <w:color w:val="4D4D4F"/>
          <w:w w:val="110"/>
        </w:rPr>
        <w:t>via</w:t>
      </w:r>
    </w:p>
    <w:p>
      <w:pPr>
        <w:pStyle w:val="BodyText"/>
        <w:spacing w:line="247" w:lineRule="auto" w:before="9"/>
        <w:ind w:left="140" w:right="233"/>
      </w:pPr>
      <w:r>
        <w:rPr>
          <w:color w:val="4D4D4F"/>
          <w:w w:val="110"/>
        </w:rPr>
        <w:t>home induction. The lower the methadone dose and the longer it’s been since the last dose, the easier the transition.</w:t>
      </w:r>
    </w:p>
    <w:p>
      <w:pPr>
        <w:spacing w:line="244" w:lineRule="auto" w:before="178"/>
        <w:ind w:left="140" w:right="260" w:firstLine="0"/>
        <w:jc w:val="left"/>
        <w:rPr>
          <w:sz w:val="22"/>
        </w:rPr>
      </w:pPr>
      <w:r>
        <w:rPr>
          <w:rFonts w:ascii="Calibri" w:hAnsi="Calibri"/>
          <w:b/>
          <w:color w:val="4D4D4F"/>
          <w:w w:val="110"/>
          <w:sz w:val="22"/>
        </w:rPr>
        <w:t>Before initiating buprenorphine, carefully taper methadone to lower the risk of return   to illicit opioid use during transition. </w:t>
      </w:r>
      <w:r>
        <w:rPr>
          <w:color w:val="4D4D4F"/>
          <w:w w:val="110"/>
          <w:sz w:val="22"/>
        </w:rPr>
        <w:t>Patients who take methadone for OUD should taper to 30 mg to 40 mg methadone per day and </w:t>
      </w:r>
      <w:r>
        <w:rPr>
          <w:color w:val="4D4D4F"/>
          <w:spacing w:val="-4"/>
          <w:w w:val="110"/>
          <w:sz w:val="22"/>
        </w:rPr>
        <w:t>remain </w:t>
      </w:r>
      <w:r>
        <w:rPr>
          <w:color w:val="4D4D4F"/>
          <w:w w:val="110"/>
          <w:sz w:val="22"/>
        </w:rPr>
        <w:t>on that dose for at least 1 week before starting buprenorphine.</w:t>
      </w:r>
      <w:r>
        <w:rPr>
          <w:color w:val="4D4D4F"/>
          <w:w w:val="110"/>
          <w:position w:val="7"/>
          <w:sz w:val="13"/>
        </w:rPr>
        <w:t>334 </w:t>
      </w:r>
      <w:r>
        <w:rPr>
          <w:color w:val="4D4D4F"/>
          <w:w w:val="110"/>
          <w:sz w:val="22"/>
        </w:rPr>
        <w:t>With patients’ permission, OTPs can conﬁrm the time and amount of patients’ last methadone</w:t>
      </w:r>
      <w:r>
        <w:rPr>
          <w:color w:val="4D4D4F"/>
          <w:spacing w:val="-9"/>
          <w:w w:val="110"/>
          <w:sz w:val="22"/>
        </w:rPr>
        <w:t> </w:t>
      </w:r>
      <w:r>
        <w:rPr>
          <w:color w:val="4D4D4F"/>
          <w:w w:val="110"/>
          <w:sz w:val="22"/>
        </w:rPr>
        <w:t>dose.</w:t>
      </w:r>
    </w:p>
    <w:p>
      <w:pPr>
        <w:spacing w:line="244" w:lineRule="auto" w:before="173"/>
        <w:ind w:left="140" w:right="236" w:firstLine="0"/>
        <w:jc w:val="left"/>
        <w:rPr>
          <w:sz w:val="22"/>
        </w:rPr>
      </w:pPr>
      <w:r>
        <w:rPr>
          <w:rFonts w:ascii="Calibri" w:hAnsi="Calibri"/>
          <w:b/>
          <w:color w:val="4D4D4F"/>
          <w:w w:val="110"/>
          <w:sz w:val="22"/>
        </w:rPr>
        <w:t>Do not start buprenorphine until the patient manifests signs of opioid withdrawal. </w:t>
      </w:r>
      <w:r>
        <w:rPr>
          <w:color w:val="4D4D4F"/>
          <w:w w:val="110"/>
          <w:sz w:val="22"/>
        </w:rPr>
        <w:t>At least 24 hours should pass between the last dose of methadone and the ﬁrst dose of buprenorphine. Waiting 36 hours or more reduces risk of pre- cipitated withdrawal. Lower doses of buprenor- phine/naloxone are less likely to precipitate methadone withdrawal.</w:t>
      </w:r>
      <w:r>
        <w:rPr>
          <w:color w:val="4D4D4F"/>
          <w:w w:val="110"/>
          <w:position w:val="7"/>
          <w:sz w:val="13"/>
        </w:rPr>
        <w:t>335 </w:t>
      </w:r>
      <w:r>
        <w:rPr>
          <w:color w:val="4D4D4F"/>
          <w:w w:val="110"/>
          <w:sz w:val="22"/>
        </w:rPr>
        <w:t>For example, once opioid withdrawal is veriﬁed, an initial dose of</w:t>
      </w:r>
    </w:p>
    <w:p>
      <w:pPr>
        <w:pStyle w:val="BodyText"/>
        <w:spacing w:line="247" w:lineRule="auto" w:before="12"/>
        <w:ind w:left="140" w:right="219"/>
      </w:pPr>
      <w:r>
        <w:rPr>
          <w:color w:val="4D4D4F"/>
          <w:w w:val="110"/>
        </w:rPr>
        <w:t>2 mg/0.5 mg can be given. If patients continue  to have unrelieved opioid withdrawal after the ﬁrst 2 mg dose, administer another 2 mg/0.5 </w:t>
      </w:r>
      <w:r>
        <w:rPr>
          <w:color w:val="4D4D4F"/>
          <w:spacing w:val="-8"/>
          <w:w w:val="110"/>
        </w:rPr>
        <w:t>mg </w:t>
      </w:r>
      <w:r>
        <w:rPr>
          <w:color w:val="4D4D4F"/>
          <w:w w:val="110"/>
        </w:rPr>
        <w:t>dose approximately every 2 hours as needed (holding for sedation). Induction should be conducted slowly; consider palliating unrelieved withdrawal</w:t>
      </w:r>
      <w:r>
        <w:rPr>
          <w:color w:val="4D4D4F"/>
          <w:spacing w:val="-9"/>
          <w:w w:val="110"/>
        </w:rPr>
        <w:t> </w:t>
      </w:r>
      <w:r>
        <w:rPr>
          <w:color w:val="4D4D4F"/>
          <w:w w:val="110"/>
        </w:rPr>
        <w:t>with</w:t>
      </w:r>
      <w:r>
        <w:rPr>
          <w:color w:val="4D4D4F"/>
          <w:spacing w:val="-9"/>
          <w:w w:val="110"/>
        </w:rPr>
        <w:t> </w:t>
      </w:r>
      <w:r>
        <w:rPr>
          <w:color w:val="4D4D4F"/>
          <w:w w:val="110"/>
        </w:rPr>
        <w:t>nonopioid</w:t>
      </w:r>
      <w:r>
        <w:rPr>
          <w:color w:val="4D4D4F"/>
          <w:spacing w:val="-9"/>
          <w:w w:val="110"/>
        </w:rPr>
        <w:t> </w:t>
      </w:r>
      <w:r>
        <w:rPr>
          <w:color w:val="4D4D4F"/>
          <w:w w:val="110"/>
        </w:rPr>
        <w:t>therapies</w:t>
      </w:r>
      <w:r>
        <w:rPr>
          <w:color w:val="4D4D4F"/>
          <w:spacing w:val="-9"/>
          <w:w w:val="110"/>
        </w:rPr>
        <w:t> </w:t>
      </w:r>
      <w:r>
        <w:rPr>
          <w:color w:val="4D4D4F"/>
          <w:w w:val="110"/>
        </w:rPr>
        <w:t>for</w:t>
      </w:r>
      <w:r>
        <w:rPr>
          <w:color w:val="4D4D4F"/>
          <w:spacing w:val="-9"/>
          <w:w w:val="110"/>
        </w:rPr>
        <w:t> </w:t>
      </w:r>
      <w:r>
        <w:rPr>
          <w:color w:val="4D4D4F"/>
          <w:w w:val="110"/>
        </w:rPr>
        <w:t>the</w:t>
      </w:r>
      <w:r>
        <w:rPr>
          <w:color w:val="4D4D4F"/>
          <w:spacing w:val="-9"/>
          <w:w w:val="110"/>
        </w:rPr>
        <w:t> </w:t>
      </w:r>
      <w:r>
        <w:rPr>
          <w:color w:val="4D4D4F"/>
          <w:w w:val="110"/>
        </w:rPr>
        <w:t>ﬁrst few days of transition to buprenorphine. Be </w:t>
      </w:r>
      <w:r>
        <w:rPr>
          <w:color w:val="4D4D4F"/>
          <w:spacing w:val="-4"/>
          <w:w w:val="110"/>
        </w:rPr>
        <w:t>alert </w:t>
      </w:r>
      <w:r>
        <w:rPr>
          <w:color w:val="4D4D4F"/>
          <w:w w:val="110"/>
        </w:rPr>
        <w:t>to any increase in withdrawal symptoms, as this may suggest precipitated</w:t>
      </w:r>
      <w:r>
        <w:rPr>
          <w:color w:val="4D4D4F"/>
          <w:spacing w:val="-3"/>
          <w:w w:val="110"/>
        </w:rPr>
        <w:t> </w:t>
      </w:r>
      <w:r>
        <w:rPr>
          <w:color w:val="4D4D4F"/>
          <w:w w:val="110"/>
        </w:rPr>
        <w:t>withdrawal.</w:t>
      </w:r>
    </w:p>
    <w:p>
      <w:pPr>
        <w:pStyle w:val="BodyText"/>
        <w:spacing w:before="8"/>
        <w:rPr>
          <w:sz w:val="23"/>
        </w:rPr>
      </w:pPr>
    </w:p>
    <w:p>
      <w:pPr>
        <w:pStyle w:val="Heading3"/>
      </w:pPr>
      <w:bookmarkStart w:name="_TOC_250042" w:id="73"/>
      <w:bookmarkEnd w:id="73"/>
      <w:r>
        <w:rPr>
          <w:color w:val="137692"/>
          <w:w w:val="110"/>
        </w:rPr>
        <w:t>Dose Stabilization</w:t>
      </w:r>
    </w:p>
    <w:p>
      <w:pPr>
        <w:pStyle w:val="BodyText"/>
        <w:spacing w:before="47"/>
        <w:ind w:left="140"/>
      </w:pPr>
      <w:r>
        <w:rPr>
          <w:color w:val="4D4D4F"/>
          <w:w w:val="110"/>
        </w:rPr>
        <w:t>Stabilization occurs when there is evidence of:</w:t>
      </w:r>
    </w:p>
    <w:p>
      <w:pPr>
        <w:pStyle w:val="ListParagraph"/>
        <w:numPr>
          <w:ilvl w:val="0"/>
          <w:numId w:val="29"/>
        </w:numPr>
        <w:tabs>
          <w:tab w:pos="411" w:val="left" w:leader="none"/>
        </w:tabs>
        <w:spacing w:line="208" w:lineRule="auto" w:before="135" w:after="0"/>
        <w:ind w:left="410" w:right="379" w:hanging="270"/>
        <w:jc w:val="left"/>
        <w:rPr>
          <w:rFonts w:ascii="Arial" w:hAnsi="Arial"/>
          <w:color w:val="137692"/>
          <w:sz w:val="28"/>
        </w:rPr>
      </w:pPr>
      <w:r>
        <w:rPr>
          <w:color w:val="4D4D4F"/>
          <w:w w:val="115"/>
          <w:sz w:val="22"/>
        </w:rPr>
        <w:t>Markedly</w:t>
      </w:r>
      <w:r>
        <w:rPr>
          <w:color w:val="4D4D4F"/>
          <w:spacing w:val="-33"/>
          <w:w w:val="115"/>
          <w:sz w:val="22"/>
        </w:rPr>
        <w:t> </w:t>
      </w:r>
      <w:r>
        <w:rPr>
          <w:color w:val="4D4D4F"/>
          <w:w w:val="115"/>
          <w:sz w:val="22"/>
        </w:rPr>
        <w:t>reduced</w:t>
      </w:r>
      <w:r>
        <w:rPr>
          <w:color w:val="4D4D4F"/>
          <w:spacing w:val="-33"/>
          <w:w w:val="115"/>
          <w:sz w:val="22"/>
        </w:rPr>
        <w:t> </w:t>
      </w:r>
      <w:r>
        <w:rPr>
          <w:color w:val="4D4D4F"/>
          <w:w w:val="115"/>
          <w:sz w:val="22"/>
        </w:rPr>
        <w:t>or</w:t>
      </w:r>
      <w:r>
        <w:rPr>
          <w:color w:val="4D4D4F"/>
          <w:spacing w:val="-33"/>
          <w:w w:val="115"/>
          <w:sz w:val="22"/>
        </w:rPr>
        <w:t> </w:t>
      </w:r>
      <w:r>
        <w:rPr>
          <w:color w:val="4D4D4F"/>
          <w:w w:val="115"/>
          <w:sz w:val="22"/>
        </w:rPr>
        <w:t>eliminated</w:t>
      </w:r>
      <w:r>
        <w:rPr>
          <w:color w:val="4D4D4F"/>
          <w:spacing w:val="-33"/>
          <w:w w:val="115"/>
          <w:sz w:val="22"/>
        </w:rPr>
        <w:t> </w:t>
      </w:r>
      <w:r>
        <w:rPr>
          <w:color w:val="4D4D4F"/>
          <w:w w:val="115"/>
          <w:sz w:val="22"/>
        </w:rPr>
        <w:t>illicit</w:t>
      </w:r>
      <w:r>
        <w:rPr>
          <w:color w:val="4D4D4F"/>
          <w:spacing w:val="-33"/>
          <w:w w:val="115"/>
          <w:sz w:val="22"/>
        </w:rPr>
        <w:t> </w:t>
      </w:r>
      <w:r>
        <w:rPr>
          <w:color w:val="4D4D4F"/>
          <w:spacing w:val="-3"/>
          <w:w w:val="115"/>
          <w:sz w:val="22"/>
        </w:rPr>
        <w:t>opioid </w:t>
      </w:r>
      <w:r>
        <w:rPr>
          <w:color w:val="4D4D4F"/>
          <w:w w:val="115"/>
          <w:sz w:val="22"/>
        </w:rPr>
        <w:t>use.</w:t>
      </w:r>
    </w:p>
    <w:p>
      <w:pPr>
        <w:pStyle w:val="ListParagraph"/>
        <w:numPr>
          <w:ilvl w:val="0"/>
          <w:numId w:val="29"/>
        </w:numPr>
        <w:tabs>
          <w:tab w:pos="411" w:val="left" w:leader="none"/>
        </w:tabs>
        <w:spacing w:line="240" w:lineRule="auto" w:before="40" w:after="0"/>
        <w:ind w:left="410" w:right="0" w:hanging="271"/>
        <w:jc w:val="left"/>
        <w:rPr>
          <w:rFonts w:ascii="Arial" w:hAnsi="Arial"/>
          <w:color w:val="137692"/>
          <w:sz w:val="28"/>
        </w:rPr>
      </w:pPr>
      <w:r>
        <w:rPr>
          <w:color w:val="4D4D4F"/>
          <w:w w:val="115"/>
          <w:sz w:val="22"/>
        </w:rPr>
        <w:t>Reduced</w:t>
      </w:r>
      <w:r>
        <w:rPr>
          <w:color w:val="4D4D4F"/>
          <w:spacing w:val="-10"/>
          <w:w w:val="115"/>
          <w:sz w:val="22"/>
        </w:rPr>
        <w:t> </w:t>
      </w:r>
      <w:r>
        <w:rPr>
          <w:color w:val="4D4D4F"/>
          <w:w w:val="115"/>
          <w:sz w:val="22"/>
        </w:rPr>
        <w:t>craving.</w:t>
      </w:r>
    </w:p>
    <w:p>
      <w:pPr>
        <w:spacing w:after="0" w:line="240" w:lineRule="auto"/>
        <w:jc w:val="left"/>
        <w:rPr>
          <w:rFonts w:ascii="Arial" w:hAnsi="Arial"/>
          <w:sz w:val="28"/>
        </w:rPr>
        <w:sectPr>
          <w:type w:val="continuous"/>
          <w:pgSz w:w="12240" w:h="15840"/>
          <w:pgMar w:top="540" w:bottom="280" w:left="940" w:right="920"/>
          <w:cols w:num="2" w:equalWidth="0">
            <w:col w:w="5028" w:space="192"/>
            <w:col w:w="5160"/>
          </w:cols>
        </w:sectPr>
      </w:pPr>
    </w:p>
    <w:p>
      <w:pPr>
        <w:pStyle w:val="BodyText"/>
        <w:spacing w:before="6"/>
        <w:rPr>
          <w:sz w:val="26"/>
        </w:rPr>
      </w:pPr>
    </w:p>
    <w:p>
      <w:pPr>
        <w:pStyle w:val="ListParagraph"/>
        <w:numPr>
          <w:ilvl w:val="0"/>
          <w:numId w:val="29"/>
        </w:numPr>
        <w:tabs>
          <w:tab w:pos="412" w:val="left" w:leader="none"/>
          <w:tab w:pos="5361" w:val="left" w:leader="none"/>
        </w:tabs>
        <w:spacing w:line="282" w:lineRule="exact" w:before="91" w:after="0"/>
        <w:ind w:left="411" w:right="0" w:hanging="271"/>
        <w:jc w:val="left"/>
        <w:rPr>
          <w:rFonts w:ascii="Arial" w:hAnsi="Arial"/>
          <w:color w:val="137692"/>
          <w:sz w:val="28"/>
        </w:rPr>
      </w:pPr>
      <w:r>
        <w:rPr>
          <w:color w:val="4D4D4F"/>
          <w:w w:val="110"/>
          <w:sz w:val="22"/>
        </w:rPr>
        <w:t>Suppression of</w:t>
      </w:r>
      <w:r>
        <w:rPr>
          <w:color w:val="4D4D4F"/>
          <w:spacing w:val="15"/>
          <w:w w:val="110"/>
          <w:sz w:val="22"/>
        </w:rPr>
        <w:t> </w:t>
      </w:r>
      <w:r>
        <w:rPr>
          <w:color w:val="4D4D4F"/>
          <w:w w:val="110"/>
          <w:sz w:val="22"/>
        </w:rPr>
        <w:t>opioid</w:t>
      </w:r>
      <w:r>
        <w:rPr>
          <w:color w:val="4D4D4F"/>
          <w:spacing w:val="8"/>
          <w:w w:val="110"/>
          <w:sz w:val="22"/>
        </w:rPr>
        <w:t> </w:t>
      </w:r>
      <w:r>
        <w:rPr>
          <w:color w:val="4D4D4F"/>
          <w:w w:val="110"/>
          <w:sz w:val="22"/>
        </w:rPr>
        <w:t>withdrawal.</w:t>
        <w:tab/>
        <w:t>Buprenorphine treatment should</w:t>
      </w:r>
      <w:r>
        <w:rPr>
          <w:color w:val="4D4D4F"/>
          <w:spacing w:val="-7"/>
          <w:w w:val="110"/>
          <w:sz w:val="22"/>
        </w:rPr>
        <w:t> </w:t>
      </w:r>
      <w:r>
        <w:rPr>
          <w:color w:val="4D4D4F"/>
          <w:w w:val="110"/>
          <w:sz w:val="22"/>
        </w:rPr>
        <w:t>substantially</w:t>
      </w:r>
    </w:p>
    <w:p>
      <w:pPr>
        <w:spacing w:after="0" w:line="282" w:lineRule="exact"/>
        <w:jc w:val="left"/>
        <w:rPr>
          <w:rFonts w:ascii="Arial" w:hAnsi="Arial"/>
          <w:sz w:val="28"/>
        </w:rPr>
        <w:sectPr>
          <w:pgSz w:w="12240" w:h="15840"/>
          <w:pgMar w:header="576" w:footer="677" w:top="1340" w:bottom="860" w:left="940" w:right="920"/>
        </w:sectPr>
      </w:pPr>
    </w:p>
    <w:p>
      <w:pPr>
        <w:pStyle w:val="ListParagraph"/>
        <w:numPr>
          <w:ilvl w:val="0"/>
          <w:numId w:val="29"/>
        </w:numPr>
        <w:tabs>
          <w:tab w:pos="412" w:val="left" w:leader="none"/>
        </w:tabs>
        <w:spacing w:line="315" w:lineRule="exact" w:before="25" w:after="0"/>
        <w:ind w:left="411" w:right="0" w:hanging="271"/>
        <w:jc w:val="left"/>
        <w:rPr>
          <w:rFonts w:ascii="Arial" w:hAnsi="Arial"/>
          <w:color w:val="137692"/>
          <w:sz w:val="28"/>
        </w:rPr>
      </w:pPr>
      <w:r>
        <w:rPr>
          <w:color w:val="4D4D4F"/>
          <w:w w:val="115"/>
          <w:sz w:val="22"/>
        </w:rPr>
        <w:t>Minimal side</w:t>
      </w:r>
      <w:r>
        <w:rPr>
          <w:color w:val="4D4D4F"/>
          <w:spacing w:val="-19"/>
          <w:w w:val="115"/>
          <w:sz w:val="22"/>
        </w:rPr>
        <w:t> </w:t>
      </w:r>
      <w:r>
        <w:rPr>
          <w:color w:val="4D4D4F"/>
          <w:w w:val="115"/>
          <w:sz w:val="22"/>
        </w:rPr>
        <w:t>effects.</w:t>
      </w:r>
    </w:p>
    <w:p>
      <w:pPr>
        <w:pStyle w:val="ListParagraph"/>
        <w:numPr>
          <w:ilvl w:val="0"/>
          <w:numId w:val="29"/>
        </w:numPr>
        <w:tabs>
          <w:tab w:pos="412" w:val="left" w:leader="none"/>
        </w:tabs>
        <w:spacing w:line="208" w:lineRule="auto" w:before="22" w:after="0"/>
        <w:ind w:left="411" w:right="38" w:hanging="270"/>
        <w:jc w:val="left"/>
        <w:rPr>
          <w:rFonts w:ascii="Arial" w:hAnsi="Arial"/>
          <w:color w:val="137692"/>
          <w:sz w:val="28"/>
        </w:rPr>
      </w:pPr>
      <w:r>
        <w:rPr>
          <w:color w:val="4D4D4F"/>
          <w:w w:val="110"/>
          <w:sz w:val="22"/>
        </w:rPr>
        <w:t>Patient-reported blunted or blocked </w:t>
      </w:r>
      <w:r>
        <w:rPr>
          <w:color w:val="4D4D4F"/>
          <w:spacing w:val="-3"/>
          <w:w w:val="110"/>
          <w:sz w:val="22"/>
        </w:rPr>
        <w:t>euphoria </w:t>
      </w:r>
      <w:r>
        <w:rPr>
          <w:color w:val="4D4D4F"/>
          <w:w w:val="110"/>
          <w:sz w:val="22"/>
        </w:rPr>
        <w:t>during illicit opioid</w:t>
      </w:r>
      <w:r>
        <w:rPr>
          <w:color w:val="4D4D4F"/>
          <w:spacing w:val="-15"/>
          <w:w w:val="110"/>
          <w:sz w:val="22"/>
        </w:rPr>
        <w:t> </w:t>
      </w:r>
      <w:r>
        <w:rPr>
          <w:color w:val="4D4D4F"/>
          <w:w w:val="110"/>
          <w:sz w:val="22"/>
        </w:rPr>
        <w:t>use.</w:t>
      </w:r>
    </w:p>
    <w:p>
      <w:pPr>
        <w:spacing w:line="242" w:lineRule="auto" w:before="190"/>
        <w:ind w:left="141" w:right="28" w:firstLine="0"/>
        <w:jc w:val="left"/>
        <w:rPr>
          <w:sz w:val="22"/>
        </w:rPr>
      </w:pPr>
      <w:r>
        <w:rPr>
          <w:rFonts w:ascii="Calibri"/>
          <w:b/>
          <w:color w:val="4D4D4F"/>
          <w:w w:val="115"/>
          <w:sz w:val="22"/>
        </w:rPr>
        <w:t>Remind patients to take their dose once daily rather</w:t>
      </w:r>
      <w:r>
        <w:rPr>
          <w:rFonts w:ascii="Calibri"/>
          <w:b/>
          <w:color w:val="4D4D4F"/>
          <w:spacing w:val="-26"/>
          <w:w w:val="115"/>
          <w:sz w:val="22"/>
        </w:rPr>
        <w:t> </w:t>
      </w:r>
      <w:r>
        <w:rPr>
          <w:rFonts w:ascii="Calibri"/>
          <w:b/>
          <w:color w:val="4D4D4F"/>
          <w:w w:val="115"/>
          <w:sz w:val="22"/>
        </w:rPr>
        <w:t>than</w:t>
      </w:r>
      <w:r>
        <w:rPr>
          <w:rFonts w:ascii="Calibri"/>
          <w:b/>
          <w:color w:val="4D4D4F"/>
          <w:spacing w:val="-25"/>
          <w:w w:val="115"/>
          <w:sz w:val="22"/>
        </w:rPr>
        <w:t> </w:t>
      </w:r>
      <w:r>
        <w:rPr>
          <w:rFonts w:ascii="Calibri"/>
          <w:b/>
          <w:color w:val="4D4D4F"/>
          <w:w w:val="115"/>
          <w:sz w:val="22"/>
        </w:rPr>
        <w:t>splitting</w:t>
      </w:r>
      <w:r>
        <w:rPr>
          <w:rFonts w:ascii="Calibri"/>
          <w:b/>
          <w:color w:val="4D4D4F"/>
          <w:spacing w:val="-25"/>
          <w:w w:val="115"/>
          <w:sz w:val="22"/>
        </w:rPr>
        <w:t> </w:t>
      </w:r>
      <w:r>
        <w:rPr>
          <w:rFonts w:ascii="Calibri"/>
          <w:b/>
          <w:color w:val="4D4D4F"/>
          <w:w w:val="115"/>
          <w:sz w:val="22"/>
        </w:rPr>
        <w:t>it.</w:t>
      </w:r>
      <w:r>
        <w:rPr>
          <w:rFonts w:ascii="Calibri"/>
          <w:b/>
          <w:color w:val="4D4D4F"/>
          <w:spacing w:val="-26"/>
          <w:w w:val="115"/>
          <w:sz w:val="22"/>
        </w:rPr>
        <w:t> </w:t>
      </w:r>
      <w:r>
        <w:rPr>
          <w:color w:val="4D4D4F"/>
          <w:w w:val="115"/>
          <w:sz w:val="22"/>
        </w:rPr>
        <w:t>Document</w:t>
      </w:r>
      <w:r>
        <w:rPr>
          <w:color w:val="4D4D4F"/>
          <w:spacing w:val="-38"/>
          <w:w w:val="115"/>
          <w:sz w:val="22"/>
        </w:rPr>
        <w:t> </w:t>
      </w:r>
      <w:r>
        <w:rPr>
          <w:color w:val="4D4D4F"/>
          <w:w w:val="115"/>
          <w:sz w:val="22"/>
        </w:rPr>
        <w:t>reduced</w:t>
      </w:r>
      <w:r>
        <w:rPr>
          <w:color w:val="4D4D4F"/>
          <w:spacing w:val="-38"/>
          <w:w w:val="115"/>
          <w:sz w:val="22"/>
        </w:rPr>
        <w:t> </w:t>
      </w:r>
      <w:r>
        <w:rPr>
          <w:color w:val="4D4D4F"/>
          <w:spacing w:val="-3"/>
          <w:w w:val="115"/>
          <w:sz w:val="22"/>
        </w:rPr>
        <w:t>illicit </w:t>
      </w:r>
      <w:r>
        <w:rPr>
          <w:color w:val="4D4D4F"/>
          <w:w w:val="115"/>
          <w:sz w:val="22"/>
        </w:rPr>
        <w:t>drug use via patient self-report and urine drug testing. Consecutive negative urine test results suggest a positive</w:t>
      </w:r>
      <w:r>
        <w:rPr>
          <w:color w:val="4D4D4F"/>
          <w:spacing w:val="-28"/>
          <w:w w:val="115"/>
          <w:sz w:val="22"/>
        </w:rPr>
        <w:t> </w:t>
      </w:r>
      <w:r>
        <w:rPr>
          <w:color w:val="4D4D4F"/>
          <w:w w:val="115"/>
          <w:sz w:val="22"/>
        </w:rPr>
        <w:t>prognosis.</w:t>
      </w:r>
    </w:p>
    <w:p>
      <w:pPr>
        <w:spacing w:line="237" w:lineRule="auto" w:before="186"/>
        <w:ind w:left="141" w:right="411" w:firstLine="0"/>
        <w:jc w:val="left"/>
        <w:rPr>
          <w:sz w:val="22"/>
        </w:rPr>
      </w:pPr>
      <w:r>
        <w:rPr>
          <w:rFonts w:ascii="Calibri"/>
          <w:b/>
          <w:color w:val="4D4D4F"/>
          <w:w w:val="110"/>
          <w:sz w:val="22"/>
        </w:rPr>
        <w:t>Continue monitoring dose effectiveness during early stabilization. </w:t>
      </w:r>
      <w:r>
        <w:rPr>
          <w:color w:val="4D4D4F"/>
          <w:w w:val="110"/>
          <w:sz w:val="22"/>
        </w:rPr>
        <w:t>Dose adjust- ments may still be necessary (Exhibit 3D.6).</w:t>
      </w:r>
    </w:p>
    <w:p>
      <w:pPr>
        <w:pStyle w:val="BodyText"/>
        <w:spacing w:line="247" w:lineRule="auto"/>
        <w:ind w:left="141" w:right="185"/>
        <w:jc w:val="both"/>
      </w:pPr>
      <w:r>
        <w:rPr/>
        <w:br w:type="column"/>
      </w:r>
      <w:r>
        <w:rPr>
          <w:color w:val="4D4D4F"/>
          <w:w w:val="115"/>
        </w:rPr>
        <w:t>reduce</w:t>
      </w:r>
      <w:r>
        <w:rPr>
          <w:color w:val="4D4D4F"/>
          <w:spacing w:val="-20"/>
          <w:w w:val="115"/>
        </w:rPr>
        <w:t> </w:t>
      </w:r>
      <w:r>
        <w:rPr>
          <w:color w:val="4D4D4F"/>
          <w:w w:val="115"/>
        </w:rPr>
        <w:t>opioid</w:t>
      </w:r>
      <w:r>
        <w:rPr>
          <w:color w:val="4D4D4F"/>
          <w:spacing w:val="-20"/>
          <w:w w:val="115"/>
        </w:rPr>
        <w:t> </w:t>
      </w:r>
      <w:r>
        <w:rPr>
          <w:color w:val="4D4D4F"/>
          <w:w w:val="115"/>
        </w:rPr>
        <w:t>cravings.</w:t>
      </w:r>
      <w:r>
        <w:rPr>
          <w:color w:val="4D4D4F"/>
          <w:spacing w:val="-20"/>
          <w:w w:val="115"/>
        </w:rPr>
        <w:t> </w:t>
      </w:r>
      <w:r>
        <w:rPr>
          <w:color w:val="4D4D4F"/>
          <w:w w:val="115"/>
        </w:rPr>
        <w:t>See</w:t>
      </w:r>
      <w:r>
        <w:rPr>
          <w:color w:val="4D4D4F"/>
          <w:spacing w:val="-19"/>
          <w:w w:val="115"/>
        </w:rPr>
        <w:t> </w:t>
      </w:r>
      <w:r>
        <w:rPr>
          <w:color w:val="4D4D4F"/>
          <w:w w:val="115"/>
        </w:rPr>
        <w:t>Chapter</w:t>
      </w:r>
      <w:r>
        <w:rPr>
          <w:color w:val="4D4D4F"/>
          <w:spacing w:val="-20"/>
          <w:w w:val="115"/>
        </w:rPr>
        <w:t> </w:t>
      </w:r>
      <w:r>
        <w:rPr>
          <w:color w:val="4D4D4F"/>
          <w:w w:val="115"/>
        </w:rPr>
        <w:t>3E:</w:t>
      </w:r>
      <w:r>
        <w:rPr>
          <w:color w:val="4D4D4F"/>
          <w:spacing w:val="-20"/>
          <w:w w:val="115"/>
        </w:rPr>
        <w:t> </w:t>
      </w:r>
      <w:r>
        <w:rPr>
          <w:color w:val="4D4D4F"/>
          <w:w w:val="115"/>
        </w:rPr>
        <w:t>Medical Management</w:t>
      </w:r>
      <w:r>
        <w:rPr>
          <w:color w:val="4D4D4F"/>
          <w:spacing w:val="-21"/>
          <w:w w:val="115"/>
        </w:rPr>
        <w:t> </w:t>
      </w:r>
      <w:r>
        <w:rPr>
          <w:color w:val="4D4D4F"/>
          <w:w w:val="115"/>
        </w:rPr>
        <w:t>Strategies</w:t>
      </w:r>
      <w:r>
        <w:rPr>
          <w:color w:val="4D4D4F"/>
          <w:spacing w:val="-21"/>
          <w:w w:val="115"/>
        </w:rPr>
        <w:t> </w:t>
      </w:r>
      <w:r>
        <w:rPr>
          <w:color w:val="4D4D4F"/>
          <w:w w:val="115"/>
        </w:rPr>
        <w:t>for</w:t>
      </w:r>
      <w:r>
        <w:rPr>
          <w:color w:val="4D4D4F"/>
          <w:spacing w:val="-20"/>
          <w:w w:val="115"/>
        </w:rPr>
        <w:t> </w:t>
      </w:r>
      <w:r>
        <w:rPr>
          <w:color w:val="4D4D4F"/>
          <w:w w:val="115"/>
        </w:rPr>
        <w:t>detailed</w:t>
      </w:r>
      <w:r>
        <w:rPr>
          <w:color w:val="4D4D4F"/>
          <w:spacing w:val="-21"/>
          <w:w w:val="115"/>
        </w:rPr>
        <w:t> </w:t>
      </w:r>
      <w:r>
        <w:rPr>
          <w:color w:val="4D4D4F"/>
          <w:w w:val="115"/>
        </w:rPr>
        <w:t>information on</w:t>
      </w:r>
      <w:r>
        <w:rPr>
          <w:color w:val="4D4D4F"/>
          <w:spacing w:val="-20"/>
          <w:w w:val="115"/>
        </w:rPr>
        <w:t> </w:t>
      </w:r>
      <w:r>
        <w:rPr>
          <w:color w:val="4D4D4F"/>
          <w:w w:val="115"/>
        </w:rPr>
        <w:t>the</w:t>
      </w:r>
      <w:r>
        <w:rPr>
          <w:color w:val="4D4D4F"/>
          <w:spacing w:val="-20"/>
          <w:w w:val="115"/>
        </w:rPr>
        <w:t> </w:t>
      </w:r>
      <w:r>
        <w:rPr>
          <w:color w:val="4D4D4F"/>
          <w:w w:val="115"/>
        </w:rPr>
        <w:t>management</w:t>
      </w:r>
      <w:r>
        <w:rPr>
          <w:color w:val="4D4D4F"/>
          <w:spacing w:val="-20"/>
          <w:w w:val="115"/>
        </w:rPr>
        <w:t> </w:t>
      </w:r>
      <w:r>
        <w:rPr>
          <w:color w:val="4D4D4F"/>
          <w:w w:val="115"/>
        </w:rPr>
        <w:t>of</w:t>
      </w:r>
      <w:r>
        <w:rPr>
          <w:color w:val="4D4D4F"/>
          <w:spacing w:val="-20"/>
          <w:w w:val="115"/>
        </w:rPr>
        <w:t> </w:t>
      </w:r>
      <w:r>
        <w:rPr>
          <w:color w:val="4D4D4F"/>
          <w:w w:val="115"/>
        </w:rPr>
        <w:t>patients</w:t>
      </w:r>
      <w:r>
        <w:rPr>
          <w:color w:val="4D4D4F"/>
          <w:spacing w:val="-19"/>
          <w:w w:val="115"/>
        </w:rPr>
        <w:t> </w:t>
      </w:r>
      <w:r>
        <w:rPr>
          <w:color w:val="4D4D4F"/>
          <w:w w:val="115"/>
        </w:rPr>
        <w:t>taking</w:t>
      </w:r>
      <w:r>
        <w:rPr>
          <w:color w:val="4D4D4F"/>
          <w:spacing w:val="-20"/>
          <w:w w:val="115"/>
        </w:rPr>
        <w:t> </w:t>
      </w:r>
      <w:r>
        <w:rPr>
          <w:color w:val="4D4D4F"/>
          <w:spacing w:val="-4"/>
          <w:w w:val="115"/>
        </w:rPr>
        <w:t>buprenor- </w:t>
      </w:r>
      <w:r>
        <w:rPr>
          <w:color w:val="4D4D4F"/>
          <w:w w:val="115"/>
        </w:rPr>
        <w:t>phine in ofﬁce-based treatment</w:t>
      </w:r>
      <w:r>
        <w:rPr>
          <w:color w:val="4D4D4F"/>
          <w:spacing w:val="-52"/>
          <w:w w:val="115"/>
        </w:rPr>
        <w:t> </w:t>
      </w:r>
      <w:r>
        <w:rPr>
          <w:color w:val="4D4D4F"/>
          <w:w w:val="115"/>
        </w:rPr>
        <w:t>settings.</w:t>
      </w:r>
    </w:p>
    <w:p>
      <w:pPr>
        <w:spacing w:line="242" w:lineRule="auto" w:before="180"/>
        <w:ind w:left="141" w:right="253" w:firstLine="0"/>
        <w:jc w:val="left"/>
        <w:rPr>
          <w:sz w:val="22"/>
        </w:rPr>
      </w:pPr>
      <w:r>
        <w:rPr>
          <w:rFonts w:ascii="Calibri" w:hAnsi="Calibri"/>
          <w:b/>
          <w:color w:val="4D4D4F"/>
          <w:w w:val="110"/>
          <w:sz w:val="22"/>
        </w:rPr>
        <w:t>Once patients have stabilized, continue to screen and evaluate for mental disorders and psychosocial problems that may need to be addressed </w:t>
      </w:r>
      <w:r>
        <w:rPr>
          <w:color w:val="4D4D4F"/>
          <w:w w:val="110"/>
          <w:sz w:val="22"/>
        </w:rPr>
        <w:t>(e.g., having a spouse or cohabitant who is using illicit opioids). Support patients’ engagement in prosocial activities and progress toward treatment goals and recovery as they decrease use of illicit substances.</w:t>
      </w:r>
    </w:p>
    <w:p>
      <w:pPr>
        <w:spacing w:after="0" w:line="242" w:lineRule="auto"/>
        <w:jc w:val="left"/>
        <w:rPr>
          <w:sz w:val="22"/>
        </w:rPr>
        <w:sectPr>
          <w:type w:val="continuous"/>
          <w:pgSz w:w="12240" w:h="15840"/>
          <w:pgMar w:top="540" w:bottom="280" w:left="940" w:right="920"/>
          <w:cols w:num="2" w:equalWidth="0">
            <w:col w:w="4981" w:space="239"/>
            <w:col w:w="5160"/>
          </w:cols>
        </w:sectPr>
      </w:pPr>
    </w:p>
    <w:p>
      <w:pPr>
        <w:pStyle w:val="BodyText"/>
        <w:rPr>
          <w:sz w:val="20"/>
        </w:rPr>
      </w:pPr>
    </w:p>
    <w:p>
      <w:pPr>
        <w:pStyle w:val="BodyText"/>
        <w:rPr>
          <w:sz w:val="20"/>
        </w:rPr>
      </w:pPr>
    </w:p>
    <w:p>
      <w:pPr>
        <w:pStyle w:val="BodyText"/>
        <w:spacing w:before="10"/>
        <w:rPr>
          <w:sz w:val="26"/>
        </w:rPr>
      </w:pPr>
    </w:p>
    <w:p>
      <w:pPr>
        <w:pStyle w:val="Heading3"/>
        <w:ind w:left="423"/>
        <w:rPr>
          <w:rFonts w:ascii="Arial"/>
        </w:rPr>
      </w:pPr>
      <w:r>
        <w:rPr/>
        <w:pict>
          <v:group style="position:absolute;margin-left:54.189999pt;margin-top:-11.390738pt;width:503.95pt;height:386.55pt;mso-position-horizontal-relative:page;mso-position-vertical-relative:paragraph;z-index:-19549696" coordorigin="1084,-228" coordsize="10079,7731">
            <v:rect style="position:absolute;left:1088;top:-223;width:10069;height:7721" filled="true" fillcolor="#fff7f2" stroked="false">
              <v:fill type="solid"/>
            </v:rect>
            <v:rect style="position:absolute;left:1088;top:-223;width:10069;height:7721" filled="false" stroked="true" strokeweight=".5pt" strokecolor="#88aabd">
              <v:stroke dashstyle="solid"/>
            </v:rect>
            <v:line style="position:absolute" from="1364,414" to="10882,414" stroked="true" strokeweight="2pt" strokecolor="#598ea7">
              <v:stroke dashstyle="solid"/>
            </v:line>
            <w10:wrap type="none"/>
          </v:group>
        </w:pict>
      </w:r>
      <w:r>
        <w:rPr>
          <w:rFonts w:ascii="Arial"/>
          <w:color w:val="137692"/>
          <w:w w:val="110"/>
        </w:rPr>
        <w:t>EXHIBIT 3D.6. Adjusting the Buprenorphine Dose</w:t>
      </w:r>
    </w:p>
    <w:p>
      <w:pPr>
        <w:pStyle w:val="BodyText"/>
        <w:spacing w:before="5"/>
        <w:rPr>
          <w:rFonts w:ascii="Arial"/>
          <w:b/>
          <w:sz w:val="30"/>
        </w:rPr>
      </w:pPr>
    </w:p>
    <w:p>
      <w:pPr>
        <w:pStyle w:val="Heading4"/>
        <w:ind w:left="423"/>
      </w:pPr>
      <w:r>
        <w:rPr>
          <w:color w:val="137692"/>
          <w:w w:val="115"/>
        </w:rPr>
        <w:t>When to increase the dose:</w:t>
      </w:r>
    </w:p>
    <w:p>
      <w:pPr>
        <w:pStyle w:val="ListParagraph"/>
        <w:numPr>
          <w:ilvl w:val="0"/>
          <w:numId w:val="39"/>
        </w:numPr>
        <w:tabs>
          <w:tab w:pos="604" w:val="left" w:leader="none"/>
        </w:tabs>
        <w:spacing w:line="295" w:lineRule="exact" w:before="24" w:after="0"/>
        <w:ind w:left="603" w:right="0" w:hanging="181"/>
        <w:jc w:val="left"/>
        <w:rPr>
          <w:rFonts w:ascii="Calibri" w:hAnsi="Calibri"/>
          <w:sz w:val="18"/>
        </w:rPr>
      </w:pPr>
      <w:r>
        <w:rPr>
          <w:rFonts w:ascii="Calibri" w:hAnsi="Calibri"/>
          <w:color w:val="4D4D4F"/>
          <w:w w:val="125"/>
          <w:sz w:val="18"/>
        </w:rPr>
        <w:t>Are patients taking medication correctly and as</w:t>
      </w:r>
      <w:r>
        <w:rPr>
          <w:rFonts w:ascii="Calibri" w:hAnsi="Calibri"/>
          <w:color w:val="4D4D4F"/>
          <w:spacing w:val="-30"/>
          <w:w w:val="125"/>
          <w:sz w:val="18"/>
        </w:rPr>
        <w:t> </w:t>
      </w:r>
      <w:r>
        <w:rPr>
          <w:rFonts w:ascii="Calibri" w:hAnsi="Calibri"/>
          <w:color w:val="4D4D4F"/>
          <w:w w:val="125"/>
          <w:sz w:val="18"/>
        </w:rPr>
        <w:t>scheduled?</w:t>
      </w:r>
    </w:p>
    <w:p>
      <w:pPr>
        <w:pStyle w:val="ListParagraph"/>
        <w:numPr>
          <w:ilvl w:val="1"/>
          <w:numId w:val="39"/>
        </w:numPr>
        <w:tabs>
          <w:tab w:pos="784" w:val="left" w:leader="none"/>
        </w:tabs>
        <w:spacing w:line="269" w:lineRule="exact" w:before="0" w:after="0"/>
        <w:ind w:left="783" w:right="0" w:hanging="181"/>
        <w:jc w:val="left"/>
        <w:rPr>
          <w:rFonts w:ascii="Calibri" w:hAnsi="Calibri"/>
          <w:sz w:val="10"/>
        </w:rPr>
      </w:pPr>
      <w:r>
        <w:rPr>
          <w:rFonts w:ascii="Calibri" w:hAnsi="Calibri"/>
          <w:color w:val="4D4D4F"/>
          <w:w w:val="125"/>
          <w:sz w:val="18"/>
        </w:rPr>
        <w:t>If</w:t>
      </w:r>
      <w:r>
        <w:rPr>
          <w:rFonts w:ascii="Calibri" w:hAnsi="Calibri"/>
          <w:color w:val="4D4D4F"/>
          <w:spacing w:val="-18"/>
          <w:w w:val="125"/>
          <w:sz w:val="18"/>
        </w:rPr>
        <w:t> </w:t>
      </w:r>
      <w:r>
        <w:rPr>
          <w:rFonts w:ascii="Calibri" w:hAnsi="Calibri"/>
          <w:color w:val="4D4D4F"/>
          <w:w w:val="125"/>
          <w:sz w:val="18"/>
        </w:rPr>
        <w:t>they</w:t>
      </w:r>
      <w:r>
        <w:rPr>
          <w:rFonts w:ascii="Calibri" w:hAnsi="Calibri"/>
          <w:color w:val="4D4D4F"/>
          <w:spacing w:val="-18"/>
          <w:w w:val="125"/>
          <w:sz w:val="18"/>
        </w:rPr>
        <w:t> </w:t>
      </w:r>
      <w:r>
        <w:rPr>
          <w:rFonts w:ascii="Calibri" w:hAnsi="Calibri"/>
          <w:color w:val="4D4D4F"/>
          <w:spacing w:val="-3"/>
          <w:w w:val="125"/>
          <w:sz w:val="18"/>
        </w:rPr>
        <w:t>take</w:t>
      </w:r>
      <w:r>
        <w:rPr>
          <w:rFonts w:ascii="Calibri" w:hAnsi="Calibri"/>
          <w:color w:val="4D4D4F"/>
          <w:spacing w:val="-18"/>
          <w:w w:val="125"/>
          <w:sz w:val="18"/>
        </w:rPr>
        <w:t> </w:t>
      </w:r>
      <w:r>
        <w:rPr>
          <w:rFonts w:ascii="Calibri" w:hAnsi="Calibri"/>
          <w:color w:val="4D4D4F"/>
          <w:w w:val="125"/>
          <w:sz w:val="18"/>
        </w:rPr>
        <w:t>at</w:t>
      </w:r>
      <w:r>
        <w:rPr>
          <w:rFonts w:ascii="Calibri" w:hAnsi="Calibri"/>
          <w:color w:val="4D4D4F"/>
          <w:spacing w:val="-17"/>
          <w:w w:val="125"/>
          <w:sz w:val="18"/>
        </w:rPr>
        <w:t> </w:t>
      </w:r>
      <w:r>
        <w:rPr>
          <w:rFonts w:ascii="Calibri" w:hAnsi="Calibri"/>
          <w:color w:val="4D4D4F"/>
          <w:spacing w:val="-3"/>
          <w:w w:val="125"/>
          <w:sz w:val="18"/>
        </w:rPr>
        <w:t>least</w:t>
      </w:r>
      <w:r>
        <w:rPr>
          <w:rFonts w:ascii="Calibri" w:hAnsi="Calibri"/>
          <w:color w:val="4D4D4F"/>
          <w:spacing w:val="-18"/>
          <w:w w:val="125"/>
          <w:sz w:val="18"/>
        </w:rPr>
        <w:t> </w:t>
      </w:r>
      <w:r>
        <w:rPr>
          <w:rFonts w:ascii="Calibri" w:hAnsi="Calibri"/>
          <w:color w:val="4D4D4F"/>
          <w:w w:val="125"/>
          <w:sz w:val="18"/>
        </w:rPr>
        <w:t>16</w:t>
      </w:r>
      <w:r>
        <w:rPr>
          <w:rFonts w:ascii="Calibri" w:hAnsi="Calibri"/>
          <w:color w:val="4D4D4F"/>
          <w:spacing w:val="-18"/>
          <w:w w:val="125"/>
          <w:sz w:val="18"/>
        </w:rPr>
        <w:t> </w:t>
      </w:r>
      <w:r>
        <w:rPr>
          <w:rFonts w:ascii="Calibri" w:hAnsi="Calibri"/>
          <w:color w:val="4D4D4F"/>
          <w:w w:val="125"/>
          <w:sz w:val="18"/>
        </w:rPr>
        <w:t>mg</w:t>
      </w:r>
      <w:r>
        <w:rPr>
          <w:rFonts w:ascii="Calibri" w:hAnsi="Calibri"/>
          <w:color w:val="4D4D4F"/>
          <w:spacing w:val="-18"/>
          <w:w w:val="125"/>
          <w:sz w:val="18"/>
        </w:rPr>
        <w:t> </w:t>
      </w:r>
      <w:r>
        <w:rPr>
          <w:rFonts w:ascii="Calibri" w:hAnsi="Calibri"/>
          <w:color w:val="4D4D4F"/>
          <w:w w:val="125"/>
          <w:sz w:val="18"/>
        </w:rPr>
        <w:t>per</w:t>
      </w:r>
      <w:r>
        <w:rPr>
          <w:rFonts w:ascii="Calibri" w:hAnsi="Calibri"/>
          <w:color w:val="4D4D4F"/>
          <w:spacing w:val="-18"/>
          <w:w w:val="125"/>
          <w:sz w:val="18"/>
        </w:rPr>
        <w:t> </w:t>
      </w:r>
      <w:r>
        <w:rPr>
          <w:rFonts w:ascii="Calibri" w:hAnsi="Calibri"/>
          <w:color w:val="4D4D4F"/>
          <w:spacing w:val="-4"/>
          <w:w w:val="125"/>
          <w:sz w:val="18"/>
        </w:rPr>
        <w:t>day,</w:t>
      </w:r>
      <w:r>
        <w:rPr>
          <w:rFonts w:ascii="Calibri" w:hAnsi="Calibri"/>
          <w:color w:val="4D4D4F"/>
          <w:spacing w:val="-17"/>
          <w:w w:val="125"/>
          <w:sz w:val="18"/>
        </w:rPr>
        <w:t> </w:t>
      </w:r>
      <w:r>
        <w:rPr>
          <w:rFonts w:ascii="Calibri" w:hAnsi="Calibri"/>
          <w:color w:val="4D4D4F"/>
          <w:w w:val="125"/>
          <w:sz w:val="18"/>
        </w:rPr>
        <w:t>mu-opioid</w:t>
      </w:r>
      <w:r>
        <w:rPr>
          <w:rFonts w:ascii="Calibri" w:hAnsi="Calibri"/>
          <w:color w:val="4D4D4F"/>
          <w:spacing w:val="-18"/>
          <w:w w:val="125"/>
          <w:sz w:val="18"/>
        </w:rPr>
        <w:t> </w:t>
      </w:r>
      <w:r>
        <w:rPr>
          <w:rFonts w:ascii="Calibri" w:hAnsi="Calibri"/>
          <w:color w:val="4D4D4F"/>
          <w:spacing w:val="-3"/>
          <w:w w:val="125"/>
          <w:sz w:val="18"/>
        </w:rPr>
        <w:t>receptors</w:t>
      </w:r>
      <w:r>
        <w:rPr>
          <w:rFonts w:ascii="Calibri" w:hAnsi="Calibri"/>
          <w:color w:val="4D4D4F"/>
          <w:spacing w:val="-18"/>
          <w:w w:val="125"/>
          <w:sz w:val="18"/>
        </w:rPr>
        <w:t> </w:t>
      </w:r>
      <w:r>
        <w:rPr>
          <w:rFonts w:ascii="Calibri" w:hAnsi="Calibri"/>
          <w:color w:val="4D4D4F"/>
          <w:spacing w:val="-3"/>
          <w:w w:val="125"/>
          <w:sz w:val="18"/>
        </w:rPr>
        <w:t>are</w:t>
      </w:r>
      <w:r>
        <w:rPr>
          <w:rFonts w:ascii="Calibri" w:hAnsi="Calibri"/>
          <w:color w:val="4D4D4F"/>
          <w:spacing w:val="-18"/>
          <w:w w:val="125"/>
          <w:sz w:val="18"/>
        </w:rPr>
        <w:t> </w:t>
      </w:r>
      <w:r>
        <w:rPr>
          <w:rFonts w:ascii="Calibri" w:hAnsi="Calibri"/>
          <w:color w:val="4D4D4F"/>
          <w:spacing w:val="-3"/>
          <w:w w:val="125"/>
          <w:sz w:val="18"/>
        </w:rPr>
        <w:t>approximately</w:t>
      </w:r>
      <w:r>
        <w:rPr>
          <w:rFonts w:ascii="Calibri" w:hAnsi="Calibri"/>
          <w:color w:val="4D4D4F"/>
          <w:spacing w:val="-17"/>
          <w:w w:val="125"/>
          <w:sz w:val="18"/>
        </w:rPr>
        <w:t> </w:t>
      </w:r>
      <w:r>
        <w:rPr>
          <w:rFonts w:ascii="Calibri" w:hAnsi="Calibri"/>
          <w:color w:val="4D4D4F"/>
          <w:w w:val="125"/>
          <w:sz w:val="18"/>
        </w:rPr>
        <w:t>80</w:t>
      </w:r>
      <w:r>
        <w:rPr>
          <w:rFonts w:ascii="Calibri" w:hAnsi="Calibri"/>
          <w:color w:val="4D4D4F"/>
          <w:spacing w:val="-18"/>
          <w:w w:val="125"/>
          <w:sz w:val="18"/>
        </w:rPr>
        <w:t> </w:t>
      </w:r>
      <w:r>
        <w:rPr>
          <w:rFonts w:ascii="Calibri" w:hAnsi="Calibri"/>
          <w:color w:val="4D4D4F"/>
          <w:spacing w:val="-3"/>
          <w:w w:val="125"/>
          <w:sz w:val="18"/>
        </w:rPr>
        <w:t>to</w:t>
      </w:r>
      <w:r>
        <w:rPr>
          <w:rFonts w:ascii="Calibri" w:hAnsi="Calibri"/>
          <w:color w:val="4D4D4F"/>
          <w:spacing w:val="-18"/>
          <w:w w:val="125"/>
          <w:sz w:val="18"/>
        </w:rPr>
        <w:t> </w:t>
      </w:r>
      <w:r>
        <w:rPr>
          <w:rFonts w:ascii="Calibri" w:hAnsi="Calibri"/>
          <w:color w:val="4D4D4F"/>
          <w:w w:val="125"/>
          <w:sz w:val="18"/>
        </w:rPr>
        <w:t>95</w:t>
      </w:r>
      <w:r>
        <w:rPr>
          <w:rFonts w:ascii="Calibri" w:hAnsi="Calibri"/>
          <w:color w:val="4D4D4F"/>
          <w:spacing w:val="-18"/>
          <w:w w:val="125"/>
          <w:sz w:val="18"/>
        </w:rPr>
        <w:t> </w:t>
      </w:r>
      <w:r>
        <w:rPr>
          <w:rFonts w:ascii="Calibri" w:hAnsi="Calibri"/>
          <w:color w:val="4D4D4F"/>
          <w:spacing w:val="-3"/>
          <w:w w:val="125"/>
          <w:sz w:val="18"/>
        </w:rPr>
        <w:t>percent</w:t>
      </w:r>
      <w:r>
        <w:rPr>
          <w:rFonts w:ascii="Calibri" w:hAnsi="Calibri"/>
          <w:color w:val="4D4D4F"/>
          <w:spacing w:val="-17"/>
          <w:w w:val="125"/>
          <w:sz w:val="18"/>
        </w:rPr>
        <w:t> </w:t>
      </w:r>
      <w:r>
        <w:rPr>
          <w:rFonts w:ascii="Calibri" w:hAnsi="Calibri"/>
          <w:color w:val="4D4D4F"/>
          <w:spacing w:val="-3"/>
          <w:w w:val="125"/>
          <w:sz w:val="18"/>
        </w:rPr>
        <w:t>occupied.</w:t>
      </w:r>
      <w:r>
        <w:rPr>
          <w:rFonts w:ascii="Calibri" w:hAnsi="Calibri"/>
          <w:color w:val="4D4D4F"/>
          <w:spacing w:val="-3"/>
          <w:w w:val="125"/>
          <w:position w:val="6"/>
          <w:sz w:val="10"/>
        </w:rPr>
        <w:t>336</w:t>
      </w:r>
    </w:p>
    <w:p>
      <w:pPr>
        <w:pStyle w:val="ListParagraph"/>
        <w:numPr>
          <w:ilvl w:val="1"/>
          <w:numId w:val="39"/>
        </w:numPr>
        <w:tabs>
          <w:tab w:pos="784" w:val="left" w:leader="none"/>
        </w:tabs>
        <w:spacing w:line="213" w:lineRule="auto" w:before="0" w:after="0"/>
        <w:ind w:left="783" w:right="943" w:hanging="180"/>
        <w:jc w:val="left"/>
        <w:rPr>
          <w:rFonts w:ascii="Calibri" w:hAnsi="Calibri"/>
          <w:sz w:val="18"/>
        </w:rPr>
      </w:pPr>
      <w:r>
        <w:rPr>
          <w:rFonts w:ascii="Calibri" w:hAnsi="Calibri"/>
          <w:color w:val="4D4D4F"/>
          <w:w w:val="125"/>
          <w:sz w:val="18"/>
        </w:rPr>
        <w:t>If</w:t>
      </w:r>
      <w:r>
        <w:rPr>
          <w:rFonts w:ascii="Calibri" w:hAnsi="Calibri"/>
          <w:color w:val="4D4D4F"/>
          <w:spacing w:val="-14"/>
          <w:w w:val="125"/>
          <w:sz w:val="18"/>
        </w:rPr>
        <w:t> </w:t>
      </w:r>
      <w:r>
        <w:rPr>
          <w:rFonts w:ascii="Calibri" w:hAnsi="Calibri"/>
          <w:color w:val="4D4D4F"/>
          <w:w w:val="125"/>
          <w:sz w:val="18"/>
        </w:rPr>
        <w:t>there</w:t>
      </w:r>
      <w:r>
        <w:rPr>
          <w:rFonts w:ascii="Calibri" w:hAnsi="Calibri"/>
          <w:color w:val="4D4D4F"/>
          <w:spacing w:val="-13"/>
          <w:w w:val="125"/>
          <w:sz w:val="18"/>
        </w:rPr>
        <w:t> </w:t>
      </w:r>
      <w:r>
        <w:rPr>
          <w:rFonts w:ascii="Calibri" w:hAnsi="Calibri"/>
          <w:color w:val="4D4D4F"/>
          <w:w w:val="125"/>
          <w:sz w:val="18"/>
        </w:rPr>
        <w:t>are</w:t>
      </w:r>
      <w:r>
        <w:rPr>
          <w:rFonts w:ascii="Calibri" w:hAnsi="Calibri"/>
          <w:color w:val="4D4D4F"/>
          <w:spacing w:val="-14"/>
          <w:w w:val="125"/>
          <w:sz w:val="18"/>
        </w:rPr>
        <w:t> </w:t>
      </w:r>
      <w:r>
        <w:rPr>
          <w:rFonts w:ascii="Calibri" w:hAnsi="Calibri"/>
          <w:color w:val="4D4D4F"/>
          <w:w w:val="125"/>
          <w:sz w:val="18"/>
        </w:rPr>
        <w:t>adherence</w:t>
      </w:r>
      <w:r>
        <w:rPr>
          <w:rFonts w:ascii="Calibri" w:hAnsi="Calibri"/>
          <w:color w:val="4D4D4F"/>
          <w:spacing w:val="-14"/>
          <w:w w:val="125"/>
          <w:sz w:val="18"/>
        </w:rPr>
        <w:t> </w:t>
      </w:r>
      <w:r>
        <w:rPr>
          <w:rFonts w:ascii="Calibri" w:hAnsi="Calibri"/>
          <w:color w:val="4D4D4F"/>
          <w:w w:val="125"/>
          <w:sz w:val="18"/>
        </w:rPr>
        <w:t>problems,</w:t>
      </w:r>
      <w:r>
        <w:rPr>
          <w:rFonts w:ascii="Calibri" w:hAnsi="Calibri"/>
          <w:color w:val="4D4D4F"/>
          <w:spacing w:val="-13"/>
          <w:w w:val="125"/>
          <w:sz w:val="18"/>
        </w:rPr>
        <w:t> </w:t>
      </w:r>
      <w:r>
        <w:rPr>
          <w:rFonts w:ascii="Calibri" w:hAnsi="Calibri"/>
          <w:color w:val="4D4D4F"/>
          <w:w w:val="125"/>
          <w:sz w:val="18"/>
        </w:rPr>
        <w:t>assess</w:t>
      </w:r>
      <w:r>
        <w:rPr>
          <w:rFonts w:ascii="Calibri" w:hAnsi="Calibri"/>
          <w:color w:val="4D4D4F"/>
          <w:spacing w:val="-14"/>
          <w:w w:val="125"/>
          <w:sz w:val="18"/>
        </w:rPr>
        <w:t> </w:t>
      </w:r>
      <w:r>
        <w:rPr>
          <w:rFonts w:ascii="Calibri" w:hAnsi="Calibri"/>
          <w:color w:val="4D4D4F"/>
          <w:w w:val="125"/>
          <w:sz w:val="18"/>
        </w:rPr>
        <w:t>causes</w:t>
      </w:r>
      <w:r>
        <w:rPr>
          <w:rFonts w:ascii="Calibri" w:hAnsi="Calibri"/>
          <w:color w:val="4D4D4F"/>
          <w:spacing w:val="-13"/>
          <w:w w:val="125"/>
          <w:sz w:val="18"/>
        </w:rPr>
        <w:t> </w:t>
      </w:r>
      <w:r>
        <w:rPr>
          <w:rFonts w:ascii="Calibri" w:hAnsi="Calibri"/>
          <w:color w:val="4D4D4F"/>
          <w:w w:val="125"/>
          <w:sz w:val="18"/>
        </w:rPr>
        <w:t>and</w:t>
      </w:r>
      <w:r>
        <w:rPr>
          <w:rFonts w:ascii="Calibri" w:hAnsi="Calibri"/>
          <w:color w:val="4D4D4F"/>
          <w:spacing w:val="-14"/>
          <w:w w:val="125"/>
          <w:sz w:val="18"/>
        </w:rPr>
        <w:t> </w:t>
      </w:r>
      <w:r>
        <w:rPr>
          <w:rFonts w:ascii="Calibri" w:hAnsi="Calibri"/>
          <w:color w:val="4D4D4F"/>
          <w:w w:val="125"/>
          <w:sz w:val="18"/>
        </w:rPr>
        <w:t>intervene</w:t>
      </w:r>
      <w:r>
        <w:rPr>
          <w:rFonts w:ascii="Calibri" w:hAnsi="Calibri"/>
          <w:color w:val="4D4D4F"/>
          <w:spacing w:val="-13"/>
          <w:w w:val="125"/>
          <w:sz w:val="18"/>
        </w:rPr>
        <w:t> </w:t>
      </w:r>
      <w:r>
        <w:rPr>
          <w:rFonts w:ascii="Calibri" w:hAnsi="Calibri"/>
          <w:color w:val="4D4D4F"/>
          <w:w w:val="125"/>
          <w:sz w:val="18"/>
        </w:rPr>
        <w:t>to</w:t>
      </w:r>
      <w:r>
        <w:rPr>
          <w:rFonts w:ascii="Calibri" w:hAnsi="Calibri"/>
          <w:color w:val="4D4D4F"/>
          <w:spacing w:val="-14"/>
          <w:w w:val="125"/>
          <w:sz w:val="18"/>
        </w:rPr>
        <w:t> </w:t>
      </w:r>
      <w:r>
        <w:rPr>
          <w:rFonts w:ascii="Calibri" w:hAnsi="Calibri"/>
          <w:color w:val="4D4D4F"/>
          <w:w w:val="125"/>
          <w:sz w:val="18"/>
        </w:rPr>
        <w:t>promote</w:t>
      </w:r>
      <w:r>
        <w:rPr>
          <w:rFonts w:ascii="Calibri" w:hAnsi="Calibri"/>
          <w:color w:val="4D4D4F"/>
          <w:spacing w:val="-13"/>
          <w:w w:val="125"/>
          <w:sz w:val="18"/>
        </w:rPr>
        <w:t> </w:t>
      </w:r>
      <w:r>
        <w:rPr>
          <w:rFonts w:ascii="Calibri" w:hAnsi="Calibri"/>
          <w:color w:val="4D4D4F"/>
          <w:w w:val="125"/>
          <w:sz w:val="18"/>
        </w:rPr>
        <w:t>adherence</w:t>
      </w:r>
      <w:r>
        <w:rPr>
          <w:rFonts w:ascii="Calibri" w:hAnsi="Calibri"/>
          <w:color w:val="4D4D4F"/>
          <w:spacing w:val="-14"/>
          <w:w w:val="125"/>
          <w:sz w:val="18"/>
        </w:rPr>
        <w:t> </w:t>
      </w:r>
      <w:r>
        <w:rPr>
          <w:rFonts w:ascii="Calibri" w:hAnsi="Calibri"/>
          <w:color w:val="4D4D4F"/>
          <w:w w:val="125"/>
          <w:sz w:val="18"/>
        </w:rPr>
        <w:t>and</w:t>
      </w:r>
      <w:r>
        <w:rPr>
          <w:rFonts w:ascii="Calibri" w:hAnsi="Calibri"/>
          <w:color w:val="4D4D4F"/>
          <w:spacing w:val="-13"/>
          <w:w w:val="125"/>
          <w:sz w:val="18"/>
        </w:rPr>
        <w:t> </w:t>
      </w:r>
      <w:r>
        <w:rPr>
          <w:rFonts w:ascii="Calibri" w:hAnsi="Calibri"/>
          <w:color w:val="4D4D4F"/>
          <w:w w:val="125"/>
          <w:sz w:val="18"/>
        </w:rPr>
        <w:t>proper administration</w:t>
      </w:r>
      <w:r>
        <w:rPr>
          <w:rFonts w:ascii="Calibri" w:hAnsi="Calibri"/>
          <w:color w:val="4D4D4F"/>
          <w:spacing w:val="-15"/>
          <w:w w:val="125"/>
          <w:sz w:val="18"/>
        </w:rPr>
        <w:t> </w:t>
      </w:r>
      <w:r>
        <w:rPr>
          <w:rFonts w:ascii="Calibri" w:hAnsi="Calibri"/>
          <w:color w:val="4D4D4F"/>
          <w:w w:val="125"/>
          <w:sz w:val="18"/>
        </w:rPr>
        <w:t>(e.g.,</w:t>
      </w:r>
      <w:r>
        <w:rPr>
          <w:rFonts w:ascii="Calibri" w:hAnsi="Calibri"/>
          <w:color w:val="4D4D4F"/>
          <w:spacing w:val="-14"/>
          <w:w w:val="125"/>
          <w:sz w:val="18"/>
        </w:rPr>
        <w:t> </w:t>
      </w:r>
      <w:r>
        <w:rPr>
          <w:rFonts w:ascii="Calibri" w:hAnsi="Calibri"/>
          <w:color w:val="4D4D4F"/>
          <w:w w:val="125"/>
          <w:sz w:val="18"/>
        </w:rPr>
        <w:t>offer</w:t>
      </w:r>
      <w:r>
        <w:rPr>
          <w:rFonts w:ascii="Calibri" w:hAnsi="Calibri"/>
          <w:color w:val="4D4D4F"/>
          <w:spacing w:val="-14"/>
          <w:w w:val="125"/>
          <w:sz w:val="18"/>
        </w:rPr>
        <w:t> </w:t>
      </w:r>
      <w:r>
        <w:rPr>
          <w:rFonts w:ascii="Calibri" w:hAnsi="Calibri"/>
          <w:color w:val="4D4D4F"/>
          <w:w w:val="125"/>
          <w:sz w:val="18"/>
        </w:rPr>
        <w:t>supervised</w:t>
      </w:r>
      <w:r>
        <w:rPr>
          <w:rFonts w:ascii="Calibri" w:hAnsi="Calibri"/>
          <w:color w:val="4D4D4F"/>
          <w:spacing w:val="-14"/>
          <w:w w:val="125"/>
          <w:sz w:val="18"/>
        </w:rPr>
        <w:t> </w:t>
      </w:r>
      <w:r>
        <w:rPr>
          <w:rFonts w:ascii="Calibri" w:hAnsi="Calibri"/>
          <w:color w:val="4D4D4F"/>
          <w:w w:val="125"/>
          <w:sz w:val="18"/>
        </w:rPr>
        <w:t>dosing</w:t>
      </w:r>
      <w:r>
        <w:rPr>
          <w:rFonts w:ascii="Calibri" w:hAnsi="Calibri"/>
          <w:color w:val="4D4D4F"/>
          <w:spacing w:val="-14"/>
          <w:w w:val="125"/>
          <w:sz w:val="18"/>
        </w:rPr>
        <w:t> </w:t>
      </w:r>
      <w:r>
        <w:rPr>
          <w:rFonts w:ascii="Calibri" w:hAnsi="Calibri"/>
          <w:color w:val="4D4D4F"/>
          <w:w w:val="125"/>
          <w:sz w:val="18"/>
        </w:rPr>
        <w:t>at</w:t>
      </w:r>
      <w:r>
        <w:rPr>
          <w:rFonts w:ascii="Calibri" w:hAnsi="Calibri"/>
          <w:color w:val="4D4D4F"/>
          <w:spacing w:val="-14"/>
          <w:w w:val="125"/>
          <w:sz w:val="18"/>
        </w:rPr>
        <w:t> </w:t>
      </w:r>
      <w:r>
        <w:rPr>
          <w:rFonts w:ascii="Calibri" w:hAnsi="Calibri"/>
          <w:color w:val="4D4D4F"/>
          <w:w w:val="125"/>
          <w:sz w:val="18"/>
        </w:rPr>
        <w:t>the</w:t>
      </w:r>
      <w:r>
        <w:rPr>
          <w:rFonts w:ascii="Calibri" w:hAnsi="Calibri"/>
          <w:color w:val="4D4D4F"/>
          <w:spacing w:val="-14"/>
          <w:w w:val="125"/>
          <w:sz w:val="18"/>
        </w:rPr>
        <w:t> </w:t>
      </w:r>
      <w:r>
        <w:rPr>
          <w:rFonts w:ascii="Calibri" w:hAnsi="Calibri"/>
          <w:color w:val="4D4D4F"/>
          <w:w w:val="125"/>
          <w:sz w:val="18"/>
        </w:rPr>
        <w:t>clinic,</w:t>
      </w:r>
      <w:r>
        <w:rPr>
          <w:rFonts w:ascii="Calibri" w:hAnsi="Calibri"/>
          <w:color w:val="4D4D4F"/>
          <w:spacing w:val="-14"/>
          <w:w w:val="125"/>
          <w:sz w:val="18"/>
        </w:rPr>
        <w:t> </w:t>
      </w:r>
      <w:r>
        <w:rPr>
          <w:rFonts w:ascii="Calibri" w:hAnsi="Calibri"/>
          <w:color w:val="4D4D4F"/>
          <w:w w:val="125"/>
          <w:sz w:val="18"/>
        </w:rPr>
        <w:t>by</w:t>
      </w:r>
      <w:r>
        <w:rPr>
          <w:rFonts w:ascii="Calibri" w:hAnsi="Calibri"/>
          <w:color w:val="4D4D4F"/>
          <w:spacing w:val="-14"/>
          <w:w w:val="125"/>
          <w:sz w:val="18"/>
        </w:rPr>
        <w:t> </w:t>
      </w:r>
      <w:r>
        <w:rPr>
          <w:rFonts w:ascii="Calibri" w:hAnsi="Calibri"/>
          <w:color w:val="4D4D4F"/>
          <w:w w:val="125"/>
          <w:sz w:val="18"/>
        </w:rPr>
        <w:t>a</w:t>
      </w:r>
      <w:r>
        <w:rPr>
          <w:rFonts w:ascii="Calibri" w:hAnsi="Calibri"/>
          <w:color w:val="4D4D4F"/>
          <w:spacing w:val="-14"/>
          <w:w w:val="125"/>
          <w:sz w:val="18"/>
        </w:rPr>
        <w:t> </w:t>
      </w:r>
      <w:r>
        <w:rPr>
          <w:rFonts w:ascii="Calibri" w:hAnsi="Calibri"/>
          <w:color w:val="4D4D4F"/>
          <w:w w:val="125"/>
          <w:sz w:val="18"/>
        </w:rPr>
        <w:t>network</w:t>
      </w:r>
      <w:r>
        <w:rPr>
          <w:rFonts w:ascii="Calibri" w:hAnsi="Calibri"/>
          <w:color w:val="4D4D4F"/>
          <w:spacing w:val="-15"/>
          <w:w w:val="125"/>
          <w:sz w:val="18"/>
        </w:rPr>
        <w:t> </w:t>
      </w:r>
      <w:r>
        <w:rPr>
          <w:rFonts w:ascii="Calibri" w:hAnsi="Calibri"/>
          <w:color w:val="4D4D4F"/>
          <w:w w:val="125"/>
          <w:sz w:val="18"/>
        </w:rPr>
        <w:t>support,</w:t>
      </w:r>
      <w:r>
        <w:rPr>
          <w:rFonts w:ascii="Calibri" w:hAnsi="Calibri"/>
          <w:color w:val="4D4D4F"/>
          <w:spacing w:val="-14"/>
          <w:w w:val="125"/>
          <w:sz w:val="18"/>
        </w:rPr>
        <w:t> </w:t>
      </w:r>
      <w:r>
        <w:rPr>
          <w:rFonts w:ascii="Calibri" w:hAnsi="Calibri"/>
          <w:color w:val="4D4D4F"/>
          <w:w w:val="125"/>
          <w:sz w:val="18"/>
        </w:rPr>
        <w:t>at</w:t>
      </w:r>
      <w:r>
        <w:rPr>
          <w:rFonts w:ascii="Calibri" w:hAnsi="Calibri"/>
          <w:color w:val="4D4D4F"/>
          <w:spacing w:val="-14"/>
          <w:w w:val="125"/>
          <w:sz w:val="18"/>
        </w:rPr>
        <w:t> </w:t>
      </w:r>
      <w:r>
        <w:rPr>
          <w:rFonts w:ascii="Calibri" w:hAnsi="Calibri"/>
          <w:color w:val="4D4D4F"/>
          <w:w w:val="125"/>
          <w:sz w:val="18"/>
        </w:rPr>
        <w:t>a</w:t>
      </w:r>
      <w:r>
        <w:rPr>
          <w:rFonts w:ascii="Calibri" w:hAnsi="Calibri"/>
          <w:color w:val="4D4D4F"/>
          <w:spacing w:val="-14"/>
          <w:w w:val="125"/>
          <w:sz w:val="18"/>
        </w:rPr>
        <w:t> </w:t>
      </w:r>
      <w:r>
        <w:rPr>
          <w:rFonts w:ascii="Calibri" w:hAnsi="Calibri"/>
          <w:color w:val="4D4D4F"/>
          <w:w w:val="125"/>
          <w:sz w:val="18"/>
        </w:rPr>
        <w:t>pharmacy).</w:t>
      </w:r>
    </w:p>
    <w:p>
      <w:pPr>
        <w:pStyle w:val="ListParagraph"/>
        <w:numPr>
          <w:ilvl w:val="1"/>
          <w:numId w:val="39"/>
        </w:numPr>
        <w:tabs>
          <w:tab w:pos="784" w:val="left" w:leader="none"/>
        </w:tabs>
        <w:spacing w:line="240" w:lineRule="auto" w:before="0" w:after="0"/>
        <w:ind w:left="783" w:right="0" w:hanging="181"/>
        <w:jc w:val="left"/>
        <w:rPr>
          <w:rFonts w:ascii="Arial" w:hAnsi="Arial"/>
          <w:b/>
          <w:sz w:val="18"/>
        </w:rPr>
      </w:pPr>
      <w:r>
        <w:rPr>
          <w:rFonts w:ascii="Arial" w:hAnsi="Arial"/>
          <w:b/>
          <w:color w:val="4D4D4F"/>
          <w:w w:val="110"/>
          <w:sz w:val="18"/>
        </w:rPr>
        <w:t>If</w:t>
      </w:r>
      <w:r>
        <w:rPr>
          <w:rFonts w:ascii="Arial" w:hAnsi="Arial"/>
          <w:b/>
          <w:color w:val="4D4D4F"/>
          <w:spacing w:val="-10"/>
          <w:w w:val="110"/>
          <w:sz w:val="18"/>
        </w:rPr>
        <w:t> </w:t>
      </w:r>
      <w:r>
        <w:rPr>
          <w:rFonts w:ascii="Arial" w:hAnsi="Arial"/>
          <w:b/>
          <w:color w:val="4D4D4F"/>
          <w:w w:val="110"/>
          <w:sz w:val="18"/>
        </w:rPr>
        <w:t>patients</w:t>
      </w:r>
      <w:r>
        <w:rPr>
          <w:rFonts w:ascii="Arial" w:hAnsi="Arial"/>
          <w:b/>
          <w:color w:val="4D4D4F"/>
          <w:spacing w:val="-10"/>
          <w:w w:val="110"/>
          <w:sz w:val="18"/>
        </w:rPr>
        <w:t> </w:t>
      </w:r>
      <w:r>
        <w:rPr>
          <w:rFonts w:ascii="Arial" w:hAnsi="Arial"/>
          <w:b/>
          <w:color w:val="4D4D4F"/>
          <w:spacing w:val="-2"/>
          <w:w w:val="110"/>
          <w:sz w:val="18"/>
        </w:rPr>
        <w:t>are</w:t>
      </w:r>
      <w:r>
        <w:rPr>
          <w:rFonts w:ascii="Arial" w:hAnsi="Arial"/>
          <w:b/>
          <w:color w:val="4D4D4F"/>
          <w:spacing w:val="-9"/>
          <w:w w:val="110"/>
          <w:sz w:val="18"/>
        </w:rPr>
        <w:t> </w:t>
      </w:r>
      <w:r>
        <w:rPr>
          <w:rFonts w:ascii="Arial" w:hAnsi="Arial"/>
          <w:b/>
          <w:color w:val="4D4D4F"/>
          <w:w w:val="110"/>
          <w:sz w:val="18"/>
        </w:rPr>
        <w:t>taking</w:t>
      </w:r>
      <w:r>
        <w:rPr>
          <w:rFonts w:ascii="Arial" w:hAnsi="Arial"/>
          <w:b/>
          <w:color w:val="4D4D4F"/>
          <w:spacing w:val="-10"/>
          <w:w w:val="110"/>
          <w:sz w:val="18"/>
        </w:rPr>
        <w:t> </w:t>
      </w:r>
      <w:r>
        <w:rPr>
          <w:rFonts w:ascii="Arial" w:hAnsi="Arial"/>
          <w:b/>
          <w:color w:val="4D4D4F"/>
          <w:w w:val="110"/>
          <w:sz w:val="18"/>
        </w:rPr>
        <w:t>doses</w:t>
      </w:r>
      <w:r>
        <w:rPr>
          <w:rFonts w:ascii="Arial" w:hAnsi="Arial"/>
          <w:b/>
          <w:color w:val="4D4D4F"/>
          <w:spacing w:val="-10"/>
          <w:w w:val="110"/>
          <w:sz w:val="18"/>
        </w:rPr>
        <w:t> </w:t>
      </w:r>
      <w:r>
        <w:rPr>
          <w:rFonts w:ascii="Arial" w:hAnsi="Arial"/>
          <w:b/>
          <w:color w:val="4D4D4F"/>
          <w:spacing w:val="-3"/>
          <w:w w:val="110"/>
          <w:sz w:val="18"/>
        </w:rPr>
        <w:t>correctly,</w:t>
      </w:r>
      <w:r>
        <w:rPr>
          <w:rFonts w:ascii="Arial" w:hAnsi="Arial"/>
          <w:b/>
          <w:color w:val="4D4D4F"/>
          <w:spacing w:val="-9"/>
          <w:w w:val="110"/>
          <w:sz w:val="18"/>
        </w:rPr>
        <w:t> </w:t>
      </w:r>
      <w:r>
        <w:rPr>
          <w:rFonts w:ascii="Arial" w:hAnsi="Arial"/>
          <w:b/>
          <w:color w:val="4D4D4F"/>
          <w:w w:val="110"/>
          <w:sz w:val="18"/>
        </w:rPr>
        <w:t>a</w:t>
      </w:r>
      <w:r>
        <w:rPr>
          <w:rFonts w:ascii="Arial" w:hAnsi="Arial"/>
          <w:b/>
          <w:color w:val="4D4D4F"/>
          <w:spacing w:val="-10"/>
          <w:w w:val="110"/>
          <w:sz w:val="18"/>
        </w:rPr>
        <w:t> </w:t>
      </w:r>
      <w:r>
        <w:rPr>
          <w:rFonts w:ascii="Arial" w:hAnsi="Arial"/>
          <w:b/>
          <w:color w:val="4D4D4F"/>
          <w:w w:val="110"/>
          <w:sz w:val="18"/>
        </w:rPr>
        <w:t>dose</w:t>
      </w:r>
      <w:r>
        <w:rPr>
          <w:rFonts w:ascii="Arial" w:hAnsi="Arial"/>
          <w:b/>
          <w:color w:val="4D4D4F"/>
          <w:spacing w:val="-10"/>
          <w:w w:val="110"/>
          <w:sz w:val="18"/>
        </w:rPr>
        <w:t> </w:t>
      </w:r>
      <w:r>
        <w:rPr>
          <w:rFonts w:ascii="Arial" w:hAnsi="Arial"/>
          <w:b/>
          <w:color w:val="4D4D4F"/>
          <w:spacing w:val="-3"/>
          <w:w w:val="110"/>
          <w:sz w:val="18"/>
        </w:rPr>
        <w:t>increase</w:t>
      </w:r>
      <w:r>
        <w:rPr>
          <w:rFonts w:ascii="Arial" w:hAnsi="Arial"/>
          <w:b/>
          <w:color w:val="4D4D4F"/>
          <w:spacing w:val="-9"/>
          <w:w w:val="110"/>
          <w:sz w:val="18"/>
        </w:rPr>
        <w:t> </w:t>
      </w:r>
      <w:r>
        <w:rPr>
          <w:rFonts w:ascii="Arial" w:hAnsi="Arial"/>
          <w:b/>
          <w:color w:val="4D4D4F"/>
          <w:spacing w:val="-2"/>
          <w:w w:val="110"/>
          <w:sz w:val="18"/>
        </w:rPr>
        <w:t>may</w:t>
      </w:r>
      <w:r>
        <w:rPr>
          <w:rFonts w:ascii="Arial" w:hAnsi="Arial"/>
          <w:b/>
          <w:color w:val="4D4D4F"/>
          <w:spacing w:val="-10"/>
          <w:w w:val="110"/>
          <w:sz w:val="18"/>
        </w:rPr>
        <w:t> </w:t>
      </w:r>
      <w:r>
        <w:rPr>
          <w:rFonts w:ascii="Arial" w:hAnsi="Arial"/>
          <w:b/>
          <w:color w:val="4D4D4F"/>
          <w:w w:val="110"/>
          <w:sz w:val="18"/>
        </w:rPr>
        <w:t>be</w:t>
      </w:r>
      <w:r>
        <w:rPr>
          <w:rFonts w:ascii="Arial" w:hAnsi="Arial"/>
          <w:b/>
          <w:color w:val="4D4D4F"/>
          <w:spacing w:val="-9"/>
          <w:w w:val="110"/>
          <w:sz w:val="18"/>
        </w:rPr>
        <w:t> </w:t>
      </w:r>
      <w:r>
        <w:rPr>
          <w:rFonts w:ascii="Arial" w:hAnsi="Arial"/>
          <w:b/>
          <w:color w:val="4D4D4F"/>
          <w:w w:val="110"/>
          <w:sz w:val="18"/>
        </w:rPr>
        <w:t>indicated,</w:t>
      </w:r>
      <w:r>
        <w:rPr>
          <w:rFonts w:ascii="Arial" w:hAnsi="Arial"/>
          <w:b/>
          <w:color w:val="4D4D4F"/>
          <w:spacing w:val="-10"/>
          <w:w w:val="110"/>
          <w:sz w:val="18"/>
        </w:rPr>
        <w:t> </w:t>
      </w:r>
      <w:r>
        <w:rPr>
          <w:rFonts w:ascii="Arial" w:hAnsi="Arial"/>
          <w:b/>
          <w:color w:val="4D4D4F"/>
          <w:w w:val="110"/>
          <w:sz w:val="18"/>
        </w:rPr>
        <w:t>if</w:t>
      </w:r>
      <w:r>
        <w:rPr>
          <w:rFonts w:ascii="Arial" w:hAnsi="Arial"/>
          <w:b/>
          <w:color w:val="4D4D4F"/>
          <w:spacing w:val="-10"/>
          <w:w w:val="110"/>
          <w:sz w:val="18"/>
        </w:rPr>
        <w:t> </w:t>
      </w:r>
      <w:r>
        <w:rPr>
          <w:rFonts w:ascii="Arial" w:hAnsi="Arial"/>
          <w:b/>
          <w:color w:val="4D4D4F"/>
          <w:w w:val="110"/>
          <w:sz w:val="18"/>
        </w:rPr>
        <w:t>certain</w:t>
      </w:r>
      <w:r>
        <w:rPr>
          <w:rFonts w:ascii="Arial" w:hAnsi="Arial"/>
          <w:b/>
          <w:color w:val="4D4D4F"/>
          <w:spacing w:val="-9"/>
          <w:w w:val="110"/>
          <w:sz w:val="18"/>
        </w:rPr>
        <w:t> </w:t>
      </w:r>
      <w:r>
        <w:rPr>
          <w:rFonts w:ascii="Arial" w:hAnsi="Arial"/>
          <w:b/>
          <w:color w:val="4D4D4F"/>
          <w:w w:val="110"/>
          <w:sz w:val="18"/>
        </w:rPr>
        <w:t>conditions</w:t>
      </w:r>
      <w:r>
        <w:rPr>
          <w:rFonts w:ascii="Arial" w:hAnsi="Arial"/>
          <w:b/>
          <w:color w:val="4D4D4F"/>
          <w:spacing w:val="-10"/>
          <w:w w:val="110"/>
          <w:sz w:val="18"/>
        </w:rPr>
        <w:t> </w:t>
      </w:r>
      <w:r>
        <w:rPr>
          <w:rFonts w:ascii="Arial" w:hAnsi="Arial"/>
          <w:b/>
          <w:color w:val="4D4D4F"/>
          <w:w w:val="110"/>
          <w:sz w:val="18"/>
        </w:rPr>
        <w:t>exist.</w:t>
      </w:r>
    </w:p>
    <w:p>
      <w:pPr>
        <w:pStyle w:val="ListParagraph"/>
        <w:numPr>
          <w:ilvl w:val="0"/>
          <w:numId w:val="39"/>
        </w:numPr>
        <w:tabs>
          <w:tab w:pos="604" w:val="left" w:leader="none"/>
        </w:tabs>
        <w:spacing w:line="295" w:lineRule="exact" w:before="8" w:after="0"/>
        <w:ind w:left="603" w:right="0" w:hanging="181"/>
        <w:jc w:val="left"/>
        <w:rPr>
          <w:rFonts w:ascii="Calibri" w:hAnsi="Calibri"/>
          <w:sz w:val="18"/>
        </w:rPr>
      </w:pPr>
      <w:r>
        <w:rPr>
          <w:rFonts w:ascii="Calibri" w:hAnsi="Calibri"/>
          <w:color w:val="4D4D4F"/>
          <w:w w:val="125"/>
          <w:sz w:val="18"/>
        </w:rPr>
        <w:t>Are</w:t>
      </w:r>
      <w:r>
        <w:rPr>
          <w:rFonts w:ascii="Calibri" w:hAnsi="Calibri"/>
          <w:color w:val="4D4D4F"/>
          <w:spacing w:val="-6"/>
          <w:w w:val="125"/>
          <w:sz w:val="18"/>
        </w:rPr>
        <w:t> </w:t>
      </w:r>
      <w:r>
        <w:rPr>
          <w:rFonts w:ascii="Calibri" w:hAnsi="Calibri"/>
          <w:color w:val="4D4D4F"/>
          <w:w w:val="125"/>
          <w:sz w:val="18"/>
        </w:rPr>
        <w:t>patients</w:t>
      </w:r>
      <w:r>
        <w:rPr>
          <w:rFonts w:ascii="Calibri" w:hAnsi="Calibri"/>
          <w:color w:val="4D4D4F"/>
          <w:spacing w:val="-6"/>
          <w:w w:val="125"/>
          <w:sz w:val="18"/>
        </w:rPr>
        <w:t> </w:t>
      </w:r>
      <w:r>
        <w:rPr>
          <w:rFonts w:ascii="Calibri" w:hAnsi="Calibri"/>
          <w:color w:val="4D4D4F"/>
          <w:w w:val="125"/>
          <w:sz w:val="18"/>
        </w:rPr>
        <w:t>taking</w:t>
      </w:r>
      <w:r>
        <w:rPr>
          <w:rFonts w:ascii="Calibri" w:hAnsi="Calibri"/>
          <w:color w:val="4D4D4F"/>
          <w:spacing w:val="-5"/>
          <w:w w:val="125"/>
          <w:sz w:val="18"/>
        </w:rPr>
        <w:t> </w:t>
      </w:r>
      <w:r>
        <w:rPr>
          <w:rFonts w:ascii="Calibri" w:hAnsi="Calibri"/>
          <w:color w:val="4D4D4F"/>
          <w:w w:val="125"/>
          <w:sz w:val="18"/>
        </w:rPr>
        <w:t>other</w:t>
      </w:r>
      <w:r>
        <w:rPr>
          <w:rFonts w:ascii="Calibri" w:hAnsi="Calibri"/>
          <w:color w:val="4D4D4F"/>
          <w:spacing w:val="-6"/>
          <w:w w:val="125"/>
          <w:sz w:val="18"/>
        </w:rPr>
        <w:t> </w:t>
      </w:r>
      <w:r>
        <w:rPr>
          <w:rFonts w:ascii="Calibri" w:hAnsi="Calibri"/>
          <w:color w:val="4D4D4F"/>
          <w:w w:val="125"/>
          <w:sz w:val="18"/>
        </w:rPr>
        <w:t>medications</w:t>
      </w:r>
      <w:r>
        <w:rPr>
          <w:rFonts w:ascii="Calibri" w:hAnsi="Calibri"/>
          <w:color w:val="4D4D4F"/>
          <w:spacing w:val="-6"/>
          <w:w w:val="125"/>
          <w:sz w:val="18"/>
        </w:rPr>
        <w:t> </w:t>
      </w:r>
      <w:r>
        <w:rPr>
          <w:rFonts w:ascii="Calibri" w:hAnsi="Calibri"/>
          <w:color w:val="4D4D4F"/>
          <w:w w:val="125"/>
          <w:sz w:val="18"/>
        </w:rPr>
        <w:t>that</w:t>
      </w:r>
      <w:r>
        <w:rPr>
          <w:rFonts w:ascii="Calibri" w:hAnsi="Calibri"/>
          <w:color w:val="4D4D4F"/>
          <w:spacing w:val="-5"/>
          <w:w w:val="125"/>
          <w:sz w:val="18"/>
        </w:rPr>
        <w:t> </w:t>
      </w:r>
      <w:r>
        <w:rPr>
          <w:rFonts w:ascii="Calibri" w:hAnsi="Calibri"/>
          <w:color w:val="4D4D4F"/>
          <w:w w:val="125"/>
          <w:sz w:val="18"/>
        </w:rPr>
        <w:t>may</w:t>
      </w:r>
      <w:r>
        <w:rPr>
          <w:rFonts w:ascii="Calibri" w:hAnsi="Calibri"/>
          <w:color w:val="4D4D4F"/>
          <w:spacing w:val="-6"/>
          <w:w w:val="125"/>
          <w:sz w:val="18"/>
        </w:rPr>
        <w:t> </w:t>
      </w:r>
      <w:r>
        <w:rPr>
          <w:rFonts w:ascii="Calibri" w:hAnsi="Calibri"/>
          <w:color w:val="4D4D4F"/>
          <w:w w:val="125"/>
          <w:sz w:val="18"/>
        </w:rPr>
        <w:t>interfere</w:t>
      </w:r>
      <w:r>
        <w:rPr>
          <w:rFonts w:ascii="Calibri" w:hAnsi="Calibri"/>
          <w:color w:val="4D4D4F"/>
          <w:spacing w:val="-6"/>
          <w:w w:val="125"/>
          <w:sz w:val="18"/>
        </w:rPr>
        <w:t> </w:t>
      </w:r>
      <w:r>
        <w:rPr>
          <w:rFonts w:ascii="Calibri" w:hAnsi="Calibri"/>
          <w:color w:val="4D4D4F"/>
          <w:w w:val="125"/>
          <w:sz w:val="18"/>
        </w:rPr>
        <w:t>with</w:t>
      </w:r>
      <w:r>
        <w:rPr>
          <w:rFonts w:ascii="Calibri" w:hAnsi="Calibri"/>
          <w:color w:val="4D4D4F"/>
          <w:spacing w:val="-5"/>
          <w:w w:val="125"/>
          <w:sz w:val="18"/>
        </w:rPr>
        <w:t> </w:t>
      </w:r>
      <w:r>
        <w:rPr>
          <w:rFonts w:ascii="Calibri" w:hAnsi="Calibri"/>
          <w:color w:val="4D4D4F"/>
          <w:w w:val="125"/>
          <w:sz w:val="18"/>
        </w:rPr>
        <w:t>buprenorphine</w:t>
      </w:r>
      <w:r>
        <w:rPr>
          <w:rFonts w:ascii="Calibri" w:hAnsi="Calibri"/>
          <w:color w:val="4D4D4F"/>
          <w:spacing w:val="-6"/>
          <w:w w:val="125"/>
          <w:sz w:val="18"/>
        </w:rPr>
        <w:t> </w:t>
      </w:r>
      <w:r>
        <w:rPr>
          <w:rFonts w:ascii="Calibri" w:hAnsi="Calibri"/>
          <w:color w:val="4D4D4F"/>
          <w:w w:val="125"/>
          <w:sz w:val="18"/>
        </w:rPr>
        <w:t>metabolism?</w:t>
      </w:r>
    </w:p>
    <w:p>
      <w:pPr>
        <w:pStyle w:val="ListParagraph"/>
        <w:numPr>
          <w:ilvl w:val="0"/>
          <w:numId w:val="39"/>
        </w:numPr>
        <w:tabs>
          <w:tab w:pos="604" w:val="left" w:leader="none"/>
        </w:tabs>
        <w:spacing w:line="213" w:lineRule="auto" w:before="0" w:after="0"/>
        <w:ind w:left="603" w:right="438" w:hanging="180"/>
        <w:jc w:val="left"/>
        <w:rPr>
          <w:rFonts w:ascii="Arial" w:hAnsi="Arial"/>
          <w:b/>
          <w:sz w:val="18"/>
        </w:rPr>
      </w:pPr>
      <w:r>
        <w:rPr>
          <w:rFonts w:ascii="Calibri" w:hAnsi="Calibri"/>
          <w:color w:val="4D4D4F"/>
          <w:w w:val="115"/>
          <w:sz w:val="18"/>
        </w:rPr>
        <w:t>If patients are taking doses properly, </w:t>
      </w:r>
      <w:r>
        <w:rPr>
          <w:rFonts w:ascii="Arial" w:hAnsi="Arial"/>
          <w:b/>
          <w:color w:val="4D4D4F"/>
          <w:w w:val="115"/>
          <w:sz w:val="18"/>
        </w:rPr>
        <w:t>increase the dose if they still have opioid withdrawal </w:t>
      </w:r>
      <w:r>
        <w:rPr>
          <w:rFonts w:ascii="Calibri" w:hAnsi="Calibri"/>
          <w:color w:val="4D4D4F"/>
          <w:w w:val="115"/>
          <w:sz w:val="18"/>
        </w:rPr>
        <w:t>(document with</w:t>
      </w:r>
      <w:r>
        <w:rPr>
          <w:rFonts w:ascii="Calibri" w:hAnsi="Calibri"/>
          <w:color w:val="4D4D4F"/>
          <w:spacing w:val="-13"/>
          <w:w w:val="115"/>
          <w:sz w:val="18"/>
        </w:rPr>
        <w:t> </w:t>
      </w:r>
      <w:r>
        <w:rPr>
          <w:rFonts w:ascii="Calibri" w:hAnsi="Calibri"/>
          <w:color w:val="4D4D4F"/>
          <w:w w:val="115"/>
          <w:sz w:val="18"/>
        </w:rPr>
        <w:t>a</w:t>
      </w:r>
      <w:r>
        <w:rPr>
          <w:rFonts w:ascii="Calibri" w:hAnsi="Calibri"/>
          <w:color w:val="4D4D4F"/>
          <w:spacing w:val="-13"/>
          <w:w w:val="115"/>
          <w:sz w:val="18"/>
        </w:rPr>
        <w:t> </w:t>
      </w:r>
      <w:r>
        <w:rPr>
          <w:rFonts w:ascii="Calibri" w:hAnsi="Calibri"/>
          <w:color w:val="4D4D4F"/>
          <w:w w:val="115"/>
          <w:sz w:val="18"/>
        </w:rPr>
        <w:t>clinical</w:t>
      </w:r>
      <w:r>
        <w:rPr>
          <w:rFonts w:ascii="Calibri" w:hAnsi="Calibri"/>
          <w:color w:val="4D4D4F"/>
          <w:spacing w:val="-12"/>
          <w:w w:val="115"/>
          <w:sz w:val="18"/>
        </w:rPr>
        <w:t> </w:t>
      </w:r>
      <w:r>
        <w:rPr>
          <w:rFonts w:ascii="Calibri" w:hAnsi="Calibri"/>
          <w:color w:val="4D4D4F"/>
          <w:spacing w:val="-3"/>
          <w:w w:val="115"/>
          <w:sz w:val="18"/>
        </w:rPr>
        <w:t>tool</w:t>
      </w:r>
      <w:r>
        <w:rPr>
          <w:rFonts w:ascii="Calibri" w:hAnsi="Calibri"/>
          <w:color w:val="4D4D4F"/>
          <w:spacing w:val="-13"/>
          <w:w w:val="115"/>
          <w:sz w:val="18"/>
        </w:rPr>
        <w:t> </w:t>
      </w:r>
      <w:r>
        <w:rPr>
          <w:rFonts w:ascii="Calibri" w:hAnsi="Calibri"/>
          <w:color w:val="4D4D4F"/>
          <w:spacing w:val="-3"/>
          <w:w w:val="115"/>
          <w:sz w:val="18"/>
        </w:rPr>
        <w:t>like</w:t>
      </w:r>
      <w:r>
        <w:rPr>
          <w:rFonts w:ascii="Calibri" w:hAnsi="Calibri"/>
          <w:color w:val="4D4D4F"/>
          <w:spacing w:val="-12"/>
          <w:w w:val="115"/>
          <w:sz w:val="18"/>
        </w:rPr>
        <w:t> </w:t>
      </w:r>
      <w:r>
        <w:rPr>
          <w:rFonts w:ascii="Calibri" w:hAnsi="Calibri"/>
          <w:color w:val="4D4D4F"/>
          <w:spacing w:val="-4"/>
          <w:w w:val="115"/>
          <w:sz w:val="18"/>
        </w:rPr>
        <w:t>COWS),</w:t>
      </w:r>
      <w:r>
        <w:rPr>
          <w:rFonts w:ascii="Calibri" w:hAnsi="Calibri"/>
          <w:color w:val="4D4D4F"/>
          <w:spacing w:val="-13"/>
          <w:w w:val="115"/>
          <w:sz w:val="18"/>
        </w:rPr>
        <w:t> </w:t>
      </w:r>
      <w:r>
        <w:rPr>
          <w:rFonts w:ascii="Arial" w:hAnsi="Arial"/>
          <w:b/>
          <w:color w:val="4D4D4F"/>
          <w:w w:val="115"/>
          <w:sz w:val="18"/>
        </w:rPr>
        <w:t>opioid</w:t>
      </w:r>
      <w:r>
        <w:rPr>
          <w:rFonts w:ascii="Arial" w:hAnsi="Arial"/>
          <w:b/>
          <w:color w:val="4D4D4F"/>
          <w:spacing w:val="-20"/>
          <w:w w:val="115"/>
          <w:sz w:val="18"/>
        </w:rPr>
        <w:t> </w:t>
      </w:r>
      <w:r>
        <w:rPr>
          <w:rFonts w:ascii="Arial" w:hAnsi="Arial"/>
          <w:b/>
          <w:color w:val="4D4D4F"/>
          <w:spacing w:val="-3"/>
          <w:w w:val="115"/>
          <w:sz w:val="18"/>
        </w:rPr>
        <w:t>craving,</w:t>
      </w:r>
      <w:r>
        <w:rPr>
          <w:rFonts w:ascii="Arial" w:hAnsi="Arial"/>
          <w:b/>
          <w:color w:val="4D4D4F"/>
          <w:spacing w:val="-19"/>
          <w:w w:val="115"/>
          <w:sz w:val="18"/>
        </w:rPr>
        <w:t> </w:t>
      </w:r>
      <w:r>
        <w:rPr>
          <w:rFonts w:ascii="Arial" w:hAnsi="Arial"/>
          <w:b/>
          <w:color w:val="4D4D4F"/>
          <w:w w:val="115"/>
          <w:sz w:val="18"/>
        </w:rPr>
        <w:t>or</w:t>
      </w:r>
      <w:r>
        <w:rPr>
          <w:rFonts w:ascii="Arial" w:hAnsi="Arial"/>
          <w:b/>
          <w:color w:val="4D4D4F"/>
          <w:spacing w:val="-20"/>
          <w:w w:val="115"/>
          <w:sz w:val="18"/>
        </w:rPr>
        <w:t> </w:t>
      </w:r>
      <w:r>
        <w:rPr>
          <w:rFonts w:ascii="Arial" w:hAnsi="Arial"/>
          <w:b/>
          <w:color w:val="4D4D4F"/>
          <w:spacing w:val="-2"/>
          <w:w w:val="115"/>
          <w:sz w:val="18"/>
        </w:rPr>
        <w:t>“good”</w:t>
      </w:r>
      <w:r>
        <w:rPr>
          <w:rFonts w:ascii="Arial" w:hAnsi="Arial"/>
          <w:b/>
          <w:color w:val="4D4D4F"/>
          <w:spacing w:val="-20"/>
          <w:w w:val="115"/>
          <w:sz w:val="18"/>
        </w:rPr>
        <w:t> </w:t>
      </w:r>
      <w:r>
        <w:rPr>
          <w:rFonts w:ascii="Arial" w:hAnsi="Arial"/>
          <w:b/>
          <w:color w:val="4D4D4F"/>
          <w:w w:val="115"/>
          <w:sz w:val="18"/>
        </w:rPr>
        <w:t>effects</w:t>
      </w:r>
      <w:r>
        <w:rPr>
          <w:rFonts w:ascii="Arial" w:hAnsi="Arial"/>
          <w:b/>
          <w:color w:val="4D4D4F"/>
          <w:spacing w:val="-20"/>
          <w:w w:val="115"/>
          <w:sz w:val="18"/>
        </w:rPr>
        <w:t> </w:t>
      </w:r>
      <w:r>
        <w:rPr>
          <w:rFonts w:ascii="Arial" w:hAnsi="Arial"/>
          <w:b/>
          <w:color w:val="4D4D4F"/>
          <w:spacing w:val="-2"/>
          <w:w w:val="115"/>
          <w:sz w:val="18"/>
        </w:rPr>
        <w:t>(e.g.,</w:t>
      </w:r>
      <w:r>
        <w:rPr>
          <w:rFonts w:ascii="Arial" w:hAnsi="Arial"/>
          <w:b/>
          <w:color w:val="4D4D4F"/>
          <w:spacing w:val="-20"/>
          <w:w w:val="115"/>
          <w:sz w:val="18"/>
        </w:rPr>
        <w:t> </w:t>
      </w:r>
      <w:r>
        <w:rPr>
          <w:rFonts w:ascii="Arial" w:hAnsi="Arial"/>
          <w:b/>
          <w:color w:val="4D4D4F"/>
          <w:w w:val="115"/>
          <w:sz w:val="18"/>
        </w:rPr>
        <w:t>feeling</w:t>
      </w:r>
      <w:r>
        <w:rPr>
          <w:rFonts w:ascii="Arial" w:hAnsi="Arial"/>
          <w:b/>
          <w:color w:val="4D4D4F"/>
          <w:spacing w:val="-19"/>
          <w:w w:val="115"/>
          <w:sz w:val="18"/>
        </w:rPr>
        <w:t> </w:t>
      </w:r>
      <w:r>
        <w:rPr>
          <w:rFonts w:ascii="Arial" w:hAnsi="Arial"/>
          <w:b/>
          <w:color w:val="4D4D4F"/>
          <w:w w:val="115"/>
          <w:sz w:val="18"/>
        </w:rPr>
        <w:t>“high”)</w:t>
      </w:r>
      <w:r>
        <w:rPr>
          <w:rFonts w:ascii="Arial" w:hAnsi="Arial"/>
          <w:b/>
          <w:color w:val="4D4D4F"/>
          <w:spacing w:val="-20"/>
          <w:w w:val="115"/>
          <w:sz w:val="18"/>
        </w:rPr>
        <w:t> </w:t>
      </w:r>
      <w:r>
        <w:rPr>
          <w:rFonts w:ascii="Arial" w:hAnsi="Arial"/>
          <w:b/>
          <w:color w:val="4D4D4F"/>
          <w:w w:val="115"/>
          <w:sz w:val="18"/>
        </w:rPr>
        <w:t>from</w:t>
      </w:r>
      <w:r>
        <w:rPr>
          <w:rFonts w:ascii="Arial" w:hAnsi="Arial"/>
          <w:b/>
          <w:color w:val="4D4D4F"/>
          <w:spacing w:val="-20"/>
          <w:w w:val="115"/>
          <w:sz w:val="18"/>
        </w:rPr>
        <w:t> </w:t>
      </w:r>
      <w:r>
        <w:rPr>
          <w:rFonts w:ascii="Arial" w:hAnsi="Arial"/>
          <w:b/>
          <w:color w:val="4D4D4F"/>
          <w:w w:val="115"/>
          <w:sz w:val="18"/>
        </w:rPr>
        <w:t>using</w:t>
      </w:r>
      <w:r>
        <w:rPr>
          <w:rFonts w:ascii="Arial" w:hAnsi="Arial"/>
          <w:b/>
          <w:color w:val="4D4D4F"/>
          <w:spacing w:val="-20"/>
          <w:w w:val="115"/>
          <w:sz w:val="18"/>
        </w:rPr>
        <w:t> </w:t>
      </w:r>
      <w:r>
        <w:rPr>
          <w:rFonts w:ascii="Arial" w:hAnsi="Arial"/>
          <w:b/>
          <w:color w:val="4D4D4F"/>
          <w:w w:val="115"/>
          <w:sz w:val="18"/>
        </w:rPr>
        <w:t>illicit</w:t>
      </w:r>
    </w:p>
    <w:p>
      <w:pPr>
        <w:spacing w:before="25"/>
        <w:ind w:left="603" w:right="0" w:firstLine="0"/>
        <w:jc w:val="left"/>
        <w:rPr>
          <w:rFonts w:ascii="Arial"/>
          <w:b/>
          <w:sz w:val="18"/>
        </w:rPr>
      </w:pPr>
      <w:r>
        <w:rPr>
          <w:rFonts w:ascii="Arial"/>
          <w:b/>
          <w:color w:val="4D4D4F"/>
          <w:w w:val="105"/>
          <w:sz w:val="18"/>
        </w:rPr>
        <w:t>opioids.</w:t>
      </w:r>
    </w:p>
    <w:p>
      <w:pPr>
        <w:pStyle w:val="ListParagraph"/>
        <w:numPr>
          <w:ilvl w:val="1"/>
          <w:numId w:val="39"/>
        </w:numPr>
        <w:tabs>
          <w:tab w:pos="784" w:val="left" w:leader="none"/>
        </w:tabs>
        <w:spacing w:line="213" w:lineRule="auto" w:before="33" w:after="0"/>
        <w:ind w:left="783" w:right="675" w:hanging="180"/>
        <w:jc w:val="left"/>
        <w:rPr>
          <w:rFonts w:ascii="Calibri" w:hAnsi="Calibri"/>
          <w:sz w:val="18"/>
        </w:rPr>
      </w:pPr>
      <w:r>
        <w:rPr>
          <w:rFonts w:ascii="Arial" w:hAnsi="Arial"/>
          <w:b/>
          <w:color w:val="4D4D4F"/>
          <w:w w:val="115"/>
          <w:sz w:val="18"/>
        </w:rPr>
        <w:t>Craving can be a conditioned response. </w:t>
      </w:r>
      <w:r>
        <w:rPr>
          <w:rFonts w:ascii="Calibri" w:hAnsi="Calibri"/>
          <w:color w:val="4D4D4F"/>
          <w:w w:val="115"/>
          <w:sz w:val="18"/>
        </w:rPr>
        <w:t>It may not decrease with dose increases if patients spend time with people who use opioids in their</w:t>
      </w:r>
      <w:r>
        <w:rPr>
          <w:rFonts w:ascii="Calibri" w:hAnsi="Calibri"/>
          <w:color w:val="4D4D4F"/>
          <w:spacing w:val="22"/>
          <w:w w:val="115"/>
          <w:sz w:val="18"/>
        </w:rPr>
        <w:t> </w:t>
      </w:r>
      <w:r>
        <w:rPr>
          <w:rFonts w:ascii="Calibri" w:hAnsi="Calibri"/>
          <w:color w:val="4D4D4F"/>
          <w:w w:val="115"/>
          <w:sz w:val="18"/>
        </w:rPr>
        <w:t>presence.</w:t>
      </w:r>
    </w:p>
    <w:p>
      <w:pPr>
        <w:pStyle w:val="ListParagraph"/>
        <w:numPr>
          <w:ilvl w:val="1"/>
          <w:numId w:val="39"/>
        </w:numPr>
        <w:tabs>
          <w:tab w:pos="784" w:val="left" w:leader="none"/>
        </w:tabs>
        <w:spacing w:line="295" w:lineRule="exact" w:before="2" w:after="0"/>
        <w:ind w:left="783" w:right="0" w:hanging="181"/>
        <w:jc w:val="left"/>
        <w:rPr>
          <w:rFonts w:ascii="Calibri" w:hAnsi="Calibri"/>
          <w:sz w:val="18"/>
        </w:rPr>
      </w:pPr>
      <w:r>
        <w:rPr>
          <w:rFonts w:ascii="Calibri" w:hAnsi="Calibri"/>
          <w:color w:val="4D4D4F"/>
          <w:w w:val="125"/>
          <w:sz w:val="18"/>
        </w:rPr>
        <w:t>Dose</w:t>
      </w:r>
      <w:r>
        <w:rPr>
          <w:rFonts w:ascii="Calibri" w:hAnsi="Calibri"/>
          <w:color w:val="4D4D4F"/>
          <w:spacing w:val="-5"/>
          <w:w w:val="125"/>
          <w:sz w:val="18"/>
        </w:rPr>
        <w:t> </w:t>
      </w:r>
      <w:r>
        <w:rPr>
          <w:rFonts w:ascii="Calibri" w:hAnsi="Calibri"/>
          <w:color w:val="4D4D4F"/>
          <w:w w:val="125"/>
          <w:sz w:val="18"/>
        </w:rPr>
        <w:t>increases</w:t>
      </w:r>
      <w:r>
        <w:rPr>
          <w:rFonts w:ascii="Calibri" w:hAnsi="Calibri"/>
          <w:color w:val="4D4D4F"/>
          <w:spacing w:val="-4"/>
          <w:w w:val="125"/>
          <w:sz w:val="18"/>
        </w:rPr>
        <w:t> </w:t>
      </w:r>
      <w:r>
        <w:rPr>
          <w:rFonts w:ascii="Calibri" w:hAnsi="Calibri"/>
          <w:color w:val="4D4D4F"/>
          <w:w w:val="125"/>
          <w:sz w:val="18"/>
        </w:rPr>
        <w:t>typically</w:t>
      </w:r>
      <w:r>
        <w:rPr>
          <w:rFonts w:ascii="Calibri" w:hAnsi="Calibri"/>
          <w:color w:val="4D4D4F"/>
          <w:spacing w:val="-4"/>
          <w:w w:val="125"/>
          <w:sz w:val="18"/>
        </w:rPr>
        <w:t> </w:t>
      </w:r>
      <w:r>
        <w:rPr>
          <w:rFonts w:ascii="Calibri" w:hAnsi="Calibri"/>
          <w:color w:val="4D4D4F"/>
          <w:w w:val="125"/>
          <w:sz w:val="18"/>
        </w:rPr>
        <w:t>occur</w:t>
      </w:r>
      <w:r>
        <w:rPr>
          <w:rFonts w:ascii="Calibri" w:hAnsi="Calibri"/>
          <w:color w:val="4D4D4F"/>
          <w:spacing w:val="-5"/>
          <w:w w:val="125"/>
          <w:sz w:val="18"/>
        </w:rPr>
        <w:t> </w:t>
      </w:r>
      <w:r>
        <w:rPr>
          <w:rFonts w:ascii="Calibri" w:hAnsi="Calibri"/>
          <w:color w:val="4D4D4F"/>
          <w:w w:val="125"/>
          <w:sz w:val="18"/>
        </w:rPr>
        <w:t>in</w:t>
      </w:r>
      <w:r>
        <w:rPr>
          <w:rFonts w:ascii="Calibri" w:hAnsi="Calibri"/>
          <w:color w:val="4D4D4F"/>
          <w:spacing w:val="-4"/>
          <w:w w:val="125"/>
          <w:sz w:val="18"/>
        </w:rPr>
        <w:t> </w:t>
      </w:r>
      <w:r>
        <w:rPr>
          <w:rFonts w:ascii="Calibri" w:hAnsi="Calibri"/>
          <w:color w:val="4D4D4F"/>
          <w:w w:val="125"/>
          <w:sz w:val="18"/>
        </w:rPr>
        <w:t>2</w:t>
      </w:r>
      <w:r>
        <w:rPr>
          <w:rFonts w:ascii="Calibri" w:hAnsi="Calibri"/>
          <w:color w:val="4D4D4F"/>
          <w:spacing w:val="-4"/>
          <w:w w:val="125"/>
          <w:sz w:val="18"/>
        </w:rPr>
        <w:t> </w:t>
      </w:r>
      <w:r>
        <w:rPr>
          <w:rFonts w:ascii="Calibri" w:hAnsi="Calibri"/>
          <w:color w:val="4D4D4F"/>
          <w:w w:val="125"/>
          <w:sz w:val="18"/>
        </w:rPr>
        <w:t>mg</w:t>
      </w:r>
      <w:r>
        <w:rPr>
          <w:rFonts w:ascii="Calibri" w:hAnsi="Calibri"/>
          <w:color w:val="4D4D4F"/>
          <w:spacing w:val="-5"/>
          <w:w w:val="125"/>
          <w:sz w:val="18"/>
        </w:rPr>
        <w:t> </w:t>
      </w:r>
      <w:r>
        <w:rPr>
          <w:rFonts w:ascii="Calibri" w:hAnsi="Calibri"/>
          <w:color w:val="4D4D4F"/>
          <w:w w:val="125"/>
          <w:sz w:val="18"/>
        </w:rPr>
        <w:t>to</w:t>
      </w:r>
      <w:r>
        <w:rPr>
          <w:rFonts w:ascii="Calibri" w:hAnsi="Calibri"/>
          <w:color w:val="4D4D4F"/>
          <w:spacing w:val="-4"/>
          <w:w w:val="125"/>
          <w:sz w:val="18"/>
        </w:rPr>
        <w:t> </w:t>
      </w:r>
      <w:r>
        <w:rPr>
          <w:rFonts w:ascii="Calibri" w:hAnsi="Calibri"/>
          <w:color w:val="4D4D4F"/>
          <w:w w:val="125"/>
          <w:sz w:val="18"/>
        </w:rPr>
        <w:t>4</w:t>
      </w:r>
      <w:r>
        <w:rPr>
          <w:rFonts w:ascii="Calibri" w:hAnsi="Calibri"/>
          <w:color w:val="4D4D4F"/>
          <w:spacing w:val="-4"/>
          <w:w w:val="125"/>
          <w:sz w:val="18"/>
        </w:rPr>
        <w:t> </w:t>
      </w:r>
      <w:r>
        <w:rPr>
          <w:rFonts w:ascii="Calibri" w:hAnsi="Calibri"/>
          <w:color w:val="4D4D4F"/>
          <w:w w:val="125"/>
          <w:sz w:val="18"/>
        </w:rPr>
        <w:t>mg</w:t>
      </w:r>
      <w:r>
        <w:rPr>
          <w:rFonts w:ascii="Calibri" w:hAnsi="Calibri"/>
          <w:color w:val="4D4D4F"/>
          <w:spacing w:val="-4"/>
          <w:w w:val="125"/>
          <w:sz w:val="18"/>
        </w:rPr>
        <w:t> </w:t>
      </w:r>
      <w:r>
        <w:rPr>
          <w:rFonts w:ascii="Calibri" w:hAnsi="Calibri"/>
          <w:color w:val="4D4D4F"/>
          <w:w w:val="125"/>
          <w:sz w:val="18"/>
        </w:rPr>
        <w:t>increments.</w:t>
      </w:r>
    </w:p>
    <w:p>
      <w:pPr>
        <w:pStyle w:val="ListParagraph"/>
        <w:numPr>
          <w:ilvl w:val="1"/>
          <w:numId w:val="39"/>
        </w:numPr>
        <w:tabs>
          <w:tab w:pos="784" w:val="left" w:leader="none"/>
        </w:tabs>
        <w:spacing w:line="269" w:lineRule="exact" w:before="0" w:after="0"/>
        <w:ind w:left="783" w:right="0" w:hanging="181"/>
        <w:jc w:val="left"/>
        <w:rPr>
          <w:rFonts w:ascii="Calibri" w:hAnsi="Calibri"/>
          <w:sz w:val="18"/>
        </w:rPr>
      </w:pPr>
      <w:r>
        <w:rPr>
          <w:rFonts w:ascii="Calibri" w:hAnsi="Calibri"/>
          <w:color w:val="4D4D4F"/>
          <w:w w:val="125"/>
          <w:sz w:val="18"/>
        </w:rPr>
        <w:t>It</w:t>
      </w:r>
      <w:r>
        <w:rPr>
          <w:rFonts w:ascii="Calibri" w:hAnsi="Calibri"/>
          <w:color w:val="4D4D4F"/>
          <w:spacing w:val="-9"/>
          <w:w w:val="125"/>
          <w:sz w:val="18"/>
        </w:rPr>
        <w:t> </w:t>
      </w:r>
      <w:r>
        <w:rPr>
          <w:rFonts w:ascii="Calibri" w:hAnsi="Calibri"/>
          <w:color w:val="4D4D4F"/>
          <w:w w:val="125"/>
          <w:sz w:val="18"/>
        </w:rPr>
        <w:t>will</w:t>
      </w:r>
      <w:r>
        <w:rPr>
          <w:rFonts w:ascii="Calibri" w:hAnsi="Calibri"/>
          <w:color w:val="4D4D4F"/>
          <w:spacing w:val="-9"/>
          <w:w w:val="125"/>
          <w:sz w:val="18"/>
        </w:rPr>
        <w:t> </w:t>
      </w:r>
      <w:r>
        <w:rPr>
          <w:rFonts w:ascii="Calibri" w:hAnsi="Calibri"/>
          <w:color w:val="4D4D4F"/>
          <w:w w:val="125"/>
          <w:sz w:val="18"/>
        </w:rPr>
        <w:t>take</w:t>
      </w:r>
      <w:r>
        <w:rPr>
          <w:rFonts w:ascii="Calibri" w:hAnsi="Calibri"/>
          <w:color w:val="4D4D4F"/>
          <w:spacing w:val="-9"/>
          <w:w w:val="125"/>
          <w:sz w:val="18"/>
        </w:rPr>
        <w:t> </w:t>
      </w:r>
      <w:r>
        <w:rPr>
          <w:rFonts w:ascii="Calibri" w:hAnsi="Calibri"/>
          <w:color w:val="4D4D4F"/>
          <w:w w:val="125"/>
          <w:sz w:val="18"/>
        </w:rPr>
        <w:t>about</w:t>
      </w:r>
      <w:r>
        <w:rPr>
          <w:rFonts w:ascii="Calibri" w:hAnsi="Calibri"/>
          <w:color w:val="4D4D4F"/>
          <w:spacing w:val="-8"/>
          <w:w w:val="125"/>
          <w:sz w:val="18"/>
        </w:rPr>
        <w:t> </w:t>
      </w:r>
      <w:r>
        <w:rPr>
          <w:rFonts w:ascii="Calibri" w:hAnsi="Calibri"/>
          <w:color w:val="4D4D4F"/>
          <w:w w:val="125"/>
          <w:sz w:val="18"/>
        </w:rPr>
        <w:t>5</w:t>
      </w:r>
      <w:r>
        <w:rPr>
          <w:rFonts w:ascii="Calibri" w:hAnsi="Calibri"/>
          <w:color w:val="4D4D4F"/>
          <w:spacing w:val="-9"/>
          <w:w w:val="125"/>
          <w:sz w:val="18"/>
        </w:rPr>
        <w:t> </w:t>
      </w:r>
      <w:r>
        <w:rPr>
          <w:rFonts w:ascii="Calibri" w:hAnsi="Calibri"/>
          <w:color w:val="4D4D4F"/>
          <w:w w:val="125"/>
          <w:sz w:val="18"/>
        </w:rPr>
        <w:t>to</w:t>
      </w:r>
      <w:r>
        <w:rPr>
          <w:rFonts w:ascii="Calibri" w:hAnsi="Calibri"/>
          <w:color w:val="4D4D4F"/>
          <w:spacing w:val="-9"/>
          <w:w w:val="125"/>
          <w:sz w:val="18"/>
        </w:rPr>
        <w:t> </w:t>
      </w:r>
      <w:r>
        <w:rPr>
          <w:rFonts w:ascii="Calibri" w:hAnsi="Calibri"/>
          <w:color w:val="4D4D4F"/>
          <w:w w:val="125"/>
          <w:sz w:val="18"/>
        </w:rPr>
        <w:t>7</w:t>
      </w:r>
      <w:r>
        <w:rPr>
          <w:rFonts w:ascii="Calibri" w:hAnsi="Calibri"/>
          <w:color w:val="4D4D4F"/>
          <w:spacing w:val="-8"/>
          <w:w w:val="125"/>
          <w:sz w:val="18"/>
        </w:rPr>
        <w:t> </w:t>
      </w:r>
      <w:r>
        <w:rPr>
          <w:rFonts w:ascii="Calibri" w:hAnsi="Calibri"/>
          <w:color w:val="4D4D4F"/>
          <w:w w:val="125"/>
          <w:sz w:val="18"/>
        </w:rPr>
        <w:t>days</w:t>
      </w:r>
      <w:r>
        <w:rPr>
          <w:rFonts w:ascii="Calibri" w:hAnsi="Calibri"/>
          <w:color w:val="4D4D4F"/>
          <w:spacing w:val="-9"/>
          <w:w w:val="125"/>
          <w:sz w:val="18"/>
        </w:rPr>
        <w:t> </w:t>
      </w:r>
      <w:r>
        <w:rPr>
          <w:rFonts w:ascii="Calibri" w:hAnsi="Calibri"/>
          <w:color w:val="4D4D4F"/>
          <w:w w:val="125"/>
          <w:sz w:val="18"/>
        </w:rPr>
        <w:t>to</w:t>
      </w:r>
      <w:r>
        <w:rPr>
          <w:rFonts w:ascii="Calibri" w:hAnsi="Calibri"/>
          <w:color w:val="4D4D4F"/>
          <w:spacing w:val="-9"/>
          <w:w w:val="125"/>
          <w:sz w:val="18"/>
        </w:rPr>
        <w:t> </w:t>
      </w:r>
      <w:r>
        <w:rPr>
          <w:rFonts w:ascii="Calibri" w:hAnsi="Calibri"/>
          <w:color w:val="4D4D4F"/>
          <w:w w:val="125"/>
          <w:sz w:val="18"/>
        </w:rPr>
        <w:t>reach</w:t>
      </w:r>
      <w:r>
        <w:rPr>
          <w:rFonts w:ascii="Calibri" w:hAnsi="Calibri"/>
          <w:color w:val="4D4D4F"/>
          <w:spacing w:val="-9"/>
          <w:w w:val="125"/>
          <w:sz w:val="18"/>
        </w:rPr>
        <w:t> </w:t>
      </w:r>
      <w:r>
        <w:rPr>
          <w:rFonts w:ascii="Calibri" w:hAnsi="Calibri"/>
          <w:color w:val="4D4D4F"/>
          <w:w w:val="125"/>
          <w:sz w:val="18"/>
        </w:rPr>
        <w:t>steady-state</w:t>
      </w:r>
      <w:r>
        <w:rPr>
          <w:rFonts w:ascii="Calibri" w:hAnsi="Calibri"/>
          <w:color w:val="4D4D4F"/>
          <w:spacing w:val="-8"/>
          <w:w w:val="125"/>
          <w:sz w:val="18"/>
        </w:rPr>
        <w:t> </w:t>
      </w:r>
      <w:r>
        <w:rPr>
          <w:rFonts w:ascii="Calibri" w:hAnsi="Calibri"/>
          <w:color w:val="4D4D4F"/>
          <w:w w:val="125"/>
          <w:sz w:val="18"/>
        </w:rPr>
        <w:t>plasma</w:t>
      </w:r>
      <w:r>
        <w:rPr>
          <w:rFonts w:ascii="Calibri" w:hAnsi="Calibri"/>
          <w:color w:val="4D4D4F"/>
          <w:spacing w:val="-9"/>
          <w:w w:val="125"/>
          <w:sz w:val="18"/>
        </w:rPr>
        <w:t> </w:t>
      </w:r>
      <w:r>
        <w:rPr>
          <w:rFonts w:ascii="Calibri" w:hAnsi="Calibri"/>
          <w:color w:val="4D4D4F"/>
          <w:w w:val="125"/>
          <w:sz w:val="18"/>
        </w:rPr>
        <w:t>concentrations</w:t>
      </w:r>
      <w:r>
        <w:rPr>
          <w:rFonts w:ascii="Calibri" w:hAnsi="Calibri"/>
          <w:color w:val="4D4D4F"/>
          <w:spacing w:val="-9"/>
          <w:w w:val="125"/>
          <w:sz w:val="18"/>
        </w:rPr>
        <w:t> </w:t>
      </w:r>
      <w:r>
        <w:rPr>
          <w:rFonts w:ascii="Calibri" w:hAnsi="Calibri"/>
          <w:color w:val="4D4D4F"/>
          <w:w w:val="125"/>
          <w:sz w:val="18"/>
        </w:rPr>
        <w:t>after</w:t>
      </w:r>
      <w:r>
        <w:rPr>
          <w:rFonts w:ascii="Calibri" w:hAnsi="Calibri"/>
          <w:color w:val="4D4D4F"/>
          <w:spacing w:val="-8"/>
          <w:w w:val="125"/>
          <w:sz w:val="18"/>
        </w:rPr>
        <w:t> </w:t>
      </w:r>
      <w:r>
        <w:rPr>
          <w:rFonts w:ascii="Calibri" w:hAnsi="Calibri"/>
          <w:color w:val="4D4D4F"/>
          <w:w w:val="125"/>
          <w:sz w:val="18"/>
        </w:rPr>
        <w:t>a</w:t>
      </w:r>
      <w:r>
        <w:rPr>
          <w:rFonts w:ascii="Calibri" w:hAnsi="Calibri"/>
          <w:color w:val="4D4D4F"/>
          <w:spacing w:val="-9"/>
          <w:w w:val="125"/>
          <w:sz w:val="18"/>
        </w:rPr>
        <w:t> </w:t>
      </w:r>
      <w:r>
        <w:rPr>
          <w:rFonts w:ascii="Calibri" w:hAnsi="Calibri"/>
          <w:color w:val="4D4D4F"/>
          <w:w w:val="125"/>
          <w:sz w:val="18"/>
        </w:rPr>
        <w:t>dose</w:t>
      </w:r>
      <w:r>
        <w:rPr>
          <w:rFonts w:ascii="Calibri" w:hAnsi="Calibri"/>
          <w:color w:val="4D4D4F"/>
          <w:spacing w:val="-9"/>
          <w:w w:val="125"/>
          <w:sz w:val="18"/>
        </w:rPr>
        <w:t> </w:t>
      </w:r>
      <w:r>
        <w:rPr>
          <w:rFonts w:ascii="Calibri" w:hAnsi="Calibri"/>
          <w:color w:val="4D4D4F"/>
          <w:w w:val="125"/>
          <w:sz w:val="18"/>
        </w:rPr>
        <w:t>increase.</w:t>
      </w:r>
    </w:p>
    <w:p>
      <w:pPr>
        <w:pStyle w:val="ListParagraph"/>
        <w:numPr>
          <w:ilvl w:val="1"/>
          <w:numId w:val="39"/>
        </w:numPr>
        <w:tabs>
          <w:tab w:pos="784" w:val="left" w:leader="none"/>
        </w:tabs>
        <w:spacing w:line="295" w:lineRule="exact" w:before="0" w:after="0"/>
        <w:ind w:left="783" w:right="0" w:hanging="181"/>
        <w:jc w:val="left"/>
        <w:rPr>
          <w:rFonts w:ascii="Arial" w:hAnsi="Arial"/>
          <w:b/>
          <w:sz w:val="18"/>
        </w:rPr>
      </w:pPr>
      <w:r>
        <w:rPr>
          <w:rFonts w:ascii="Arial" w:hAnsi="Arial"/>
          <w:b/>
          <w:color w:val="4D4D4F"/>
          <w:w w:val="105"/>
          <w:sz w:val="18"/>
        </w:rPr>
        <w:t>Offer psychosocial referrals to help decrease and manage</w:t>
      </w:r>
      <w:r>
        <w:rPr>
          <w:rFonts w:ascii="Arial" w:hAnsi="Arial"/>
          <w:b/>
          <w:color w:val="4D4D4F"/>
          <w:spacing w:val="-15"/>
          <w:w w:val="105"/>
          <w:sz w:val="18"/>
        </w:rPr>
        <w:t> </w:t>
      </w:r>
      <w:r>
        <w:rPr>
          <w:rFonts w:ascii="Arial" w:hAnsi="Arial"/>
          <w:b/>
          <w:color w:val="4D4D4F"/>
          <w:w w:val="105"/>
          <w:sz w:val="18"/>
        </w:rPr>
        <w:t>cravings.</w:t>
      </w:r>
    </w:p>
    <w:p>
      <w:pPr>
        <w:pStyle w:val="ListParagraph"/>
        <w:numPr>
          <w:ilvl w:val="0"/>
          <w:numId w:val="39"/>
        </w:numPr>
        <w:tabs>
          <w:tab w:pos="604" w:val="left" w:leader="none"/>
        </w:tabs>
        <w:spacing w:line="295" w:lineRule="exact" w:before="8" w:after="0"/>
        <w:ind w:left="603" w:right="0" w:hanging="181"/>
        <w:jc w:val="left"/>
        <w:rPr>
          <w:rFonts w:ascii="Arial" w:hAnsi="Arial"/>
          <w:b/>
          <w:sz w:val="18"/>
        </w:rPr>
      </w:pPr>
      <w:r>
        <w:rPr>
          <w:rFonts w:ascii="Arial" w:hAnsi="Arial"/>
          <w:b/>
          <w:color w:val="4D4D4F"/>
          <w:w w:val="110"/>
          <w:sz w:val="18"/>
        </w:rPr>
        <w:t>Determine whether nonpharmacological problems are contributing to the need for</w:t>
      </w:r>
      <w:r>
        <w:rPr>
          <w:rFonts w:ascii="Arial" w:hAnsi="Arial"/>
          <w:b/>
          <w:color w:val="4D4D4F"/>
          <w:spacing w:val="-16"/>
          <w:w w:val="110"/>
          <w:sz w:val="18"/>
        </w:rPr>
        <w:t> </w:t>
      </w:r>
      <w:r>
        <w:rPr>
          <w:rFonts w:ascii="Arial" w:hAnsi="Arial"/>
          <w:b/>
          <w:color w:val="4D4D4F"/>
          <w:w w:val="110"/>
          <w:sz w:val="18"/>
        </w:rPr>
        <w:t>increase.</w:t>
      </w:r>
    </w:p>
    <w:p>
      <w:pPr>
        <w:pStyle w:val="ListParagraph"/>
        <w:numPr>
          <w:ilvl w:val="1"/>
          <w:numId w:val="39"/>
        </w:numPr>
        <w:tabs>
          <w:tab w:pos="784" w:val="left" w:leader="none"/>
        </w:tabs>
        <w:spacing w:line="213" w:lineRule="auto" w:before="0" w:after="0"/>
        <w:ind w:left="783" w:right="831" w:hanging="180"/>
        <w:jc w:val="left"/>
        <w:rPr>
          <w:rFonts w:ascii="Calibri" w:hAnsi="Calibri"/>
          <w:sz w:val="18"/>
        </w:rPr>
      </w:pPr>
      <w:r>
        <w:rPr>
          <w:rFonts w:ascii="Calibri" w:hAnsi="Calibri"/>
          <w:color w:val="4D4D4F"/>
          <w:w w:val="125"/>
          <w:sz w:val="18"/>
        </w:rPr>
        <w:t>For</w:t>
      </w:r>
      <w:r>
        <w:rPr>
          <w:rFonts w:ascii="Calibri" w:hAnsi="Calibri"/>
          <w:color w:val="4D4D4F"/>
          <w:spacing w:val="-11"/>
          <w:w w:val="125"/>
          <w:sz w:val="18"/>
        </w:rPr>
        <w:t> </w:t>
      </w:r>
      <w:r>
        <w:rPr>
          <w:rFonts w:ascii="Calibri" w:hAnsi="Calibri"/>
          <w:color w:val="4D4D4F"/>
          <w:w w:val="125"/>
          <w:sz w:val="18"/>
        </w:rPr>
        <w:t>example,</w:t>
      </w:r>
      <w:r>
        <w:rPr>
          <w:rFonts w:ascii="Calibri" w:hAnsi="Calibri"/>
          <w:color w:val="4D4D4F"/>
          <w:spacing w:val="-10"/>
          <w:w w:val="125"/>
          <w:sz w:val="18"/>
        </w:rPr>
        <w:t> </w:t>
      </w:r>
      <w:r>
        <w:rPr>
          <w:rFonts w:ascii="Calibri" w:hAnsi="Calibri"/>
          <w:color w:val="4D4D4F"/>
          <w:w w:val="125"/>
          <w:sz w:val="18"/>
        </w:rPr>
        <w:t>do</w:t>
      </w:r>
      <w:r>
        <w:rPr>
          <w:rFonts w:ascii="Calibri" w:hAnsi="Calibri"/>
          <w:color w:val="4D4D4F"/>
          <w:spacing w:val="-10"/>
          <w:w w:val="125"/>
          <w:sz w:val="18"/>
        </w:rPr>
        <w:t> </w:t>
      </w:r>
      <w:r>
        <w:rPr>
          <w:rFonts w:ascii="Calibri" w:hAnsi="Calibri"/>
          <w:color w:val="4D4D4F"/>
          <w:w w:val="125"/>
          <w:sz w:val="18"/>
        </w:rPr>
        <w:t>patients</w:t>
      </w:r>
      <w:r>
        <w:rPr>
          <w:rFonts w:ascii="Calibri" w:hAnsi="Calibri"/>
          <w:color w:val="4D4D4F"/>
          <w:spacing w:val="-11"/>
          <w:w w:val="125"/>
          <w:sz w:val="18"/>
        </w:rPr>
        <w:t> </w:t>
      </w:r>
      <w:r>
        <w:rPr>
          <w:rFonts w:ascii="Calibri" w:hAnsi="Calibri"/>
          <w:color w:val="4D4D4F"/>
          <w:w w:val="125"/>
          <w:sz w:val="18"/>
        </w:rPr>
        <w:t>show</w:t>
      </w:r>
      <w:r>
        <w:rPr>
          <w:rFonts w:ascii="Calibri" w:hAnsi="Calibri"/>
          <w:color w:val="4D4D4F"/>
          <w:spacing w:val="-10"/>
          <w:w w:val="125"/>
          <w:sz w:val="18"/>
        </w:rPr>
        <w:t> </w:t>
      </w:r>
      <w:r>
        <w:rPr>
          <w:rFonts w:ascii="Calibri" w:hAnsi="Calibri"/>
          <w:color w:val="4D4D4F"/>
          <w:w w:val="125"/>
          <w:sz w:val="18"/>
        </w:rPr>
        <w:t>signs</w:t>
      </w:r>
      <w:r>
        <w:rPr>
          <w:rFonts w:ascii="Calibri" w:hAnsi="Calibri"/>
          <w:color w:val="4D4D4F"/>
          <w:spacing w:val="-10"/>
          <w:w w:val="125"/>
          <w:sz w:val="18"/>
        </w:rPr>
        <w:t> </w:t>
      </w:r>
      <w:r>
        <w:rPr>
          <w:rFonts w:ascii="Calibri" w:hAnsi="Calibri"/>
          <w:color w:val="4D4D4F"/>
          <w:w w:val="125"/>
          <w:sz w:val="18"/>
        </w:rPr>
        <w:t>and</w:t>
      </w:r>
      <w:r>
        <w:rPr>
          <w:rFonts w:ascii="Calibri" w:hAnsi="Calibri"/>
          <w:color w:val="4D4D4F"/>
          <w:spacing w:val="-10"/>
          <w:w w:val="125"/>
          <w:sz w:val="18"/>
        </w:rPr>
        <w:t> </w:t>
      </w:r>
      <w:r>
        <w:rPr>
          <w:rFonts w:ascii="Calibri" w:hAnsi="Calibri"/>
          <w:color w:val="4D4D4F"/>
          <w:w w:val="125"/>
          <w:sz w:val="18"/>
        </w:rPr>
        <w:t>symptoms</w:t>
      </w:r>
      <w:r>
        <w:rPr>
          <w:rFonts w:ascii="Calibri" w:hAnsi="Calibri"/>
          <w:color w:val="4D4D4F"/>
          <w:spacing w:val="-11"/>
          <w:w w:val="125"/>
          <w:sz w:val="18"/>
        </w:rPr>
        <w:t> </w:t>
      </w:r>
      <w:r>
        <w:rPr>
          <w:rFonts w:ascii="Calibri" w:hAnsi="Calibri"/>
          <w:color w:val="4D4D4F"/>
          <w:w w:val="125"/>
          <w:sz w:val="18"/>
        </w:rPr>
        <w:t>of</w:t>
      </w:r>
      <w:r>
        <w:rPr>
          <w:rFonts w:ascii="Calibri" w:hAnsi="Calibri"/>
          <w:color w:val="4D4D4F"/>
          <w:spacing w:val="-10"/>
          <w:w w:val="125"/>
          <w:sz w:val="18"/>
        </w:rPr>
        <w:t> </w:t>
      </w:r>
      <w:r>
        <w:rPr>
          <w:rFonts w:ascii="Calibri" w:hAnsi="Calibri"/>
          <w:color w:val="4D4D4F"/>
          <w:w w:val="125"/>
          <w:sz w:val="18"/>
        </w:rPr>
        <w:t>untreated</w:t>
      </w:r>
      <w:r>
        <w:rPr>
          <w:rFonts w:ascii="Calibri" w:hAnsi="Calibri"/>
          <w:color w:val="4D4D4F"/>
          <w:spacing w:val="-10"/>
          <w:w w:val="125"/>
          <w:sz w:val="18"/>
        </w:rPr>
        <w:t> </w:t>
      </w:r>
      <w:r>
        <w:rPr>
          <w:rFonts w:ascii="Calibri" w:hAnsi="Calibri"/>
          <w:color w:val="4D4D4F"/>
          <w:w w:val="125"/>
          <w:sz w:val="18"/>
        </w:rPr>
        <w:t>major</w:t>
      </w:r>
      <w:r>
        <w:rPr>
          <w:rFonts w:ascii="Calibri" w:hAnsi="Calibri"/>
          <w:color w:val="4D4D4F"/>
          <w:spacing w:val="-10"/>
          <w:w w:val="125"/>
          <w:sz w:val="18"/>
        </w:rPr>
        <w:t> </w:t>
      </w:r>
      <w:r>
        <w:rPr>
          <w:rFonts w:ascii="Calibri" w:hAnsi="Calibri"/>
          <w:color w:val="4D4D4F"/>
          <w:w w:val="125"/>
          <w:sz w:val="18"/>
        </w:rPr>
        <w:t>depressive</w:t>
      </w:r>
      <w:r>
        <w:rPr>
          <w:rFonts w:ascii="Calibri" w:hAnsi="Calibri"/>
          <w:color w:val="4D4D4F"/>
          <w:spacing w:val="-11"/>
          <w:w w:val="125"/>
          <w:sz w:val="18"/>
        </w:rPr>
        <w:t> </w:t>
      </w:r>
      <w:r>
        <w:rPr>
          <w:rFonts w:ascii="Calibri" w:hAnsi="Calibri"/>
          <w:color w:val="4D4D4F"/>
          <w:w w:val="125"/>
          <w:sz w:val="18"/>
        </w:rPr>
        <w:t>or</w:t>
      </w:r>
      <w:r>
        <w:rPr>
          <w:rFonts w:ascii="Calibri" w:hAnsi="Calibri"/>
          <w:color w:val="4D4D4F"/>
          <w:spacing w:val="-10"/>
          <w:w w:val="125"/>
          <w:sz w:val="18"/>
        </w:rPr>
        <w:t> </w:t>
      </w:r>
      <w:r>
        <w:rPr>
          <w:rFonts w:ascii="Calibri" w:hAnsi="Calibri"/>
          <w:color w:val="4D4D4F"/>
          <w:w w:val="125"/>
          <w:sz w:val="18"/>
        </w:rPr>
        <w:t>generalized anxiety</w:t>
      </w:r>
      <w:r>
        <w:rPr>
          <w:rFonts w:ascii="Calibri" w:hAnsi="Calibri"/>
          <w:color w:val="4D4D4F"/>
          <w:spacing w:val="-9"/>
          <w:w w:val="125"/>
          <w:sz w:val="18"/>
        </w:rPr>
        <w:t> </w:t>
      </w:r>
      <w:r>
        <w:rPr>
          <w:rFonts w:ascii="Calibri" w:hAnsi="Calibri"/>
          <w:color w:val="4D4D4F"/>
          <w:w w:val="125"/>
          <w:sz w:val="18"/>
        </w:rPr>
        <w:t>disorders?</w:t>
      </w:r>
      <w:r>
        <w:rPr>
          <w:rFonts w:ascii="Calibri" w:hAnsi="Calibri"/>
          <w:color w:val="4D4D4F"/>
          <w:spacing w:val="-8"/>
          <w:w w:val="125"/>
          <w:sz w:val="18"/>
        </w:rPr>
        <w:t> </w:t>
      </w:r>
      <w:r>
        <w:rPr>
          <w:rFonts w:ascii="Calibri" w:hAnsi="Calibri"/>
          <w:color w:val="4D4D4F"/>
          <w:w w:val="125"/>
          <w:sz w:val="18"/>
        </w:rPr>
        <w:t>Are</w:t>
      </w:r>
      <w:r>
        <w:rPr>
          <w:rFonts w:ascii="Calibri" w:hAnsi="Calibri"/>
          <w:color w:val="4D4D4F"/>
          <w:spacing w:val="-9"/>
          <w:w w:val="125"/>
          <w:sz w:val="18"/>
        </w:rPr>
        <w:t> </w:t>
      </w:r>
      <w:r>
        <w:rPr>
          <w:rFonts w:ascii="Calibri" w:hAnsi="Calibri"/>
          <w:color w:val="4D4D4F"/>
          <w:w w:val="125"/>
          <w:sz w:val="18"/>
        </w:rPr>
        <w:t>they</w:t>
      </w:r>
      <w:r>
        <w:rPr>
          <w:rFonts w:ascii="Calibri" w:hAnsi="Calibri"/>
          <w:color w:val="4D4D4F"/>
          <w:spacing w:val="-8"/>
          <w:w w:val="125"/>
          <w:sz w:val="18"/>
        </w:rPr>
        <w:t> </w:t>
      </w:r>
      <w:r>
        <w:rPr>
          <w:rFonts w:ascii="Calibri" w:hAnsi="Calibri"/>
          <w:color w:val="4D4D4F"/>
          <w:w w:val="125"/>
          <w:sz w:val="18"/>
        </w:rPr>
        <w:t>living</w:t>
      </w:r>
      <w:r>
        <w:rPr>
          <w:rFonts w:ascii="Calibri" w:hAnsi="Calibri"/>
          <w:color w:val="4D4D4F"/>
          <w:spacing w:val="-8"/>
          <w:w w:val="125"/>
          <w:sz w:val="18"/>
        </w:rPr>
        <w:t> </w:t>
      </w:r>
      <w:r>
        <w:rPr>
          <w:rFonts w:ascii="Calibri" w:hAnsi="Calibri"/>
          <w:color w:val="4D4D4F"/>
          <w:w w:val="125"/>
          <w:sz w:val="18"/>
        </w:rPr>
        <w:t>in</w:t>
      </w:r>
      <w:r>
        <w:rPr>
          <w:rFonts w:ascii="Calibri" w:hAnsi="Calibri"/>
          <w:color w:val="4D4D4F"/>
          <w:spacing w:val="-9"/>
          <w:w w:val="125"/>
          <w:sz w:val="18"/>
        </w:rPr>
        <w:t> </w:t>
      </w:r>
      <w:r>
        <w:rPr>
          <w:rFonts w:ascii="Calibri" w:hAnsi="Calibri"/>
          <w:color w:val="4D4D4F"/>
          <w:w w:val="125"/>
          <w:sz w:val="18"/>
        </w:rPr>
        <w:t>a</w:t>
      </w:r>
      <w:r>
        <w:rPr>
          <w:rFonts w:ascii="Calibri" w:hAnsi="Calibri"/>
          <w:color w:val="4D4D4F"/>
          <w:spacing w:val="-8"/>
          <w:w w:val="125"/>
          <w:sz w:val="18"/>
        </w:rPr>
        <w:t> </w:t>
      </w:r>
      <w:r>
        <w:rPr>
          <w:rFonts w:ascii="Calibri" w:hAnsi="Calibri"/>
          <w:color w:val="4D4D4F"/>
          <w:w w:val="125"/>
          <w:sz w:val="18"/>
        </w:rPr>
        <w:t>chaotic</w:t>
      </w:r>
      <w:r>
        <w:rPr>
          <w:rFonts w:ascii="Calibri" w:hAnsi="Calibri"/>
          <w:color w:val="4D4D4F"/>
          <w:spacing w:val="-8"/>
          <w:w w:val="125"/>
          <w:sz w:val="18"/>
        </w:rPr>
        <w:t> </w:t>
      </w:r>
      <w:r>
        <w:rPr>
          <w:rFonts w:ascii="Calibri" w:hAnsi="Calibri"/>
          <w:color w:val="4D4D4F"/>
          <w:w w:val="125"/>
          <w:sz w:val="18"/>
        </w:rPr>
        <w:t>household?</w:t>
      </w:r>
      <w:r>
        <w:rPr>
          <w:rFonts w:ascii="Calibri" w:hAnsi="Calibri"/>
          <w:color w:val="4D4D4F"/>
          <w:spacing w:val="-9"/>
          <w:w w:val="125"/>
          <w:sz w:val="18"/>
        </w:rPr>
        <w:t> </w:t>
      </w:r>
      <w:r>
        <w:rPr>
          <w:rFonts w:ascii="Calibri" w:hAnsi="Calibri"/>
          <w:color w:val="4D4D4F"/>
          <w:w w:val="125"/>
          <w:sz w:val="18"/>
        </w:rPr>
        <w:t>Do</w:t>
      </w:r>
      <w:r>
        <w:rPr>
          <w:rFonts w:ascii="Calibri" w:hAnsi="Calibri"/>
          <w:color w:val="4D4D4F"/>
          <w:spacing w:val="-8"/>
          <w:w w:val="125"/>
          <w:sz w:val="18"/>
        </w:rPr>
        <w:t> </w:t>
      </w:r>
      <w:r>
        <w:rPr>
          <w:rFonts w:ascii="Calibri" w:hAnsi="Calibri"/>
          <w:color w:val="4D4D4F"/>
          <w:w w:val="125"/>
          <w:sz w:val="18"/>
        </w:rPr>
        <w:t>they</w:t>
      </w:r>
      <w:r>
        <w:rPr>
          <w:rFonts w:ascii="Calibri" w:hAnsi="Calibri"/>
          <w:color w:val="4D4D4F"/>
          <w:spacing w:val="-8"/>
          <w:w w:val="125"/>
          <w:sz w:val="18"/>
        </w:rPr>
        <w:t> </w:t>
      </w:r>
      <w:r>
        <w:rPr>
          <w:rFonts w:ascii="Calibri" w:hAnsi="Calibri"/>
          <w:color w:val="4D4D4F"/>
          <w:w w:val="125"/>
          <w:sz w:val="18"/>
        </w:rPr>
        <w:t>have</w:t>
      </w:r>
      <w:r>
        <w:rPr>
          <w:rFonts w:ascii="Calibri" w:hAnsi="Calibri"/>
          <w:color w:val="4D4D4F"/>
          <w:spacing w:val="-9"/>
          <w:w w:val="125"/>
          <w:sz w:val="18"/>
        </w:rPr>
        <w:t> </w:t>
      </w:r>
      <w:r>
        <w:rPr>
          <w:rFonts w:ascii="Calibri" w:hAnsi="Calibri"/>
          <w:color w:val="4D4D4F"/>
          <w:w w:val="125"/>
          <w:sz w:val="18"/>
        </w:rPr>
        <w:t>childcare</w:t>
      </w:r>
      <w:r>
        <w:rPr>
          <w:rFonts w:ascii="Calibri" w:hAnsi="Calibri"/>
          <w:color w:val="4D4D4F"/>
          <w:spacing w:val="-8"/>
          <w:w w:val="125"/>
          <w:sz w:val="18"/>
        </w:rPr>
        <w:t> </w:t>
      </w:r>
      <w:r>
        <w:rPr>
          <w:rFonts w:ascii="Calibri" w:hAnsi="Calibri"/>
          <w:color w:val="4D4D4F"/>
          <w:w w:val="125"/>
          <w:sz w:val="18"/>
        </w:rPr>
        <w:t>problems</w:t>
      </w:r>
      <w:r>
        <w:rPr>
          <w:rFonts w:ascii="Calibri" w:hAnsi="Calibri"/>
          <w:color w:val="4D4D4F"/>
          <w:spacing w:val="-8"/>
          <w:w w:val="125"/>
          <w:sz w:val="18"/>
        </w:rPr>
        <w:t> </w:t>
      </w:r>
      <w:r>
        <w:rPr>
          <w:rFonts w:ascii="Calibri" w:hAnsi="Calibri"/>
          <w:color w:val="4D4D4F"/>
          <w:w w:val="125"/>
          <w:sz w:val="18"/>
        </w:rPr>
        <w:t>or</w:t>
      </w:r>
    </w:p>
    <w:p>
      <w:pPr>
        <w:spacing w:line="219" w:lineRule="exact" w:before="23"/>
        <w:ind w:left="783" w:right="0" w:firstLine="0"/>
        <w:jc w:val="left"/>
        <w:rPr>
          <w:rFonts w:ascii="Calibri" w:hAnsi="Calibri"/>
          <w:sz w:val="18"/>
        </w:rPr>
      </w:pPr>
      <w:r>
        <w:rPr>
          <w:rFonts w:ascii="Calibri" w:hAnsi="Calibri"/>
          <w:color w:val="4D4D4F"/>
          <w:w w:val="125"/>
          <w:sz w:val="18"/>
        </w:rPr>
        <w:t>ﬁnancial difﬁculties? Are they experiencing trauma or trauma-related mental disorders?</w:t>
      </w:r>
    </w:p>
    <w:p>
      <w:pPr>
        <w:pStyle w:val="ListParagraph"/>
        <w:numPr>
          <w:ilvl w:val="1"/>
          <w:numId w:val="39"/>
        </w:numPr>
        <w:tabs>
          <w:tab w:pos="784" w:val="left" w:leader="none"/>
        </w:tabs>
        <w:spacing w:line="321" w:lineRule="exact" w:before="0" w:after="0"/>
        <w:ind w:left="783" w:right="0" w:hanging="181"/>
        <w:jc w:val="left"/>
        <w:rPr>
          <w:rFonts w:ascii="Arial" w:hAnsi="Arial"/>
          <w:b/>
          <w:sz w:val="18"/>
        </w:rPr>
      </w:pPr>
      <w:r>
        <w:rPr>
          <w:rFonts w:ascii="Arial" w:hAnsi="Arial"/>
          <w:b/>
          <w:color w:val="4D4D4F"/>
          <w:w w:val="110"/>
          <w:sz w:val="18"/>
        </w:rPr>
        <w:t>Address</w:t>
      </w:r>
      <w:r>
        <w:rPr>
          <w:rFonts w:ascii="Arial" w:hAnsi="Arial"/>
          <w:b/>
          <w:color w:val="4D4D4F"/>
          <w:spacing w:val="-6"/>
          <w:w w:val="110"/>
          <w:sz w:val="18"/>
        </w:rPr>
        <w:t> </w:t>
      </w:r>
      <w:r>
        <w:rPr>
          <w:rFonts w:ascii="Arial" w:hAnsi="Arial"/>
          <w:b/>
          <w:color w:val="4D4D4F"/>
          <w:w w:val="110"/>
          <w:sz w:val="18"/>
        </w:rPr>
        <w:t>or</w:t>
      </w:r>
      <w:r>
        <w:rPr>
          <w:rFonts w:ascii="Arial" w:hAnsi="Arial"/>
          <w:b/>
          <w:color w:val="4D4D4F"/>
          <w:spacing w:val="-6"/>
          <w:w w:val="110"/>
          <w:sz w:val="18"/>
        </w:rPr>
        <w:t> </w:t>
      </w:r>
      <w:r>
        <w:rPr>
          <w:rFonts w:ascii="Arial" w:hAnsi="Arial"/>
          <w:b/>
          <w:color w:val="4D4D4F"/>
          <w:w w:val="110"/>
          <w:sz w:val="18"/>
        </w:rPr>
        <w:t>refer</w:t>
      </w:r>
      <w:r>
        <w:rPr>
          <w:rFonts w:ascii="Arial" w:hAnsi="Arial"/>
          <w:b/>
          <w:color w:val="4D4D4F"/>
          <w:spacing w:val="-5"/>
          <w:w w:val="110"/>
          <w:sz w:val="18"/>
        </w:rPr>
        <w:t> </w:t>
      </w:r>
      <w:r>
        <w:rPr>
          <w:rFonts w:ascii="Arial" w:hAnsi="Arial"/>
          <w:b/>
          <w:color w:val="4D4D4F"/>
          <w:w w:val="110"/>
          <w:sz w:val="18"/>
        </w:rPr>
        <w:t>to</w:t>
      </w:r>
      <w:r>
        <w:rPr>
          <w:rFonts w:ascii="Arial" w:hAnsi="Arial"/>
          <w:b/>
          <w:color w:val="4D4D4F"/>
          <w:spacing w:val="-6"/>
          <w:w w:val="110"/>
          <w:sz w:val="18"/>
        </w:rPr>
        <w:t> </w:t>
      </w:r>
      <w:r>
        <w:rPr>
          <w:rFonts w:ascii="Arial" w:hAnsi="Arial"/>
          <w:b/>
          <w:color w:val="4D4D4F"/>
          <w:w w:val="110"/>
          <w:sz w:val="18"/>
        </w:rPr>
        <w:t>counseling</w:t>
      </w:r>
      <w:r>
        <w:rPr>
          <w:rFonts w:ascii="Arial" w:hAnsi="Arial"/>
          <w:b/>
          <w:color w:val="4D4D4F"/>
          <w:spacing w:val="-6"/>
          <w:w w:val="110"/>
          <w:sz w:val="18"/>
        </w:rPr>
        <w:t> </w:t>
      </w:r>
      <w:r>
        <w:rPr>
          <w:rFonts w:ascii="Arial" w:hAnsi="Arial"/>
          <w:b/>
          <w:color w:val="4D4D4F"/>
          <w:w w:val="110"/>
          <w:sz w:val="18"/>
        </w:rPr>
        <w:t>to</w:t>
      </w:r>
      <w:r>
        <w:rPr>
          <w:rFonts w:ascii="Arial" w:hAnsi="Arial"/>
          <w:b/>
          <w:color w:val="4D4D4F"/>
          <w:spacing w:val="-5"/>
          <w:w w:val="110"/>
          <w:sz w:val="18"/>
        </w:rPr>
        <w:t> </w:t>
      </w:r>
      <w:r>
        <w:rPr>
          <w:rFonts w:ascii="Arial" w:hAnsi="Arial"/>
          <w:b/>
          <w:color w:val="4D4D4F"/>
          <w:w w:val="110"/>
          <w:sz w:val="18"/>
        </w:rPr>
        <w:t>address</w:t>
      </w:r>
      <w:r>
        <w:rPr>
          <w:rFonts w:ascii="Arial" w:hAnsi="Arial"/>
          <w:b/>
          <w:color w:val="4D4D4F"/>
          <w:spacing w:val="-6"/>
          <w:w w:val="110"/>
          <w:sz w:val="18"/>
        </w:rPr>
        <w:t> </w:t>
      </w:r>
      <w:r>
        <w:rPr>
          <w:rFonts w:ascii="Arial" w:hAnsi="Arial"/>
          <w:b/>
          <w:color w:val="4D4D4F"/>
          <w:w w:val="110"/>
          <w:sz w:val="18"/>
        </w:rPr>
        <w:t>these</w:t>
      </w:r>
      <w:r>
        <w:rPr>
          <w:rFonts w:ascii="Arial" w:hAnsi="Arial"/>
          <w:b/>
          <w:color w:val="4D4D4F"/>
          <w:spacing w:val="-6"/>
          <w:w w:val="110"/>
          <w:sz w:val="18"/>
        </w:rPr>
        <w:t> </w:t>
      </w:r>
      <w:r>
        <w:rPr>
          <w:rFonts w:ascii="Arial" w:hAnsi="Arial"/>
          <w:b/>
          <w:color w:val="4D4D4F"/>
          <w:w w:val="110"/>
          <w:sz w:val="18"/>
        </w:rPr>
        <w:t>problems.</w:t>
      </w:r>
    </w:p>
    <w:p>
      <w:pPr>
        <w:pStyle w:val="Heading4"/>
        <w:spacing w:before="65"/>
        <w:ind w:left="423"/>
      </w:pPr>
      <w:r>
        <w:rPr>
          <w:color w:val="137692"/>
          <w:w w:val="115"/>
        </w:rPr>
        <w:t>When to decrease the dose:</w:t>
      </w:r>
    </w:p>
    <w:p>
      <w:pPr>
        <w:pStyle w:val="ListParagraph"/>
        <w:numPr>
          <w:ilvl w:val="0"/>
          <w:numId w:val="39"/>
        </w:numPr>
        <w:tabs>
          <w:tab w:pos="604" w:val="left" w:leader="none"/>
        </w:tabs>
        <w:spacing w:line="213" w:lineRule="auto" w:before="49" w:after="0"/>
        <w:ind w:left="603" w:right="1095" w:hanging="180"/>
        <w:jc w:val="left"/>
        <w:rPr>
          <w:rFonts w:ascii="Calibri" w:hAnsi="Calibri"/>
          <w:sz w:val="18"/>
        </w:rPr>
      </w:pPr>
      <w:r>
        <w:rPr>
          <w:rFonts w:ascii="Calibri" w:hAnsi="Calibri"/>
          <w:color w:val="4D4D4F"/>
          <w:w w:val="120"/>
          <w:sz w:val="18"/>
        </w:rPr>
        <w:t>Decrease</w:t>
      </w:r>
      <w:r>
        <w:rPr>
          <w:rFonts w:ascii="Calibri" w:hAnsi="Calibri"/>
          <w:color w:val="4D4D4F"/>
          <w:spacing w:val="-21"/>
          <w:w w:val="120"/>
          <w:sz w:val="18"/>
        </w:rPr>
        <w:t> </w:t>
      </w:r>
      <w:r>
        <w:rPr>
          <w:rFonts w:ascii="Calibri" w:hAnsi="Calibri"/>
          <w:color w:val="4D4D4F"/>
          <w:w w:val="120"/>
          <w:sz w:val="18"/>
        </w:rPr>
        <w:t>the</w:t>
      </w:r>
      <w:r>
        <w:rPr>
          <w:rFonts w:ascii="Calibri" w:hAnsi="Calibri"/>
          <w:color w:val="4D4D4F"/>
          <w:spacing w:val="-20"/>
          <w:w w:val="120"/>
          <w:sz w:val="18"/>
        </w:rPr>
        <w:t> </w:t>
      </w:r>
      <w:r>
        <w:rPr>
          <w:rFonts w:ascii="Calibri" w:hAnsi="Calibri"/>
          <w:color w:val="4D4D4F"/>
          <w:w w:val="120"/>
          <w:sz w:val="18"/>
        </w:rPr>
        <w:t>dose</w:t>
      </w:r>
      <w:r>
        <w:rPr>
          <w:rFonts w:ascii="Calibri" w:hAnsi="Calibri"/>
          <w:color w:val="4D4D4F"/>
          <w:spacing w:val="-20"/>
          <w:w w:val="120"/>
          <w:sz w:val="18"/>
        </w:rPr>
        <w:t> </w:t>
      </w:r>
      <w:r>
        <w:rPr>
          <w:rFonts w:ascii="Arial" w:hAnsi="Arial"/>
          <w:b/>
          <w:color w:val="4D4D4F"/>
          <w:w w:val="120"/>
          <w:sz w:val="18"/>
        </w:rPr>
        <w:t>when</w:t>
      </w:r>
      <w:r>
        <w:rPr>
          <w:rFonts w:ascii="Arial" w:hAnsi="Arial"/>
          <w:b/>
          <w:color w:val="4D4D4F"/>
          <w:spacing w:val="-30"/>
          <w:w w:val="120"/>
          <w:sz w:val="18"/>
        </w:rPr>
        <w:t> </w:t>
      </w:r>
      <w:r>
        <w:rPr>
          <w:rFonts w:ascii="Arial" w:hAnsi="Arial"/>
          <w:b/>
          <w:color w:val="4D4D4F"/>
          <w:w w:val="120"/>
          <w:sz w:val="18"/>
        </w:rPr>
        <w:t>there</w:t>
      </w:r>
      <w:r>
        <w:rPr>
          <w:rFonts w:ascii="Arial" w:hAnsi="Arial"/>
          <w:b/>
          <w:color w:val="4D4D4F"/>
          <w:spacing w:val="-29"/>
          <w:w w:val="120"/>
          <w:sz w:val="18"/>
        </w:rPr>
        <w:t> </w:t>
      </w:r>
      <w:r>
        <w:rPr>
          <w:rFonts w:ascii="Arial" w:hAnsi="Arial"/>
          <w:b/>
          <w:color w:val="4D4D4F"/>
          <w:w w:val="120"/>
          <w:sz w:val="18"/>
        </w:rPr>
        <w:t>is</w:t>
      </w:r>
      <w:r>
        <w:rPr>
          <w:rFonts w:ascii="Arial" w:hAnsi="Arial"/>
          <w:b/>
          <w:color w:val="4D4D4F"/>
          <w:spacing w:val="-30"/>
          <w:w w:val="120"/>
          <w:sz w:val="18"/>
        </w:rPr>
        <w:t> </w:t>
      </w:r>
      <w:r>
        <w:rPr>
          <w:rFonts w:ascii="Arial" w:hAnsi="Arial"/>
          <w:b/>
          <w:color w:val="4D4D4F"/>
          <w:w w:val="120"/>
          <w:sz w:val="18"/>
        </w:rPr>
        <w:t>evidence</w:t>
      </w:r>
      <w:r>
        <w:rPr>
          <w:rFonts w:ascii="Arial" w:hAnsi="Arial"/>
          <w:b/>
          <w:color w:val="4D4D4F"/>
          <w:spacing w:val="-29"/>
          <w:w w:val="120"/>
          <w:sz w:val="18"/>
        </w:rPr>
        <w:t> </w:t>
      </w:r>
      <w:r>
        <w:rPr>
          <w:rFonts w:ascii="Arial" w:hAnsi="Arial"/>
          <w:b/>
          <w:color w:val="4D4D4F"/>
          <w:w w:val="120"/>
          <w:sz w:val="18"/>
        </w:rPr>
        <w:t>of</w:t>
      </w:r>
      <w:r>
        <w:rPr>
          <w:rFonts w:ascii="Arial" w:hAnsi="Arial"/>
          <w:b/>
          <w:color w:val="4D4D4F"/>
          <w:spacing w:val="-29"/>
          <w:w w:val="120"/>
          <w:sz w:val="18"/>
        </w:rPr>
        <w:t> </w:t>
      </w:r>
      <w:r>
        <w:rPr>
          <w:rFonts w:ascii="Arial" w:hAnsi="Arial"/>
          <w:b/>
          <w:color w:val="4D4D4F"/>
          <w:w w:val="120"/>
          <w:sz w:val="18"/>
        </w:rPr>
        <w:t>dose</w:t>
      </w:r>
      <w:r>
        <w:rPr>
          <w:rFonts w:ascii="Arial" w:hAnsi="Arial"/>
          <w:b/>
          <w:color w:val="4D4D4F"/>
          <w:spacing w:val="-30"/>
          <w:w w:val="120"/>
          <w:sz w:val="18"/>
        </w:rPr>
        <w:t> </w:t>
      </w:r>
      <w:r>
        <w:rPr>
          <w:rFonts w:ascii="Arial" w:hAnsi="Arial"/>
          <w:b/>
          <w:color w:val="4D4D4F"/>
          <w:w w:val="120"/>
          <w:sz w:val="18"/>
        </w:rPr>
        <w:t>toxicity</w:t>
      </w:r>
      <w:r>
        <w:rPr>
          <w:rFonts w:ascii="Arial" w:hAnsi="Arial"/>
          <w:b/>
          <w:color w:val="4D4D4F"/>
          <w:spacing w:val="-31"/>
          <w:w w:val="120"/>
          <w:sz w:val="18"/>
        </w:rPr>
        <w:t> </w:t>
      </w:r>
      <w:r>
        <w:rPr>
          <w:rFonts w:ascii="Calibri" w:hAnsi="Calibri"/>
          <w:color w:val="4D4D4F"/>
          <w:w w:val="120"/>
          <w:sz w:val="18"/>
        </w:rPr>
        <w:t>(i.e.,</w:t>
      </w:r>
      <w:r>
        <w:rPr>
          <w:rFonts w:ascii="Calibri" w:hAnsi="Calibri"/>
          <w:color w:val="4D4D4F"/>
          <w:spacing w:val="-20"/>
          <w:w w:val="120"/>
          <w:sz w:val="18"/>
        </w:rPr>
        <w:t> </w:t>
      </w:r>
      <w:r>
        <w:rPr>
          <w:rFonts w:ascii="Calibri" w:hAnsi="Calibri"/>
          <w:color w:val="4D4D4F"/>
          <w:w w:val="120"/>
          <w:sz w:val="18"/>
        </w:rPr>
        <w:t>sedation</w:t>
      </w:r>
      <w:r>
        <w:rPr>
          <w:rFonts w:ascii="Calibri" w:hAnsi="Calibri"/>
          <w:color w:val="4D4D4F"/>
          <w:spacing w:val="-21"/>
          <w:w w:val="120"/>
          <w:sz w:val="18"/>
        </w:rPr>
        <w:t> </w:t>
      </w:r>
      <w:r>
        <w:rPr>
          <w:rFonts w:ascii="Calibri" w:hAnsi="Calibri"/>
          <w:color w:val="4D4D4F"/>
          <w:w w:val="120"/>
          <w:sz w:val="18"/>
        </w:rPr>
        <w:t>or,</w:t>
      </w:r>
      <w:r>
        <w:rPr>
          <w:rFonts w:ascii="Calibri" w:hAnsi="Calibri"/>
          <w:color w:val="4D4D4F"/>
          <w:spacing w:val="-20"/>
          <w:w w:val="120"/>
          <w:sz w:val="18"/>
        </w:rPr>
        <w:t> </w:t>
      </w:r>
      <w:r>
        <w:rPr>
          <w:rFonts w:ascii="Calibri" w:hAnsi="Calibri"/>
          <w:color w:val="4D4D4F"/>
          <w:w w:val="120"/>
          <w:sz w:val="18"/>
        </w:rPr>
        <w:t>rarely,</w:t>
      </w:r>
      <w:r>
        <w:rPr>
          <w:rFonts w:ascii="Calibri" w:hAnsi="Calibri"/>
          <w:color w:val="4D4D4F"/>
          <w:spacing w:val="-20"/>
          <w:w w:val="120"/>
          <w:sz w:val="18"/>
        </w:rPr>
        <w:t> </w:t>
      </w:r>
      <w:r>
        <w:rPr>
          <w:rFonts w:ascii="Calibri" w:hAnsi="Calibri"/>
          <w:color w:val="4D4D4F"/>
          <w:w w:val="120"/>
          <w:sz w:val="18"/>
        </w:rPr>
        <w:t>clearly</w:t>
      </w:r>
      <w:r>
        <w:rPr>
          <w:rFonts w:ascii="Calibri" w:hAnsi="Calibri"/>
          <w:color w:val="4D4D4F"/>
          <w:spacing w:val="-20"/>
          <w:w w:val="120"/>
          <w:sz w:val="18"/>
        </w:rPr>
        <w:t> </w:t>
      </w:r>
      <w:r>
        <w:rPr>
          <w:rFonts w:ascii="Calibri" w:hAnsi="Calibri"/>
          <w:color w:val="4D4D4F"/>
          <w:w w:val="120"/>
          <w:sz w:val="18"/>
        </w:rPr>
        <w:t>linked clinically relevant increases in liver function</w:t>
      </w:r>
      <w:r>
        <w:rPr>
          <w:rFonts w:ascii="Calibri" w:hAnsi="Calibri"/>
          <w:color w:val="4D4D4F"/>
          <w:spacing w:val="-10"/>
          <w:w w:val="120"/>
          <w:sz w:val="18"/>
        </w:rPr>
        <w:t> </w:t>
      </w:r>
      <w:r>
        <w:rPr>
          <w:rFonts w:ascii="Calibri" w:hAnsi="Calibri"/>
          <w:color w:val="4D4D4F"/>
          <w:w w:val="120"/>
          <w:sz w:val="18"/>
        </w:rPr>
        <w:t>tests).</w:t>
      </w:r>
    </w:p>
    <w:p>
      <w:pPr>
        <w:pStyle w:val="ListParagraph"/>
        <w:numPr>
          <w:ilvl w:val="0"/>
          <w:numId w:val="39"/>
        </w:numPr>
        <w:tabs>
          <w:tab w:pos="604" w:val="left" w:leader="none"/>
        </w:tabs>
        <w:spacing w:line="240" w:lineRule="auto" w:before="2" w:after="0"/>
        <w:ind w:left="603" w:right="0" w:hanging="181"/>
        <w:jc w:val="left"/>
        <w:rPr>
          <w:rFonts w:ascii="Arial" w:hAnsi="Arial"/>
          <w:b/>
          <w:sz w:val="18"/>
        </w:rPr>
      </w:pPr>
      <w:r>
        <w:rPr>
          <w:rFonts w:ascii="Calibri" w:hAnsi="Calibri"/>
          <w:color w:val="4D4D4F"/>
          <w:w w:val="115"/>
          <w:sz w:val="18"/>
        </w:rPr>
        <w:t>Hold</w:t>
      </w:r>
      <w:r>
        <w:rPr>
          <w:rFonts w:ascii="Calibri" w:hAnsi="Calibri"/>
          <w:color w:val="4D4D4F"/>
          <w:spacing w:val="-2"/>
          <w:w w:val="115"/>
          <w:sz w:val="18"/>
        </w:rPr>
        <w:t> </w:t>
      </w:r>
      <w:r>
        <w:rPr>
          <w:rFonts w:ascii="Calibri" w:hAnsi="Calibri"/>
          <w:color w:val="4D4D4F"/>
          <w:w w:val="115"/>
          <w:sz w:val="18"/>
        </w:rPr>
        <w:t>the</w:t>
      </w:r>
      <w:r>
        <w:rPr>
          <w:rFonts w:ascii="Calibri" w:hAnsi="Calibri"/>
          <w:color w:val="4D4D4F"/>
          <w:spacing w:val="-1"/>
          <w:w w:val="115"/>
          <w:sz w:val="18"/>
        </w:rPr>
        <w:t> </w:t>
      </w:r>
      <w:r>
        <w:rPr>
          <w:rFonts w:ascii="Calibri" w:hAnsi="Calibri"/>
          <w:color w:val="4D4D4F"/>
          <w:w w:val="115"/>
          <w:sz w:val="18"/>
        </w:rPr>
        <w:t>dose</w:t>
      </w:r>
      <w:r>
        <w:rPr>
          <w:rFonts w:ascii="Calibri" w:hAnsi="Calibri"/>
          <w:color w:val="4D4D4F"/>
          <w:spacing w:val="-2"/>
          <w:w w:val="115"/>
          <w:sz w:val="18"/>
        </w:rPr>
        <w:t> </w:t>
      </w:r>
      <w:r>
        <w:rPr>
          <w:rFonts w:ascii="Arial" w:hAnsi="Arial"/>
          <w:b/>
          <w:color w:val="4D4D4F"/>
          <w:w w:val="115"/>
          <w:sz w:val="18"/>
        </w:rPr>
        <w:t>when</w:t>
      </w:r>
      <w:r>
        <w:rPr>
          <w:rFonts w:ascii="Arial" w:hAnsi="Arial"/>
          <w:b/>
          <w:color w:val="4D4D4F"/>
          <w:spacing w:val="-9"/>
          <w:w w:val="115"/>
          <w:sz w:val="18"/>
        </w:rPr>
        <w:t> </w:t>
      </w:r>
      <w:r>
        <w:rPr>
          <w:rFonts w:ascii="Arial" w:hAnsi="Arial"/>
          <w:b/>
          <w:color w:val="4D4D4F"/>
          <w:w w:val="115"/>
          <w:sz w:val="18"/>
        </w:rPr>
        <w:t>there</w:t>
      </w:r>
      <w:r>
        <w:rPr>
          <w:rFonts w:ascii="Arial" w:hAnsi="Arial"/>
          <w:b/>
          <w:color w:val="4D4D4F"/>
          <w:spacing w:val="-9"/>
          <w:w w:val="115"/>
          <w:sz w:val="18"/>
        </w:rPr>
        <w:t> </w:t>
      </w:r>
      <w:r>
        <w:rPr>
          <w:rFonts w:ascii="Arial" w:hAnsi="Arial"/>
          <w:b/>
          <w:color w:val="4D4D4F"/>
          <w:w w:val="115"/>
          <w:sz w:val="18"/>
        </w:rPr>
        <w:t>is</w:t>
      </w:r>
      <w:r>
        <w:rPr>
          <w:rFonts w:ascii="Arial" w:hAnsi="Arial"/>
          <w:b/>
          <w:color w:val="4D4D4F"/>
          <w:spacing w:val="-8"/>
          <w:w w:val="115"/>
          <w:sz w:val="18"/>
        </w:rPr>
        <w:t> </w:t>
      </w:r>
      <w:r>
        <w:rPr>
          <w:rFonts w:ascii="Arial" w:hAnsi="Arial"/>
          <w:b/>
          <w:color w:val="4D4D4F"/>
          <w:w w:val="115"/>
          <w:sz w:val="18"/>
        </w:rPr>
        <w:t>acute</w:t>
      </w:r>
      <w:r>
        <w:rPr>
          <w:rFonts w:ascii="Arial" w:hAnsi="Arial"/>
          <w:b/>
          <w:color w:val="4D4D4F"/>
          <w:spacing w:val="-9"/>
          <w:w w:val="115"/>
          <w:sz w:val="18"/>
        </w:rPr>
        <w:t> </w:t>
      </w:r>
      <w:r>
        <w:rPr>
          <w:rFonts w:ascii="Arial" w:hAnsi="Arial"/>
          <w:b/>
          <w:color w:val="4D4D4F"/>
          <w:w w:val="115"/>
          <w:sz w:val="18"/>
        </w:rPr>
        <w:t>alcohol</w:t>
      </w:r>
      <w:r>
        <w:rPr>
          <w:rFonts w:ascii="Arial" w:hAnsi="Arial"/>
          <w:b/>
          <w:color w:val="4D4D4F"/>
          <w:spacing w:val="-9"/>
          <w:w w:val="115"/>
          <w:sz w:val="18"/>
        </w:rPr>
        <w:t> </w:t>
      </w:r>
      <w:r>
        <w:rPr>
          <w:rFonts w:ascii="Arial" w:hAnsi="Arial"/>
          <w:b/>
          <w:color w:val="4D4D4F"/>
          <w:w w:val="115"/>
          <w:sz w:val="18"/>
        </w:rPr>
        <w:t>or</w:t>
      </w:r>
      <w:r>
        <w:rPr>
          <w:rFonts w:ascii="Arial" w:hAnsi="Arial"/>
          <w:b/>
          <w:color w:val="4D4D4F"/>
          <w:spacing w:val="-9"/>
          <w:w w:val="115"/>
          <w:sz w:val="18"/>
        </w:rPr>
        <w:t> </w:t>
      </w:r>
      <w:r>
        <w:rPr>
          <w:rFonts w:ascii="Arial" w:hAnsi="Arial"/>
          <w:b/>
          <w:color w:val="4D4D4F"/>
          <w:w w:val="115"/>
          <w:sz w:val="18"/>
        </w:rPr>
        <w:t>benzodiazepine</w:t>
      </w:r>
      <w:r>
        <w:rPr>
          <w:rFonts w:ascii="Arial" w:hAnsi="Arial"/>
          <w:b/>
          <w:color w:val="4D4D4F"/>
          <w:spacing w:val="-9"/>
          <w:w w:val="115"/>
          <w:sz w:val="18"/>
        </w:rPr>
        <w:t> </w:t>
      </w:r>
      <w:r>
        <w:rPr>
          <w:rFonts w:ascii="Arial" w:hAnsi="Arial"/>
          <w:b/>
          <w:color w:val="4D4D4F"/>
          <w:w w:val="115"/>
          <w:sz w:val="18"/>
        </w:rPr>
        <w:t>intoxication.</w:t>
      </w:r>
    </w:p>
    <w:p>
      <w:pPr>
        <w:spacing w:after="0" w:line="240" w:lineRule="auto"/>
        <w:jc w:val="left"/>
        <w:rPr>
          <w:rFonts w:ascii="Arial" w:hAnsi="Arial"/>
          <w:sz w:val="18"/>
        </w:rPr>
        <w:sectPr>
          <w:type w:val="continuous"/>
          <w:pgSz w:w="12240" w:h="15840"/>
          <w:pgMar w:top="540" w:bottom="280" w:left="940" w:right="920"/>
        </w:sectPr>
      </w:pPr>
    </w:p>
    <w:p>
      <w:pPr>
        <w:pStyle w:val="BodyText"/>
        <w:spacing w:before="9"/>
        <w:rPr>
          <w:rFonts w:ascii="Arial"/>
          <w:b/>
          <w:sz w:val="26"/>
        </w:rPr>
      </w:pPr>
    </w:p>
    <w:p>
      <w:pPr>
        <w:spacing w:after="0"/>
        <w:rPr>
          <w:rFonts w:ascii="Arial"/>
          <w:sz w:val="26"/>
        </w:rPr>
        <w:sectPr>
          <w:pgSz w:w="12240" w:h="15840"/>
          <w:pgMar w:header="576" w:footer="677" w:top="1340" w:bottom="860" w:left="940" w:right="920"/>
        </w:sectPr>
      </w:pPr>
    </w:p>
    <w:p>
      <w:pPr>
        <w:spacing w:line="244" w:lineRule="auto" w:before="104"/>
        <w:ind w:left="140" w:right="230" w:firstLine="0"/>
        <w:jc w:val="left"/>
        <w:rPr>
          <w:sz w:val="22"/>
        </w:rPr>
      </w:pPr>
      <w:r>
        <w:rPr>
          <w:rFonts w:ascii="Calibri"/>
          <w:b/>
          <w:color w:val="4D4D4F"/>
          <w:w w:val="115"/>
          <w:sz w:val="22"/>
        </w:rPr>
        <w:t>Offer referrals for adjunctive counseling</w:t>
      </w:r>
      <w:r>
        <w:rPr>
          <w:rFonts w:ascii="Calibri"/>
          <w:b/>
          <w:color w:val="4D4D4F"/>
          <w:spacing w:val="-33"/>
          <w:w w:val="115"/>
          <w:sz w:val="22"/>
        </w:rPr>
        <w:t> </w:t>
      </w:r>
      <w:r>
        <w:rPr>
          <w:rFonts w:ascii="Calibri"/>
          <w:b/>
          <w:color w:val="4D4D4F"/>
          <w:w w:val="115"/>
          <w:sz w:val="22"/>
        </w:rPr>
        <w:t>and recovery support services as needed. </w:t>
      </w:r>
      <w:r>
        <w:rPr>
          <w:color w:val="4D4D4F"/>
          <w:w w:val="115"/>
          <w:sz w:val="22"/>
        </w:rPr>
        <w:t>It may not be possible to eliminate opioid craving completely,</w:t>
      </w:r>
      <w:r>
        <w:rPr>
          <w:color w:val="4D4D4F"/>
          <w:spacing w:val="-32"/>
          <w:w w:val="115"/>
          <w:sz w:val="22"/>
        </w:rPr>
        <w:t> </w:t>
      </w:r>
      <w:r>
        <w:rPr>
          <w:color w:val="4D4D4F"/>
          <w:w w:val="115"/>
          <w:sz w:val="22"/>
        </w:rPr>
        <w:t>regardless</w:t>
      </w:r>
      <w:r>
        <w:rPr>
          <w:color w:val="4D4D4F"/>
          <w:spacing w:val="-31"/>
          <w:w w:val="115"/>
          <w:sz w:val="22"/>
        </w:rPr>
        <w:t> </w:t>
      </w:r>
      <w:r>
        <w:rPr>
          <w:color w:val="4D4D4F"/>
          <w:w w:val="115"/>
          <w:sz w:val="22"/>
        </w:rPr>
        <w:t>of</w:t>
      </w:r>
      <w:r>
        <w:rPr>
          <w:color w:val="4D4D4F"/>
          <w:spacing w:val="-32"/>
          <w:w w:val="115"/>
          <w:sz w:val="22"/>
        </w:rPr>
        <w:t> </w:t>
      </w:r>
      <w:r>
        <w:rPr>
          <w:color w:val="4D4D4F"/>
          <w:w w:val="115"/>
          <w:sz w:val="22"/>
        </w:rPr>
        <w:t>the</w:t>
      </w:r>
      <w:r>
        <w:rPr>
          <w:color w:val="4D4D4F"/>
          <w:spacing w:val="-31"/>
          <w:w w:val="115"/>
          <w:sz w:val="22"/>
        </w:rPr>
        <w:t> </w:t>
      </w:r>
      <w:r>
        <w:rPr>
          <w:color w:val="4D4D4F"/>
          <w:w w:val="115"/>
          <w:sz w:val="22"/>
        </w:rPr>
        <w:t>dose.</w:t>
      </w:r>
      <w:r>
        <w:rPr>
          <w:color w:val="4D4D4F"/>
          <w:spacing w:val="-32"/>
          <w:w w:val="115"/>
          <w:sz w:val="22"/>
        </w:rPr>
        <w:t> </w:t>
      </w:r>
      <w:r>
        <w:rPr>
          <w:color w:val="4D4D4F"/>
          <w:w w:val="115"/>
          <w:sz w:val="22"/>
        </w:rPr>
        <w:t>Counseling can help patients reduce and manage craving. A</w:t>
      </w:r>
      <w:r>
        <w:rPr>
          <w:color w:val="4D4D4F"/>
          <w:spacing w:val="-25"/>
          <w:w w:val="115"/>
          <w:sz w:val="22"/>
        </w:rPr>
        <w:t> </w:t>
      </w:r>
      <w:r>
        <w:rPr>
          <w:color w:val="4D4D4F"/>
          <w:w w:val="115"/>
          <w:sz w:val="22"/>
        </w:rPr>
        <w:t>more</w:t>
      </w:r>
      <w:r>
        <w:rPr>
          <w:color w:val="4D4D4F"/>
          <w:spacing w:val="-25"/>
          <w:w w:val="115"/>
          <w:sz w:val="22"/>
        </w:rPr>
        <w:t> </w:t>
      </w:r>
      <w:r>
        <w:rPr>
          <w:color w:val="4D4D4F"/>
          <w:w w:val="115"/>
          <w:sz w:val="22"/>
        </w:rPr>
        <w:t>important</w:t>
      </w:r>
      <w:r>
        <w:rPr>
          <w:color w:val="4D4D4F"/>
          <w:spacing w:val="-24"/>
          <w:w w:val="115"/>
          <w:sz w:val="22"/>
        </w:rPr>
        <w:t> </w:t>
      </w:r>
      <w:r>
        <w:rPr>
          <w:color w:val="4D4D4F"/>
          <w:w w:val="115"/>
          <w:sz w:val="22"/>
        </w:rPr>
        <w:t>measure</w:t>
      </w:r>
      <w:r>
        <w:rPr>
          <w:color w:val="4D4D4F"/>
          <w:spacing w:val="-25"/>
          <w:w w:val="115"/>
          <w:sz w:val="22"/>
        </w:rPr>
        <w:t> </w:t>
      </w:r>
      <w:r>
        <w:rPr>
          <w:color w:val="4D4D4F"/>
          <w:w w:val="115"/>
          <w:sz w:val="22"/>
        </w:rPr>
        <w:t>of</w:t>
      </w:r>
      <w:r>
        <w:rPr>
          <w:color w:val="4D4D4F"/>
          <w:spacing w:val="-24"/>
          <w:w w:val="115"/>
          <w:sz w:val="22"/>
        </w:rPr>
        <w:t> </w:t>
      </w:r>
      <w:r>
        <w:rPr>
          <w:color w:val="4D4D4F"/>
          <w:w w:val="115"/>
          <w:sz w:val="22"/>
        </w:rPr>
        <w:t>dose</w:t>
      </w:r>
      <w:r>
        <w:rPr>
          <w:color w:val="4D4D4F"/>
          <w:spacing w:val="-25"/>
          <w:w w:val="115"/>
          <w:sz w:val="22"/>
        </w:rPr>
        <w:t> </w:t>
      </w:r>
      <w:r>
        <w:rPr>
          <w:color w:val="4D4D4F"/>
          <w:w w:val="115"/>
          <w:sz w:val="22"/>
        </w:rPr>
        <w:t>adequacy than craving is whether patients report that the</w:t>
      </w:r>
      <w:r>
        <w:rPr>
          <w:color w:val="4D4D4F"/>
          <w:spacing w:val="-16"/>
          <w:w w:val="115"/>
          <w:sz w:val="22"/>
        </w:rPr>
        <w:t> </w:t>
      </w:r>
      <w:r>
        <w:rPr>
          <w:color w:val="4D4D4F"/>
          <w:w w:val="115"/>
          <w:sz w:val="22"/>
        </w:rPr>
        <w:t>feeling</w:t>
      </w:r>
      <w:r>
        <w:rPr>
          <w:color w:val="4D4D4F"/>
          <w:spacing w:val="-15"/>
          <w:w w:val="115"/>
          <w:sz w:val="22"/>
        </w:rPr>
        <w:t> </w:t>
      </w:r>
      <w:r>
        <w:rPr>
          <w:color w:val="4D4D4F"/>
          <w:w w:val="115"/>
          <w:sz w:val="22"/>
        </w:rPr>
        <w:t>of</w:t>
      </w:r>
      <w:r>
        <w:rPr>
          <w:color w:val="4D4D4F"/>
          <w:spacing w:val="-15"/>
          <w:w w:val="115"/>
          <w:sz w:val="22"/>
        </w:rPr>
        <w:t> </w:t>
      </w:r>
      <w:r>
        <w:rPr>
          <w:color w:val="4D4D4F"/>
          <w:w w:val="115"/>
          <w:sz w:val="22"/>
        </w:rPr>
        <w:t>euphoria</w:t>
      </w:r>
      <w:r>
        <w:rPr>
          <w:color w:val="4D4D4F"/>
          <w:spacing w:val="-15"/>
          <w:w w:val="115"/>
          <w:sz w:val="22"/>
        </w:rPr>
        <w:t> </w:t>
      </w:r>
      <w:r>
        <w:rPr>
          <w:color w:val="4D4D4F"/>
          <w:w w:val="115"/>
          <w:sz w:val="22"/>
        </w:rPr>
        <w:t>associated</w:t>
      </w:r>
      <w:r>
        <w:rPr>
          <w:color w:val="4D4D4F"/>
          <w:spacing w:val="-15"/>
          <w:w w:val="115"/>
          <w:sz w:val="22"/>
        </w:rPr>
        <w:t> </w:t>
      </w:r>
      <w:r>
        <w:rPr>
          <w:color w:val="4D4D4F"/>
          <w:w w:val="115"/>
          <w:sz w:val="22"/>
        </w:rPr>
        <w:t>with</w:t>
      </w:r>
      <w:r>
        <w:rPr>
          <w:color w:val="4D4D4F"/>
          <w:spacing w:val="-15"/>
          <w:w w:val="115"/>
          <w:sz w:val="22"/>
        </w:rPr>
        <w:t> </w:t>
      </w:r>
      <w:r>
        <w:rPr>
          <w:color w:val="4D4D4F"/>
          <w:w w:val="115"/>
          <w:sz w:val="22"/>
        </w:rPr>
        <w:t>self-</w:t>
      </w:r>
    </w:p>
    <w:p>
      <w:pPr>
        <w:spacing w:line="237" w:lineRule="auto" w:before="10"/>
        <w:ind w:left="140" w:right="74" w:firstLine="0"/>
        <w:jc w:val="left"/>
        <w:rPr>
          <w:rFonts w:ascii="Calibri"/>
          <w:b/>
          <w:sz w:val="22"/>
        </w:rPr>
      </w:pPr>
      <w:r>
        <w:rPr>
          <w:color w:val="4D4D4F"/>
          <w:w w:val="110"/>
          <w:sz w:val="22"/>
        </w:rPr>
        <w:t>administered illicit opioids is blunted or </w:t>
      </w:r>
      <w:r>
        <w:rPr>
          <w:color w:val="4D4D4F"/>
          <w:spacing w:val="-3"/>
          <w:w w:val="110"/>
          <w:sz w:val="22"/>
        </w:rPr>
        <w:t>blocked. </w:t>
      </w:r>
      <w:r>
        <w:rPr>
          <w:rFonts w:ascii="Calibri"/>
          <w:b/>
          <w:color w:val="4D4D4F"/>
          <w:w w:val="110"/>
          <w:sz w:val="22"/>
        </w:rPr>
        <w:t>Patients who were not interested in adjunc- tive addiction or mental health counseling during induction may become receptive to it when they are feeling more</w:t>
      </w:r>
      <w:r>
        <w:rPr>
          <w:rFonts w:ascii="Calibri"/>
          <w:b/>
          <w:color w:val="4D4D4F"/>
          <w:spacing w:val="10"/>
          <w:w w:val="110"/>
          <w:sz w:val="22"/>
        </w:rPr>
        <w:t> </w:t>
      </w:r>
      <w:r>
        <w:rPr>
          <w:rFonts w:ascii="Calibri"/>
          <w:b/>
          <w:color w:val="4D4D4F"/>
          <w:w w:val="110"/>
          <w:sz w:val="22"/>
        </w:rPr>
        <w:t>stable.</w:t>
      </w:r>
    </w:p>
    <w:p>
      <w:pPr>
        <w:pStyle w:val="BodyText"/>
        <w:spacing w:line="247" w:lineRule="auto" w:before="177"/>
        <w:ind w:left="140" w:right="38"/>
      </w:pPr>
      <w:r>
        <w:rPr>
          <w:rFonts w:ascii="Calibri" w:hAnsi="Calibri"/>
          <w:b/>
          <w:color w:val="4D4D4F"/>
          <w:w w:val="110"/>
        </w:rPr>
        <w:t>Be cautious when increasing doses above 24 mg/6 mg per  </w:t>
      </w:r>
      <w:r>
        <w:rPr>
          <w:rFonts w:ascii="Calibri" w:hAnsi="Calibri"/>
          <w:b/>
          <w:color w:val="4D4D4F"/>
          <w:spacing w:val="-6"/>
          <w:w w:val="110"/>
        </w:rPr>
        <w:t>day.  </w:t>
      </w:r>
      <w:r>
        <w:rPr>
          <w:color w:val="4D4D4F"/>
          <w:w w:val="110"/>
        </w:rPr>
        <w:t>Nearly all patients stabilize on daily doses of 4 mg/1 mg to 24 mg/6 mg.  </w:t>
      </w:r>
      <w:r>
        <w:rPr>
          <w:color w:val="4D4D4F"/>
          <w:spacing w:val="-4"/>
          <w:w w:val="110"/>
        </w:rPr>
        <w:t>Very </w:t>
      </w:r>
      <w:r>
        <w:rPr>
          <w:color w:val="4D4D4F"/>
          <w:w w:val="110"/>
        </w:rPr>
        <w:t>limited data show additional beneﬁts of doses higher than the FDA </w:t>
      </w:r>
      <w:r>
        <w:rPr>
          <w:color w:val="4D4D4F"/>
          <w:spacing w:val="-3"/>
          <w:w w:val="110"/>
        </w:rPr>
        <w:t>label’s recommended </w:t>
      </w:r>
      <w:r>
        <w:rPr>
          <w:color w:val="4D4D4F"/>
          <w:w w:val="110"/>
        </w:rPr>
        <w:t>maximum of 24 mg/6 mg.</w:t>
      </w:r>
      <w:r>
        <w:rPr>
          <w:color w:val="4D4D4F"/>
          <w:w w:val="110"/>
          <w:position w:val="7"/>
          <w:sz w:val="13"/>
        </w:rPr>
        <w:t>337 </w:t>
      </w:r>
      <w:r>
        <w:rPr>
          <w:color w:val="4D4D4F"/>
          <w:w w:val="110"/>
        </w:rPr>
        <w:t>Carefully document clinical justiﬁcation for higher doses and always have a diversion control plan in place. Doses above 24 mg/6 mg a day may unintentionally heighten diversion risk. Patients not responding to high doses of buprenorphine at the upper limit approved by FDA should be considered for methadone</w:t>
      </w:r>
      <w:r>
        <w:rPr>
          <w:color w:val="4D4D4F"/>
          <w:spacing w:val="-6"/>
          <w:w w:val="110"/>
        </w:rPr>
        <w:t> </w:t>
      </w:r>
      <w:r>
        <w:rPr>
          <w:color w:val="4D4D4F"/>
          <w:w w:val="110"/>
        </w:rPr>
        <w:t>treatment.</w:t>
      </w:r>
    </w:p>
    <w:p>
      <w:pPr>
        <w:pStyle w:val="BodyText"/>
        <w:spacing w:before="1"/>
      </w:pPr>
    </w:p>
    <w:p>
      <w:pPr>
        <w:spacing w:line="249" w:lineRule="auto" w:before="0"/>
        <w:ind w:left="140" w:right="176" w:firstLine="0"/>
        <w:jc w:val="left"/>
        <w:rPr>
          <w:sz w:val="22"/>
        </w:rPr>
      </w:pPr>
      <w:r>
        <w:rPr>
          <w:rFonts w:ascii="Calibri"/>
          <w:b/>
          <w:color w:val="137692"/>
          <w:w w:val="110"/>
          <w:sz w:val="26"/>
        </w:rPr>
        <w:t>Risk Evaluation and Mitigation Strategy </w:t>
      </w:r>
      <w:r>
        <w:rPr>
          <w:color w:val="4D4D4F"/>
          <w:w w:val="110"/>
          <w:sz w:val="22"/>
        </w:rPr>
        <w:t>Practitioners should </w:t>
      </w:r>
      <w:r>
        <w:rPr>
          <w:rFonts w:ascii="Calibri"/>
          <w:b/>
          <w:color w:val="4D4D4F"/>
          <w:w w:val="110"/>
          <w:sz w:val="22"/>
        </w:rPr>
        <w:t>become familiar with the FDA-approved REMS for buprenorphine. </w:t>
      </w:r>
      <w:r>
        <w:rPr>
          <w:color w:val="4D4D4F"/>
          <w:w w:val="110"/>
          <w:sz w:val="22"/>
        </w:rPr>
        <w:t>It provides useful information and checklists for providers. REMS can be found online for:</w:t>
      </w:r>
    </w:p>
    <w:p>
      <w:pPr>
        <w:pStyle w:val="ListParagraph"/>
        <w:numPr>
          <w:ilvl w:val="0"/>
          <w:numId w:val="29"/>
        </w:numPr>
        <w:tabs>
          <w:tab w:pos="410" w:val="left" w:leader="none"/>
        </w:tabs>
        <w:spacing w:line="225" w:lineRule="auto" w:before="112" w:after="0"/>
        <w:ind w:left="410" w:right="872" w:hanging="270"/>
        <w:jc w:val="left"/>
        <w:rPr>
          <w:rFonts w:ascii="Arial" w:hAnsi="Arial"/>
          <w:color w:val="137692"/>
          <w:sz w:val="28"/>
        </w:rPr>
      </w:pPr>
      <w:r>
        <w:rPr>
          <w:color w:val="4D4D4F"/>
          <w:w w:val="115"/>
          <w:sz w:val="22"/>
        </w:rPr>
        <w:t>Buprenorphine monoproduct and buprenorphine/naloxone </w:t>
      </w:r>
      <w:r>
        <w:rPr>
          <w:color w:val="4D4D4F"/>
          <w:spacing w:val="-1"/>
          <w:w w:val="110"/>
          <w:sz w:val="22"/>
        </w:rPr>
        <w:t>(</w:t>
      </w:r>
      <w:hyperlink r:id="rId62">
        <w:r>
          <w:rPr>
            <w:color w:val="205E9F"/>
            <w:spacing w:val="-1"/>
            <w:w w:val="110"/>
            <w:sz w:val="22"/>
            <w:u w:val="single" w:color="205E9F"/>
          </w:rPr>
          <w:t>www.accessdata.fda.gov/scripts/cder</w:t>
        </w:r>
      </w:hyperlink>
    </w:p>
    <w:p>
      <w:pPr>
        <w:pStyle w:val="BodyText"/>
        <w:spacing w:before="14"/>
        <w:ind w:left="410"/>
      </w:pPr>
      <w:r>
        <w:rPr>
          <w:color w:val="205E9F"/>
          <w:w w:val="110"/>
          <w:u w:val="single" w:color="205E9F"/>
        </w:rPr>
        <w:t>/rems/index.cfm?event=IndvRemsDetails</w:t>
      </w:r>
    </w:p>
    <w:p>
      <w:pPr>
        <w:pStyle w:val="BodyText"/>
        <w:spacing w:before="9"/>
        <w:ind w:left="410"/>
      </w:pPr>
      <w:r>
        <w:rPr>
          <w:color w:val="205E9F"/>
          <w:w w:val="115"/>
          <w:u w:val="single" w:color="205E9F"/>
        </w:rPr>
        <w:t>.page&amp;REMS=352</w:t>
      </w:r>
      <w:r>
        <w:rPr>
          <w:color w:val="4D4D4F"/>
          <w:w w:val="115"/>
        </w:rPr>
        <w:t>)</w:t>
      </w:r>
    </w:p>
    <w:p>
      <w:pPr>
        <w:pStyle w:val="ListParagraph"/>
        <w:numPr>
          <w:ilvl w:val="0"/>
          <w:numId w:val="29"/>
        </w:numPr>
        <w:tabs>
          <w:tab w:pos="410" w:val="left" w:leader="none"/>
        </w:tabs>
        <w:spacing w:line="208" w:lineRule="auto" w:before="63" w:after="0"/>
        <w:ind w:left="410" w:right="872" w:hanging="270"/>
        <w:jc w:val="left"/>
        <w:rPr>
          <w:rFonts w:ascii="Arial" w:hAnsi="Arial"/>
          <w:color w:val="137692"/>
          <w:sz w:val="28"/>
        </w:rPr>
      </w:pPr>
      <w:r>
        <w:rPr>
          <w:color w:val="4D4D4F"/>
          <w:w w:val="110"/>
          <w:sz w:val="22"/>
        </w:rPr>
        <w:t>Transmucosal buprenorphine </w:t>
      </w:r>
      <w:r>
        <w:rPr>
          <w:color w:val="4D4D4F"/>
          <w:spacing w:val="-1"/>
          <w:w w:val="110"/>
          <w:sz w:val="22"/>
        </w:rPr>
        <w:t>(</w:t>
      </w:r>
      <w:hyperlink r:id="rId62">
        <w:r>
          <w:rPr>
            <w:color w:val="205E9F"/>
            <w:spacing w:val="-1"/>
            <w:w w:val="110"/>
            <w:sz w:val="22"/>
            <w:u w:val="single" w:color="205E9F"/>
          </w:rPr>
          <w:t>www.accessdata.fda.gov/scripts/cder</w:t>
        </w:r>
      </w:hyperlink>
    </w:p>
    <w:p>
      <w:pPr>
        <w:pStyle w:val="BodyText"/>
        <w:spacing w:before="15"/>
        <w:ind w:left="410"/>
      </w:pPr>
      <w:r>
        <w:rPr>
          <w:color w:val="205E9F"/>
          <w:w w:val="110"/>
          <w:u w:val="single" w:color="205E9F"/>
        </w:rPr>
        <w:t>/rems/index.cfm?event=RemsDetails</w:t>
      </w:r>
    </w:p>
    <w:p>
      <w:pPr>
        <w:pStyle w:val="BodyText"/>
        <w:spacing w:before="9"/>
        <w:ind w:left="410"/>
      </w:pPr>
      <w:r>
        <w:rPr>
          <w:color w:val="205E9F"/>
          <w:w w:val="115"/>
          <w:u w:val="single" w:color="205E9F"/>
        </w:rPr>
        <w:t>.page&amp;REMS=9</w:t>
      </w:r>
      <w:r>
        <w:rPr>
          <w:color w:val="4D4D4F"/>
          <w:w w:val="115"/>
        </w:rPr>
        <w:t>)</w:t>
      </w:r>
    </w:p>
    <w:p>
      <w:pPr>
        <w:pStyle w:val="ListParagraph"/>
        <w:numPr>
          <w:ilvl w:val="0"/>
          <w:numId w:val="29"/>
        </w:numPr>
        <w:tabs>
          <w:tab w:pos="410" w:val="left" w:leader="none"/>
        </w:tabs>
        <w:spacing w:line="208" w:lineRule="auto" w:before="63" w:after="0"/>
        <w:ind w:left="410" w:right="872" w:hanging="270"/>
        <w:jc w:val="left"/>
        <w:rPr>
          <w:rFonts w:ascii="Arial" w:hAnsi="Arial"/>
          <w:color w:val="137692"/>
          <w:sz w:val="28"/>
        </w:rPr>
      </w:pPr>
      <w:r>
        <w:rPr>
          <w:color w:val="4D4D4F"/>
          <w:w w:val="110"/>
          <w:sz w:val="22"/>
        </w:rPr>
        <w:t>Buprenorphine implants </w:t>
      </w:r>
      <w:r>
        <w:rPr>
          <w:color w:val="4D4D4F"/>
          <w:spacing w:val="-1"/>
          <w:w w:val="110"/>
          <w:sz w:val="22"/>
        </w:rPr>
        <w:t>(</w:t>
      </w:r>
      <w:hyperlink r:id="rId62">
        <w:r>
          <w:rPr>
            <w:color w:val="205E9F"/>
            <w:spacing w:val="-1"/>
            <w:w w:val="110"/>
            <w:sz w:val="22"/>
            <w:u w:val="single" w:color="205E9F"/>
          </w:rPr>
          <w:t>www.accessdata.fda.gov/scripts/cder</w:t>
        </w:r>
      </w:hyperlink>
    </w:p>
    <w:p>
      <w:pPr>
        <w:pStyle w:val="BodyText"/>
        <w:spacing w:before="15"/>
        <w:ind w:left="410"/>
      </w:pPr>
      <w:r>
        <w:rPr>
          <w:color w:val="205E9F"/>
          <w:w w:val="110"/>
          <w:u w:val="single" w:color="205E9F"/>
        </w:rPr>
        <w:t>/rems/index.cfm?event=IndvRemsDetails</w:t>
      </w:r>
    </w:p>
    <w:p>
      <w:pPr>
        <w:pStyle w:val="BodyText"/>
        <w:spacing w:before="9"/>
        <w:ind w:left="410"/>
      </w:pPr>
      <w:r>
        <w:rPr>
          <w:color w:val="205E9F"/>
          <w:w w:val="115"/>
          <w:u w:val="single" w:color="205E9F"/>
        </w:rPr>
        <w:t>.page&amp;REMS=356</w:t>
      </w:r>
      <w:r>
        <w:rPr>
          <w:color w:val="4D4D4F"/>
          <w:w w:val="115"/>
        </w:rPr>
        <w:t>)</w:t>
      </w:r>
    </w:p>
    <w:p>
      <w:pPr>
        <w:pStyle w:val="ListParagraph"/>
        <w:numPr>
          <w:ilvl w:val="0"/>
          <w:numId w:val="29"/>
        </w:numPr>
        <w:tabs>
          <w:tab w:pos="410" w:val="left" w:leader="none"/>
        </w:tabs>
        <w:spacing w:line="208" w:lineRule="auto" w:before="120" w:after="0"/>
        <w:ind w:left="410" w:right="590" w:hanging="270"/>
        <w:jc w:val="left"/>
        <w:rPr>
          <w:rFonts w:ascii="Arial" w:hAnsi="Arial"/>
          <w:color w:val="137692"/>
          <w:sz w:val="28"/>
        </w:rPr>
      </w:pPr>
      <w:r>
        <w:rPr>
          <w:color w:val="4D4D4F"/>
          <w:w w:val="109"/>
          <w:sz w:val="22"/>
        </w:rPr>
        <w:br w:type="column"/>
      </w:r>
      <w:r>
        <w:rPr>
          <w:color w:val="4D4D4F"/>
          <w:w w:val="110"/>
          <w:sz w:val="22"/>
        </w:rPr>
        <w:t>Buprenorphine extended-release injection (</w:t>
      </w:r>
      <w:hyperlink r:id="rId62">
        <w:r>
          <w:rPr>
            <w:color w:val="205E9F"/>
            <w:w w:val="110"/>
            <w:sz w:val="22"/>
            <w:u w:val="single" w:color="205E9F"/>
          </w:rPr>
          <w:t>www.accessdata.fda.gov/scripts/cder</w:t>
        </w:r>
      </w:hyperlink>
    </w:p>
    <w:p>
      <w:pPr>
        <w:pStyle w:val="BodyText"/>
        <w:spacing w:before="15"/>
        <w:ind w:left="410"/>
      </w:pPr>
      <w:r>
        <w:rPr>
          <w:color w:val="205E9F"/>
          <w:w w:val="115"/>
          <w:u w:val="single" w:color="205E9F"/>
        </w:rPr>
        <w:t>/rems/index.cfm?event=indvremsdetails</w:t>
      </w:r>
    </w:p>
    <w:p>
      <w:pPr>
        <w:pStyle w:val="BodyText"/>
        <w:spacing w:before="9"/>
        <w:ind w:left="410"/>
      </w:pPr>
      <w:r>
        <w:rPr>
          <w:color w:val="205E9F"/>
          <w:w w:val="115"/>
          <w:u w:val="single" w:color="205E9F"/>
        </w:rPr>
        <w:t>.page&amp;rems=376</w:t>
      </w:r>
      <w:r>
        <w:rPr>
          <w:color w:val="4D4D4F"/>
          <w:w w:val="115"/>
        </w:rPr>
        <w:t>)</w:t>
      </w:r>
    </w:p>
    <w:p>
      <w:pPr>
        <w:pStyle w:val="BodyText"/>
        <w:spacing w:line="247" w:lineRule="auto" w:before="189"/>
        <w:ind w:left="140" w:right="637"/>
      </w:pPr>
      <w:r>
        <w:rPr>
          <w:color w:val="4D4D4F"/>
          <w:w w:val="110"/>
        </w:rPr>
        <w:t>See also “Buprenorphine Induction and Maintenance Appropriate Use Checklists” in Chapter 3D Appendix.</w:t>
      </w:r>
    </w:p>
    <w:p>
      <w:pPr>
        <w:pStyle w:val="BodyText"/>
        <w:rPr>
          <w:sz w:val="24"/>
        </w:rPr>
      </w:pPr>
    </w:p>
    <w:p>
      <w:pPr>
        <w:pStyle w:val="Heading3"/>
        <w:spacing w:line="228" w:lineRule="auto"/>
        <w:ind w:right="629"/>
      </w:pPr>
      <w:bookmarkStart w:name="_TOC_250041" w:id="74"/>
      <w:bookmarkEnd w:id="74"/>
      <w:r>
        <w:rPr>
          <w:color w:val="137692"/>
          <w:w w:val="110"/>
        </w:rPr>
        <w:t>Transmucosal Buprenorphine Dosing Summary</w:t>
      </w:r>
    </w:p>
    <w:p>
      <w:pPr>
        <w:pStyle w:val="Heading5"/>
        <w:spacing w:before="84"/>
        <w:rPr>
          <w:i/>
        </w:rPr>
      </w:pPr>
      <w:r>
        <w:rPr>
          <w:i/>
          <w:color w:val="137692"/>
          <w:w w:val="105"/>
        </w:rPr>
        <w:t>Induction and stabilization</w:t>
      </w:r>
    </w:p>
    <w:p>
      <w:pPr>
        <w:pStyle w:val="Heading7"/>
        <w:spacing w:line="235" w:lineRule="auto" w:before="47"/>
      </w:pPr>
      <w:r>
        <w:rPr>
          <w:color w:val="4D4D4F"/>
          <w:w w:val="110"/>
        </w:rPr>
        <w:t>The goal is to reduce or eliminate opioid with- drawal and craving without causing sedation:</w:t>
      </w:r>
    </w:p>
    <w:p>
      <w:pPr>
        <w:pStyle w:val="ListParagraph"/>
        <w:numPr>
          <w:ilvl w:val="0"/>
          <w:numId w:val="29"/>
        </w:numPr>
        <w:tabs>
          <w:tab w:pos="410" w:val="left" w:leader="none"/>
        </w:tabs>
        <w:spacing w:line="264" w:lineRule="exact" w:before="110" w:after="0"/>
        <w:ind w:left="410" w:right="431" w:hanging="270"/>
        <w:jc w:val="left"/>
        <w:rPr>
          <w:rFonts w:ascii="Arial" w:hAnsi="Arial"/>
          <w:color w:val="137692"/>
          <w:sz w:val="28"/>
        </w:rPr>
      </w:pPr>
      <w:r>
        <w:rPr>
          <w:color w:val="4D4D4F"/>
          <w:w w:val="115"/>
          <w:sz w:val="22"/>
        </w:rPr>
        <w:t>Induction and stabilization strategies can vary based on patient variables and use of short-</w:t>
      </w:r>
      <w:r>
        <w:rPr>
          <w:color w:val="4D4D4F"/>
          <w:spacing w:val="-35"/>
          <w:w w:val="115"/>
          <w:sz w:val="22"/>
        </w:rPr>
        <w:t> </w:t>
      </w:r>
      <w:r>
        <w:rPr>
          <w:color w:val="4D4D4F"/>
          <w:w w:val="115"/>
          <w:sz w:val="22"/>
        </w:rPr>
        <w:t>versus</w:t>
      </w:r>
      <w:r>
        <w:rPr>
          <w:color w:val="4D4D4F"/>
          <w:spacing w:val="-35"/>
          <w:w w:val="115"/>
          <w:sz w:val="22"/>
        </w:rPr>
        <w:t> </w:t>
      </w:r>
      <w:r>
        <w:rPr>
          <w:color w:val="4D4D4F"/>
          <w:w w:val="115"/>
          <w:sz w:val="22"/>
        </w:rPr>
        <w:t>long-acting</w:t>
      </w:r>
      <w:r>
        <w:rPr>
          <w:color w:val="4D4D4F"/>
          <w:spacing w:val="-34"/>
          <w:w w:val="115"/>
          <w:sz w:val="22"/>
        </w:rPr>
        <w:t> </w:t>
      </w:r>
      <w:r>
        <w:rPr>
          <w:color w:val="4D4D4F"/>
          <w:w w:val="115"/>
          <w:sz w:val="22"/>
        </w:rPr>
        <w:t>opioids.</w:t>
      </w:r>
      <w:r>
        <w:rPr>
          <w:color w:val="4D4D4F"/>
          <w:spacing w:val="-35"/>
          <w:w w:val="115"/>
          <w:sz w:val="22"/>
        </w:rPr>
        <w:t> </w:t>
      </w:r>
      <w:r>
        <w:rPr>
          <w:color w:val="4D4D4F"/>
          <w:w w:val="115"/>
          <w:sz w:val="22"/>
        </w:rPr>
        <w:t>For</w:t>
      </w:r>
      <w:r>
        <w:rPr>
          <w:color w:val="4D4D4F"/>
          <w:spacing w:val="-34"/>
          <w:w w:val="115"/>
          <w:sz w:val="22"/>
        </w:rPr>
        <w:t> </w:t>
      </w:r>
      <w:r>
        <w:rPr>
          <w:color w:val="4D4D4F"/>
          <w:w w:val="115"/>
          <w:sz w:val="22"/>
        </w:rPr>
        <w:t>more discussion on induction models, see </w:t>
      </w:r>
      <w:r>
        <w:rPr>
          <w:color w:val="4D4D4F"/>
          <w:spacing w:val="2"/>
          <w:w w:val="115"/>
          <w:sz w:val="22"/>
        </w:rPr>
        <w:t>the </w:t>
      </w:r>
      <w:r>
        <w:rPr>
          <w:color w:val="4D4D4F"/>
          <w:w w:val="115"/>
          <w:sz w:val="22"/>
        </w:rPr>
        <w:t>Providers’</w:t>
      </w:r>
      <w:r>
        <w:rPr>
          <w:color w:val="4D4D4F"/>
          <w:spacing w:val="-39"/>
          <w:w w:val="115"/>
          <w:sz w:val="22"/>
        </w:rPr>
        <w:t> </w:t>
      </w:r>
      <w:r>
        <w:rPr>
          <w:color w:val="4D4D4F"/>
          <w:w w:val="115"/>
          <w:sz w:val="22"/>
        </w:rPr>
        <w:t>Clinical</w:t>
      </w:r>
      <w:r>
        <w:rPr>
          <w:color w:val="4D4D4F"/>
          <w:spacing w:val="-38"/>
          <w:w w:val="115"/>
          <w:sz w:val="22"/>
        </w:rPr>
        <w:t> </w:t>
      </w:r>
      <w:r>
        <w:rPr>
          <w:color w:val="4D4D4F"/>
          <w:w w:val="115"/>
          <w:sz w:val="22"/>
        </w:rPr>
        <w:t>Support</w:t>
      </w:r>
      <w:r>
        <w:rPr>
          <w:color w:val="4D4D4F"/>
          <w:spacing w:val="-38"/>
          <w:w w:val="115"/>
          <w:sz w:val="22"/>
        </w:rPr>
        <w:t> </w:t>
      </w:r>
      <w:r>
        <w:rPr>
          <w:color w:val="4D4D4F"/>
          <w:spacing w:val="-3"/>
          <w:w w:val="115"/>
          <w:sz w:val="22"/>
        </w:rPr>
        <w:t>System’s</w:t>
      </w:r>
      <w:r>
        <w:rPr>
          <w:color w:val="4D4D4F"/>
          <w:spacing w:val="-38"/>
          <w:w w:val="115"/>
          <w:sz w:val="22"/>
        </w:rPr>
        <w:t> </w:t>
      </w:r>
      <w:r>
        <w:rPr>
          <w:color w:val="4D4D4F"/>
          <w:spacing w:val="-3"/>
          <w:w w:val="115"/>
          <w:sz w:val="22"/>
        </w:rPr>
        <w:t>Models </w:t>
      </w:r>
      <w:r>
        <w:rPr>
          <w:color w:val="4D4D4F"/>
          <w:w w:val="115"/>
          <w:sz w:val="22"/>
        </w:rPr>
        <w:t>of</w:t>
      </w:r>
      <w:r>
        <w:rPr>
          <w:color w:val="4D4D4F"/>
          <w:spacing w:val="-44"/>
          <w:w w:val="115"/>
          <w:sz w:val="22"/>
        </w:rPr>
        <w:t> </w:t>
      </w:r>
      <w:r>
        <w:rPr>
          <w:color w:val="4D4D4F"/>
          <w:w w:val="115"/>
          <w:sz w:val="22"/>
        </w:rPr>
        <w:t>Buprenorphine</w:t>
      </w:r>
      <w:r>
        <w:rPr>
          <w:color w:val="4D4D4F"/>
          <w:spacing w:val="-43"/>
          <w:w w:val="115"/>
          <w:sz w:val="22"/>
        </w:rPr>
        <w:t> </w:t>
      </w:r>
      <w:r>
        <w:rPr>
          <w:color w:val="4D4D4F"/>
          <w:w w:val="115"/>
          <w:sz w:val="22"/>
        </w:rPr>
        <w:t>Induction</w:t>
      </w:r>
      <w:r>
        <w:rPr>
          <w:color w:val="4D4D4F"/>
          <w:spacing w:val="-43"/>
          <w:w w:val="115"/>
          <w:sz w:val="22"/>
        </w:rPr>
        <w:t> </w:t>
      </w:r>
      <w:r>
        <w:rPr>
          <w:color w:val="4D4D4F"/>
          <w:w w:val="115"/>
          <w:sz w:val="22"/>
        </w:rPr>
        <w:t>(</w:t>
      </w:r>
      <w:hyperlink r:id="rId63">
        <w:r>
          <w:rPr>
            <w:color w:val="205E9F"/>
            <w:w w:val="115"/>
            <w:sz w:val="22"/>
            <w:u w:val="single" w:color="205E9F"/>
          </w:rPr>
          <w:t>http://pcssmat</w:t>
        </w:r>
      </w:hyperlink>
    </w:p>
    <w:p>
      <w:pPr>
        <w:pStyle w:val="BodyText"/>
        <w:spacing w:before="7"/>
        <w:ind w:left="410"/>
      </w:pPr>
      <w:r>
        <w:rPr>
          <w:color w:val="205E9F"/>
          <w:w w:val="115"/>
          <w:u w:val="single" w:color="205E9F"/>
        </w:rPr>
        <w:t>.org/wp-content/uploads/2015/01/Models</w:t>
      </w:r>
    </w:p>
    <w:p>
      <w:pPr>
        <w:pStyle w:val="BodyText"/>
        <w:spacing w:before="9"/>
        <w:ind w:left="410"/>
      </w:pPr>
      <w:r>
        <w:rPr>
          <w:color w:val="205E9F"/>
          <w:w w:val="110"/>
          <w:u w:val="single" w:color="205E9F"/>
        </w:rPr>
        <w:t>-of-Buprenorphine-Induction.pdf</w:t>
      </w:r>
      <w:r>
        <w:rPr>
          <w:color w:val="4D4D4F"/>
          <w:w w:val="110"/>
        </w:rPr>
        <w:t>).</w:t>
      </w:r>
    </w:p>
    <w:p>
      <w:pPr>
        <w:pStyle w:val="ListParagraph"/>
        <w:numPr>
          <w:ilvl w:val="0"/>
          <w:numId w:val="29"/>
        </w:numPr>
        <w:tabs>
          <w:tab w:pos="410" w:val="left" w:leader="none"/>
        </w:tabs>
        <w:spacing w:line="225" w:lineRule="auto" w:before="47" w:after="0"/>
        <w:ind w:left="410" w:right="422" w:hanging="270"/>
        <w:jc w:val="left"/>
        <w:rPr>
          <w:rFonts w:ascii="Arial" w:hAnsi="Arial"/>
          <w:color w:val="137692"/>
          <w:sz w:val="28"/>
        </w:rPr>
      </w:pPr>
      <w:r>
        <w:rPr>
          <w:color w:val="4D4D4F"/>
          <w:w w:val="110"/>
          <w:sz w:val="22"/>
        </w:rPr>
        <w:t>The combination buprenorphine/naloxone product is safe to use for induction for</w:t>
      </w:r>
      <w:r>
        <w:rPr>
          <w:color w:val="4D4D4F"/>
          <w:spacing w:val="-41"/>
          <w:w w:val="110"/>
          <w:sz w:val="22"/>
        </w:rPr>
        <w:t> </w:t>
      </w:r>
      <w:r>
        <w:rPr>
          <w:color w:val="4D4D4F"/>
          <w:spacing w:val="-5"/>
          <w:w w:val="110"/>
          <w:sz w:val="22"/>
        </w:rPr>
        <w:t>most </w:t>
      </w:r>
      <w:r>
        <w:rPr>
          <w:color w:val="4D4D4F"/>
          <w:w w:val="110"/>
          <w:sz w:val="22"/>
        </w:rPr>
        <w:t>patients.</w:t>
      </w:r>
    </w:p>
    <w:p>
      <w:pPr>
        <w:pStyle w:val="ListParagraph"/>
        <w:numPr>
          <w:ilvl w:val="0"/>
          <w:numId w:val="29"/>
        </w:numPr>
        <w:tabs>
          <w:tab w:pos="410" w:val="left" w:leader="none"/>
        </w:tabs>
        <w:spacing w:line="264" w:lineRule="exact" w:before="51" w:after="0"/>
        <w:ind w:left="409" w:right="157" w:hanging="270"/>
        <w:jc w:val="left"/>
        <w:rPr>
          <w:rFonts w:ascii="Arial" w:hAnsi="Arial"/>
          <w:color w:val="137692"/>
          <w:sz w:val="28"/>
        </w:rPr>
      </w:pPr>
      <w:r>
        <w:rPr>
          <w:color w:val="4D4D4F"/>
          <w:w w:val="115"/>
          <w:sz w:val="22"/>
        </w:rPr>
        <w:t>The buprenorphine monoproduct (without naloxone) has been recommended for the treatment of pregnant women</w:t>
      </w:r>
      <w:r>
        <w:rPr>
          <w:color w:val="4D4D4F"/>
          <w:w w:val="115"/>
          <w:position w:val="7"/>
          <w:sz w:val="13"/>
        </w:rPr>
        <w:t>338 </w:t>
      </w:r>
      <w:r>
        <w:rPr>
          <w:color w:val="4D4D4F"/>
          <w:w w:val="115"/>
          <w:sz w:val="22"/>
        </w:rPr>
        <w:t>because of the</w:t>
      </w:r>
      <w:r>
        <w:rPr>
          <w:color w:val="4D4D4F"/>
          <w:spacing w:val="-17"/>
          <w:w w:val="115"/>
          <w:sz w:val="22"/>
        </w:rPr>
        <w:t> </w:t>
      </w:r>
      <w:r>
        <w:rPr>
          <w:color w:val="4D4D4F"/>
          <w:w w:val="115"/>
          <w:sz w:val="22"/>
        </w:rPr>
        <w:t>danger</w:t>
      </w:r>
      <w:r>
        <w:rPr>
          <w:color w:val="4D4D4F"/>
          <w:spacing w:val="-17"/>
          <w:w w:val="115"/>
          <w:sz w:val="22"/>
        </w:rPr>
        <w:t> </w:t>
      </w:r>
      <w:r>
        <w:rPr>
          <w:color w:val="4D4D4F"/>
          <w:w w:val="115"/>
          <w:sz w:val="22"/>
        </w:rPr>
        <w:t>to</w:t>
      </w:r>
      <w:r>
        <w:rPr>
          <w:color w:val="4D4D4F"/>
          <w:spacing w:val="-17"/>
          <w:w w:val="115"/>
          <w:sz w:val="22"/>
        </w:rPr>
        <w:t> </w:t>
      </w:r>
      <w:r>
        <w:rPr>
          <w:color w:val="4D4D4F"/>
          <w:w w:val="115"/>
          <w:sz w:val="22"/>
        </w:rPr>
        <w:t>the</w:t>
      </w:r>
      <w:r>
        <w:rPr>
          <w:color w:val="4D4D4F"/>
          <w:spacing w:val="-17"/>
          <w:w w:val="115"/>
          <w:sz w:val="22"/>
        </w:rPr>
        <w:t> </w:t>
      </w:r>
      <w:r>
        <w:rPr>
          <w:color w:val="4D4D4F"/>
          <w:w w:val="115"/>
          <w:sz w:val="22"/>
        </w:rPr>
        <w:t>fetus</w:t>
      </w:r>
      <w:r>
        <w:rPr>
          <w:color w:val="4D4D4F"/>
          <w:spacing w:val="-16"/>
          <w:w w:val="115"/>
          <w:sz w:val="22"/>
        </w:rPr>
        <w:t> </w:t>
      </w:r>
      <w:r>
        <w:rPr>
          <w:color w:val="4D4D4F"/>
          <w:w w:val="115"/>
          <w:sz w:val="22"/>
        </w:rPr>
        <w:t>of</w:t>
      </w:r>
      <w:r>
        <w:rPr>
          <w:color w:val="4D4D4F"/>
          <w:spacing w:val="-17"/>
          <w:w w:val="115"/>
          <w:sz w:val="22"/>
        </w:rPr>
        <w:t> </w:t>
      </w:r>
      <w:r>
        <w:rPr>
          <w:color w:val="4D4D4F"/>
          <w:w w:val="115"/>
          <w:sz w:val="22"/>
        </w:rPr>
        <w:t>precipitated</w:t>
      </w:r>
      <w:r>
        <w:rPr>
          <w:color w:val="4D4D4F"/>
          <w:spacing w:val="-17"/>
          <w:w w:val="115"/>
          <w:sz w:val="22"/>
        </w:rPr>
        <w:t> </w:t>
      </w:r>
      <w:r>
        <w:rPr>
          <w:color w:val="4D4D4F"/>
          <w:w w:val="115"/>
          <w:sz w:val="22"/>
        </w:rPr>
        <w:t>opioid withdrawal</w:t>
      </w:r>
      <w:r>
        <w:rPr>
          <w:color w:val="4D4D4F"/>
          <w:spacing w:val="-42"/>
          <w:w w:val="115"/>
          <w:sz w:val="22"/>
        </w:rPr>
        <w:t> </w:t>
      </w:r>
      <w:r>
        <w:rPr>
          <w:color w:val="4D4D4F"/>
          <w:w w:val="115"/>
          <w:sz w:val="22"/>
        </w:rPr>
        <w:t>if</w:t>
      </w:r>
      <w:r>
        <w:rPr>
          <w:color w:val="4D4D4F"/>
          <w:spacing w:val="-41"/>
          <w:w w:val="115"/>
          <w:sz w:val="22"/>
        </w:rPr>
        <w:t> </w:t>
      </w:r>
      <w:r>
        <w:rPr>
          <w:color w:val="4D4D4F"/>
          <w:w w:val="115"/>
          <w:sz w:val="22"/>
        </w:rPr>
        <w:t>the</w:t>
      </w:r>
      <w:r>
        <w:rPr>
          <w:color w:val="4D4D4F"/>
          <w:spacing w:val="-42"/>
          <w:w w:val="115"/>
          <w:sz w:val="22"/>
        </w:rPr>
        <w:t> </w:t>
      </w:r>
      <w:r>
        <w:rPr>
          <w:color w:val="4D4D4F"/>
          <w:w w:val="115"/>
          <w:sz w:val="22"/>
        </w:rPr>
        <w:t>combination</w:t>
      </w:r>
      <w:r>
        <w:rPr>
          <w:color w:val="4D4D4F"/>
          <w:spacing w:val="-41"/>
          <w:w w:val="115"/>
          <w:sz w:val="22"/>
        </w:rPr>
        <w:t> </w:t>
      </w:r>
      <w:r>
        <w:rPr>
          <w:color w:val="4D4D4F"/>
          <w:w w:val="115"/>
          <w:sz w:val="22"/>
        </w:rPr>
        <w:t>product</w:t>
      </w:r>
      <w:r>
        <w:rPr>
          <w:color w:val="4D4D4F"/>
          <w:spacing w:val="-41"/>
          <w:w w:val="115"/>
          <w:sz w:val="22"/>
        </w:rPr>
        <w:t> </w:t>
      </w:r>
      <w:r>
        <w:rPr>
          <w:color w:val="4D4D4F"/>
          <w:w w:val="115"/>
          <w:sz w:val="22"/>
        </w:rPr>
        <w:t>were</w:t>
      </w:r>
      <w:r>
        <w:rPr>
          <w:color w:val="4D4D4F"/>
          <w:spacing w:val="-42"/>
          <w:w w:val="115"/>
          <w:sz w:val="22"/>
        </w:rPr>
        <w:t> </w:t>
      </w:r>
      <w:r>
        <w:rPr>
          <w:color w:val="4D4D4F"/>
          <w:w w:val="115"/>
          <w:sz w:val="22"/>
        </w:rPr>
        <w:t>to be</w:t>
      </w:r>
      <w:r>
        <w:rPr>
          <w:color w:val="4D4D4F"/>
          <w:spacing w:val="-23"/>
          <w:w w:val="115"/>
          <w:sz w:val="22"/>
        </w:rPr>
        <w:t> </w:t>
      </w:r>
      <w:r>
        <w:rPr>
          <w:color w:val="4D4D4F"/>
          <w:w w:val="115"/>
          <w:sz w:val="22"/>
        </w:rPr>
        <w:t>injected.</w:t>
      </w:r>
      <w:r>
        <w:rPr>
          <w:color w:val="4D4D4F"/>
          <w:spacing w:val="-23"/>
          <w:w w:val="115"/>
          <w:sz w:val="22"/>
        </w:rPr>
        <w:t> </w:t>
      </w:r>
      <w:r>
        <w:rPr>
          <w:color w:val="4D4D4F"/>
          <w:w w:val="115"/>
          <w:sz w:val="22"/>
        </w:rPr>
        <w:t>Although</w:t>
      </w:r>
      <w:r>
        <w:rPr>
          <w:color w:val="4D4D4F"/>
          <w:spacing w:val="-22"/>
          <w:w w:val="115"/>
          <w:sz w:val="22"/>
        </w:rPr>
        <w:t> </w:t>
      </w:r>
      <w:r>
        <w:rPr>
          <w:color w:val="4D4D4F"/>
          <w:w w:val="115"/>
          <w:sz w:val="22"/>
        </w:rPr>
        <w:t>there</w:t>
      </w:r>
      <w:r>
        <w:rPr>
          <w:color w:val="4D4D4F"/>
          <w:spacing w:val="-23"/>
          <w:w w:val="115"/>
          <w:sz w:val="22"/>
        </w:rPr>
        <w:t> </w:t>
      </w:r>
      <w:r>
        <w:rPr>
          <w:color w:val="4D4D4F"/>
          <w:w w:val="115"/>
          <w:sz w:val="22"/>
        </w:rPr>
        <w:t>are</w:t>
      </w:r>
      <w:r>
        <w:rPr>
          <w:color w:val="4D4D4F"/>
          <w:spacing w:val="-23"/>
          <w:w w:val="115"/>
          <w:sz w:val="22"/>
        </w:rPr>
        <w:t> </w:t>
      </w:r>
      <w:r>
        <w:rPr>
          <w:color w:val="4D4D4F"/>
          <w:w w:val="115"/>
          <w:sz w:val="22"/>
        </w:rPr>
        <w:t>some</w:t>
      </w:r>
      <w:r>
        <w:rPr>
          <w:color w:val="4D4D4F"/>
          <w:spacing w:val="-22"/>
          <w:w w:val="115"/>
          <w:sz w:val="22"/>
        </w:rPr>
        <w:t> </w:t>
      </w:r>
      <w:r>
        <w:rPr>
          <w:color w:val="4D4D4F"/>
          <w:w w:val="115"/>
          <w:sz w:val="22"/>
        </w:rPr>
        <w:t>publica- tions</w:t>
      </w:r>
      <w:r>
        <w:rPr>
          <w:color w:val="4D4D4F"/>
          <w:spacing w:val="-25"/>
          <w:w w:val="115"/>
          <w:sz w:val="22"/>
        </w:rPr>
        <w:t> </w:t>
      </w:r>
      <w:r>
        <w:rPr>
          <w:color w:val="4D4D4F"/>
          <w:w w:val="115"/>
          <w:sz w:val="22"/>
        </w:rPr>
        <w:t>with</w:t>
      </w:r>
      <w:r>
        <w:rPr>
          <w:color w:val="4D4D4F"/>
          <w:spacing w:val="-24"/>
          <w:w w:val="115"/>
          <w:sz w:val="22"/>
        </w:rPr>
        <w:t> </w:t>
      </w:r>
      <w:r>
        <w:rPr>
          <w:color w:val="4D4D4F"/>
          <w:w w:val="115"/>
          <w:sz w:val="22"/>
        </w:rPr>
        <w:t>small</w:t>
      </w:r>
      <w:r>
        <w:rPr>
          <w:color w:val="4D4D4F"/>
          <w:spacing w:val="-24"/>
          <w:w w:val="115"/>
          <w:sz w:val="22"/>
        </w:rPr>
        <w:t> </w:t>
      </w:r>
      <w:r>
        <w:rPr>
          <w:color w:val="4D4D4F"/>
          <w:w w:val="115"/>
          <w:sz w:val="22"/>
        </w:rPr>
        <w:t>sample</w:t>
      </w:r>
      <w:r>
        <w:rPr>
          <w:color w:val="4D4D4F"/>
          <w:spacing w:val="-24"/>
          <w:w w:val="115"/>
          <w:sz w:val="22"/>
        </w:rPr>
        <w:t> </w:t>
      </w:r>
      <w:r>
        <w:rPr>
          <w:color w:val="4D4D4F"/>
          <w:w w:val="115"/>
          <w:sz w:val="22"/>
        </w:rPr>
        <w:t>sizes</w:t>
      </w:r>
      <w:r>
        <w:rPr>
          <w:color w:val="4D4D4F"/>
          <w:spacing w:val="-25"/>
          <w:w w:val="115"/>
          <w:sz w:val="22"/>
        </w:rPr>
        <w:t> </w:t>
      </w:r>
      <w:r>
        <w:rPr>
          <w:color w:val="4D4D4F"/>
          <w:w w:val="115"/>
          <w:sz w:val="22"/>
        </w:rPr>
        <w:t>that</w:t>
      </w:r>
      <w:r>
        <w:rPr>
          <w:color w:val="4D4D4F"/>
          <w:spacing w:val="-24"/>
          <w:w w:val="115"/>
          <w:sz w:val="22"/>
        </w:rPr>
        <w:t> </w:t>
      </w:r>
      <w:r>
        <w:rPr>
          <w:color w:val="4D4D4F"/>
          <w:w w:val="115"/>
          <w:sz w:val="22"/>
        </w:rPr>
        <w:t>indicate</w:t>
      </w:r>
      <w:r>
        <w:rPr>
          <w:color w:val="4D4D4F"/>
          <w:spacing w:val="-24"/>
          <w:w w:val="115"/>
          <w:sz w:val="22"/>
        </w:rPr>
        <w:t> </w:t>
      </w:r>
      <w:r>
        <w:rPr>
          <w:color w:val="4D4D4F"/>
          <w:w w:val="115"/>
          <w:sz w:val="22"/>
        </w:rPr>
        <w:t>that the</w:t>
      </w:r>
      <w:r>
        <w:rPr>
          <w:color w:val="4D4D4F"/>
          <w:spacing w:val="-21"/>
          <w:w w:val="115"/>
          <w:sz w:val="22"/>
        </w:rPr>
        <w:t> </w:t>
      </w:r>
      <w:r>
        <w:rPr>
          <w:color w:val="4D4D4F"/>
          <w:w w:val="115"/>
          <w:sz w:val="22"/>
        </w:rPr>
        <w:t>combination</w:t>
      </w:r>
      <w:r>
        <w:rPr>
          <w:color w:val="4D4D4F"/>
          <w:spacing w:val="-21"/>
          <w:w w:val="115"/>
          <w:sz w:val="22"/>
        </w:rPr>
        <w:t> </w:t>
      </w:r>
      <w:r>
        <w:rPr>
          <w:color w:val="4D4D4F"/>
          <w:w w:val="115"/>
          <w:sz w:val="22"/>
        </w:rPr>
        <w:t>product</w:t>
      </w:r>
      <w:r>
        <w:rPr>
          <w:color w:val="4D4D4F"/>
          <w:spacing w:val="-21"/>
          <w:w w:val="115"/>
          <w:sz w:val="22"/>
        </w:rPr>
        <w:t> </w:t>
      </w:r>
      <w:r>
        <w:rPr>
          <w:color w:val="4D4D4F"/>
          <w:w w:val="115"/>
          <w:sz w:val="22"/>
        </w:rPr>
        <w:t>appears</w:t>
      </w:r>
      <w:r>
        <w:rPr>
          <w:color w:val="4D4D4F"/>
          <w:spacing w:val="-21"/>
          <w:w w:val="115"/>
          <w:sz w:val="22"/>
        </w:rPr>
        <w:t> </w:t>
      </w:r>
      <w:r>
        <w:rPr>
          <w:color w:val="4D4D4F"/>
          <w:w w:val="115"/>
          <w:sz w:val="22"/>
        </w:rPr>
        <w:t>to</w:t>
      </w:r>
      <w:r>
        <w:rPr>
          <w:color w:val="4D4D4F"/>
          <w:spacing w:val="-21"/>
          <w:w w:val="115"/>
          <w:sz w:val="22"/>
        </w:rPr>
        <w:t> </w:t>
      </w:r>
      <w:r>
        <w:rPr>
          <w:color w:val="4D4D4F"/>
          <w:w w:val="115"/>
          <w:sz w:val="22"/>
        </w:rPr>
        <w:t>be</w:t>
      </w:r>
      <w:r>
        <w:rPr>
          <w:color w:val="4D4D4F"/>
          <w:spacing w:val="-20"/>
          <w:w w:val="115"/>
          <w:sz w:val="22"/>
        </w:rPr>
        <w:t> </w:t>
      </w:r>
      <w:r>
        <w:rPr>
          <w:color w:val="4D4D4F"/>
          <w:w w:val="115"/>
          <w:sz w:val="22"/>
        </w:rPr>
        <w:t>safe</w:t>
      </w:r>
      <w:r>
        <w:rPr>
          <w:color w:val="4D4D4F"/>
          <w:spacing w:val="-21"/>
          <w:w w:val="115"/>
          <w:sz w:val="22"/>
        </w:rPr>
        <w:t> </w:t>
      </w:r>
      <w:r>
        <w:rPr>
          <w:color w:val="4D4D4F"/>
          <w:spacing w:val="-8"/>
          <w:w w:val="115"/>
          <w:sz w:val="22"/>
        </w:rPr>
        <w:t>in </w:t>
      </w:r>
      <w:r>
        <w:rPr>
          <w:color w:val="4D4D4F"/>
          <w:w w:val="115"/>
          <w:sz w:val="22"/>
        </w:rPr>
        <w:t>pregnancy,</w:t>
      </w:r>
      <w:r>
        <w:rPr>
          <w:color w:val="4D4D4F"/>
          <w:w w:val="115"/>
          <w:position w:val="7"/>
          <w:sz w:val="13"/>
        </w:rPr>
        <w:t>339,340</w:t>
      </w:r>
      <w:r>
        <w:rPr>
          <w:color w:val="4D4D4F"/>
          <w:spacing w:val="2"/>
          <w:w w:val="115"/>
          <w:position w:val="7"/>
          <w:sz w:val="13"/>
        </w:rPr>
        <w:t> </w:t>
      </w:r>
      <w:r>
        <w:rPr>
          <w:color w:val="4D4D4F"/>
          <w:w w:val="115"/>
          <w:sz w:val="22"/>
        </w:rPr>
        <w:t>the</w:t>
      </w:r>
      <w:r>
        <w:rPr>
          <w:color w:val="4D4D4F"/>
          <w:spacing w:val="-25"/>
          <w:w w:val="115"/>
          <w:sz w:val="22"/>
        </w:rPr>
        <w:t> </w:t>
      </w:r>
      <w:r>
        <w:rPr>
          <w:color w:val="4D4D4F"/>
          <w:w w:val="115"/>
          <w:sz w:val="22"/>
        </w:rPr>
        <w:t>safety</w:t>
      </w:r>
      <w:r>
        <w:rPr>
          <w:color w:val="4D4D4F"/>
          <w:spacing w:val="-26"/>
          <w:w w:val="115"/>
          <w:sz w:val="22"/>
        </w:rPr>
        <w:t> </w:t>
      </w:r>
      <w:r>
        <w:rPr>
          <w:color w:val="4D4D4F"/>
          <w:w w:val="115"/>
          <w:sz w:val="22"/>
        </w:rPr>
        <w:t>data</w:t>
      </w:r>
      <w:r>
        <w:rPr>
          <w:color w:val="4D4D4F"/>
          <w:spacing w:val="-25"/>
          <w:w w:val="115"/>
          <w:sz w:val="22"/>
        </w:rPr>
        <w:t> </w:t>
      </w:r>
      <w:r>
        <w:rPr>
          <w:color w:val="4D4D4F"/>
          <w:w w:val="115"/>
          <w:sz w:val="22"/>
        </w:rPr>
        <w:t>are</w:t>
      </w:r>
      <w:r>
        <w:rPr>
          <w:color w:val="4D4D4F"/>
          <w:spacing w:val="-26"/>
          <w:w w:val="115"/>
          <w:sz w:val="22"/>
        </w:rPr>
        <w:t> </w:t>
      </w:r>
      <w:r>
        <w:rPr>
          <w:color w:val="4D4D4F"/>
          <w:w w:val="115"/>
          <w:sz w:val="22"/>
        </w:rPr>
        <w:t>insufﬁcient at</w:t>
      </w:r>
      <w:r>
        <w:rPr>
          <w:color w:val="4D4D4F"/>
          <w:spacing w:val="-22"/>
          <w:w w:val="115"/>
          <w:sz w:val="22"/>
        </w:rPr>
        <w:t> </w:t>
      </w:r>
      <w:r>
        <w:rPr>
          <w:color w:val="4D4D4F"/>
          <w:w w:val="115"/>
          <w:sz w:val="22"/>
        </w:rPr>
        <w:t>this</w:t>
      </w:r>
      <w:r>
        <w:rPr>
          <w:color w:val="4D4D4F"/>
          <w:spacing w:val="-22"/>
          <w:w w:val="115"/>
          <w:sz w:val="22"/>
        </w:rPr>
        <w:t> </w:t>
      </w:r>
      <w:r>
        <w:rPr>
          <w:color w:val="4D4D4F"/>
          <w:w w:val="115"/>
          <w:sz w:val="22"/>
        </w:rPr>
        <w:t>time</w:t>
      </w:r>
      <w:r>
        <w:rPr>
          <w:color w:val="4D4D4F"/>
          <w:spacing w:val="-21"/>
          <w:w w:val="115"/>
          <w:sz w:val="22"/>
        </w:rPr>
        <w:t> </w:t>
      </w:r>
      <w:r>
        <w:rPr>
          <w:color w:val="4D4D4F"/>
          <w:w w:val="115"/>
          <w:sz w:val="22"/>
        </w:rPr>
        <w:t>to</w:t>
      </w:r>
      <w:r>
        <w:rPr>
          <w:color w:val="4D4D4F"/>
          <w:spacing w:val="-22"/>
          <w:w w:val="115"/>
          <w:sz w:val="22"/>
        </w:rPr>
        <w:t> </w:t>
      </w:r>
      <w:r>
        <w:rPr>
          <w:color w:val="4D4D4F"/>
          <w:w w:val="115"/>
          <w:sz w:val="22"/>
        </w:rPr>
        <w:t>recommend</w:t>
      </w:r>
      <w:r>
        <w:rPr>
          <w:color w:val="4D4D4F"/>
          <w:spacing w:val="-21"/>
          <w:w w:val="115"/>
          <w:sz w:val="22"/>
        </w:rPr>
        <w:t> </w:t>
      </w:r>
      <w:r>
        <w:rPr>
          <w:color w:val="4D4D4F"/>
          <w:w w:val="115"/>
          <w:sz w:val="22"/>
        </w:rPr>
        <w:t>its</w:t>
      </w:r>
      <w:r>
        <w:rPr>
          <w:color w:val="4D4D4F"/>
          <w:spacing w:val="-22"/>
          <w:w w:val="115"/>
          <w:sz w:val="22"/>
        </w:rPr>
        <w:t> </w:t>
      </w:r>
      <w:r>
        <w:rPr>
          <w:color w:val="4D4D4F"/>
          <w:w w:val="115"/>
          <w:sz w:val="22"/>
        </w:rPr>
        <w:t>use.</w:t>
      </w:r>
      <w:r>
        <w:rPr>
          <w:color w:val="4D4D4F"/>
          <w:w w:val="115"/>
          <w:position w:val="7"/>
          <w:sz w:val="13"/>
        </w:rPr>
        <w:t>341</w:t>
      </w:r>
      <w:r>
        <w:rPr>
          <w:color w:val="4D4D4F"/>
          <w:spacing w:val="7"/>
          <w:w w:val="115"/>
          <w:position w:val="7"/>
          <w:sz w:val="13"/>
        </w:rPr>
        <w:t> </w:t>
      </w:r>
      <w:r>
        <w:rPr>
          <w:color w:val="4D4D4F"/>
          <w:w w:val="115"/>
          <w:sz w:val="22"/>
        </w:rPr>
        <w:t>This</w:t>
      </w:r>
      <w:r>
        <w:rPr>
          <w:color w:val="4D4D4F"/>
          <w:spacing w:val="-22"/>
          <w:w w:val="115"/>
          <w:sz w:val="22"/>
        </w:rPr>
        <w:t> </w:t>
      </w:r>
      <w:r>
        <w:rPr>
          <w:color w:val="4D4D4F"/>
          <w:w w:val="115"/>
          <w:sz w:val="22"/>
        </w:rPr>
        <w:t>is</w:t>
      </w:r>
    </w:p>
    <w:p>
      <w:pPr>
        <w:pStyle w:val="BodyText"/>
        <w:spacing w:line="247" w:lineRule="auto" w:before="7"/>
        <w:ind w:left="410" w:right="253"/>
        <w:rPr>
          <w:sz w:val="13"/>
        </w:rPr>
      </w:pPr>
      <w:r>
        <w:rPr>
          <w:color w:val="4D4D4F"/>
          <w:w w:val="110"/>
        </w:rPr>
        <w:t>an area of some uncertainty. An expert panel on the treatment of OUD in pregnancy was unable to agree whether pregnant women should be treated with the monoproduct or combination product.</w:t>
      </w:r>
      <w:r>
        <w:rPr>
          <w:color w:val="4D4D4F"/>
          <w:w w:val="110"/>
          <w:position w:val="7"/>
          <w:sz w:val="13"/>
        </w:rPr>
        <w:t>342</w:t>
      </w:r>
    </w:p>
    <w:p>
      <w:pPr>
        <w:pStyle w:val="ListParagraph"/>
        <w:numPr>
          <w:ilvl w:val="0"/>
          <w:numId w:val="29"/>
        </w:numPr>
        <w:tabs>
          <w:tab w:pos="410" w:val="left" w:leader="none"/>
        </w:tabs>
        <w:spacing w:line="264" w:lineRule="exact" w:before="43" w:after="0"/>
        <w:ind w:left="410" w:right="178" w:hanging="270"/>
        <w:jc w:val="left"/>
        <w:rPr>
          <w:rFonts w:ascii="Arial" w:hAnsi="Arial"/>
          <w:color w:val="137692"/>
          <w:sz w:val="28"/>
        </w:rPr>
      </w:pPr>
      <w:r>
        <w:rPr>
          <w:color w:val="4D4D4F"/>
          <w:w w:val="110"/>
          <w:sz w:val="22"/>
        </w:rPr>
        <w:t>Prescribers should observe the patient taking the medication to ensure proper use, espe- cially if the patient is new to buprenorphine treatment. It can be helpful to do this peri- odically after induction, especially when the prescribed dose is not providing the </w:t>
      </w:r>
      <w:r>
        <w:rPr>
          <w:color w:val="4D4D4F"/>
          <w:spacing w:val="-3"/>
          <w:w w:val="110"/>
          <w:sz w:val="22"/>
        </w:rPr>
        <w:t>expected </w:t>
      </w:r>
      <w:r>
        <w:rPr>
          <w:color w:val="4D4D4F"/>
          <w:w w:val="110"/>
          <w:sz w:val="22"/>
        </w:rPr>
        <w:t>beneﬁt.</w:t>
      </w:r>
    </w:p>
    <w:p>
      <w:pPr>
        <w:spacing w:after="0" w:line="264" w:lineRule="exact"/>
        <w:jc w:val="left"/>
        <w:rPr>
          <w:rFonts w:ascii="Arial" w:hAnsi="Arial"/>
          <w:sz w:val="28"/>
        </w:rPr>
        <w:sectPr>
          <w:type w:val="continuous"/>
          <w:pgSz w:w="12240" w:h="15840"/>
          <w:pgMar w:top="540" w:bottom="280" w:left="940" w:right="920"/>
          <w:cols w:num="2" w:equalWidth="0">
            <w:col w:w="5011" w:space="209"/>
            <w:col w:w="516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ListParagraph"/>
        <w:numPr>
          <w:ilvl w:val="0"/>
          <w:numId w:val="29"/>
        </w:numPr>
        <w:tabs>
          <w:tab w:pos="410" w:val="left" w:leader="none"/>
        </w:tabs>
        <w:spacing w:line="225" w:lineRule="auto" w:before="105" w:after="0"/>
        <w:ind w:left="410" w:right="346" w:hanging="270"/>
        <w:jc w:val="both"/>
        <w:rPr>
          <w:rFonts w:ascii="Arial" w:hAnsi="Arial"/>
          <w:color w:val="137692"/>
          <w:sz w:val="28"/>
        </w:rPr>
      </w:pPr>
      <w:r>
        <w:rPr>
          <w:color w:val="4D4D4F"/>
          <w:w w:val="115"/>
          <w:sz w:val="22"/>
        </w:rPr>
        <w:t>Before</w:t>
      </w:r>
      <w:r>
        <w:rPr>
          <w:color w:val="4D4D4F"/>
          <w:spacing w:val="-24"/>
          <w:w w:val="115"/>
          <w:sz w:val="22"/>
        </w:rPr>
        <w:t> </w:t>
      </w:r>
      <w:r>
        <w:rPr>
          <w:color w:val="4D4D4F"/>
          <w:w w:val="115"/>
          <w:sz w:val="22"/>
        </w:rPr>
        <w:t>the</w:t>
      </w:r>
      <w:r>
        <w:rPr>
          <w:color w:val="4D4D4F"/>
          <w:spacing w:val="-24"/>
          <w:w w:val="115"/>
          <w:sz w:val="22"/>
        </w:rPr>
        <w:t> </w:t>
      </w:r>
      <w:r>
        <w:rPr>
          <w:color w:val="4D4D4F"/>
          <w:w w:val="115"/>
          <w:sz w:val="22"/>
        </w:rPr>
        <w:t>ﬁrst</w:t>
      </w:r>
      <w:r>
        <w:rPr>
          <w:color w:val="4D4D4F"/>
          <w:spacing w:val="-23"/>
          <w:w w:val="115"/>
          <w:sz w:val="22"/>
        </w:rPr>
        <w:t> </w:t>
      </w:r>
      <w:r>
        <w:rPr>
          <w:color w:val="4D4D4F"/>
          <w:w w:val="115"/>
          <w:sz w:val="22"/>
        </w:rPr>
        <w:t>dose,</w:t>
      </w:r>
      <w:r>
        <w:rPr>
          <w:color w:val="4D4D4F"/>
          <w:spacing w:val="-24"/>
          <w:w w:val="115"/>
          <w:sz w:val="22"/>
        </w:rPr>
        <w:t> </w:t>
      </w:r>
      <w:r>
        <w:rPr>
          <w:color w:val="4D4D4F"/>
          <w:w w:val="115"/>
          <w:sz w:val="22"/>
        </w:rPr>
        <w:t>the</w:t>
      </w:r>
      <w:r>
        <w:rPr>
          <w:color w:val="4D4D4F"/>
          <w:spacing w:val="-24"/>
          <w:w w:val="115"/>
          <w:sz w:val="22"/>
        </w:rPr>
        <w:t> </w:t>
      </w:r>
      <w:r>
        <w:rPr>
          <w:color w:val="4D4D4F"/>
          <w:w w:val="115"/>
          <w:sz w:val="22"/>
        </w:rPr>
        <w:t>patient</w:t>
      </w:r>
      <w:r>
        <w:rPr>
          <w:color w:val="4D4D4F"/>
          <w:spacing w:val="-23"/>
          <w:w w:val="115"/>
          <w:sz w:val="22"/>
        </w:rPr>
        <w:t> </w:t>
      </w:r>
      <w:r>
        <w:rPr>
          <w:color w:val="4D4D4F"/>
          <w:w w:val="115"/>
          <w:sz w:val="22"/>
        </w:rPr>
        <w:t>should</w:t>
      </w:r>
      <w:r>
        <w:rPr>
          <w:color w:val="4D4D4F"/>
          <w:spacing w:val="-24"/>
          <w:w w:val="115"/>
          <w:sz w:val="22"/>
        </w:rPr>
        <w:t> </w:t>
      </w:r>
      <w:r>
        <w:rPr>
          <w:color w:val="4D4D4F"/>
          <w:spacing w:val="-9"/>
          <w:w w:val="115"/>
          <w:sz w:val="22"/>
        </w:rPr>
        <w:t>be </w:t>
      </w:r>
      <w:r>
        <w:rPr>
          <w:color w:val="4D4D4F"/>
          <w:w w:val="115"/>
          <w:sz w:val="22"/>
        </w:rPr>
        <w:t>in</w:t>
      </w:r>
      <w:r>
        <w:rPr>
          <w:color w:val="4D4D4F"/>
          <w:spacing w:val="-33"/>
          <w:w w:val="115"/>
          <w:sz w:val="22"/>
        </w:rPr>
        <w:t> </w:t>
      </w:r>
      <w:r>
        <w:rPr>
          <w:color w:val="4D4D4F"/>
          <w:w w:val="115"/>
          <w:sz w:val="22"/>
        </w:rPr>
        <w:t>opioid</w:t>
      </w:r>
      <w:r>
        <w:rPr>
          <w:color w:val="4D4D4F"/>
          <w:spacing w:val="-32"/>
          <w:w w:val="115"/>
          <w:sz w:val="22"/>
        </w:rPr>
        <w:t> </w:t>
      </w:r>
      <w:r>
        <w:rPr>
          <w:color w:val="4D4D4F"/>
          <w:w w:val="115"/>
          <w:sz w:val="22"/>
        </w:rPr>
        <w:t>withdrawal</w:t>
      </w:r>
      <w:r>
        <w:rPr>
          <w:color w:val="4D4D4F"/>
          <w:spacing w:val="-33"/>
          <w:w w:val="115"/>
          <w:sz w:val="22"/>
        </w:rPr>
        <w:t> </w:t>
      </w:r>
      <w:r>
        <w:rPr>
          <w:color w:val="4D4D4F"/>
          <w:w w:val="115"/>
          <w:sz w:val="22"/>
        </w:rPr>
        <w:t>(to</w:t>
      </w:r>
      <w:r>
        <w:rPr>
          <w:color w:val="4D4D4F"/>
          <w:spacing w:val="-32"/>
          <w:w w:val="115"/>
          <w:sz w:val="22"/>
        </w:rPr>
        <w:t> </w:t>
      </w:r>
      <w:r>
        <w:rPr>
          <w:color w:val="4D4D4F"/>
          <w:w w:val="115"/>
          <w:sz w:val="22"/>
        </w:rPr>
        <w:t>avoid</w:t>
      </w:r>
      <w:r>
        <w:rPr>
          <w:color w:val="4D4D4F"/>
          <w:spacing w:val="-33"/>
          <w:w w:val="115"/>
          <w:sz w:val="22"/>
        </w:rPr>
        <w:t> </w:t>
      </w:r>
      <w:r>
        <w:rPr>
          <w:color w:val="4D4D4F"/>
          <w:w w:val="115"/>
          <w:sz w:val="22"/>
        </w:rPr>
        <w:t>precipitated withdrawal).</w:t>
      </w:r>
    </w:p>
    <w:p>
      <w:pPr>
        <w:pStyle w:val="ListParagraph"/>
        <w:numPr>
          <w:ilvl w:val="0"/>
          <w:numId w:val="29"/>
        </w:numPr>
        <w:tabs>
          <w:tab w:pos="410" w:val="left" w:leader="none"/>
        </w:tabs>
        <w:spacing w:line="208" w:lineRule="auto" w:before="68" w:after="0"/>
        <w:ind w:left="410" w:right="221" w:hanging="270"/>
        <w:jc w:val="both"/>
        <w:rPr>
          <w:rFonts w:ascii="Arial" w:hAnsi="Arial"/>
          <w:color w:val="137692"/>
          <w:sz w:val="28"/>
        </w:rPr>
      </w:pPr>
      <w:r>
        <w:rPr>
          <w:color w:val="4D4D4F"/>
          <w:w w:val="110"/>
          <w:sz w:val="22"/>
        </w:rPr>
        <w:t>The ﬁrst dose is typically 4 mg/1 mg (2 mg </w:t>
      </w:r>
      <w:r>
        <w:rPr>
          <w:color w:val="4D4D4F"/>
          <w:spacing w:val="-9"/>
          <w:w w:val="110"/>
          <w:sz w:val="22"/>
        </w:rPr>
        <w:t>if </w:t>
      </w:r>
      <w:r>
        <w:rPr>
          <w:color w:val="4D4D4F"/>
          <w:w w:val="110"/>
          <w:sz w:val="22"/>
        </w:rPr>
        <w:t>withdrawal is from</w:t>
      </w:r>
      <w:r>
        <w:rPr>
          <w:color w:val="4D4D4F"/>
          <w:spacing w:val="-19"/>
          <w:w w:val="110"/>
          <w:sz w:val="22"/>
        </w:rPr>
        <w:t> </w:t>
      </w:r>
      <w:r>
        <w:rPr>
          <w:color w:val="4D4D4F"/>
          <w:w w:val="110"/>
          <w:sz w:val="22"/>
        </w:rPr>
        <w:t>methadone).</w:t>
      </w:r>
    </w:p>
    <w:p>
      <w:pPr>
        <w:pStyle w:val="ListParagraph"/>
        <w:numPr>
          <w:ilvl w:val="0"/>
          <w:numId w:val="29"/>
        </w:numPr>
        <w:tabs>
          <w:tab w:pos="410" w:val="left" w:leader="none"/>
        </w:tabs>
        <w:spacing w:line="225" w:lineRule="auto" w:before="54" w:after="0"/>
        <w:ind w:left="410" w:right="224" w:hanging="270"/>
        <w:jc w:val="both"/>
        <w:rPr>
          <w:rFonts w:ascii="Arial" w:hAnsi="Arial"/>
          <w:color w:val="137692"/>
          <w:sz w:val="28"/>
        </w:rPr>
      </w:pPr>
      <w:r>
        <w:rPr>
          <w:color w:val="4D4D4F"/>
          <w:w w:val="115"/>
          <w:sz w:val="22"/>
        </w:rPr>
        <w:t>Repeat</w:t>
      </w:r>
      <w:r>
        <w:rPr>
          <w:color w:val="4D4D4F"/>
          <w:spacing w:val="-22"/>
          <w:w w:val="115"/>
          <w:sz w:val="22"/>
        </w:rPr>
        <w:t> </w:t>
      </w:r>
      <w:r>
        <w:rPr>
          <w:color w:val="4D4D4F"/>
          <w:w w:val="115"/>
          <w:sz w:val="22"/>
        </w:rPr>
        <w:t>dose</w:t>
      </w:r>
      <w:r>
        <w:rPr>
          <w:color w:val="4D4D4F"/>
          <w:spacing w:val="-22"/>
          <w:w w:val="115"/>
          <w:sz w:val="22"/>
        </w:rPr>
        <w:t> </w:t>
      </w:r>
      <w:r>
        <w:rPr>
          <w:color w:val="4D4D4F"/>
          <w:w w:val="115"/>
          <w:sz w:val="22"/>
        </w:rPr>
        <w:t>as</w:t>
      </w:r>
      <w:r>
        <w:rPr>
          <w:color w:val="4D4D4F"/>
          <w:spacing w:val="-22"/>
          <w:w w:val="115"/>
          <w:sz w:val="22"/>
        </w:rPr>
        <w:t> </w:t>
      </w:r>
      <w:r>
        <w:rPr>
          <w:color w:val="4D4D4F"/>
          <w:w w:val="115"/>
          <w:sz w:val="22"/>
        </w:rPr>
        <w:t>needed</w:t>
      </w:r>
      <w:r>
        <w:rPr>
          <w:color w:val="4D4D4F"/>
          <w:spacing w:val="-21"/>
          <w:w w:val="115"/>
          <w:sz w:val="22"/>
        </w:rPr>
        <w:t> </w:t>
      </w:r>
      <w:r>
        <w:rPr>
          <w:color w:val="4D4D4F"/>
          <w:w w:val="115"/>
          <w:sz w:val="22"/>
        </w:rPr>
        <w:t>for</w:t>
      </w:r>
      <w:r>
        <w:rPr>
          <w:color w:val="4D4D4F"/>
          <w:spacing w:val="-22"/>
          <w:w w:val="115"/>
          <w:sz w:val="22"/>
        </w:rPr>
        <w:t> </w:t>
      </w:r>
      <w:r>
        <w:rPr>
          <w:color w:val="4D4D4F"/>
          <w:w w:val="115"/>
          <w:sz w:val="22"/>
        </w:rPr>
        <w:t>continuing</w:t>
      </w:r>
      <w:r>
        <w:rPr>
          <w:color w:val="4D4D4F"/>
          <w:spacing w:val="-22"/>
          <w:w w:val="115"/>
          <w:sz w:val="22"/>
        </w:rPr>
        <w:t> </w:t>
      </w:r>
      <w:r>
        <w:rPr>
          <w:color w:val="4D4D4F"/>
          <w:w w:val="115"/>
          <w:sz w:val="22"/>
        </w:rPr>
        <w:t>with- drawal</w:t>
      </w:r>
      <w:r>
        <w:rPr>
          <w:color w:val="4D4D4F"/>
          <w:spacing w:val="-23"/>
          <w:w w:val="115"/>
          <w:sz w:val="22"/>
        </w:rPr>
        <w:t> </w:t>
      </w:r>
      <w:r>
        <w:rPr>
          <w:color w:val="4D4D4F"/>
          <w:w w:val="115"/>
          <w:sz w:val="22"/>
        </w:rPr>
        <w:t>every</w:t>
      </w:r>
      <w:r>
        <w:rPr>
          <w:color w:val="4D4D4F"/>
          <w:spacing w:val="-23"/>
          <w:w w:val="115"/>
          <w:sz w:val="22"/>
        </w:rPr>
        <w:t> </w:t>
      </w:r>
      <w:r>
        <w:rPr>
          <w:color w:val="4D4D4F"/>
          <w:w w:val="115"/>
          <w:sz w:val="22"/>
        </w:rPr>
        <w:t>2</w:t>
      </w:r>
      <w:r>
        <w:rPr>
          <w:color w:val="4D4D4F"/>
          <w:spacing w:val="-24"/>
          <w:w w:val="115"/>
          <w:sz w:val="22"/>
        </w:rPr>
        <w:t> </w:t>
      </w:r>
      <w:r>
        <w:rPr>
          <w:color w:val="4D4D4F"/>
          <w:w w:val="115"/>
          <w:sz w:val="22"/>
        </w:rPr>
        <w:t>hours</w:t>
      </w:r>
      <w:r>
        <w:rPr>
          <w:color w:val="4D4D4F"/>
          <w:spacing w:val="-23"/>
          <w:w w:val="115"/>
          <w:sz w:val="22"/>
        </w:rPr>
        <w:t> </w:t>
      </w:r>
      <w:r>
        <w:rPr>
          <w:color w:val="4D4D4F"/>
          <w:w w:val="115"/>
          <w:sz w:val="22"/>
        </w:rPr>
        <w:t>up</w:t>
      </w:r>
      <w:r>
        <w:rPr>
          <w:color w:val="4D4D4F"/>
          <w:spacing w:val="-23"/>
          <w:w w:val="115"/>
          <w:sz w:val="22"/>
        </w:rPr>
        <w:t> </w:t>
      </w:r>
      <w:r>
        <w:rPr>
          <w:color w:val="4D4D4F"/>
          <w:w w:val="115"/>
          <w:sz w:val="22"/>
        </w:rPr>
        <w:t>to</w:t>
      </w:r>
      <w:r>
        <w:rPr>
          <w:color w:val="4D4D4F"/>
          <w:spacing w:val="-23"/>
          <w:w w:val="115"/>
          <w:sz w:val="22"/>
        </w:rPr>
        <w:t> </w:t>
      </w:r>
      <w:r>
        <w:rPr>
          <w:color w:val="4D4D4F"/>
          <w:w w:val="115"/>
          <w:sz w:val="22"/>
        </w:rPr>
        <w:t>typically</w:t>
      </w:r>
      <w:r>
        <w:rPr>
          <w:color w:val="4D4D4F"/>
          <w:spacing w:val="-23"/>
          <w:w w:val="115"/>
          <w:sz w:val="22"/>
        </w:rPr>
        <w:t> </w:t>
      </w:r>
      <w:r>
        <w:rPr>
          <w:color w:val="4D4D4F"/>
          <w:w w:val="115"/>
          <w:sz w:val="22"/>
        </w:rPr>
        <w:t>8</w:t>
      </w:r>
      <w:r>
        <w:rPr>
          <w:color w:val="4D4D4F"/>
          <w:spacing w:val="-23"/>
          <w:w w:val="115"/>
          <w:sz w:val="22"/>
        </w:rPr>
        <w:t> </w:t>
      </w:r>
      <w:r>
        <w:rPr>
          <w:color w:val="4D4D4F"/>
          <w:w w:val="115"/>
          <w:sz w:val="22"/>
        </w:rPr>
        <w:t>mg</w:t>
      </w:r>
      <w:r>
        <w:rPr>
          <w:color w:val="4D4D4F"/>
          <w:spacing w:val="-23"/>
          <w:w w:val="115"/>
          <w:sz w:val="22"/>
        </w:rPr>
        <w:t> </w:t>
      </w:r>
      <w:r>
        <w:rPr>
          <w:color w:val="4D4D4F"/>
          <w:spacing w:val="-9"/>
          <w:w w:val="115"/>
          <w:sz w:val="22"/>
        </w:rPr>
        <w:t>on </w:t>
      </w:r>
      <w:r>
        <w:rPr>
          <w:color w:val="4D4D4F"/>
          <w:w w:val="115"/>
          <w:sz w:val="22"/>
        </w:rPr>
        <w:t>the ﬁrst</w:t>
      </w:r>
      <w:r>
        <w:rPr>
          <w:color w:val="4D4D4F"/>
          <w:spacing w:val="-20"/>
          <w:w w:val="115"/>
          <w:sz w:val="22"/>
        </w:rPr>
        <w:t> </w:t>
      </w:r>
      <w:r>
        <w:rPr>
          <w:color w:val="4D4D4F"/>
          <w:spacing w:val="-5"/>
          <w:w w:val="115"/>
          <w:sz w:val="22"/>
        </w:rPr>
        <w:t>day.</w:t>
      </w:r>
    </w:p>
    <w:p>
      <w:pPr>
        <w:pStyle w:val="Heading7"/>
        <w:spacing w:line="235" w:lineRule="auto" w:before="193"/>
        <w:ind w:right="101"/>
        <w:jc w:val="both"/>
      </w:pPr>
      <w:r>
        <w:rPr>
          <w:color w:val="4D4D4F"/>
          <w:w w:val="115"/>
        </w:rPr>
        <w:t>At the start of the next day, patients typically take the ﬁrst day’s total dose all at once:</w:t>
      </w:r>
    </w:p>
    <w:p>
      <w:pPr>
        <w:pStyle w:val="ListParagraph"/>
        <w:numPr>
          <w:ilvl w:val="0"/>
          <w:numId w:val="29"/>
        </w:numPr>
        <w:tabs>
          <w:tab w:pos="410" w:val="left" w:leader="none"/>
        </w:tabs>
        <w:spacing w:line="264" w:lineRule="exact" w:before="111" w:after="0"/>
        <w:ind w:left="410" w:right="167" w:hanging="270"/>
        <w:jc w:val="left"/>
        <w:rPr>
          <w:rFonts w:ascii="Arial" w:hAnsi="Arial"/>
          <w:color w:val="137692"/>
          <w:sz w:val="28"/>
        </w:rPr>
      </w:pPr>
      <w:r>
        <w:rPr>
          <w:color w:val="4D4D4F"/>
          <w:w w:val="110"/>
          <w:sz w:val="22"/>
        </w:rPr>
        <w:t>If necessary, an additional 2 mg to 4 mg can be given every 2 hours up to approximately a 16 mg total daily dose to treat continuing opioid withdrawal and craving on Day 2 or </w:t>
      </w:r>
      <w:r>
        <w:rPr>
          <w:color w:val="4D4D4F"/>
          <w:spacing w:val="-9"/>
          <w:w w:val="110"/>
          <w:sz w:val="22"/>
        </w:rPr>
        <w:t>3, </w:t>
      </w:r>
      <w:r>
        <w:rPr>
          <w:color w:val="4D4D4F"/>
          <w:w w:val="110"/>
          <w:sz w:val="22"/>
        </w:rPr>
        <w:t>barring</w:t>
      </w:r>
      <w:r>
        <w:rPr>
          <w:color w:val="4D4D4F"/>
          <w:spacing w:val="-5"/>
          <w:w w:val="110"/>
          <w:sz w:val="22"/>
        </w:rPr>
        <w:t> </w:t>
      </w:r>
      <w:r>
        <w:rPr>
          <w:color w:val="4D4D4F"/>
          <w:w w:val="110"/>
          <w:sz w:val="22"/>
        </w:rPr>
        <w:t>sedation.</w:t>
      </w:r>
    </w:p>
    <w:p>
      <w:pPr>
        <w:pStyle w:val="ListParagraph"/>
        <w:numPr>
          <w:ilvl w:val="0"/>
          <w:numId w:val="29"/>
        </w:numPr>
        <w:tabs>
          <w:tab w:pos="410" w:val="left" w:leader="none"/>
        </w:tabs>
        <w:spacing w:line="225" w:lineRule="auto" w:before="46" w:after="0"/>
        <w:ind w:left="410" w:right="559" w:hanging="270"/>
        <w:jc w:val="left"/>
        <w:rPr>
          <w:rFonts w:ascii="Arial" w:hAnsi="Arial"/>
          <w:color w:val="137692"/>
          <w:sz w:val="28"/>
        </w:rPr>
      </w:pPr>
      <w:r>
        <w:rPr>
          <w:color w:val="4D4D4F"/>
          <w:w w:val="110"/>
          <w:sz w:val="22"/>
        </w:rPr>
        <w:t>The initial stabilization dose can often </w:t>
      </w:r>
      <w:r>
        <w:rPr>
          <w:color w:val="4D4D4F"/>
          <w:spacing w:val="-9"/>
          <w:w w:val="110"/>
          <w:sz w:val="22"/>
        </w:rPr>
        <w:t>be </w:t>
      </w:r>
      <w:r>
        <w:rPr>
          <w:color w:val="4D4D4F"/>
          <w:w w:val="110"/>
          <w:sz w:val="22"/>
        </w:rPr>
        <w:t>achieved within the ﬁrst several days of treatment.</w:t>
      </w:r>
    </w:p>
    <w:p>
      <w:pPr>
        <w:pStyle w:val="Heading5"/>
        <w:spacing w:before="228"/>
        <w:rPr>
          <w:i/>
        </w:rPr>
      </w:pPr>
      <w:r>
        <w:rPr>
          <w:i/>
          <w:color w:val="137692"/>
        </w:rPr>
        <w:t>Maintenance</w:t>
      </w:r>
    </w:p>
    <w:p>
      <w:pPr>
        <w:spacing w:line="237" w:lineRule="auto" w:before="45"/>
        <w:ind w:left="140" w:right="90" w:firstLine="0"/>
        <w:jc w:val="both"/>
        <w:rPr>
          <w:sz w:val="22"/>
        </w:rPr>
      </w:pPr>
      <w:r>
        <w:rPr>
          <w:rFonts w:ascii="Calibri"/>
          <w:b/>
          <w:color w:val="4D4D4F"/>
          <w:w w:val="110"/>
          <w:sz w:val="22"/>
        </w:rPr>
        <w:t>Typical maintenance doses range from 4 mg/1 mg to 24 mg/6 mg per day. </w:t>
      </w:r>
      <w:r>
        <w:rPr>
          <w:color w:val="4D4D4F"/>
          <w:w w:val="110"/>
          <w:sz w:val="22"/>
        </w:rPr>
        <w:t>An effective main- tenance dose is the lowest dose that can:</w:t>
      </w:r>
    </w:p>
    <w:p>
      <w:pPr>
        <w:pStyle w:val="ListParagraph"/>
        <w:numPr>
          <w:ilvl w:val="0"/>
          <w:numId w:val="29"/>
        </w:numPr>
        <w:tabs>
          <w:tab w:pos="410" w:val="left" w:leader="none"/>
        </w:tabs>
        <w:spacing w:line="315" w:lineRule="exact" w:before="107" w:after="0"/>
        <w:ind w:left="410" w:right="0" w:hanging="270"/>
        <w:jc w:val="left"/>
        <w:rPr>
          <w:rFonts w:ascii="Arial" w:hAnsi="Arial"/>
          <w:color w:val="137692"/>
          <w:sz w:val="28"/>
        </w:rPr>
      </w:pPr>
      <w:r>
        <w:rPr>
          <w:color w:val="4D4D4F"/>
          <w:w w:val="110"/>
          <w:sz w:val="22"/>
        </w:rPr>
        <w:t>Eliminate</w:t>
      </w:r>
      <w:r>
        <w:rPr>
          <w:color w:val="4D4D4F"/>
          <w:spacing w:val="-6"/>
          <w:w w:val="110"/>
          <w:sz w:val="22"/>
        </w:rPr>
        <w:t> </w:t>
      </w:r>
      <w:r>
        <w:rPr>
          <w:color w:val="4D4D4F"/>
          <w:w w:val="110"/>
          <w:sz w:val="22"/>
        </w:rPr>
        <w:t>withdrawal.</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Reduce or eliminate opioid</w:t>
      </w:r>
      <w:r>
        <w:rPr>
          <w:color w:val="4D4D4F"/>
          <w:spacing w:val="-52"/>
          <w:w w:val="115"/>
          <w:sz w:val="22"/>
        </w:rPr>
        <w:t> </w:t>
      </w:r>
      <w:r>
        <w:rPr>
          <w:color w:val="4D4D4F"/>
          <w:w w:val="115"/>
          <w:sz w:val="22"/>
        </w:rPr>
        <w:t>craving.</w:t>
      </w:r>
    </w:p>
    <w:p>
      <w:pPr>
        <w:pStyle w:val="ListParagraph"/>
        <w:numPr>
          <w:ilvl w:val="0"/>
          <w:numId w:val="29"/>
        </w:numPr>
        <w:tabs>
          <w:tab w:pos="410" w:val="left" w:leader="none"/>
        </w:tabs>
        <w:spacing w:line="208" w:lineRule="auto" w:before="22" w:after="0"/>
        <w:ind w:left="410" w:right="380" w:hanging="270"/>
        <w:jc w:val="left"/>
        <w:rPr>
          <w:rFonts w:ascii="Arial" w:hAnsi="Arial"/>
          <w:color w:val="137692"/>
          <w:sz w:val="28"/>
        </w:rPr>
      </w:pPr>
      <w:r>
        <w:rPr>
          <w:color w:val="4D4D4F"/>
          <w:w w:val="115"/>
          <w:sz w:val="22"/>
        </w:rPr>
        <w:t>Reduce</w:t>
      </w:r>
      <w:r>
        <w:rPr>
          <w:color w:val="4D4D4F"/>
          <w:spacing w:val="-29"/>
          <w:w w:val="115"/>
          <w:sz w:val="22"/>
        </w:rPr>
        <w:t> </w:t>
      </w:r>
      <w:r>
        <w:rPr>
          <w:color w:val="4D4D4F"/>
          <w:w w:val="115"/>
          <w:sz w:val="22"/>
        </w:rPr>
        <w:t>or</w:t>
      </w:r>
      <w:r>
        <w:rPr>
          <w:color w:val="4D4D4F"/>
          <w:spacing w:val="-29"/>
          <w:w w:val="115"/>
          <w:sz w:val="22"/>
        </w:rPr>
        <w:t> </w:t>
      </w:r>
      <w:r>
        <w:rPr>
          <w:color w:val="4D4D4F"/>
          <w:w w:val="115"/>
          <w:sz w:val="22"/>
        </w:rPr>
        <w:t>stop</w:t>
      </w:r>
      <w:r>
        <w:rPr>
          <w:color w:val="4D4D4F"/>
          <w:spacing w:val="-29"/>
          <w:w w:val="115"/>
          <w:sz w:val="22"/>
        </w:rPr>
        <w:t> </w:t>
      </w:r>
      <w:r>
        <w:rPr>
          <w:color w:val="4D4D4F"/>
          <w:w w:val="115"/>
          <w:sz w:val="22"/>
        </w:rPr>
        <w:t>illicit</w:t>
      </w:r>
      <w:r>
        <w:rPr>
          <w:color w:val="4D4D4F"/>
          <w:spacing w:val="-29"/>
          <w:w w:val="115"/>
          <w:sz w:val="22"/>
        </w:rPr>
        <w:t> </w:t>
      </w:r>
      <w:r>
        <w:rPr>
          <w:color w:val="4D4D4F"/>
          <w:w w:val="115"/>
          <w:sz w:val="22"/>
        </w:rPr>
        <w:t>opioid</w:t>
      </w:r>
      <w:r>
        <w:rPr>
          <w:color w:val="4D4D4F"/>
          <w:spacing w:val="-29"/>
          <w:w w:val="115"/>
          <w:sz w:val="22"/>
        </w:rPr>
        <w:t> </w:t>
      </w:r>
      <w:r>
        <w:rPr>
          <w:color w:val="4D4D4F"/>
          <w:spacing w:val="-4"/>
          <w:w w:val="115"/>
          <w:sz w:val="22"/>
        </w:rPr>
        <w:t>use’s</w:t>
      </w:r>
      <w:r>
        <w:rPr>
          <w:color w:val="4D4D4F"/>
          <w:spacing w:val="-29"/>
          <w:w w:val="115"/>
          <w:sz w:val="22"/>
        </w:rPr>
        <w:t> </w:t>
      </w:r>
      <w:r>
        <w:rPr>
          <w:color w:val="4D4D4F"/>
          <w:w w:val="115"/>
          <w:sz w:val="22"/>
        </w:rPr>
        <w:t>desirable effects.</w:t>
      </w:r>
    </w:p>
    <w:p>
      <w:pPr>
        <w:pStyle w:val="ListParagraph"/>
        <w:numPr>
          <w:ilvl w:val="0"/>
          <w:numId w:val="29"/>
        </w:numPr>
        <w:tabs>
          <w:tab w:pos="410" w:val="left" w:leader="none"/>
        </w:tabs>
        <w:spacing w:line="240" w:lineRule="auto" w:before="40" w:after="0"/>
        <w:ind w:left="410" w:right="0" w:hanging="270"/>
        <w:jc w:val="left"/>
        <w:rPr>
          <w:rFonts w:ascii="Arial" w:hAnsi="Arial"/>
          <w:color w:val="137692"/>
          <w:sz w:val="28"/>
        </w:rPr>
      </w:pPr>
      <w:r>
        <w:rPr>
          <w:color w:val="4D4D4F"/>
          <w:w w:val="110"/>
          <w:sz w:val="22"/>
        </w:rPr>
        <w:t>Be well tolerated (e.g., not produce</w:t>
      </w:r>
      <w:r>
        <w:rPr>
          <w:color w:val="4D4D4F"/>
          <w:spacing w:val="27"/>
          <w:w w:val="110"/>
          <w:sz w:val="22"/>
        </w:rPr>
        <w:t> </w:t>
      </w:r>
      <w:r>
        <w:rPr>
          <w:color w:val="4D4D4F"/>
          <w:w w:val="110"/>
          <w:sz w:val="22"/>
        </w:rPr>
        <w:t>sedation).</w:t>
      </w:r>
    </w:p>
    <w:p>
      <w:pPr>
        <w:pStyle w:val="Heading5"/>
        <w:spacing w:before="175"/>
        <w:rPr>
          <w:i/>
        </w:rPr>
      </w:pPr>
      <w:r>
        <w:rPr>
          <w:i/>
          <w:color w:val="137692"/>
          <w:w w:val="105"/>
        </w:rPr>
        <w:t>Duration of treatment</w:t>
      </w:r>
    </w:p>
    <w:p>
      <w:pPr>
        <w:pStyle w:val="ListParagraph"/>
        <w:numPr>
          <w:ilvl w:val="0"/>
          <w:numId w:val="29"/>
        </w:numPr>
        <w:tabs>
          <w:tab w:pos="410" w:val="left" w:leader="none"/>
        </w:tabs>
        <w:spacing w:line="208" w:lineRule="auto" w:before="58" w:after="0"/>
        <w:ind w:left="410" w:right="244" w:hanging="270"/>
        <w:jc w:val="left"/>
        <w:rPr>
          <w:rFonts w:ascii="Arial" w:hAnsi="Arial"/>
          <w:color w:val="137692"/>
          <w:sz w:val="28"/>
        </w:rPr>
      </w:pPr>
      <w:r>
        <w:rPr>
          <w:color w:val="4D4D4F"/>
          <w:spacing w:val="-3"/>
          <w:w w:val="110"/>
          <w:sz w:val="22"/>
        </w:rPr>
        <w:t>Treatment </w:t>
      </w:r>
      <w:r>
        <w:rPr>
          <w:color w:val="4D4D4F"/>
          <w:w w:val="110"/>
          <w:sz w:val="22"/>
        </w:rPr>
        <w:t>should last for as long as patients beneﬁt from</w:t>
      </w:r>
      <w:r>
        <w:rPr>
          <w:color w:val="4D4D4F"/>
          <w:spacing w:val="-12"/>
          <w:w w:val="110"/>
          <w:sz w:val="22"/>
        </w:rPr>
        <w:t> </w:t>
      </w:r>
      <w:r>
        <w:rPr>
          <w:color w:val="4D4D4F"/>
          <w:w w:val="110"/>
          <w:sz w:val="22"/>
        </w:rPr>
        <w:t>treatment.</w:t>
      </w:r>
    </w:p>
    <w:p>
      <w:pPr>
        <w:pStyle w:val="ListParagraph"/>
        <w:numPr>
          <w:ilvl w:val="0"/>
          <w:numId w:val="29"/>
        </w:numPr>
        <w:tabs>
          <w:tab w:pos="410" w:val="left" w:leader="none"/>
        </w:tabs>
        <w:spacing w:line="208" w:lineRule="auto" w:before="69" w:after="0"/>
        <w:ind w:left="410" w:right="387" w:hanging="270"/>
        <w:jc w:val="left"/>
        <w:rPr>
          <w:rFonts w:ascii="Arial" w:hAnsi="Arial"/>
          <w:color w:val="137692"/>
          <w:sz w:val="28"/>
        </w:rPr>
      </w:pPr>
      <w:r>
        <w:rPr>
          <w:color w:val="4D4D4F"/>
          <w:w w:val="110"/>
          <w:sz w:val="22"/>
        </w:rPr>
        <w:t>Longer treatment length is associated </w:t>
      </w:r>
      <w:r>
        <w:rPr>
          <w:color w:val="4D4D4F"/>
          <w:spacing w:val="-5"/>
          <w:w w:val="110"/>
          <w:sz w:val="22"/>
        </w:rPr>
        <w:t>with </w:t>
      </w:r>
      <w:r>
        <w:rPr>
          <w:color w:val="4D4D4F"/>
          <w:w w:val="110"/>
          <w:sz w:val="22"/>
        </w:rPr>
        <w:t>positive treatment</w:t>
      </w:r>
      <w:r>
        <w:rPr>
          <w:color w:val="4D4D4F"/>
          <w:spacing w:val="-11"/>
          <w:w w:val="110"/>
          <w:sz w:val="22"/>
        </w:rPr>
        <w:t> </w:t>
      </w:r>
      <w:r>
        <w:rPr>
          <w:color w:val="4D4D4F"/>
          <w:w w:val="110"/>
          <w:sz w:val="22"/>
        </w:rPr>
        <w:t>outcomes.</w:t>
      </w:r>
    </w:p>
    <w:p>
      <w:pPr>
        <w:pStyle w:val="BodyText"/>
        <w:rPr>
          <w:sz w:val="24"/>
        </w:rPr>
      </w:pPr>
    </w:p>
    <w:p>
      <w:pPr>
        <w:spacing w:line="254" w:lineRule="auto" w:before="0"/>
        <w:ind w:left="140" w:right="0" w:firstLine="0"/>
        <w:jc w:val="left"/>
        <w:rPr>
          <w:rFonts w:ascii="Calibri" w:hAnsi="Calibri"/>
          <w:b/>
          <w:sz w:val="22"/>
        </w:rPr>
      </w:pPr>
      <w:r>
        <w:rPr>
          <w:rFonts w:ascii="Calibri" w:hAnsi="Calibri"/>
          <w:b/>
          <w:color w:val="137692"/>
          <w:w w:val="110"/>
          <w:sz w:val="26"/>
        </w:rPr>
        <w:t>Initiation of Buprenorphine Implants </w:t>
      </w:r>
      <w:r>
        <w:rPr>
          <w:rFonts w:ascii="Calibri" w:hAnsi="Calibri"/>
          <w:b/>
          <w:color w:val="4D4D4F"/>
          <w:w w:val="110"/>
          <w:sz w:val="22"/>
        </w:rPr>
        <w:t>Prescribers and implanters of buprenorphine implants</w:t>
      </w:r>
      <w:r>
        <w:rPr>
          <w:rFonts w:ascii="Calibri" w:hAnsi="Calibri"/>
          <w:b/>
          <w:color w:val="4D4D4F"/>
          <w:spacing w:val="25"/>
          <w:w w:val="110"/>
          <w:sz w:val="22"/>
        </w:rPr>
        <w:t> </w:t>
      </w:r>
      <w:r>
        <w:rPr>
          <w:rFonts w:ascii="Calibri" w:hAnsi="Calibri"/>
          <w:b/>
          <w:color w:val="4D4D4F"/>
          <w:w w:val="110"/>
          <w:sz w:val="22"/>
        </w:rPr>
        <w:t>require</w:t>
      </w:r>
      <w:r>
        <w:rPr>
          <w:rFonts w:ascii="Calibri" w:hAnsi="Calibri"/>
          <w:b/>
          <w:color w:val="4D4D4F"/>
          <w:spacing w:val="25"/>
          <w:w w:val="110"/>
          <w:sz w:val="22"/>
        </w:rPr>
        <w:t> </w:t>
      </w:r>
      <w:r>
        <w:rPr>
          <w:rFonts w:ascii="Calibri" w:hAnsi="Calibri"/>
          <w:b/>
          <w:color w:val="4D4D4F"/>
          <w:w w:val="110"/>
          <w:sz w:val="22"/>
        </w:rPr>
        <w:t>special</w:t>
      </w:r>
      <w:r>
        <w:rPr>
          <w:rFonts w:ascii="Calibri" w:hAnsi="Calibri"/>
          <w:b/>
          <w:color w:val="4D4D4F"/>
          <w:spacing w:val="25"/>
          <w:w w:val="110"/>
          <w:sz w:val="22"/>
        </w:rPr>
        <w:t> </w:t>
      </w:r>
      <w:r>
        <w:rPr>
          <w:rFonts w:ascii="Calibri" w:hAnsi="Calibri"/>
          <w:b/>
          <w:color w:val="4D4D4F"/>
          <w:w w:val="110"/>
          <w:sz w:val="22"/>
        </w:rPr>
        <w:t>certiﬁcation</w:t>
      </w:r>
      <w:r>
        <w:rPr>
          <w:rFonts w:ascii="Calibri" w:hAnsi="Calibri"/>
          <w:b/>
          <w:color w:val="4D4D4F"/>
          <w:spacing w:val="25"/>
          <w:w w:val="110"/>
          <w:sz w:val="22"/>
        </w:rPr>
        <w:t> </w:t>
      </w:r>
      <w:r>
        <w:rPr>
          <w:rFonts w:ascii="Calibri" w:hAnsi="Calibri"/>
          <w:b/>
          <w:color w:val="4D4D4F"/>
          <w:w w:val="110"/>
          <w:sz w:val="22"/>
        </w:rPr>
        <w:t>to</w:t>
      </w:r>
      <w:r>
        <w:rPr>
          <w:rFonts w:ascii="Calibri" w:hAnsi="Calibri"/>
          <w:b/>
          <w:color w:val="4D4D4F"/>
          <w:spacing w:val="25"/>
          <w:w w:val="110"/>
          <w:sz w:val="22"/>
        </w:rPr>
        <w:t> </w:t>
      </w:r>
      <w:r>
        <w:rPr>
          <w:rFonts w:ascii="Calibri" w:hAnsi="Calibri"/>
          <w:b/>
          <w:color w:val="4D4D4F"/>
          <w:spacing w:val="-4"/>
          <w:w w:val="110"/>
          <w:sz w:val="22"/>
        </w:rPr>
        <w:t>make</w:t>
      </w:r>
    </w:p>
    <w:p>
      <w:pPr>
        <w:pStyle w:val="Heading7"/>
        <w:spacing w:line="250" w:lineRule="exact"/>
        <w:rPr>
          <w:rFonts w:ascii="Gill Sans MT"/>
          <w:b w:val="0"/>
        </w:rPr>
      </w:pPr>
      <w:r>
        <w:rPr>
          <w:color w:val="4D4D4F"/>
          <w:w w:val="110"/>
        </w:rPr>
        <w:t>this</w:t>
      </w:r>
      <w:r>
        <w:rPr>
          <w:color w:val="4D4D4F"/>
          <w:spacing w:val="19"/>
          <w:w w:val="110"/>
        </w:rPr>
        <w:t> </w:t>
      </w:r>
      <w:r>
        <w:rPr>
          <w:color w:val="4D4D4F"/>
          <w:w w:val="110"/>
        </w:rPr>
        <w:t>formulation</w:t>
      </w:r>
      <w:r>
        <w:rPr>
          <w:color w:val="4D4D4F"/>
          <w:spacing w:val="20"/>
          <w:w w:val="110"/>
        </w:rPr>
        <w:t> </w:t>
      </w:r>
      <w:r>
        <w:rPr>
          <w:color w:val="4D4D4F"/>
          <w:w w:val="110"/>
        </w:rPr>
        <w:t>available</w:t>
      </w:r>
      <w:r>
        <w:rPr>
          <w:color w:val="4D4D4F"/>
          <w:spacing w:val="20"/>
          <w:w w:val="110"/>
        </w:rPr>
        <w:t> </w:t>
      </w:r>
      <w:r>
        <w:rPr>
          <w:color w:val="4D4D4F"/>
          <w:w w:val="110"/>
        </w:rPr>
        <w:t>to</w:t>
      </w:r>
      <w:r>
        <w:rPr>
          <w:color w:val="4D4D4F"/>
          <w:spacing w:val="20"/>
          <w:w w:val="110"/>
        </w:rPr>
        <w:t> </w:t>
      </w:r>
      <w:r>
        <w:rPr>
          <w:color w:val="4D4D4F"/>
          <w:w w:val="110"/>
        </w:rPr>
        <w:t>their</w:t>
      </w:r>
      <w:r>
        <w:rPr>
          <w:color w:val="4D4D4F"/>
          <w:spacing w:val="19"/>
          <w:w w:val="110"/>
        </w:rPr>
        <w:t> </w:t>
      </w:r>
      <w:r>
        <w:rPr>
          <w:color w:val="4D4D4F"/>
          <w:w w:val="110"/>
        </w:rPr>
        <w:t>patients.</w:t>
      </w:r>
      <w:r>
        <w:rPr>
          <w:color w:val="4D4D4F"/>
          <w:spacing w:val="16"/>
          <w:w w:val="110"/>
        </w:rPr>
        <w:t> </w:t>
      </w:r>
      <w:r>
        <w:rPr>
          <w:rFonts w:ascii="Gill Sans MT"/>
          <w:b w:val="0"/>
          <w:color w:val="4D4D4F"/>
          <w:w w:val="110"/>
        </w:rPr>
        <w:t>In</w:t>
      </w:r>
    </w:p>
    <w:p>
      <w:pPr>
        <w:pStyle w:val="BodyText"/>
        <w:spacing w:line="247" w:lineRule="auto"/>
        <w:ind w:left="140"/>
      </w:pPr>
      <w:r>
        <w:rPr>
          <w:color w:val="4D4D4F"/>
          <w:w w:val="110"/>
        </w:rPr>
        <w:t>addition, implanters must get special training in the Probuphine REMS program to obtain certi- ﬁcation to implant and remove this formulation. After completing training, providers can order implants through a central pharmacy for </w:t>
      </w:r>
      <w:r>
        <w:rPr>
          <w:color w:val="4D4D4F"/>
          <w:spacing w:val="-4"/>
          <w:w w:val="110"/>
        </w:rPr>
        <w:t>delivery, </w:t>
      </w:r>
      <w:r>
        <w:rPr>
          <w:color w:val="4D4D4F"/>
          <w:w w:val="110"/>
        </w:rPr>
        <w:t>along with an implant insertion kit that</w:t>
      </w:r>
      <w:r>
        <w:rPr>
          <w:color w:val="4D4D4F"/>
          <w:spacing w:val="-5"/>
          <w:w w:val="110"/>
        </w:rPr>
        <w:t> </w:t>
      </w:r>
      <w:r>
        <w:rPr>
          <w:color w:val="4D4D4F"/>
          <w:w w:val="110"/>
        </w:rPr>
        <w:t>contains</w:t>
      </w:r>
    </w:p>
    <w:p>
      <w:pPr>
        <w:pStyle w:val="BodyText"/>
        <w:spacing w:line="247" w:lineRule="auto" w:before="110"/>
        <w:ind w:left="140" w:right="228"/>
      </w:pPr>
      <w:r>
        <w:rPr/>
        <w:br w:type="column"/>
      </w:r>
      <w:r>
        <w:rPr>
          <w:color w:val="4D4D4F"/>
          <w:w w:val="110"/>
        </w:rPr>
        <w:t>all necessary implant procedure materials  except a local anesthetic. If the prescriber is not performing the procedure, the prescriber </w:t>
      </w:r>
      <w:r>
        <w:rPr>
          <w:color w:val="4D4D4F"/>
          <w:spacing w:val="-3"/>
          <w:w w:val="110"/>
        </w:rPr>
        <w:t>should </w:t>
      </w:r>
      <w:r>
        <w:rPr>
          <w:color w:val="4D4D4F"/>
          <w:w w:val="110"/>
        </w:rPr>
        <w:t>ensure that the implanter has completed the required training. For more information, see the Probuphine REMS program webpage (</w:t>
      </w:r>
      <w:r>
        <w:rPr>
          <w:color w:val="205E9F"/>
          <w:w w:val="110"/>
          <w:u w:val="single" w:color="205E9F"/>
        </w:rPr>
        <w:t>https://</w:t>
      </w:r>
      <w:r>
        <w:rPr>
          <w:color w:val="205E9F"/>
          <w:w w:val="110"/>
        </w:rPr>
        <w:t> </w:t>
      </w:r>
      <w:r>
        <w:rPr>
          <w:color w:val="205E9F"/>
          <w:w w:val="110"/>
          <w:u w:val="single" w:color="205E9F"/>
        </w:rPr>
        <w:t>probuphinerems.com/</w:t>
      </w:r>
      <w:r>
        <w:rPr>
          <w:color w:val="4D4D4F"/>
          <w:w w:val="110"/>
        </w:rPr>
        <w:t>).</w:t>
      </w:r>
    </w:p>
    <w:p>
      <w:pPr>
        <w:pStyle w:val="BodyText"/>
        <w:spacing w:line="247" w:lineRule="auto" w:before="188"/>
        <w:ind w:left="140" w:right="420"/>
      </w:pPr>
      <w:r>
        <w:rPr>
          <w:color w:val="4D4D4F"/>
          <w:w w:val="110"/>
        </w:rPr>
        <w:t>The prescriber and implanter/remover must record the number of implanted/removed rods and their serial numbers and location, </w:t>
      </w:r>
      <w:r>
        <w:rPr>
          <w:color w:val="4D4D4F"/>
          <w:spacing w:val="-6"/>
          <w:w w:val="110"/>
        </w:rPr>
        <w:t>the </w:t>
      </w:r>
      <w:r>
        <w:rPr>
          <w:color w:val="4D4D4F"/>
          <w:w w:val="110"/>
        </w:rPr>
        <w:t>date of the implant, and who performed the procedure. The implanter should</w:t>
      </w:r>
      <w:r>
        <w:rPr>
          <w:color w:val="4D4D4F"/>
          <w:spacing w:val="-14"/>
          <w:w w:val="110"/>
        </w:rPr>
        <w:t> </w:t>
      </w:r>
      <w:r>
        <w:rPr>
          <w:color w:val="4D4D4F"/>
          <w:w w:val="110"/>
        </w:rPr>
        <w:t>document</w:t>
      </w:r>
    </w:p>
    <w:p>
      <w:pPr>
        <w:pStyle w:val="BodyText"/>
        <w:spacing w:line="247" w:lineRule="auto" w:before="6"/>
        <w:ind w:left="140"/>
      </w:pPr>
      <w:r>
        <w:rPr>
          <w:color w:val="4D4D4F"/>
          <w:w w:val="110"/>
        </w:rPr>
        <w:t>implant and inspection procedures, as with any other standard procedure.</w:t>
      </w:r>
    </w:p>
    <w:p>
      <w:pPr>
        <w:spacing w:line="240" w:lineRule="auto" w:before="178"/>
        <w:ind w:left="140" w:right="293" w:firstLine="0"/>
        <w:jc w:val="left"/>
        <w:rPr>
          <w:sz w:val="22"/>
        </w:rPr>
      </w:pPr>
      <w:r>
        <w:rPr>
          <w:rFonts w:ascii="Calibri"/>
          <w:b/>
          <w:color w:val="4D4D4F"/>
          <w:w w:val="110"/>
          <w:sz w:val="22"/>
        </w:rPr>
        <w:t>Instruct patients to take the last transmu- cosal dose of buprenorphine 12 to 24 hours before insertion. </w:t>
      </w:r>
      <w:r>
        <w:rPr>
          <w:color w:val="4D4D4F"/>
          <w:w w:val="110"/>
          <w:sz w:val="22"/>
        </w:rPr>
        <w:t>Remind them to shower and thoroughly wash the nondominant arm, which </w:t>
      </w:r>
      <w:r>
        <w:rPr>
          <w:color w:val="4D4D4F"/>
          <w:spacing w:val="-9"/>
          <w:w w:val="110"/>
          <w:sz w:val="22"/>
        </w:rPr>
        <w:t>is </w:t>
      </w:r>
      <w:r>
        <w:rPr>
          <w:color w:val="4D4D4F"/>
          <w:w w:val="110"/>
          <w:sz w:val="22"/>
        </w:rPr>
        <w:t>preferred for</w:t>
      </w:r>
      <w:r>
        <w:rPr>
          <w:color w:val="4D4D4F"/>
          <w:spacing w:val="-14"/>
          <w:w w:val="110"/>
          <w:sz w:val="22"/>
        </w:rPr>
        <w:t> </w:t>
      </w:r>
      <w:r>
        <w:rPr>
          <w:color w:val="4D4D4F"/>
          <w:w w:val="110"/>
          <w:sz w:val="22"/>
        </w:rPr>
        <w:t>insertion.</w:t>
      </w:r>
    </w:p>
    <w:p>
      <w:pPr>
        <w:pStyle w:val="Heading5"/>
        <w:spacing w:before="223"/>
        <w:rPr>
          <w:i/>
        </w:rPr>
      </w:pPr>
      <w:r>
        <w:rPr>
          <w:i/>
          <w:color w:val="137692"/>
        </w:rPr>
        <w:t>Implant procedure</w:t>
      </w:r>
    </w:p>
    <w:p>
      <w:pPr>
        <w:spacing w:line="242" w:lineRule="auto" w:before="42"/>
        <w:ind w:left="140" w:right="253" w:firstLine="0"/>
        <w:jc w:val="left"/>
        <w:rPr>
          <w:sz w:val="22"/>
        </w:rPr>
      </w:pPr>
      <w:r>
        <w:rPr>
          <w:rFonts w:ascii="Calibri"/>
          <w:b/>
          <w:color w:val="4D4D4F"/>
          <w:w w:val="110"/>
          <w:sz w:val="22"/>
        </w:rPr>
        <w:t>Subdermal insertion of the four rods takes </w:t>
      </w:r>
      <w:r>
        <w:rPr>
          <w:rFonts w:ascii="Calibri"/>
          <w:b/>
          <w:color w:val="4D4D4F"/>
          <w:spacing w:val="-3"/>
          <w:w w:val="110"/>
          <w:sz w:val="22"/>
        </w:rPr>
        <w:t>less </w:t>
      </w:r>
      <w:r>
        <w:rPr>
          <w:rFonts w:ascii="Calibri"/>
          <w:b/>
          <w:color w:val="4D4D4F"/>
          <w:w w:val="110"/>
          <w:sz w:val="22"/>
        </w:rPr>
        <w:t>than 30 minutes. </w:t>
      </w:r>
      <w:r>
        <w:rPr>
          <w:color w:val="4D4D4F"/>
          <w:w w:val="110"/>
          <w:sz w:val="22"/>
        </w:rPr>
        <w:t>Local anesthetic (lidocaine) is typically used. The implant procedure includes the following</w:t>
      </w:r>
      <w:r>
        <w:rPr>
          <w:color w:val="4D4D4F"/>
          <w:spacing w:val="-11"/>
          <w:w w:val="110"/>
          <w:sz w:val="22"/>
        </w:rPr>
        <w:t> </w:t>
      </w:r>
      <w:r>
        <w:rPr>
          <w:color w:val="4D4D4F"/>
          <w:w w:val="110"/>
          <w:sz w:val="22"/>
        </w:rPr>
        <w:t>steps:</w:t>
      </w:r>
    </w:p>
    <w:p>
      <w:pPr>
        <w:pStyle w:val="ListParagraph"/>
        <w:numPr>
          <w:ilvl w:val="0"/>
          <w:numId w:val="29"/>
        </w:numPr>
        <w:tabs>
          <w:tab w:pos="411" w:val="left" w:leader="none"/>
        </w:tabs>
        <w:spacing w:line="208" w:lineRule="auto" w:before="130" w:after="0"/>
        <w:ind w:left="410" w:right="772" w:hanging="270"/>
        <w:jc w:val="left"/>
        <w:rPr>
          <w:rFonts w:ascii="Arial" w:hAnsi="Arial"/>
          <w:color w:val="137692"/>
          <w:sz w:val="28"/>
        </w:rPr>
      </w:pPr>
      <w:r>
        <w:rPr>
          <w:color w:val="4D4D4F"/>
          <w:w w:val="110"/>
          <w:sz w:val="22"/>
        </w:rPr>
        <w:t>Provide education about what to </w:t>
      </w:r>
      <w:r>
        <w:rPr>
          <w:color w:val="4D4D4F"/>
          <w:spacing w:val="-3"/>
          <w:w w:val="110"/>
          <w:sz w:val="22"/>
        </w:rPr>
        <w:t>expect </w:t>
      </w:r>
      <w:r>
        <w:rPr>
          <w:color w:val="4D4D4F"/>
          <w:w w:val="110"/>
          <w:sz w:val="22"/>
        </w:rPr>
        <w:t>during the</w:t>
      </w:r>
      <w:r>
        <w:rPr>
          <w:color w:val="4D4D4F"/>
          <w:spacing w:val="-11"/>
          <w:w w:val="110"/>
          <w:sz w:val="22"/>
        </w:rPr>
        <w:t> </w:t>
      </w:r>
      <w:r>
        <w:rPr>
          <w:color w:val="4D4D4F"/>
          <w:w w:val="110"/>
          <w:sz w:val="22"/>
        </w:rPr>
        <w:t>procedure.</w:t>
      </w:r>
    </w:p>
    <w:p>
      <w:pPr>
        <w:pStyle w:val="ListParagraph"/>
        <w:numPr>
          <w:ilvl w:val="0"/>
          <w:numId w:val="29"/>
        </w:numPr>
        <w:tabs>
          <w:tab w:pos="411" w:val="left" w:leader="none"/>
        </w:tabs>
        <w:spacing w:line="315" w:lineRule="exact" w:before="40" w:after="0"/>
        <w:ind w:left="410" w:right="0" w:hanging="271"/>
        <w:jc w:val="left"/>
        <w:rPr>
          <w:rFonts w:ascii="Arial" w:hAnsi="Arial"/>
          <w:color w:val="137692"/>
          <w:sz w:val="28"/>
        </w:rPr>
      </w:pPr>
      <w:r>
        <w:rPr>
          <w:color w:val="4D4D4F"/>
          <w:w w:val="110"/>
          <w:sz w:val="22"/>
        </w:rPr>
        <w:t>Obtain appropriate consent</w:t>
      </w:r>
      <w:r>
        <w:rPr>
          <w:color w:val="4D4D4F"/>
          <w:spacing w:val="-20"/>
          <w:w w:val="110"/>
          <w:sz w:val="22"/>
        </w:rPr>
        <w:t> </w:t>
      </w:r>
      <w:r>
        <w:rPr>
          <w:color w:val="4D4D4F"/>
          <w:w w:val="110"/>
          <w:sz w:val="22"/>
        </w:rPr>
        <w:t>form(s).</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5"/>
          <w:sz w:val="22"/>
        </w:rPr>
        <w:t>Provide</w:t>
      </w:r>
      <w:r>
        <w:rPr>
          <w:color w:val="4D4D4F"/>
          <w:spacing w:val="-14"/>
          <w:w w:val="115"/>
          <w:sz w:val="22"/>
        </w:rPr>
        <w:t> </w:t>
      </w:r>
      <w:r>
        <w:rPr>
          <w:color w:val="4D4D4F"/>
          <w:w w:val="115"/>
          <w:sz w:val="22"/>
        </w:rPr>
        <w:t>a</w:t>
      </w:r>
      <w:r>
        <w:rPr>
          <w:color w:val="4D4D4F"/>
          <w:spacing w:val="-14"/>
          <w:w w:val="115"/>
          <w:sz w:val="22"/>
        </w:rPr>
        <w:t> </w:t>
      </w:r>
      <w:r>
        <w:rPr>
          <w:color w:val="4D4D4F"/>
          <w:w w:val="115"/>
          <w:sz w:val="22"/>
        </w:rPr>
        <w:t>local</w:t>
      </w:r>
      <w:r>
        <w:rPr>
          <w:color w:val="4D4D4F"/>
          <w:spacing w:val="-14"/>
          <w:w w:val="115"/>
          <w:sz w:val="22"/>
        </w:rPr>
        <w:t> </w:t>
      </w:r>
      <w:r>
        <w:rPr>
          <w:color w:val="4D4D4F"/>
          <w:w w:val="115"/>
          <w:sz w:val="22"/>
        </w:rPr>
        <w:t>anesthetic</w:t>
      </w:r>
      <w:r>
        <w:rPr>
          <w:color w:val="4D4D4F"/>
          <w:spacing w:val="-14"/>
          <w:w w:val="115"/>
          <w:sz w:val="22"/>
        </w:rPr>
        <w:t> </w:t>
      </w:r>
      <w:r>
        <w:rPr>
          <w:color w:val="4D4D4F"/>
          <w:w w:val="115"/>
          <w:sz w:val="22"/>
        </w:rPr>
        <w:t>(e.g.,</w:t>
      </w:r>
      <w:r>
        <w:rPr>
          <w:color w:val="4D4D4F"/>
          <w:spacing w:val="-14"/>
          <w:w w:val="115"/>
          <w:sz w:val="22"/>
        </w:rPr>
        <w:t> </w:t>
      </w:r>
      <w:r>
        <w:rPr>
          <w:color w:val="4D4D4F"/>
          <w:w w:val="115"/>
          <w:sz w:val="22"/>
        </w:rPr>
        <w:t>lidocaine).</w:t>
      </w:r>
    </w:p>
    <w:p>
      <w:pPr>
        <w:pStyle w:val="ListParagraph"/>
        <w:numPr>
          <w:ilvl w:val="0"/>
          <w:numId w:val="29"/>
        </w:numPr>
        <w:tabs>
          <w:tab w:pos="411" w:val="left" w:leader="none"/>
        </w:tabs>
        <w:spacing w:line="264" w:lineRule="exact" w:before="4" w:after="0"/>
        <w:ind w:left="410" w:right="292" w:hanging="270"/>
        <w:jc w:val="left"/>
        <w:rPr>
          <w:rFonts w:ascii="Arial" w:hAnsi="Arial"/>
          <w:color w:val="137692"/>
          <w:sz w:val="28"/>
        </w:rPr>
      </w:pPr>
      <w:r>
        <w:rPr>
          <w:color w:val="4D4D4F"/>
          <w:w w:val="110"/>
          <w:sz w:val="22"/>
        </w:rPr>
        <w:t>Using sterile procedures, make a single incision in the inner upper arm between the biceps and triceps muscles, about 8 cm to </w:t>
      </w:r>
      <w:r>
        <w:rPr>
          <w:color w:val="4D4D4F"/>
          <w:spacing w:val="-9"/>
          <w:w w:val="110"/>
          <w:sz w:val="22"/>
        </w:rPr>
        <w:t>10 </w:t>
      </w:r>
      <w:r>
        <w:rPr>
          <w:color w:val="4D4D4F"/>
          <w:w w:val="110"/>
          <w:sz w:val="22"/>
        </w:rPr>
        <w:t>cm from the medial</w:t>
      </w:r>
      <w:r>
        <w:rPr>
          <w:color w:val="4D4D4F"/>
          <w:spacing w:val="-15"/>
          <w:w w:val="110"/>
          <w:sz w:val="22"/>
        </w:rPr>
        <w:t> </w:t>
      </w:r>
      <w:r>
        <w:rPr>
          <w:color w:val="4D4D4F"/>
          <w:w w:val="110"/>
          <w:sz w:val="22"/>
        </w:rPr>
        <w:t>epicondyle.</w:t>
      </w:r>
    </w:p>
    <w:p>
      <w:pPr>
        <w:pStyle w:val="ListParagraph"/>
        <w:numPr>
          <w:ilvl w:val="0"/>
          <w:numId w:val="29"/>
        </w:numPr>
        <w:tabs>
          <w:tab w:pos="411" w:val="left" w:leader="none"/>
        </w:tabs>
        <w:spacing w:line="264" w:lineRule="exact" w:before="43" w:after="0"/>
        <w:ind w:left="410" w:right="324" w:hanging="270"/>
        <w:jc w:val="left"/>
        <w:rPr>
          <w:rFonts w:ascii="Arial" w:hAnsi="Arial"/>
          <w:color w:val="137692"/>
          <w:sz w:val="28"/>
        </w:rPr>
      </w:pPr>
      <w:r>
        <w:rPr>
          <w:color w:val="4D4D4F"/>
          <w:w w:val="110"/>
          <w:sz w:val="22"/>
        </w:rPr>
        <w:t>Using a cannula and an </w:t>
      </w:r>
      <w:r>
        <w:rPr>
          <w:color w:val="4D4D4F"/>
          <w:spacing w:val="-3"/>
          <w:w w:val="110"/>
          <w:sz w:val="22"/>
        </w:rPr>
        <w:t>obturator, </w:t>
      </w:r>
      <w:r>
        <w:rPr>
          <w:color w:val="4D4D4F"/>
          <w:w w:val="110"/>
          <w:sz w:val="22"/>
        </w:rPr>
        <w:t>insert </w:t>
      </w:r>
      <w:r>
        <w:rPr>
          <w:color w:val="4D4D4F"/>
          <w:spacing w:val="-5"/>
          <w:w w:val="110"/>
          <w:sz w:val="22"/>
        </w:rPr>
        <w:t>rods </w:t>
      </w:r>
      <w:r>
        <w:rPr>
          <w:color w:val="4D4D4F"/>
          <w:w w:val="110"/>
          <w:sz w:val="22"/>
        </w:rPr>
        <w:t>serially, pivoting the cannula slightly after each rod insertion in the subdermal space so that the rods lie next to one </w:t>
      </w:r>
      <w:r>
        <w:rPr>
          <w:color w:val="4D4D4F"/>
          <w:spacing w:val="-3"/>
          <w:w w:val="110"/>
          <w:sz w:val="22"/>
        </w:rPr>
        <w:t>another, </w:t>
      </w:r>
      <w:r>
        <w:rPr>
          <w:color w:val="4D4D4F"/>
          <w:w w:val="110"/>
          <w:sz w:val="22"/>
        </w:rPr>
        <w:t>nearly parallel in a fanlike</w:t>
      </w:r>
      <w:r>
        <w:rPr>
          <w:color w:val="4D4D4F"/>
          <w:spacing w:val="-16"/>
          <w:w w:val="110"/>
          <w:sz w:val="22"/>
        </w:rPr>
        <w:t> </w:t>
      </w:r>
      <w:r>
        <w:rPr>
          <w:color w:val="4D4D4F"/>
          <w:w w:val="110"/>
          <w:sz w:val="22"/>
        </w:rPr>
        <w:t>pattern.</w:t>
      </w:r>
    </w:p>
    <w:p>
      <w:pPr>
        <w:pStyle w:val="ListParagraph"/>
        <w:numPr>
          <w:ilvl w:val="0"/>
          <w:numId w:val="29"/>
        </w:numPr>
        <w:tabs>
          <w:tab w:pos="411" w:val="left" w:leader="none"/>
        </w:tabs>
        <w:spacing w:line="208" w:lineRule="auto" w:before="61" w:after="0"/>
        <w:ind w:left="410" w:right="187" w:hanging="270"/>
        <w:jc w:val="left"/>
        <w:rPr>
          <w:rFonts w:ascii="Arial" w:hAnsi="Arial"/>
          <w:color w:val="137692"/>
          <w:sz w:val="28"/>
        </w:rPr>
      </w:pPr>
      <w:r>
        <w:rPr>
          <w:color w:val="4D4D4F"/>
          <w:w w:val="115"/>
          <w:sz w:val="22"/>
        </w:rPr>
        <w:t>After</w:t>
      </w:r>
      <w:r>
        <w:rPr>
          <w:color w:val="4D4D4F"/>
          <w:spacing w:val="-26"/>
          <w:w w:val="115"/>
          <w:sz w:val="22"/>
        </w:rPr>
        <w:t> </w:t>
      </w:r>
      <w:r>
        <w:rPr>
          <w:color w:val="4D4D4F"/>
          <w:w w:val="115"/>
          <w:sz w:val="22"/>
        </w:rPr>
        <w:t>implantation,</w:t>
      </w:r>
      <w:r>
        <w:rPr>
          <w:color w:val="4D4D4F"/>
          <w:spacing w:val="-26"/>
          <w:w w:val="115"/>
          <w:sz w:val="22"/>
        </w:rPr>
        <w:t> </w:t>
      </w:r>
      <w:r>
        <w:rPr>
          <w:color w:val="4D4D4F"/>
          <w:w w:val="115"/>
          <w:sz w:val="22"/>
        </w:rPr>
        <w:t>apply</w:t>
      </w:r>
      <w:r>
        <w:rPr>
          <w:color w:val="4D4D4F"/>
          <w:spacing w:val="-26"/>
          <w:w w:val="115"/>
          <w:sz w:val="22"/>
        </w:rPr>
        <w:t> </w:t>
      </w:r>
      <w:r>
        <w:rPr>
          <w:color w:val="4D4D4F"/>
          <w:w w:val="115"/>
          <w:sz w:val="22"/>
        </w:rPr>
        <w:t>butterﬂy</w:t>
      </w:r>
      <w:r>
        <w:rPr>
          <w:color w:val="4D4D4F"/>
          <w:spacing w:val="-25"/>
          <w:w w:val="115"/>
          <w:sz w:val="22"/>
        </w:rPr>
        <w:t> </w:t>
      </w:r>
      <w:r>
        <w:rPr>
          <w:color w:val="4D4D4F"/>
          <w:w w:val="115"/>
          <w:sz w:val="22"/>
        </w:rPr>
        <w:t>strips</w:t>
      </w:r>
      <w:r>
        <w:rPr>
          <w:color w:val="4D4D4F"/>
          <w:spacing w:val="-26"/>
          <w:w w:val="115"/>
          <w:sz w:val="22"/>
        </w:rPr>
        <w:t> </w:t>
      </w:r>
      <w:r>
        <w:rPr>
          <w:color w:val="4D4D4F"/>
          <w:w w:val="115"/>
          <w:sz w:val="22"/>
        </w:rPr>
        <w:t>and</w:t>
      </w:r>
      <w:r>
        <w:rPr>
          <w:color w:val="4D4D4F"/>
          <w:spacing w:val="-26"/>
          <w:w w:val="115"/>
          <w:sz w:val="22"/>
        </w:rPr>
        <w:t> </w:t>
      </w:r>
      <w:r>
        <w:rPr>
          <w:color w:val="4D4D4F"/>
          <w:spacing w:val="-17"/>
          <w:w w:val="115"/>
          <w:sz w:val="22"/>
        </w:rPr>
        <w:t>a </w:t>
      </w:r>
      <w:r>
        <w:rPr>
          <w:color w:val="4D4D4F"/>
          <w:w w:val="115"/>
          <w:sz w:val="22"/>
        </w:rPr>
        <w:t>pressure</w:t>
      </w:r>
      <w:r>
        <w:rPr>
          <w:color w:val="4D4D4F"/>
          <w:spacing w:val="-10"/>
          <w:w w:val="115"/>
          <w:sz w:val="22"/>
        </w:rPr>
        <w:t> </w:t>
      </w:r>
      <w:r>
        <w:rPr>
          <w:color w:val="4D4D4F"/>
          <w:w w:val="115"/>
          <w:sz w:val="22"/>
        </w:rPr>
        <w:t>bandage.</w:t>
      </w:r>
    </w:p>
    <w:p>
      <w:pPr>
        <w:pStyle w:val="ListParagraph"/>
        <w:numPr>
          <w:ilvl w:val="0"/>
          <w:numId w:val="29"/>
        </w:numPr>
        <w:tabs>
          <w:tab w:pos="411" w:val="left" w:leader="none"/>
        </w:tabs>
        <w:spacing w:line="208" w:lineRule="auto" w:before="69" w:after="0"/>
        <w:ind w:left="410" w:right="478" w:hanging="270"/>
        <w:jc w:val="left"/>
        <w:rPr>
          <w:rFonts w:ascii="Arial" w:hAnsi="Arial"/>
          <w:color w:val="137692"/>
          <w:sz w:val="28"/>
        </w:rPr>
      </w:pPr>
      <w:r>
        <w:rPr>
          <w:rFonts w:ascii="Calibri" w:hAnsi="Calibri"/>
          <w:b/>
          <w:color w:val="4D4D4F"/>
          <w:w w:val="110"/>
          <w:sz w:val="22"/>
        </w:rPr>
        <w:t>Review wound care with the patient, </w:t>
      </w:r>
      <w:r>
        <w:rPr>
          <w:color w:val="4D4D4F"/>
          <w:spacing w:val="-5"/>
          <w:w w:val="110"/>
          <w:sz w:val="22"/>
        </w:rPr>
        <w:t>and </w:t>
      </w:r>
      <w:r>
        <w:rPr>
          <w:color w:val="4D4D4F"/>
          <w:w w:val="110"/>
          <w:sz w:val="22"/>
        </w:rPr>
        <w:t>provide a copy of the</w:t>
      </w:r>
      <w:r>
        <w:rPr>
          <w:color w:val="4D4D4F"/>
          <w:spacing w:val="-25"/>
          <w:w w:val="110"/>
          <w:sz w:val="22"/>
        </w:rPr>
        <w:t> </w:t>
      </w:r>
      <w:r>
        <w:rPr>
          <w:color w:val="4D4D4F"/>
          <w:w w:val="110"/>
          <w:sz w:val="22"/>
        </w:rPr>
        <w:t>instructions.</w:t>
      </w:r>
    </w:p>
    <w:p>
      <w:pPr>
        <w:pStyle w:val="ListParagraph"/>
        <w:numPr>
          <w:ilvl w:val="0"/>
          <w:numId w:val="29"/>
        </w:numPr>
        <w:tabs>
          <w:tab w:pos="411" w:val="left" w:leader="none"/>
        </w:tabs>
        <w:spacing w:line="220" w:lineRule="auto" w:before="58" w:after="0"/>
        <w:ind w:left="410" w:right="353" w:hanging="270"/>
        <w:jc w:val="both"/>
        <w:rPr>
          <w:rFonts w:ascii="Arial" w:hAnsi="Arial"/>
          <w:color w:val="137692"/>
          <w:sz w:val="28"/>
        </w:rPr>
      </w:pPr>
      <w:r>
        <w:rPr>
          <w:rFonts w:ascii="Calibri" w:hAnsi="Calibri"/>
          <w:b/>
          <w:color w:val="4D4D4F"/>
          <w:w w:val="110"/>
          <w:sz w:val="22"/>
        </w:rPr>
        <w:t>Advise the patient not to drive or engage  in heavy physical activity </w:t>
      </w:r>
      <w:r>
        <w:rPr>
          <w:color w:val="4D4D4F"/>
          <w:w w:val="110"/>
          <w:sz w:val="22"/>
        </w:rPr>
        <w:t>for </w:t>
      </w:r>
      <w:r>
        <w:rPr>
          <w:color w:val="4D4D4F"/>
          <w:spacing w:val="-3"/>
          <w:w w:val="110"/>
          <w:sz w:val="22"/>
        </w:rPr>
        <w:t>approximately </w:t>
      </w:r>
      <w:r>
        <w:rPr>
          <w:color w:val="4D4D4F"/>
          <w:w w:val="110"/>
          <w:sz w:val="22"/>
        </w:rPr>
        <w:t>24</w:t>
      </w:r>
      <w:r>
        <w:rPr>
          <w:color w:val="4D4D4F"/>
          <w:spacing w:val="-7"/>
          <w:w w:val="110"/>
          <w:sz w:val="22"/>
        </w:rPr>
        <w:t> </w:t>
      </w:r>
      <w:r>
        <w:rPr>
          <w:color w:val="4D4D4F"/>
          <w:w w:val="110"/>
          <w:sz w:val="22"/>
        </w:rPr>
        <w:t>hours.</w:t>
      </w:r>
    </w:p>
    <w:p>
      <w:pPr>
        <w:spacing w:after="0" w:line="220" w:lineRule="auto"/>
        <w:jc w:val="both"/>
        <w:rPr>
          <w:rFonts w:ascii="Arial" w:hAnsi="Arial"/>
          <w:sz w:val="28"/>
        </w:rPr>
        <w:sectPr>
          <w:type w:val="continuous"/>
          <w:pgSz w:w="12240" w:h="15840"/>
          <w:pgMar w:top="540" w:bottom="280" w:left="940" w:right="920"/>
          <w:cols w:num="2" w:equalWidth="0">
            <w:col w:w="5011" w:space="209"/>
            <w:col w:w="516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ListParagraph"/>
        <w:numPr>
          <w:ilvl w:val="0"/>
          <w:numId w:val="29"/>
        </w:numPr>
        <w:tabs>
          <w:tab w:pos="410" w:val="left" w:leader="none"/>
        </w:tabs>
        <w:spacing w:line="204" w:lineRule="auto" w:before="125" w:after="0"/>
        <w:ind w:left="410" w:right="314" w:hanging="270"/>
        <w:jc w:val="left"/>
        <w:rPr>
          <w:rFonts w:ascii="Arial" w:hAnsi="Arial"/>
          <w:color w:val="137692"/>
          <w:sz w:val="28"/>
        </w:rPr>
      </w:pPr>
      <w:r>
        <w:rPr>
          <w:rFonts w:ascii="Calibri" w:hAnsi="Calibri"/>
          <w:b/>
          <w:color w:val="4D4D4F"/>
          <w:w w:val="115"/>
          <w:sz w:val="22"/>
        </w:rPr>
        <w:t>Do not give the patient a prescription </w:t>
      </w:r>
      <w:r>
        <w:rPr>
          <w:rFonts w:ascii="Calibri" w:hAnsi="Calibri"/>
          <w:b/>
          <w:color w:val="4D4D4F"/>
          <w:spacing w:val="-5"/>
          <w:w w:val="115"/>
          <w:sz w:val="22"/>
        </w:rPr>
        <w:t>for </w:t>
      </w:r>
      <w:r>
        <w:rPr>
          <w:rFonts w:ascii="Calibri" w:hAnsi="Calibri"/>
          <w:b/>
          <w:color w:val="4D4D4F"/>
          <w:w w:val="115"/>
          <w:sz w:val="22"/>
        </w:rPr>
        <w:t>transmucosal</w:t>
      </w:r>
      <w:r>
        <w:rPr>
          <w:rFonts w:ascii="Calibri" w:hAnsi="Calibri"/>
          <w:b/>
          <w:color w:val="4D4D4F"/>
          <w:spacing w:val="-14"/>
          <w:w w:val="115"/>
          <w:sz w:val="22"/>
        </w:rPr>
        <w:t> </w:t>
      </w:r>
      <w:r>
        <w:rPr>
          <w:rFonts w:ascii="Calibri" w:hAnsi="Calibri"/>
          <w:b/>
          <w:color w:val="4D4D4F"/>
          <w:w w:val="115"/>
          <w:sz w:val="22"/>
        </w:rPr>
        <w:t>buprenorphine</w:t>
      </w:r>
      <w:r>
        <w:rPr>
          <w:rFonts w:ascii="Calibri" w:hAnsi="Calibri"/>
          <w:b/>
          <w:color w:val="4D4D4F"/>
          <w:spacing w:val="-16"/>
          <w:w w:val="115"/>
          <w:sz w:val="22"/>
        </w:rPr>
        <w:t> </w:t>
      </w:r>
      <w:r>
        <w:rPr>
          <w:color w:val="4D4D4F"/>
          <w:w w:val="115"/>
          <w:sz w:val="22"/>
        </w:rPr>
        <w:t>at</w:t>
      </w:r>
      <w:r>
        <w:rPr>
          <w:color w:val="4D4D4F"/>
          <w:spacing w:val="-29"/>
          <w:w w:val="115"/>
          <w:sz w:val="22"/>
        </w:rPr>
        <w:t> </w:t>
      </w:r>
      <w:r>
        <w:rPr>
          <w:color w:val="4D4D4F"/>
          <w:w w:val="115"/>
          <w:sz w:val="22"/>
        </w:rPr>
        <w:t>this</w:t>
      </w:r>
      <w:r>
        <w:rPr>
          <w:color w:val="4D4D4F"/>
          <w:spacing w:val="-29"/>
          <w:w w:val="115"/>
          <w:sz w:val="22"/>
        </w:rPr>
        <w:t> </w:t>
      </w:r>
      <w:r>
        <w:rPr>
          <w:color w:val="4D4D4F"/>
          <w:w w:val="115"/>
          <w:sz w:val="22"/>
        </w:rPr>
        <w:t>time.</w:t>
      </w:r>
    </w:p>
    <w:p>
      <w:pPr>
        <w:pStyle w:val="Heading5"/>
        <w:spacing w:before="225"/>
        <w:rPr>
          <w:i/>
        </w:rPr>
      </w:pPr>
      <w:r>
        <w:rPr>
          <w:i/>
          <w:color w:val="137692"/>
        </w:rPr>
        <w:t>Wound care</w:t>
      </w:r>
    </w:p>
    <w:p>
      <w:pPr>
        <w:pStyle w:val="Heading7"/>
        <w:spacing w:line="235" w:lineRule="auto" w:before="46"/>
        <w:ind w:right="27"/>
      </w:pPr>
      <w:r>
        <w:rPr>
          <w:color w:val="4D4D4F"/>
          <w:w w:val="115"/>
        </w:rPr>
        <w:t>The</w:t>
      </w:r>
      <w:r>
        <w:rPr>
          <w:color w:val="4D4D4F"/>
          <w:spacing w:val="-8"/>
          <w:w w:val="115"/>
        </w:rPr>
        <w:t> </w:t>
      </w:r>
      <w:r>
        <w:rPr>
          <w:color w:val="4D4D4F"/>
          <w:w w:val="115"/>
        </w:rPr>
        <w:t>patient</w:t>
      </w:r>
      <w:r>
        <w:rPr>
          <w:color w:val="4D4D4F"/>
          <w:spacing w:val="-7"/>
          <w:w w:val="115"/>
        </w:rPr>
        <w:t> </w:t>
      </w:r>
      <w:r>
        <w:rPr>
          <w:color w:val="4D4D4F"/>
          <w:w w:val="115"/>
        </w:rPr>
        <w:t>should</w:t>
      </w:r>
      <w:r>
        <w:rPr>
          <w:color w:val="4D4D4F"/>
          <w:spacing w:val="-7"/>
          <w:w w:val="115"/>
        </w:rPr>
        <w:t> </w:t>
      </w:r>
      <w:r>
        <w:rPr>
          <w:color w:val="4D4D4F"/>
          <w:w w:val="115"/>
        </w:rPr>
        <w:t>return</w:t>
      </w:r>
      <w:r>
        <w:rPr>
          <w:color w:val="4D4D4F"/>
          <w:spacing w:val="-8"/>
          <w:w w:val="115"/>
        </w:rPr>
        <w:t> </w:t>
      </w:r>
      <w:r>
        <w:rPr>
          <w:color w:val="4D4D4F"/>
          <w:w w:val="115"/>
        </w:rPr>
        <w:t>within</w:t>
      </w:r>
      <w:r>
        <w:rPr>
          <w:color w:val="4D4D4F"/>
          <w:spacing w:val="-7"/>
          <w:w w:val="115"/>
        </w:rPr>
        <w:t> </w:t>
      </w:r>
      <w:r>
        <w:rPr>
          <w:color w:val="4D4D4F"/>
          <w:w w:val="115"/>
        </w:rPr>
        <w:t>1</w:t>
      </w:r>
      <w:r>
        <w:rPr>
          <w:color w:val="4D4D4F"/>
          <w:spacing w:val="-7"/>
          <w:w w:val="115"/>
        </w:rPr>
        <w:t> </w:t>
      </w:r>
      <w:r>
        <w:rPr>
          <w:color w:val="4D4D4F"/>
          <w:w w:val="115"/>
        </w:rPr>
        <w:t>week</w:t>
      </w:r>
      <w:r>
        <w:rPr>
          <w:color w:val="4D4D4F"/>
          <w:spacing w:val="-8"/>
          <w:w w:val="115"/>
        </w:rPr>
        <w:t> </w:t>
      </w:r>
      <w:r>
        <w:rPr>
          <w:color w:val="4D4D4F"/>
          <w:w w:val="115"/>
        </w:rPr>
        <w:t>of</w:t>
      </w:r>
      <w:r>
        <w:rPr>
          <w:color w:val="4D4D4F"/>
          <w:spacing w:val="-7"/>
          <w:w w:val="115"/>
        </w:rPr>
        <w:t> </w:t>
      </w:r>
      <w:r>
        <w:rPr>
          <w:color w:val="4D4D4F"/>
          <w:w w:val="115"/>
        </w:rPr>
        <w:t>the implant procedure for a wound care</w:t>
      </w:r>
      <w:r>
        <w:rPr>
          <w:color w:val="4D4D4F"/>
          <w:spacing w:val="-7"/>
          <w:w w:val="115"/>
        </w:rPr>
        <w:t> </w:t>
      </w:r>
      <w:r>
        <w:rPr>
          <w:color w:val="4D4D4F"/>
          <w:w w:val="115"/>
        </w:rPr>
        <w:t>check.</w:t>
      </w:r>
    </w:p>
    <w:p>
      <w:pPr>
        <w:pStyle w:val="BodyText"/>
        <w:spacing w:line="247" w:lineRule="auto" w:before="3"/>
        <w:ind w:left="140" w:right="205"/>
      </w:pPr>
      <w:r>
        <w:rPr>
          <w:color w:val="4D4D4F"/>
          <w:w w:val="115"/>
        </w:rPr>
        <w:t>Check</w:t>
      </w:r>
      <w:r>
        <w:rPr>
          <w:color w:val="4D4D4F"/>
          <w:spacing w:val="-26"/>
          <w:w w:val="115"/>
        </w:rPr>
        <w:t> </w:t>
      </w:r>
      <w:r>
        <w:rPr>
          <w:color w:val="4D4D4F"/>
          <w:w w:val="115"/>
        </w:rPr>
        <w:t>for</w:t>
      </w:r>
      <w:r>
        <w:rPr>
          <w:color w:val="4D4D4F"/>
          <w:spacing w:val="-25"/>
          <w:w w:val="115"/>
        </w:rPr>
        <w:t> </w:t>
      </w:r>
      <w:r>
        <w:rPr>
          <w:color w:val="4D4D4F"/>
          <w:w w:val="115"/>
        </w:rPr>
        <w:t>signs</w:t>
      </w:r>
      <w:r>
        <w:rPr>
          <w:color w:val="4D4D4F"/>
          <w:spacing w:val="-26"/>
          <w:w w:val="115"/>
        </w:rPr>
        <w:t> </w:t>
      </w:r>
      <w:r>
        <w:rPr>
          <w:color w:val="4D4D4F"/>
          <w:w w:val="115"/>
        </w:rPr>
        <w:t>of</w:t>
      </w:r>
      <w:r>
        <w:rPr>
          <w:color w:val="4D4D4F"/>
          <w:spacing w:val="-25"/>
          <w:w w:val="115"/>
        </w:rPr>
        <w:t> </w:t>
      </w:r>
      <w:r>
        <w:rPr>
          <w:color w:val="4D4D4F"/>
          <w:w w:val="115"/>
        </w:rPr>
        <w:t>infection,</w:t>
      </w:r>
      <w:r>
        <w:rPr>
          <w:color w:val="4D4D4F"/>
          <w:spacing w:val="-25"/>
          <w:w w:val="115"/>
        </w:rPr>
        <w:t> </w:t>
      </w:r>
      <w:r>
        <w:rPr>
          <w:color w:val="4D4D4F"/>
          <w:w w:val="115"/>
        </w:rPr>
        <w:t>trouble</w:t>
      </w:r>
      <w:r>
        <w:rPr>
          <w:color w:val="4D4D4F"/>
          <w:spacing w:val="-26"/>
          <w:w w:val="115"/>
        </w:rPr>
        <w:t> </w:t>
      </w:r>
      <w:r>
        <w:rPr>
          <w:color w:val="4D4D4F"/>
          <w:w w:val="115"/>
        </w:rPr>
        <w:t>healing,</w:t>
      </w:r>
      <w:r>
        <w:rPr>
          <w:color w:val="4D4D4F"/>
          <w:spacing w:val="-25"/>
          <w:w w:val="115"/>
        </w:rPr>
        <w:t> </w:t>
      </w:r>
      <w:r>
        <w:rPr>
          <w:color w:val="4D4D4F"/>
          <w:w w:val="115"/>
        </w:rPr>
        <w:t>or implant</w:t>
      </w:r>
      <w:r>
        <w:rPr>
          <w:color w:val="4D4D4F"/>
          <w:spacing w:val="-30"/>
          <w:w w:val="115"/>
        </w:rPr>
        <w:t> </w:t>
      </w:r>
      <w:r>
        <w:rPr>
          <w:color w:val="4D4D4F"/>
          <w:w w:val="115"/>
        </w:rPr>
        <w:t>extrusion.</w:t>
      </w:r>
      <w:r>
        <w:rPr>
          <w:color w:val="4D4D4F"/>
          <w:spacing w:val="-30"/>
          <w:w w:val="115"/>
        </w:rPr>
        <w:t> </w:t>
      </w:r>
      <w:r>
        <w:rPr>
          <w:color w:val="4D4D4F"/>
          <w:w w:val="115"/>
        </w:rPr>
        <w:t>The</w:t>
      </w:r>
      <w:r>
        <w:rPr>
          <w:color w:val="4D4D4F"/>
          <w:spacing w:val="-30"/>
          <w:w w:val="115"/>
        </w:rPr>
        <w:t> </w:t>
      </w:r>
      <w:r>
        <w:rPr>
          <w:color w:val="4D4D4F"/>
          <w:w w:val="115"/>
        </w:rPr>
        <w:t>rods</w:t>
      </w:r>
      <w:r>
        <w:rPr>
          <w:color w:val="4D4D4F"/>
          <w:spacing w:val="-30"/>
          <w:w w:val="115"/>
        </w:rPr>
        <w:t> </w:t>
      </w:r>
      <w:r>
        <w:rPr>
          <w:color w:val="4D4D4F"/>
          <w:w w:val="115"/>
        </w:rPr>
        <w:t>are</w:t>
      </w:r>
      <w:r>
        <w:rPr>
          <w:color w:val="4D4D4F"/>
          <w:spacing w:val="-29"/>
          <w:w w:val="115"/>
        </w:rPr>
        <w:t> </w:t>
      </w:r>
      <w:r>
        <w:rPr>
          <w:color w:val="4D4D4F"/>
          <w:w w:val="115"/>
        </w:rPr>
        <w:t>subdermal,</w:t>
      </w:r>
      <w:r>
        <w:rPr>
          <w:color w:val="4D4D4F"/>
          <w:spacing w:val="-30"/>
          <w:w w:val="115"/>
        </w:rPr>
        <w:t> </w:t>
      </w:r>
      <w:r>
        <w:rPr>
          <w:color w:val="4D4D4F"/>
          <w:w w:val="115"/>
        </w:rPr>
        <w:t>so they</w:t>
      </w:r>
      <w:r>
        <w:rPr>
          <w:color w:val="4D4D4F"/>
          <w:spacing w:val="-26"/>
          <w:w w:val="115"/>
        </w:rPr>
        <w:t> </w:t>
      </w:r>
      <w:r>
        <w:rPr>
          <w:color w:val="4D4D4F"/>
          <w:w w:val="115"/>
        </w:rPr>
        <w:t>should</w:t>
      </w:r>
      <w:r>
        <w:rPr>
          <w:color w:val="4D4D4F"/>
          <w:spacing w:val="-25"/>
          <w:w w:val="115"/>
        </w:rPr>
        <w:t> </w:t>
      </w:r>
      <w:r>
        <w:rPr>
          <w:color w:val="4D4D4F"/>
          <w:w w:val="115"/>
        </w:rPr>
        <w:t>remain</w:t>
      </w:r>
      <w:r>
        <w:rPr>
          <w:color w:val="4D4D4F"/>
          <w:spacing w:val="-25"/>
          <w:w w:val="115"/>
        </w:rPr>
        <w:t> </w:t>
      </w:r>
      <w:r>
        <w:rPr>
          <w:color w:val="4D4D4F"/>
          <w:w w:val="115"/>
        </w:rPr>
        <w:t>palpable.</w:t>
      </w:r>
      <w:r>
        <w:rPr>
          <w:color w:val="4D4D4F"/>
          <w:spacing w:val="-25"/>
          <w:w w:val="115"/>
        </w:rPr>
        <w:t> </w:t>
      </w:r>
      <w:r>
        <w:rPr>
          <w:color w:val="4D4D4F"/>
          <w:w w:val="115"/>
        </w:rPr>
        <w:t>Document</w:t>
      </w:r>
      <w:r>
        <w:rPr>
          <w:color w:val="4D4D4F"/>
          <w:spacing w:val="-25"/>
          <w:w w:val="115"/>
        </w:rPr>
        <w:t> </w:t>
      </w:r>
      <w:r>
        <w:rPr>
          <w:color w:val="4D4D4F"/>
          <w:w w:val="115"/>
        </w:rPr>
        <w:t>that</w:t>
      </w:r>
      <w:r>
        <w:rPr>
          <w:color w:val="4D4D4F"/>
          <w:spacing w:val="-25"/>
          <w:w w:val="115"/>
        </w:rPr>
        <w:t> </w:t>
      </w:r>
      <w:r>
        <w:rPr>
          <w:color w:val="4D4D4F"/>
          <w:spacing w:val="-6"/>
          <w:w w:val="115"/>
        </w:rPr>
        <w:t>all </w:t>
      </w:r>
      <w:r>
        <w:rPr>
          <w:color w:val="4D4D4F"/>
          <w:w w:val="115"/>
        </w:rPr>
        <w:t>four rods were</w:t>
      </w:r>
      <w:r>
        <w:rPr>
          <w:color w:val="4D4D4F"/>
          <w:spacing w:val="-34"/>
          <w:w w:val="115"/>
        </w:rPr>
        <w:t> </w:t>
      </w:r>
      <w:r>
        <w:rPr>
          <w:color w:val="4D4D4F"/>
          <w:w w:val="115"/>
        </w:rPr>
        <w:t>palpated.</w:t>
      </w:r>
    </w:p>
    <w:p>
      <w:pPr>
        <w:pStyle w:val="Heading5"/>
        <w:spacing w:before="219"/>
        <w:rPr>
          <w:i/>
        </w:rPr>
      </w:pPr>
      <w:r>
        <w:rPr>
          <w:i/>
          <w:color w:val="137692"/>
          <w:w w:val="105"/>
        </w:rPr>
        <w:t>Stabilization</w:t>
      </w:r>
    </w:p>
    <w:p>
      <w:pPr>
        <w:pStyle w:val="BodyText"/>
        <w:spacing w:line="244" w:lineRule="auto" w:before="42"/>
        <w:ind w:left="140" w:right="218"/>
      </w:pPr>
      <w:r>
        <w:rPr>
          <w:rFonts w:ascii="Calibri"/>
          <w:b/>
          <w:color w:val="4D4D4F"/>
          <w:w w:val="110"/>
        </w:rPr>
        <w:t>Maintain contact with patients after implant placement. </w:t>
      </w:r>
      <w:r>
        <w:rPr>
          <w:color w:val="4D4D4F"/>
          <w:w w:val="110"/>
        </w:rPr>
        <w:t>Even among highly stable patients, return to illicit opioid use can </w:t>
      </w:r>
      <w:r>
        <w:rPr>
          <w:color w:val="4D4D4F"/>
          <w:spacing w:val="-4"/>
          <w:w w:val="110"/>
        </w:rPr>
        <w:t>occur. </w:t>
      </w:r>
      <w:r>
        <w:rPr>
          <w:color w:val="4D4D4F"/>
          <w:w w:val="110"/>
        </w:rPr>
        <w:t>Explain</w:t>
      </w:r>
      <w:r>
        <w:rPr>
          <w:color w:val="4D4D4F"/>
          <w:spacing w:val="-31"/>
          <w:w w:val="110"/>
        </w:rPr>
        <w:t> </w:t>
      </w:r>
      <w:r>
        <w:rPr>
          <w:color w:val="4D4D4F"/>
          <w:spacing w:val="-6"/>
          <w:w w:val="110"/>
        </w:rPr>
        <w:t>the </w:t>
      </w:r>
      <w:r>
        <w:rPr>
          <w:color w:val="4D4D4F"/>
          <w:w w:val="110"/>
        </w:rPr>
        <w:t>risk of unintentional overdose if patients return to illicit opioid or alcohol or benzodiazepine use while implants are in place. It is important to monitor the patient between implant placements.</w:t>
      </w:r>
    </w:p>
    <w:p>
      <w:pPr>
        <w:spacing w:line="240" w:lineRule="auto" w:before="183"/>
        <w:ind w:left="140" w:right="145" w:firstLine="0"/>
        <w:jc w:val="left"/>
        <w:rPr>
          <w:sz w:val="22"/>
        </w:rPr>
      </w:pPr>
      <w:r>
        <w:rPr>
          <w:rFonts w:ascii="Calibri" w:hAnsi="Calibri"/>
          <w:b/>
          <w:color w:val="4D4D4F"/>
          <w:w w:val="110"/>
          <w:sz w:val="22"/>
        </w:rPr>
        <w:t>Schedule ofﬁce visits no less than once a month for continued assessment of main- tenance of </w:t>
      </w:r>
      <w:r>
        <w:rPr>
          <w:rFonts w:ascii="Calibri" w:hAnsi="Calibri"/>
          <w:b/>
          <w:color w:val="4D4D4F"/>
          <w:spacing w:val="-3"/>
          <w:w w:val="110"/>
          <w:sz w:val="22"/>
        </w:rPr>
        <w:t>stability, </w:t>
      </w:r>
      <w:r>
        <w:rPr>
          <w:color w:val="4D4D4F"/>
          <w:w w:val="110"/>
          <w:sz w:val="22"/>
        </w:rPr>
        <w:t>manual palpation of the four implanted rods, and ongoing psychosocial support and counseling per the FDA label </w:t>
      </w:r>
      <w:r>
        <w:rPr>
          <w:color w:val="4D4D4F"/>
          <w:spacing w:val="-6"/>
          <w:w w:val="110"/>
          <w:sz w:val="22"/>
        </w:rPr>
        <w:t>(</w:t>
      </w:r>
      <w:r>
        <w:rPr>
          <w:color w:val="205E9F"/>
          <w:spacing w:val="-6"/>
          <w:w w:val="110"/>
          <w:sz w:val="22"/>
          <w:u w:val="single" w:color="205E9F"/>
        </w:rPr>
        <w:t>www</w:t>
      </w:r>
    </w:p>
    <w:p>
      <w:pPr>
        <w:pStyle w:val="BodyText"/>
        <w:spacing w:before="9"/>
        <w:ind w:left="140"/>
      </w:pPr>
      <w:r>
        <w:rPr>
          <w:color w:val="205E9F"/>
          <w:w w:val="115"/>
          <w:u w:val="single" w:color="205E9F"/>
        </w:rPr>
        <w:t>.accessdata.fda.gov/drugsatfda_docs/label/2016</w:t>
      </w:r>
    </w:p>
    <w:p>
      <w:pPr>
        <w:pStyle w:val="BodyText"/>
        <w:spacing w:line="247" w:lineRule="auto" w:before="9"/>
        <w:ind w:left="140" w:right="206"/>
        <w:jc w:val="both"/>
      </w:pPr>
      <w:r>
        <w:rPr>
          <w:color w:val="205E9F"/>
          <w:w w:val="110"/>
          <w:u w:val="single" w:color="205E9F"/>
        </w:rPr>
        <w:t>/204442Orig1s000lbl.pdf</w:t>
      </w:r>
      <w:r>
        <w:rPr>
          <w:color w:val="4D4D4F"/>
          <w:w w:val="110"/>
        </w:rPr>
        <w:t>). If the patient returns to illicit opioid use, consider whether adequate psychosocial treatment has been given.</w:t>
      </w:r>
    </w:p>
    <w:p>
      <w:pPr>
        <w:spacing w:line="237" w:lineRule="auto" w:before="181"/>
        <w:ind w:left="140" w:right="130" w:firstLine="0"/>
        <w:jc w:val="left"/>
        <w:rPr>
          <w:sz w:val="22"/>
        </w:rPr>
      </w:pPr>
      <w:r>
        <w:rPr>
          <w:rFonts w:ascii="Calibri"/>
          <w:b/>
          <w:color w:val="4D4D4F"/>
          <w:w w:val="110"/>
          <w:sz w:val="22"/>
        </w:rPr>
        <w:t>Consider transmucosal medication supplemen- tation if a patient with implants destabilizes  </w:t>
      </w:r>
      <w:r>
        <w:rPr>
          <w:color w:val="4D4D4F"/>
          <w:w w:val="110"/>
          <w:sz w:val="22"/>
        </w:rPr>
        <w:t>and reports inadequate opioid blockade.</w:t>
      </w:r>
      <w:r>
        <w:rPr>
          <w:color w:val="4D4D4F"/>
          <w:spacing w:val="10"/>
          <w:w w:val="110"/>
          <w:sz w:val="22"/>
        </w:rPr>
        <w:t> </w:t>
      </w:r>
      <w:r>
        <w:rPr>
          <w:color w:val="4D4D4F"/>
          <w:w w:val="110"/>
          <w:sz w:val="22"/>
        </w:rPr>
        <w:t>In</w:t>
      </w:r>
    </w:p>
    <w:p>
      <w:pPr>
        <w:pStyle w:val="BodyText"/>
        <w:spacing w:line="247" w:lineRule="auto" w:before="11"/>
        <w:ind w:left="140" w:right="50" w:hanging="1"/>
      </w:pPr>
      <w:r>
        <w:rPr>
          <w:color w:val="4D4D4F"/>
          <w:w w:val="110"/>
        </w:rPr>
        <w:t>one study,</w:t>
      </w:r>
      <w:r>
        <w:rPr>
          <w:color w:val="4D4D4F"/>
          <w:w w:val="110"/>
          <w:position w:val="7"/>
          <w:sz w:val="13"/>
        </w:rPr>
        <w:t>343 </w:t>
      </w:r>
      <w:r>
        <w:rPr>
          <w:color w:val="4D4D4F"/>
          <w:w w:val="110"/>
        </w:rPr>
        <w:t>17.9 percent of participants with buprenorphine implants needed supplemental sublingual buprenorphine/naloxone. Most required small doses, such as 2 mg/0.5 mg per day. Consider more frequent assessment and higher intensity of treatment for patients who continue using illicit opioids or other substances.</w:t>
      </w:r>
    </w:p>
    <w:p>
      <w:pPr>
        <w:pStyle w:val="Heading5"/>
        <w:spacing w:before="222"/>
        <w:rPr>
          <w:i/>
        </w:rPr>
      </w:pPr>
      <w:r>
        <w:rPr>
          <w:i/>
          <w:color w:val="137692"/>
          <w:w w:val="105"/>
        </w:rPr>
        <w:t>Removal</w:t>
      </w:r>
    </w:p>
    <w:p>
      <w:pPr>
        <w:spacing w:line="237" w:lineRule="auto" w:before="45"/>
        <w:ind w:left="140" w:right="514" w:firstLine="0"/>
        <w:jc w:val="both"/>
        <w:rPr>
          <w:sz w:val="22"/>
        </w:rPr>
      </w:pPr>
      <w:r>
        <w:rPr>
          <w:rFonts w:ascii="Calibri" w:hAnsi="Calibri"/>
          <w:b/>
          <w:color w:val="4D4D4F"/>
          <w:w w:val="110"/>
          <w:sz w:val="22"/>
        </w:rPr>
        <w:t>After 6 months, have a certiﬁed implanter remove them. </w:t>
      </w:r>
      <w:r>
        <w:rPr>
          <w:color w:val="4D4D4F"/>
          <w:w w:val="110"/>
          <w:sz w:val="22"/>
        </w:rPr>
        <w:t>Implantation of a second set of rods in the opposite arm can then occur.</w:t>
      </w:r>
    </w:p>
    <w:p>
      <w:pPr>
        <w:pStyle w:val="BodyText"/>
        <w:spacing w:line="247" w:lineRule="auto" w:before="11"/>
        <w:ind w:left="140" w:right="128"/>
        <w:jc w:val="both"/>
      </w:pPr>
      <w:r>
        <w:rPr>
          <w:color w:val="4D4D4F"/>
          <w:w w:val="110"/>
        </w:rPr>
        <w:t>There is no experience with inserting additional implants</w:t>
      </w:r>
      <w:r>
        <w:rPr>
          <w:color w:val="4D4D4F"/>
          <w:spacing w:val="-9"/>
          <w:w w:val="110"/>
        </w:rPr>
        <w:t> </w:t>
      </w:r>
      <w:r>
        <w:rPr>
          <w:color w:val="4D4D4F"/>
          <w:w w:val="110"/>
        </w:rPr>
        <w:t>into</w:t>
      </w:r>
      <w:r>
        <w:rPr>
          <w:color w:val="4D4D4F"/>
          <w:spacing w:val="-8"/>
          <w:w w:val="110"/>
        </w:rPr>
        <w:t> </w:t>
      </w:r>
      <w:r>
        <w:rPr>
          <w:color w:val="4D4D4F"/>
          <w:w w:val="110"/>
        </w:rPr>
        <w:t>other</w:t>
      </w:r>
      <w:r>
        <w:rPr>
          <w:color w:val="4D4D4F"/>
          <w:spacing w:val="-8"/>
          <w:w w:val="110"/>
        </w:rPr>
        <w:t> </w:t>
      </w:r>
      <w:r>
        <w:rPr>
          <w:color w:val="4D4D4F"/>
          <w:w w:val="110"/>
        </w:rPr>
        <w:t>sites</w:t>
      </w:r>
      <w:r>
        <w:rPr>
          <w:color w:val="4D4D4F"/>
          <w:spacing w:val="-9"/>
          <w:w w:val="110"/>
        </w:rPr>
        <w:t> </w:t>
      </w:r>
      <w:r>
        <w:rPr>
          <w:color w:val="4D4D4F"/>
          <w:w w:val="110"/>
        </w:rPr>
        <w:t>or</w:t>
      </w:r>
      <w:r>
        <w:rPr>
          <w:color w:val="4D4D4F"/>
          <w:spacing w:val="-8"/>
          <w:w w:val="110"/>
        </w:rPr>
        <w:t> </w:t>
      </w:r>
      <w:r>
        <w:rPr>
          <w:color w:val="4D4D4F"/>
          <w:w w:val="110"/>
        </w:rPr>
        <w:t>second</w:t>
      </w:r>
      <w:r>
        <w:rPr>
          <w:color w:val="4D4D4F"/>
          <w:spacing w:val="-8"/>
          <w:w w:val="110"/>
        </w:rPr>
        <w:t> </w:t>
      </w:r>
      <w:r>
        <w:rPr>
          <w:color w:val="4D4D4F"/>
          <w:w w:val="110"/>
        </w:rPr>
        <w:t>insertion</w:t>
      </w:r>
      <w:r>
        <w:rPr>
          <w:color w:val="4D4D4F"/>
          <w:spacing w:val="-9"/>
          <w:w w:val="110"/>
        </w:rPr>
        <w:t> </w:t>
      </w:r>
      <w:r>
        <w:rPr>
          <w:color w:val="4D4D4F"/>
          <w:spacing w:val="-5"/>
          <w:w w:val="110"/>
        </w:rPr>
        <w:t>into</w:t>
      </w:r>
    </w:p>
    <w:p>
      <w:pPr>
        <w:pStyle w:val="BodyText"/>
        <w:spacing w:line="247" w:lineRule="auto" w:before="110"/>
        <w:ind w:left="140" w:right="224"/>
      </w:pPr>
      <w:r>
        <w:rPr/>
        <w:br w:type="column"/>
      </w:r>
      <w:r>
        <w:rPr>
          <w:color w:val="4D4D4F"/>
          <w:w w:val="110"/>
        </w:rPr>
        <w:t>a previously used arm. After one insertion in each arm, most patients should transition to a transmucosal buprenorphine-containing product for continued treatment. Patients should follow the same directions to prepare for implant removal as they did for insertion. The removal procedure may require stitches. Patients should visit the clinic for removal of stitches and wound assessment within 1 week of removal. Store and dispose of rods safely in accordance with local and federal regulations.</w:t>
      </w:r>
    </w:p>
    <w:p>
      <w:pPr>
        <w:pStyle w:val="BodyText"/>
        <w:spacing w:before="10"/>
        <w:rPr>
          <w:sz w:val="24"/>
        </w:rPr>
      </w:pPr>
    </w:p>
    <w:p>
      <w:pPr>
        <w:pStyle w:val="Heading3"/>
        <w:spacing w:line="228" w:lineRule="auto"/>
        <w:ind w:right="594"/>
      </w:pPr>
      <w:bookmarkStart w:name="_TOC_250040" w:id="75"/>
      <w:bookmarkEnd w:id="75"/>
      <w:r>
        <w:rPr>
          <w:color w:val="137692"/>
          <w:w w:val="105"/>
        </w:rPr>
        <w:t>Initiation of Buprenorphine Extended- Release Injection</w:t>
      </w:r>
    </w:p>
    <w:p>
      <w:pPr>
        <w:spacing w:line="242" w:lineRule="auto" w:before="44"/>
        <w:ind w:left="140" w:right="240" w:firstLine="0"/>
        <w:jc w:val="left"/>
        <w:rPr>
          <w:sz w:val="22"/>
        </w:rPr>
      </w:pPr>
      <w:r>
        <w:rPr>
          <w:rFonts w:ascii="Calibri" w:hAnsi="Calibri"/>
          <w:b/>
          <w:color w:val="4D4D4F"/>
          <w:w w:val="115"/>
          <w:sz w:val="22"/>
        </w:rPr>
        <w:t>Healthcare settings and pharmacies need special certiﬁcation to order and dispense extended-release</w:t>
      </w:r>
      <w:r>
        <w:rPr>
          <w:rFonts w:ascii="Calibri" w:hAnsi="Calibri"/>
          <w:b/>
          <w:color w:val="4D4D4F"/>
          <w:spacing w:val="-27"/>
          <w:w w:val="115"/>
          <w:sz w:val="22"/>
        </w:rPr>
        <w:t> </w:t>
      </w:r>
      <w:r>
        <w:rPr>
          <w:rFonts w:ascii="Calibri" w:hAnsi="Calibri"/>
          <w:b/>
          <w:color w:val="4D4D4F"/>
          <w:w w:val="115"/>
          <w:sz w:val="22"/>
        </w:rPr>
        <w:t>injectable</w:t>
      </w:r>
      <w:r>
        <w:rPr>
          <w:rFonts w:ascii="Calibri" w:hAnsi="Calibri"/>
          <w:b/>
          <w:color w:val="4D4D4F"/>
          <w:spacing w:val="-26"/>
          <w:w w:val="115"/>
          <w:sz w:val="22"/>
        </w:rPr>
        <w:t> </w:t>
      </w:r>
      <w:r>
        <w:rPr>
          <w:rFonts w:ascii="Calibri" w:hAnsi="Calibri"/>
          <w:b/>
          <w:color w:val="4D4D4F"/>
          <w:w w:val="115"/>
          <w:sz w:val="22"/>
        </w:rPr>
        <w:t>buprenorphine</w:t>
      </w:r>
      <w:r>
        <w:rPr>
          <w:rFonts w:ascii="Calibri" w:hAnsi="Calibri"/>
          <w:b/>
          <w:color w:val="4D4D4F"/>
          <w:spacing w:val="-27"/>
          <w:w w:val="115"/>
          <w:sz w:val="22"/>
        </w:rPr>
        <w:t> </w:t>
      </w:r>
      <w:r>
        <w:rPr>
          <w:color w:val="4D4D4F"/>
          <w:w w:val="115"/>
          <w:sz w:val="22"/>
        </w:rPr>
        <w:t>to ensure long-acting preparations are dispensed directly</w:t>
      </w:r>
      <w:r>
        <w:rPr>
          <w:color w:val="4D4D4F"/>
          <w:spacing w:val="-35"/>
          <w:w w:val="115"/>
          <w:sz w:val="22"/>
        </w:rPr>
        <w:t> </w:t>
      </w:r>
      <w:r>
        <w:rPr>
          <w:color w:val="4D4D4F"/>
          <w:w w:val="115"/>
          <w:sz w:val="22"/>
        </w:rPr>
        <w:t>to</w:t>
      </w:r>
      <w:r>
        <w:rPr>
          <w:color w:val="4D4D4F"/>
          <w:spacing w:val="-34"/>
          <w:w w:val="115"/>
          <w:sz w:val="22"/>
        </w:rPr>
        <w:t> </w:t>
      </w:r>
      <w:r>
        <w:rPr>
          <w:color w:val="4D4D4F"/>
          <w:w w:val="115"/>
          <w:sz w:val="22"/>
        </w:rPr>
        <w:t>healthcare</w:t>
      </w:r>
      <w:r>
        <w:rPr>
          <w:color w:val="4D4D4F"/>
          <w:spacing w:val="-35"/>
          <w:w w:val="115"/>
          <w:sz w:val="22"/>
        </w:rPr>
        <w:t> </w:t>
      </w:r>
      <w:r>
        <w:rPr>
          <w:color w:val="4D4D4F"/>
          <w:w w:val="115"/>
          <w:sz w:val="22"/>
        </w:rPr>
        <w:t>providers</w:t>
      </w:r>
      <w:r>
        <w:rPr>
          <w:color w:val="4D4D4F"/>
          <w:spacing w:val="-34"/>
          <w:w w:val="115"/>
          <w:sz w:val="22"/>
        </w:rPr>
        <w:t> </w:t>
      </w:r>
      <w:r>
        <w:rPr>
          <w:color w:val="4D4D4F"/>
          <w:w w:val="115"/>
          <w:sz w:val="22"/>
        </w:rPr>
        <w:t>for</w:t>
      </w:r>
      <w:r>
        <w:rPr>
          <w:color w:val="4D4D4F"/>
          <w:spacing w:val="-35"/>
          <w:w w:val="115"/>
          <w:sz w:val="22"/>
        </w:rPr>
        <w:t> </w:t>
      </w:r>
      <w:r>
        <w:rPr>
          <w:color w:val="4D4D4F"/>
          <w:w w:val="115"/>
          <w:sz w:val="22"/>
        </w:rPr>
        <w:t>administra- tion</w:t>
      </w:r>
      <w:r>
        <w:rPr>
          <w:color w:val="4D4D4F"/>
          <w:spacing w:val="-30"/>
          <w:w w:val="115"/>
          <w:sz w:val="22"/>
        </w:rPr>
        <w:t> </w:t>
      </w:r>
      <w:r>
        <w:rPr>
          <w:color w:val="4D4D4F"/>
          <w:w w:val="115"/>
          <w:sz w:val="22"/>
        </w:rPr>
        <w:t>and</w:t>
      </w:r>
      <w:r>
        <w:rPr>
          <w:color w:val="4D4D4F"/>
          <w:spacing w:val="-29"/>
          <w:w w:val="115"/>
          <w:sz w:val="22"/>
        </w:rPr>
        <w:t> </w:t>
      </w:r>
      <w:r>
        <w:rPr>
          <w:color w:val="4D4D4F"/>
          <w:w w:val="115"/>
          <w:sz w:val="22"/>
        </w:rPr>
        <w:t>by</w:t>
      </w:r>
      <w:r>
        <w:rPr>
          <w:color w:val="4D4D4F"/>
          <w:spacing w:val="-29"/>
          <w:w w:val="115"/>
          <w:sz w:val="22"/>
        </w:rPr>
        <w:t> </w:t>
      </w:r>
      <w:r>
        <w:rPr>
          <w:color w:val="4D4D4F"/>
          <w:w w:val="115"/>
          <w:sz w:val="22"/>
        </w:rPr>
        <w:t>healthcare</w:t>
      </w:r>
      <w:r>
        <w:rPr>
          <w:color w:val="4D4D4F"/>
          <w:spacing w:val="-29"/>
          <w:w w:val="115"/>
          <w:sz w:val="22"/>
        </w:rPr>
        <w:t> </w:t>
      </w:r>
      <w:r>
        <w:rPr>
          <w:color w:val="4D4D4F"/>
          <w:w w:val="115"/>
          <w:sz w:val="22"/>
        </w:rPr>
        <w:t>providers</w:t>
      </w:r>
      <w:r>
        <w:rPr>
          <w:color w:val="4D4D4F"/>
          <w:spacing w:val="-29"/>
          <w:w w:val="115"/>
          <w:sz w:val="22"/>
        </w:rPr>
        <w:t> </w:t>
      </w:r>
      <w:r>
        <w:rPr>
          <w:color w:val="4D4D4F"/>
          <w:w w:val="115"/>
          <w:sz w:val="22"/>
        </w:rPr>
        <w:t>to</w:t>
      </w:r>
      <w:r>
        <w:rPr>
          <w:color w:val="4D4D4F"/>
          <w:spacing w:val="-29"/>
          <w:w w:val="115"/>
          <w:sz w:val="22"/>
        </w:rPr>
        <w:t> </w:t>
      </w:r>
      <w:r>
        <w:rPr>
          <w:color w:val="4D4D4F"/>
          <w:w w:val="115"/>
          <w:sz w:val="22"/>
        </w:rPr>
        <w:t>patients</w:t>
      </w:r>
      <w:r>
        <w:rPr>
          <w:color w:val="4D4D4F"/>
          <w:spacing w:val="-29"/>
          <w:w w:val="115"/>
          <w:sz w:val="22"/>
        </w:rPr>
        <w:t> </w:t>
      </w:r>
      <w:r>
        <w:rPr>
          <w:color w:val="4D4D4F"/>
          <w:spacing w:val="-5"/>
          <w:w w:val="115"/>
          <w:sz w:val="22"/>
        </w:rPr>
        <w:t>(see </w:t>
      </w:r>
      <w:hyperlink r:id="rId64">
        <w:r>
          <w:rPr>
            <w:color w:val="205E9F"/>
            <w:spacing w:val="-4"/>
            <w:w w:val="115"/>
            <w:sz w:val="22"/>
            <w:u w:val="single" w:color="205E9F"/>
          </w:rPr>
          <w:t>www.accessdata.fda.gov/scripts/cder/rems/index</w:t>
        </w:r>
      </w:hyperlink>
    </w:p>
    <w:p>
      <w:pPr>
        <w:pStyle w:val="BodyText"/>
        <w:spacing w:line="247" w:lineRule="auto" w:before="9"/>
        <w:ind w:left="140"/>
      </w:pPr>
      <w:r>
        <w:rPr>
          <w:color w:val="205E9F"/>
          <w:w w:val="110"/>
          <w:u w:val="single" w:color="205E9F"/>
        </w:rPr>
        <w:t>.cfm?event=indvremsdetails.page&amp;rems=376</w:t>
      </w:r>
      <w:r>
        <w:rPr>
          <w:color w:val="205E9F"/>
          <w:w w:val="110"/>
        </w:rPr>
        <w:t> </w:t>
      </w:r>
      <w:r>
        <w:rPr>
          <w:color w:val="4D4D4F"/>
          <w:w w:val="110"/>
        </w:rPr>
        <w:t>for more details).</w:t>
      </w:r>
    </w:p>
    <w:p>
      <w:pPr>
        <w:pStyle w:val="Heading7"/>
        <w:spacing w:line="235" w:lineRule="auto" w:before="181"/>
      </w:pPr>
      <w:r>
        <w:rPr>
          <w:color w:val="4D4D4F"/>
          <w:w w:val="110"/>
        </w:rPr>
        <w:t>Before initiating extended-release buprenor- phine treatment, patients with moderate-</w:t>
      </w:r>
    </w:p>
    <w:p>
      <w:pPr>
        <w:spacing w:line="244" w:lineRule="auto" w:before="0"/>
        <w:ind w:left="140" w:right="232" w:firstLine="0"/>
        <w:jc w:val="left"/>
        <w:rPr>
          <w:sz w:val="22"/>
        </w:rPr>
      </w:pPr>
      <w:r>
        <w:rPr>
          <w:rFonts w:ascii="Calibri" w:hAnsi="Calibri"/>
          <w:b/>
          <w:color w:val="4D4D4F"/>
          <w:w w:val="110"/>
          <w:sz w:val="22"/>
        </w:rPr>
        <w:t>to-severe OUD should be stabilized on trans- mucosal buprenorphine (8 mg to 24 mg daily) for at least 7 days. </w:t>
      </w:r>
      <w:r>
        <w:rPr>
          <w:color w:val="4D4D4F"/>
          <w:w w:val="110"/>
          <w:sz w:val="22"/>
        </w:rPr>
        <w:t>Do not use in opioid-naïve patients. Obtain liver function and pregnancy tests. Extended-release buprenorphine is not recommended for patients with severe hepatic impairment and may not be appropriate for patients with moderate hepatic impairment because of the long-acting nature of this formu- lation. There are insufﬁcient data on its use in pregnancy to recommend initiating this formula- tion during pregnancy.</w:t>
      </w:r>
    </w:p>
    <w:p>
      <w:pPr>
        <w:pStyle w:val="BodyText"/>
        <w:spacing w:before="187"/>
        <w:ind w:left="140"/>
      </w:pPr>
      <w:r>
        <w:rPr>
          <w:color w:val="4D4D4F"/>
          <w:w w:val="110"/>
        </w:rPr>
        <w:t>Inform patients that:</w:t>
      </w:r>
    </w:p>
    <w:p>
      <w:pPr>
        <w:pStyle w:val="ListParagraph"/>
        <w:numPr>
          <w:ilvl w:val="0"/>
          <w:numId w:val="29"/>
        </w:numPr>
        <w:tabs>
          <w:tab w:pos="411" w:val="left" w:leader="none"/>
        </w:tabs>
        <w:spacing w:line="264" w:lineRule="exact" w:before="117" w:after="0"/>
        <w:ind w:left="410" w:right="199" w:hanging="270"/>
        <w:jc w:val="left"/>
        <w:rPr>
          <w:rFonts w:ascii="Arial" w:hAnsi="Arial"/>
          <w:color w:val="137692"/>
          <w:sz w:val="28"/>
        </w:rPr>
      </w:pPr>
      <w:r>
        <w:rPr>
          <w:color w:val="4D4D4F"/>
          <w:w w:val="110"/>
          <w:sz w:val="22"/>
        </w:rPr>
        <w:t>The medication is only available in a </w:t>
      </w:r>
      <w:r>
        <w:rPr>
          <w:color w:val="4D4D4F"/>
          <w:spacing w:val="-3"/>
          <w:w w:val="110"/>
          <w:sz w:val="22"/>
        </w:rPr>
        <w:t>restricted </w:t>
      </w:r>
      <w:r>
        <w:rPr>
          <w:color w:val="4D4D4F"/>
          <w:w w:val="110"/>
          <w:sz w:val="22"/>
        </w:rPr>
        <w:t>program (the Sublocade REMS Program) via speciﬁc pharmacies and healthcare providers, as intravenous self-injection by patients can cause</w:t>
      </w:r>
      <w:r>
        <w:rPr>
          <w:color w:val="4D4D4F"/>
          <w:spacing w:val="-6"/>
          <w:w w:val="110"/>
          <w:sz w:val="22"/>
        </w:rPr>
        <w:t> </w:t>
      </w:r>
      <w:r>
        <w:rPr>
          <w:color w:val="4D4D4F"/>
          <w:w w:val="110"/>
          <w:sz w:val="22"/>
        </w:rPr>
        <w:t>death.</w:t>
      </w:r>
    </w:p>
    <w:p>
      <w:pPr>
        <w:pStyle w:val="ListParagraph"/>
        <w:numPr>
          <w:ilvl w:val="0"/>
          <w:numId w:val="29"/>
        </w:numPr>
        <w:tabs>
          <w:tab w:pos="411" w:val="left" w:leader="none"/>
        </w:tabs>
        <w:spacing w:line="208" w:lineRule="auto" w:before="61" w:after="0"/>
        <w:ind w:left="410" w:right="198" w:hanging="270"/>
        <w:jc w:val="left"/>
        <w:rPr>
          <w:rFonts w:ascii="Arial" w:hAnsi="Arial"/>
          <w:color w:val="137692"/>
          <w:sz w:val="28"/>
        </w:rPr>
      </w:pPr>
      <w:r>
        <w:rPr>
          <w:color w:val="4D4D4F"/>
          <w:w w:val="110"/>
          <w:sz w:val="22"/>
        </w:rPr>
        <w:t>After abdominal injection, a lump may be present at the injection site for a few weeks.</w:t>
      </w:r>
      <w:r>
        <w:rPr>
          <w:color w:val="4D4D4F"/>
          <w:spacing w:val="-34"/>
          <w:w w:val="110"/>
          <w:sz w:val="22"/>
        </w:rPr>
        <w:t> </w:t>
      </w:r>
      <w:r>
        <w:rPr>
          <w:color w:val="4D4D4F"/>
          <w:spacing w:val="-9"/>
          <w:w w:val="110"/>
          <w:sz w:val="22"/>
        </w:rPr>
        <w:t>It</w:t>
      </w:r>
    </w:p>
    <w:p>
      <w:pPr>
        <w:spacing w:after="0" w:line="208" w:lineRule="auto"/>
        <w:jc w:val="left"/>
        <w:rPr>
          <w:rFonts w:ascii="Arial" w:hAnsi="Arial"/>
          <w:sz w:val="28"/>
        </w:rPr>
        <w:sectPr>
          <w:type w:val="continuous"/>
          <w:pgSz w:w="12240" w:h="15840"/>
          <w:pgMar w:top="540" w:bottom="280" w:left="940" w:right="920"/>
          <w:cols w:num="2" w:equalWidth="0">
            <w:col w:w="5040" w:space="180"/>
            <w:col w:w="5160"/>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410" w:right="169"/>
      </w:pPr>
      <w:r>
        <w:rPr>
          <w:color w:val="4D4D4F"/>
          <w:w w:val="115"/>
        </w:rPr>
        <w:t>will</w:t>
      </w:r>
      <w:r>
        <w:rPr>
          <w:color w:val="4D4D4F"/>
          <w:spacing w:val="-21"/>
          <w:w w:val="115"/>
        </w:rPr>
        <w:t> </w:t>
      </w:r>
      <w:r>
        <w:rPr>
          <w:color w:val="4D4D4F"/>
          <w:w w:val="115"/>
        </w:rPr>
        <w:t>get</w:t>
      </w:r>
      <w:r>
        <w:rPr>
          <w:color w:val="4D4D4F"/>
          <w:spacing w:val="-21"/>
          <w:w w:val="115"/>
        </w:rPr>
        <w:t> </w:t>
      </w:r>
      <w:r>
        <w:rPr>
          <w:color w:val="4D4D4F"/>
          <w:w w:val="115"/>
        </w:rPr>
        <w:t>gradually</w:t>
      </w:r>
      <w:r>
        <w:rPr>
          <w:color w:val="4D4D4F"/>
          <w:spacing w:val="-21"/>
          <w:w w:val="115"/>
        </w:rPr>
        <w:t> </w:t>
      </w:r>
      <w:r>
        <w:rPr>
          <w:color w:val="4D4D4F"/>
          <w:spacing w:val="-3"/>
          <w:w w:val="115"/>
        </w:rPr>
        <w:t>smaller.</w:t>
      </w:r>
      <w:r>
        <w:rPr>
          <w:color w:val="4D4D4F"/>
          <w:spacing w:val="-21"/>
          <w:w w:val="115"/>
        </w:rPr>
        <w:t> </w:t>
      </w:r>
      <w:r>
        <w:rPr>
          <w:color w:val="4D4D4F"/>
          <w:w w:val="115"/>
        </w:rPr>
        <w:t>Patients</w:t>
      </w:r>
      <w:r>
        <w:rPr>
          <w:color w:val="4D4D4F"/>
          <w:spacing w:val="-21"/>
          <w:w w:val="115"/>
        </w:rPr>
        <w:t> </w:t>
      </w:r>
      <w:r>
        <w:rPr>
          <w:color w:val="4D4D4F"/>
          <w:w w:val="115"/>
        </w:rPr>
        <w:t>should</w:t>
      </w:r>
      <w:r>
        <w:rPr>
          <w:color w:val="4D4D4F"/>
          <w:spacing w:val="-21"/>
          <w:w w:val="115"/>
        </w:rPr>
        <w:t> </w:t>
      </w:r>
      <w:r>
        <w:rPr>
          <w:color w:val="4D4D4F"/>
          <w:spacing w:val="-6"/>
          <w:w w:val="115"/>
        </w:rPr>
        <w:t>not </w:t>
      </w:r>
      <w:r>
        <w:rPr>
          <w:color w:val="4D4D4F"/>
          <w:w w:val="115"/>
        </w:rPr>
        <w:t>rub</w:t>
      </w:r>
      <w:r>
        <w:rPr>
          <w:color w:val="4D4D4F"/>
          <w:spacing w:val="-21"/>
          <w:w w:val="115"/>
        </w:rPr>
        <w:t> </w:t>
      </w:r>
      <w:r>
        <w:rPr>
          <w:color w:val="4D4D4F"/>
          <w:w w:val="115"/>
        </w:rPr>
        <w:t>or</w:t>
      </w:r>
      <w:r>
        <w:rPr>
          <w:color w:val="4D4D4F"/>
          <w:spacing w:val="-21"/>
          <w:w w:val="115"/>
        </w:rPr>
        <w:t> </w:t>
      </w:r>
      <w:r>
        <w:rPr>
          <w:color w:val="4D4D4F"/>
          <w:w w:val="115"/>
        </w:rPr>
        <w:t>massage</w:t>
      </w:r>
      <w:r>
        <w:rPr>
          <w:color w:val="4D4D4F"/>
          <w:spacing w:val="-20"/>
          <w:w w:val="115"/>
        </w:rPr>
        <w:t> </w:t>
      </w:r>
      <w:r>
        <w:rPr>
          <w:color w:val="4D4D4F"/>
          <w:w w:val="115"/>
        </w:rPr>
        <w:t>it</w:t>
      </w:r>
      <w:r>
        <w:rPr>
          <w:color w:val="4D4D4F"/>
          <w:spacing w:val="-21"/>
          <w:w w:val="115"/>
        </w:rPr>
        <w:t> </w:t>
      </w:r>
      <w:r>
        <w:rPr>
          <w:color w:val="4D4D4F"/>
          <w:w w:val="115"/>
        </w:rPr>
        <w:t>or</w:t>
      </w:r>
      <w:r>
        <w:rPr>
          <w:color w:val="4D4D4F"/>
          <w:spacing w:val="-20"/>
          <w:w w:val="115"/>
        </w:rPr>
        <w:t> </w:t>
      </w:r>
      <w:r>
        <w:rPr>
          <w:color w:val="4D4D4F"/>
          <w:w w:val="115"/>
        </w:rPr>
        <w:t>let</w:t>
      </w:r>
      <w:r>
        <w:rPr>
          <w:color w:val="4D4D4F"/>
          <w:spacing w:val="-21"/>
          <w:w w:val="115"/>
        </w:rPr>
        <w:t> </w:t>
      </w:r>
      <w:r>
        <w:rPr>
          <w:color w:val="4D4D4F"/>
          <w:w w:val="115"/>
        </w:rPr>
        <w:t>belts</w:t>
      </w:r>
      <w:r>
        <w:rPr>
          <w:color w:val="4D4D4F"/>
          <w:spacing w:val="-20"/>
          <w:w w:val="115"/>
        </w:rPr>
        <w:t> </w:t>
      </w:r>
      <w:r>
        <w:rPr>
          <w:color w:val="4D4D4F"/>
          <w:w w:val="115"/>
        </w:rPr>
        <w:t>or</w:t>
      </w:r>
      <w:r>
        <w:rPr>
          <w:color w:val="4D4D4F"/>
          <w:spacing w:val="-21"/>
          <w:w w:val="115"/>
        </w:rPr>
        <w:t> </w:t>
      </w:r>
      <w:r>
        <w:rPr>
          <w:color w:val="4D4D4F"/>
          <w:w w:val="115"/>
        </w:rPr>
        <w:t>waistbands rub against</w:t>
      </w:r>
      <w:r>
        <w:rPr>
          <w:color w:val="4D4D4F"/>
          <w:spacing w:val="-19"/>
          <w:w w:val="115"/>
        </w:rPr>
        <w:t> </w:t>
      </w:r>
      <w:r>
        <w:rPr>
          <w:color w:val="4D4D4F"/>
          <w:w w:val="115"/>
        </w:rPr>
        <w:t>it.</w:t>
      </w:r>
    </w:p>
    <w:p>
      <w:pPr>
        <w:pStyle w:val="ListParagraph"/>
        <w:numPr>
          <w:ilvl w:val="0"/>
          <w:numId w:val="29"/>
        </w:numPr>
        <w:tabs>
          <w:tab w:pos="410" w:val="left" w:leader="none"/>
        </w:tabs>
        <w:spacing w:line="225" w:lineRule="auto" w:before="42" w:after="0"/>
        <w:ind w:left="410" w:right="159" w:hanging="270"/>
        <w:jc w:val="left"/>
        <w:rPr>
          <w:rFonts w:ascii="Arial" w:hAnsi="Arial"/>
          <w:color w:val="137692"/>
          <w:sz w:val="28"/>
        </w:rPr>
      </w:pPr>
      <w:r>
        <w:rPr>
          <w:color w:val="4D4D4F"/>
          <w:w w:val="110"/>
          <w:sz w:val="22"/>
        </w:rPr>
        <w:t>Patients should tell their healthcare </w:t>
      </w:r>
      <w:r>
        <w:rPr>
          <w:color w:val="4D4D4F"/>
          <w:spacing w:val="-3"/>
          <w:w w:val="110"/>
          <w:sz w:val="22"/>
        </w:rPr>
        <w:t>providers </w:t>
      </w:r>
      <w:r>
        <w:rPr>
          <w:color w:val="4D4D4F"/>
          <w:w w:val="110"/>
          <w:sz w:val="22"/>
        </w:rPr>
        <w:t>that they are being treated with this medication.</w:t>
      </w:r>
    </w:p>
    <w:p>
      <w:pPr>
        <w:pStyle w:val="ListParagraph"/>
        <w:numPr>
          <w:ilvl w:val="0"/>
          <w:numId w:val="29"/>
        </w:numPr>
        <w:tabs>
          <w:tab w:pos="410" w:val="left" w:leader="none"/>
        </w:tabs>
        <w:spacing w:line="264" w:lineRule="exact" w:before="51" w:after="0"/>
        <w:ind w:left="410" w:right="50" w:hanging="270"/>
        <w:jc w:val="left"/>
        <w:rPr>
          <w:rFonts w:ascii="Arial" w:hAnsi="Arial"/>
          <w:color w:val="137692"/>
          <w:sz w:val="28"/>
        </w:rPr>
      </w:pPr>
      <w:r>
        <w:rPr>
          <w:color w:val="4D4D4F"/>
          <w:w w:val="110"/>
          <w:sz w:val="22"/>
        </w:rPr>
        <w:t>Using alcohol, benzodiazepines, sleeping </w:t>
      </w:r>
      <w:r>
        <w:rPr>
          <w:color w:val="4D4D4F"/>
          <w:spacing w:val="-3"/>
          <w:w w:val="110"/>
          <w:sz w:val="22"/>
        </w:rPr>
        <w:t>pills, </w:t>
      </w:r>
      <w:r>
        <w:rPr>
          <w:color w:val="4D4D4F"/>
          <w:w w:val="110"/>
          <w:sz w:val="22"/>
        </w:rPr>
        <w:t>antidepressants, or some other medications with extended-release buprenorphine  can lead to drowsiness or</w:t>
      </w:r>
      <w:r>
        <w:rPr>
          <w:color w:val="4D4D4F"/>
          <w:spacing w:val="-26"/>
          <w:w w:val="110"/>
          <w:sz w:val="22"/>
        </w:rPr>
        <w:t> </w:t>
      </w:r>
      <w:r>
        <w:rPr>
          <w:color w:val="4D4D4F"/>
          <w:w w:val="110"/>
          <w:sz w:val="22"/>
        </w:rPr>
        <w:t>overdose.</w:t>
      </w:r>
    </w:p>
    <w:p>
      <w:pPr>
        <w:pStyle w:val="ListParagraph"/>
        <w:numPr>
          <w:ilvl w:val="0"/>
          <w:numId w:val="29"/>
        </w:numPr>
        <w:tabs>
          <w:tab w:pos="410" w:val="left" w:leader="none"/>
        </w:tabs>
        <w:spacing w:line="264" w:lineRule="exact" w:before="43" w:after="0"/>
        <w:ind w:left="410" w:right="255" w:hanging="270"/>
        <w:jc w:val="left"/>
        <w:rPr>
          <w:rFonts w:ascii="Arial" w:hAnsi="Arial"/>
          <w:color w:val="137692"/>
          <w:sz w:val="28"/>
        </w:rPr>
      </w:pPr>
      <w:r>
        <w:rPr>
          <w:color w:val="4D4D4F"/>
          <w:w w:val="110"/>
          <w:sz w:val="22"/>
        </w:rPr>
        <w:t>The most common side effects are</w:t>
      </w:r>
      <w:r>
        <w:rPr>
          <w:color w:val="4D4D4F"/>
          <w:spacing w:val="-22"/>
          <w:w w:val="110"/>
          <w:sz w:val="22"/>
        </w:rPr>
        <w:t> </w:t>
      </w:r>
      <w:r>
        <w:rPr>
          <w:color w:val="4D4D4F"/>
          <w:w w:val="110"/>
          <w:sz w:val="22"/>
        </w:rPr>
        <w:t>constipa- tion, headache, nausea, vomiting, increased liver enzymes, tiredness, and injection site itching or</w:t>
      </w:r>
      <w:r>
        <w:rPr>
          <w:color w:val="4D4D4F"/>
          <w:spacing w:val="-11"/>
          <w:w w:val="110"/>
          <w:sz w:val="22"/>
        </w:rPr>
        <w:t> </w:t>
      </w:r>
      <w:r>
        <w:rPr>
          <w:color w:val="4D4D4F"/>
          <w:w w:val="110"/>
          <w:sz w:val="22"/>
        </w:rPr>
        <w:t>pain.</w:t>
      </w:r>
    </w:p>
    <w:p>
      <w:pPr>
        <w:pStyle w:val="ListParagraph"/>
        <w:numPr>
          <w:ilvl w:val="0"/>
          <w:numId w:val="29"/>
        </w:numPr>
        <w:tabs>
          <w:tab w:pos="410" w:val="left" w:leader="none"/>
        </w:tabs>
        <w:spacing w:line="264" w:lineRule="exact" w:before="43" w:after="0"/>
        <w:ind w:left="410" w:right="215" w:hanging="270"/>
        <w:jc w:val="left"/>
        <w:rPr>
          <w:rFonts w:ascii="Arial" w:hAnsi="Arial"/>
          <w:color w:val="137692"/>
          <w:sz w:val="28"/>
        </w:rPr>
      </w:pPr>
      <w:r>
        <w:rPr>
          <w:color w:val="4D4D4F"/>
          <w:w w:val="110"/>
          <w:sz w:val="22"/>
        </w:rPr>
        <w:t>Patients should inform their provider if they become pregnant during treatment with this formulation. They should have a risk/beneﬁt discussion about continuing with this </w:t>
      </w:r>
      <w:r>
        <w:rPr>
          <w:color w:val="4D4D4F"/>
          <w:spacing w:val="-4"/>
          <w:w w:val="110"/>
          <w:sz w:val="22"/>
        </w:rPr>
        <w:t>for- </w:t>
      </w:r>
      <w:r>
        <w:rPr>
          <w:color w:val="4D4D4F"/>
          <w:w w:val="110"/>
          <w:sz w:val="22"/>
        </w:rPr>
        <w:t>mulation given the limited safety data on its impact on the developing fetus. They </w:t>
      </w:r>
      <w:r>
        <w:rPr>
          <w:color w:val="4D4D4F"/>
          <w:spacing w:val="-3"/>
          <w:w w:val="110"/>
          <w:sz w:val="22"/>
        </w:rPr>
        <w:t>should </w:t>
      </w:r>
      <w:r>
        <w:rPr>
          <w:color w:val="4D4D4F"/>
          <w:w w:val="110"/>
          <w:sz w:val="22"/>
        </w:rPr>
        <w:t>be informed that their newborn can have symptoms of opioid withdrawal at</w:t>
      </w:r>
      <w:r>
        <w:rPr>
          <w:color w:val="4D4D4F"/>
          <w:spacing w:val="-18"/>
          <w:w w:val="110"/>
          <w:sz w:val="22"/>
        </w:rPr>
        <w:t> </w:t>
      </w:r>
      <w:r>
        <w:rPr>
          <w:color w:val="4D4D4F"/>
          <w:w w:val="110"/>
          <w:sz w:val="22"/>
        </w:rPr>
        <w:t>birth.</w:t>
      </w:r>
    </w:p>
    <w:p>
      <w:pPr>
        <w:spacing w:before="221"/>
        <w:ind w:left="140" w:right="0" w:firstLine="0"/>
        <w:jc w:val="left"/>
        <w:rPr>
          <w:b/>
          <w:i/>
          <w:sz w:val="24"/>
        </w:rPr>
      </w:pPr>
      <w:r>
        <w:rPr>
          <w:b/>
          <w:i/>
          <w:color w:val="137692"/>
          <w:spacing w:val="-3"/>
          <w:w w:val="105"/>
          <w:sz w:val="24"/>
        </w:rPr>
        <w:t>Storage</w:t>
      </w:r>
    </w:p>
    <w:p>
      <w:pPr>
        <w:pStyle w:val="BodyText"/>
        <w:spacing w:line="247" w:lineRule="auto" w:before="48"/>
        <w:ind w:left="140" w:right="111"/>
      </w:pPr>
      <w:r>
        <w:rPr>
          <w:color w:val="4D4D4F"/>
          <w:w w:val="110"/>
        </w:rPr>
        <w:t>Follow package insert directions for medication storage under refrigeration. Keep at room temperature for at least 15 minutes before injection (discard if left at room temperature for more than 7 days).</w:t>
      </w:r>
    </w:p>
    <w:p>
      <w:pPr>
        <w:pStyle w:val="Heading5"/>
        <w:spacing w:before="220"/>
        <w:rPr>
          <w:i/>
        </w:rPr>
      </w:pPr>
      <w:r>
        <w:rPr>
          <w:i/>
          <w:color w:val="137692"/>
          <w:w w:val="105"/>
        </w:rPr>
        <w:t>Administration</w:t>
      </w:r>
    </w:p>
    <w:p>
      <w:pPr>
        <w:pStyle w:val="BodyText"/>
        <w:spacing w:line="247" w:lineRule="auto" w:before="48"/>
        <w:ind w:left="140" w:right="30"/>
      </w:pPr>
      <w:r>
        <w:rPr>
          <w:color w:val="4D4D4F"/>
          <w:w w:val="115"/>
        </w:rPr>
        <w:t>Rotate the abdominal subcutaneous injection site</w:t>
      </w:r>
      <w:r>
        <w:rPr>
          <w:color w:val="4D4D4F"/>
          <w:spacing w:val="-37"/>
          <w:w w:val="115"/>
        </w:rPr>
        <w:t> </w:t>
      </w:r>
      <w:r>
        <w:rPr>
          <w:color w:val="4D4D4F"/>
          <w:w w:val="115"/>
        </w:rPr>
        <w:t>with</w:t>
      </w:r>
      <w:r>
        <w:rPr>
          <w:color w:val="4D4D4F"/>
          <w:spacing w:val="-36"/>
          <w:w w:val="115"/>
        </w:rPr>
        <w:t> </w:t>
      </w:r>
      <w:r>
        <w:rPr>
          <w:color w:val="4D4D4F"/>
          <w:w w:val="115"/>
        </w:rPr>
        <w:t>each</w:t>
      </w:r>
      <w:r>
        <w:rPr>
          <w:color w:val="4D4D4F"/>
          <w:spacing w:val="-36"/>
          <w:w w:val="115"/>
        </w:rPr>
        <w:t> </w:t>
      </w:r>
      <w:r>
        <w:rPr>
          <w:color w:val="4D4D4F"/>
          <w:w w:val="115"/>
        </w:rPr>
        <w:t>injection,</w:t>
      </w:r>
      <w:r>
        <w:rPr>
          <w:color w:val="4D4D4F"/>
          <w:spacing w:val="-36"/>
          <w:w w:val="115"/>
        </w:rPr>
        <w:t> </w:t>
      </w:r>
      <w:r>
        <w:rPr>
          <w:color w:val="4D4D4F"/>
          <w:w w:val="115"/>
        </w:rPr>
        <w:t>following</w:t>
      </w:r>
      <w:r>
        <w:rPr>
          <w:color w:val="4D4D4F"/>
          <w:spacing w:val="-37"/>
          <w:w w:val="115"/>
        </w:rPr>
        <w:t> </w:t>
      </w:r>
      <w:r>
        <w:rPr>
          <w:color w:val="4D4D4F"/>
          <w:w w:val="115"/>
        </w:rPr>
        <w:t>the</w:t>
      </w:r>
      <w:r>
        <w:rPr>
          <w:color w:val="4D4D4F"/>
          <w:spacing w:val="-36"/>
          <w:w w:val="115"/>
        </w:rPr>
        <w:t> </w:t>
      </w:r>
      <w:r>
        <w:rPr>
          <w:color w:val="4D4D4F"/>
          <w:spacing w:val="-2"/>
          <w:w w:val="115"/>
        </w:rPr>
        <w:t>instructions </w:t>
      </w:r>
      <w:r>
        <w:rPr>
          <w:color w:val="4D4D4F"/>
          <w:w w:val="115"/>
        </w:rPr>
        <w:t>in the package insert. Record the location of each</w:t>
      </w:r>
      <w:r>
        <w:rPr>
          <w:color w:val="4D4D4F"/>
          <w:spacing w:val="-23"/>
          <w:w w:val="115"/>
        </w:rPr>
        <w:t> </w:t>
      </w:r>
      <w:r>
        <w:rPr>
          <w:color w:val="4D4D4F"/>
          <w:w w:val="115"/>
        </w:rPr>
        <w:t>injection</w:t>
      </w:r>
      <w:r>
        <w:rPr>
          <w:color w:val="4D4D4F"/>
          <w:spacing w:val="-22"/>
          <w:w w:val="115"/>
        </w:rPr>
        <w:t> </w:t>
      </w:r>
      <w:r>
        <w:rPr>
          <w:color w:val="4D4D4F"/>
          <w:w w:val="115"/>
        </w:rPr>
        <w:t>in</w:t>
      </w:r>
      <w:r>
        <w:rPr>
          <w:color w:val="4D4D4F"/>
          <w:spacing w:val="-22"/>
          <w:w w:val="115"/>
        </w:rPr>
        <w:t> </w:t>
      </w:r>
      <w:r>
        <w:rPr>
          <w:color w:val="4D4D4F"/>
          <w:w w:val="115"/>
        </w:rPr>
        <w:t>the</w:t>
      </w:r>
      <w:r>
        <w:rPr>
          <w:color w:val="4D4D4F"/>
          <w:spacing w:val="-22"/>
          <w:w w:val="115"/>
        </w:rPr>
        <w:t> </w:t>
      </w:r>
      <w:r>
        <w:rPr>
          <w:color w:val="4D4D4F"/>
          <w:w w:val="115"/>
        </w:rPr>
        <w:t>medical</w:t>
      </w:r>
      <w:r>
        <w:rPr>
          <w:color w:val="4D4D4F"/>
          <w:spacing w:val="-22"/>
          <w:w w:val="115"/>
        </w:rPr>
        <w:t> </w:t>
      </w:r>
      <w:r>
        <w:rPr>
          <w:color w:val="4D4D4F"/>
          <w:w w:val="115"/>
        </w:rPr>
        <w:t>record.</w:t>
      </w:r>
      <w:r>
        <w:rPr>
          <w:color w:val="4D4D4F"/>
          <w:spacing w:val="-23"/>
          <w:w w:val="115"/>
        </w:rPr>
        <w:t> </w:t>
      </w:r>
      <w:r>
        <w:rPr>
          <w:color w:val="4D4D4F"/>
          <w:w w:val="115"/>
        </w:rPr>
        <w:t>Each</w:t>
      </w:r>
      <w:r>
        <w:rPr>
          <w:color w:val="4D4D4F"/>
          <w:spacing w:val="-22"/>
          <w:w w:val="115"/>
        </w:rPr>
        <w:t> </w:t>
      </w:r>
      <w:r>
        <w:rPr>
          <w:color w:val="4D4D4F"/>
          <w:w w:val="115"/>
        </w:rPr>
        <w:t>of</w:t>
      </w:r>
      <w:r>
        <w:rPr>
          <w:color w:val="4D4D4F"/>
          <w:spacing w:val="-22"/>
          <w:w w:val="115"/>
        </w:rPr>
        <w:t> </w:t>
      </w:r>
      <w:r>
        <w:rPr>
          <w:color w:val="4D4D4F"/>
          <w:w w:val="115"/>
        </w:rPr>
        <w:t>the ﬁrst two monthly doses (with at least 26 days between doses) should be 300 mg. Subsequent monthly</w:t>
      </w:r>
      <w:r>
        <w:rPr>
          <w:color w:val="4D4D4F"/>
          <w:spacing w:val="-18"/>
          <w:w w:val="115"/>
        </w:rPr>
        <w:t> </w:t>
      </w:r>
      <w:r>
        <w:rPr>
          <w:color w:val="4D4D4F"/>
          <w:w w:val="115"/>
        </w:rPr>
        <w:t>doses</w:t>
      </w:r>
      <w:r>
        <w:rPr>
          <w:color w:val="4D4D4F"/>
          <w:spacing w:val="-18"/>
          <w:w w:val="115"/>
        </w:rPr>
        <w:t> </w:t>
      </w:r>
      <w:r>
        <w:rPr>
          <w:color w:val="4D4D4F"/>
          <w:w w:val="115"/>
        </w:rPr>
        <w:t>should</w:t>
      </w:r>
      <w:r>
        <w:rPr>
          <w:color w:val="4D4D4F"/>
          <w:spacing w:val="-17"/>
          <w:w w:val="115"/>
        </w:rPr>
        <w:t> </w:t>
      </w:r>
      <w:r>
        <w:rPr>
          <w:color w:val="4D4D4F"/>
          <w:w w:val="115"/>
        </w:rPr>
        <w:t>be</w:t>
      </w:r>
      <w:r>
        <w:rPr>
          <w:color w:val="4D4D4F"/>
          <w:spacing w:val="-18"/>
          <w:w w:val="115"/>
        </w:rPr>
        <w:t> </w:t>
      </w:r>
      <w:r>
        <w:rPr>
          <w:color w:val="4D4D4F"/>
          <w:w w:val="115"/>
        </w:rPr>
        <w:t>100</w:t>
      </w:r>
      <w:r>
        <w:rPr>
          <w:color w:val="4D4D4F"/>
          <w:spacing w:val="-17"/>
          <w:w w:val="115"/>
        </w:rPr>
        <w:t> </w:t>
      </w:r>
      <w:r>
        <w:rPr>
          <w:color w:val="4D4D4F"/>
          <w:w w:val="115"/>
        </w:rPr>
        <w:t>mg.</w:t>
      </w:r>
      <w:r>
        <w:rPr>
          <w:color w:val="4D4D4F"/>
          <w:spacing w:val="-18"/>
          <w:w w:val="115"/>
        </w:rPr>
        <w:t> </w:t>
      </w:r>
      <w:r>
        <w:rPr>
          <w:color w:val="4D4D4F"/>
          <w:w w:val="115"/>
        </w:rPr>
        <w:t>Some</w:t>
      </w:r>
      <w:r>
        <w:rPr>
          <w:color w:val="4D4D4F"/>
          <w:spacing w:val="-17"/>
          <w:w w:val="115"/>
        </w:rPr>
        <w:t> </w:t>
      </w:r>
      <w:r>
        <w:rPr>
          <w:color w:val="4D4D4F"/>
          <w:w w:val="115"/>
        </w:rPr>
        <w:t>patients may beneﬁt from increasing the maintenance dose to 300 mg monthly if they have tolerated the 100 mg dose but continue to use illicit opioids.</w:t>
      </w:r>
    </w:p>
    <w:p>
      <w:pPr>
        <w:pStyle w:val="Heading5"/>
        <w:spacing w:before="227"/>
        <w:rPr>
          <w:i/>
        </w:rPr>
      </w:pPr>
      <w:r>
        <w:rPr>
          <w:i/>
          <w:color w:val="137692"/>
        </w:rPr>
        <w:t>Medical management</w:t>
      </w:r>
    </w:p>
    <w:p>
      <w:pPr>
        <w:pStyle w:val="BodyText"/>
        <w:spacing w:line="247" w:lineRule="auto" w:before="48"/>
        <w:ind w:left="140" w:right="754"/>
      </w:pPr>
      <w:r>
        <w:rPr>
          <w:color w:val="4D4D4F"/>
          <w:w w:val="110"/>
        </w:rPr>
        <w:t>Monitor patient progress and response to treatment during regular ofﬁce visits and</w:t>
      </w:r>
    </w:p>
    <w:p>
      <w:pPr>
        <w:pStyle w:val="BodyText"/>
        <w:spacing w:line="247" w:lineRule="auto" w:before="100"/>
        <w:ind w:left="140" w:right="663"/>
      </w:pPr>
      <w:r>
        <w:rPr/>
        <w:br w:type="column"/>
      </w:r>
      <w:r>
        <w:rPr>
          <w:color w:val="4D4D4F"/>
          <w:w w:val="110"/>
        </w:rPr>
        <w:t>with periodic urine drug testing. Examine the injection site for reactions, infections, </w:t>
      </w:r>
      <w:r>
        <w:rPr>
          <w:color w:val="4D4D4F"/>
          <w:spacing w:val="-9"/>
          <w:w w:val="110"/>
        </w:rPr>
        <w:t>or </w:t>
      </w:r>
      <w:r>
        <w:rPr>
          <w:color w:val="4D4D4F"/>
          <w:w w:val="110"/>
        </w:rPr>
        <w:t>evidence of attempts to remove the depot</w:t>
      </w:r>
    </w:p>
    <w:p>
      <w:pPr>
        <w:pStyle w:val="BodyText"/>
        <w:spacing w:line="247" w:lineRule="auto" w:before="4"/>
        <w:ind w:left="140" w:right="185"/>
      </w:pPr>
      <w:r>
        <w:rPr>
          <w:color w:val="4D4D4F"/>
          <w:w w:val="115"/>
        </w:rPr>
        <w:t>medication. If the medication is discontinued, the patient should continue to be seen and evaluated for several months for sustained progress in treatment and for signs and symptoms</w:t>
      </w:r>
      <w:r>
        <w:rPr>
          <w:color w:val="4D4D4F"/>
          <w:spacing w:val="-33"/>
          <w:w w:val="115"/>
        </w:rPr>
        <w:t> </w:t>
      </w:r>
      <w:r>
        <w:rPr>
          <w:color w:val="4D4D4F"/>
          <w:w w:val="115"/>
        </w:rPr>
        <w:t>of</w:t>
      </w:r>
      <w:r>
        <w:rPr>
          <w:color w:val="4D4D4F"/>
          <w:spacing w:val="-32"/>
          <w:w w:val="115"/>
        </w:rPr>
        <w:t> </w:t>
      </w:r>
      <w:r>
        <w:rPr>
          <w:color w:val="4D4D4F"/>
          <w:w w:val="115"/>
        </w:rPr>
        <w:t>opioid</w:t>
      </w:r>
      <w:r>
        <w:rPr>
          <w:color w:val="4D4D4F"/>
          <w:spacing w:val="-32"/>
          <w:w w:val="115"/>
        </w:rPr>
        <w:t> </w:t>
      </w:r>
      <w:r>
        <w:rPr>
          <w:color w:val="4D4D4F"/>
          <w:w w:val="115"/>
        </w:rPr>
        <w:t>withdrawal,</w:t>
      </w:r>
      <w:r>
        <w:rPr>
          <w:color w:val="4D4D4F"/>
          <w:spacing w:val="-32"/>
          <w:w w:val="115"/>
        </w:rPr>
        <w:t> </w:t>
      </w:r>
      <w:r>
        <w:rPr>
          <w:color w:val="4D4D4F"/>
          <w:w w:val="115"/>
        </w:rPr>
        <w:t>which</w:t>
      </w:r>
      <w:r>
        <w:rPr>
          <w:color w:val="4D4D4F"/>
          <w:spacing w:val="-32"/>
          <w:w w:val="115"/>
        </w:rPr>
        <w:t> </w:t>
      </w:r>
      <w:r>
        <w:rPr>
          <w:color w:val="4D4D4F"/>
          <w:w w:val="115"/>
        </w:rPr>
        <w:t>should</w:t>
      </w:r>
      <w:r>
        <w:rPr>
          <w:color w:val="4D4D4F"/>
          <w:spacing w:val="-32"/>
          <w:w w:val="115"/>
        </w:rPr>
        <w:t> </w:t>
      </w:r>
      <w:r>
        <w:rPr>
          <w:color w:val="4D4D4F"/>
          <w:spacing w:val="-9"/>
          <w:w w:val="115"/>
        </w:rPr>
        <w:t>be </w:t>
      </w:r>
      <w:r>
        <w:rPr>
          <w:color w:val="4D4D4F"/>
          <w:w w:val="115"/>
        </w:rPr>
        <w:t>treated as clinically</w:t>
      </w:r>
      <w:r>
        <w:rPr>
          <w:color w:val="4D4D4F"/>
          <w:spacing w:val="-35"/>
          <w:w w:val="115"/>
        </w:rPr>
        <w:t> </w:t>
      </w:r>
      <w:r>
        <w:rPr>
          <w:color w:val="4D4D4F"/>
          <w:w w:val="115"/>
        </w:rPr>
        <w:t>appropriate.</w:t>
      </w:r>
    </w:p>
    <w:p>
      <w:pPr>
        <w:pStyle w:val="BodyText"/>
        <w:spacing w:before="5"/>
      </w:pPr>
    </w:p>
    <w:p>
      <w:pPr>
        <w:pStyle w:val="Heading2"/>
        <w:spacing w:line="208" w:lineRule="auto" w:before="0"/>
        <w:ind w:right="594"/>
      </w:pPr>
      <w:bookmarkStart w:name="_TOC_250039" w:id="76"/>
      <w:bookmarkEnd w:id="76"/>
      <w:r>
        <w:rPr>
          <w:color w:val="137692"/>
          <w:w w:val="105"/>
        </w:rPr>
        <w:t>Duration of Buprenorphine Treatment</w:t>
      </w:r>
    </w:p>
    <w:p>
      <w:pPr>
        <w:pStyle w:val="BodyText"/>
        <w:spacing w:line="247" w:lineRule="auto" w:before="42"/>
        <w:ind w:left="140" w:right="253"/>
        <w:rPr>
          <w:sz w:val="13"/>
        </w:rPr>
      </w:pPr>
      <w:r>
        <w:rPr>
          <w:color w:val="4D4D4F"/>
          <w:w w:val="110"/>
        </w:rPr>
        <w:t>There is no known duration of therapy with buprenorphine</w:t>
      </w:r>
      <w:r>
        <w:rPr>
          <w:color w:val="4D4D4F"/>
          <w:spacing w:val="-31"/>
          <w:w w:val="110"/>
        </w:rPr>
        <w:t> </w:t>
      </w:r>
      <w:r>
        <w:rPr>
          <w:color w:val="4D4D4F"/>
          <w:w w:val="110"/>
        </w:rPr>
        <w:t>(or</w:t>
      </w:r>
      <w:r>
        <w:rPr>
          <w:color w:val="4D4D4F"/>
          <w:spacing w:val="-31"/>
          <w:w w:val="110"/>
        </w:rPr>
        <w:t> </w:t>
      </w:r>
      <w:r>
        <w:rPr>
          <w:color w:val="4D4D4F"/>
          <w:w w:val="110"/>
        </w:rPr>
        <w:t>methadone</w:t>
      </w:r>
      <w:r>
        <w:rPr>
          <w:color w:val="4D4D4F"/>
          <w:spacing w:val="-31"/>
          <w:w w:val="110"/>
        </w:rPr>
        <w:t> </w:t>
      </w:r>
      <w:r>
        <w:rPr>
          <w:color w:val="4D4D4F"/>
          <w:w w:val="110"/>
        </w:rPr>
        <w:t>or</w:t>
      </w:r>
      <w:r>
        <w:rPr>
          <w:color w:val="4D4D4F"/>
          <w:spacing w:val="-31"/>
          <w:w w:val="110"/>
        </w:rPr>
        <w:t> </w:t>
      </w:r>
      <w:r>
        <w:rPr>
          <w:color w:val="4D4D4F"/>
          <w:w w:val="110"/>
        </w:rPr>
        <w:t>XR-NTX)</w:t>
      </w:r>
      <w:r>
        <w:rPr>
          <w:color w:val="4D4D4F"/>
          <w:spacing w:val="-31"/>
          <w:w w:val="110"/>
        </w:rPr>
        <w:t> </w:t>
      </w:r>
      <w:r>
        <w:rPr>
          <w:color w:val="4D4D4F"/>
          <w:w w:val="110"/>
        </w:rPr>
        <w:t>after which patients can stop medication and be certain not to return to illicit opioid use. Those who stay in treatment often abstain longer from illicit opioid use and show increasing clinical stability. Long-term treatment outcomes up to</w:t>
      </w:r>
      <w:r>
        <w:rPr>
          <w:color w:val="4D4D4F"/>
          <w:spacing w:val="-23"/>
          <w:w w:val="110"/>
        </w:rPr>
        <w:t> </w:t>
      </w:r>
      <w:r>
        <w:rPr>
          <w:color w:val="4D4D4F"/>
          <w:spacing w:val="-16"/>
          <w:w w:val="110"/>
        </w:rPr>
        <w:t>8 </w:t>
      </w:r>
      <w:r>
        <w:rPr>
          <w:color w:val="4D4D4F"/>
          <w:w w:val="110"/>
        </w:rPr>
        <w:t>years after buprenorphine treatment entry</w:t>
      </w:r>
      <w:r>
        <w:rPr>
          <w:color w:val="4D4D4F"/>
          <w:spacing w:val="-41"/>
          <w:w w:val="110"/>
        </w:rPr>
        <w:t> </w:t>
      </w:r>
      <w:r>
        <w:rPr>
          <w:color w:val="4D4D4F"/>
          <w:spacing w:val="-5"/>
          <w:w w:val="110"/>
        </w:rPr>
        <w:t>show </w:t>
      </w:r>
      <w:r>
        <w:rPr>
          <w:color w:val="4D4D4F"/>
          <w:w w:val="110"/>
        </w:rPr>
        <w:t>lower illicit opioid use among those with more time on</w:t>
      </w:r>
      <w:r>
        <w:rPr>
          <w:color w:val="4D4D4F"/>
          <w:spacing w:val="-11"/>
          <w:w w:val="110"/>
        </w:rPr>
        <w:t> </w:t>
      </w:r>
      <w:r>
        <w:rPr>
          <w:color w:val="4D4D4F"/>
          <w:w w:val="110"/>
        </w:rPr>
        <w:t>medication.</w:t>
      </w:r>
      <w:r>
        <w:rPr>
          <w:color w:val="4D4D4F"/>
          <w:w w:val="110"/>
          <w:position w:val="7"/>
          <w:sz w:val="13"/>
        </w:rPr>
        <w:t>344</w:t>
      </w:r>
    </w:p>
    <w:p>
      <w:pPr>
        <w:pStyle w:val="Heading7"/>
        <w:spacing w:line="235" w:lineRule="auto" w:before="192"/>
        <w:ind w:right="328"/>
      </w:pPr>
      <w:r>
        <w:rPr>
          <w:color w:val="4D4D4F"/>
          <w:w w:val="115"/>
        </w:rPr>
        <w:t>Patients should take buprenorphine as long as they beneﬁt from it and wish to continue.</w:t>
      </w:r>
    </w:p>
    <w:p>
      <w:pPr>
        <w:pStyle w:val="BodyText"/>
        <w:spacing w:before="9"/>
        <w:rPr>
          <w:rFonts w:ascii="Calibri"/>
          <w:b/>
          <w:sz w:val="21"/>
        </w:rPr>
      </w:pPr>
    </w:p>
    <w:p>
      <w:pPr>
        <w:spacing w:line="249" w:lineRule="auto" w:before="0"/>
        <w:ind w:left="140" w:right="274" w:firstLine="0"/>
        <w:jc w:val="left"/>
        <w:rPr>
          <w:sz w:val="22"/>
        </w:rPr>
      </w:pPr>
      <w:r>
        <w:rPr>
          <w:rFonts w:ascii="Calibri" w:hAnsi="Calibri"/>
          <w:b/>
          <w:color w:val="137692"/>
          <w:w w:val="110"/>
          <w:sz w:val="26"/>
        </w:rPr>
        <w:t>Successful Buprenorphine Treatment </w:t>
      </w:r>
      <w:r>
        <w:rPr>
          <w:rFonts w:ascii="Calibri" w:hAnsi="Calibri"/>
          <w:b/>
          <w:color w:val="4D4D4F"/>
          <w:w w:val="110"/>
          <w:sz w:val="22"/>
        </w:rPr>
        <w:t>The goal of buprenorphine treatment is full remission from OUD. </w:t>
      </w:r>
      <w:r>
        <w:rPr>
          <w:color w:val="4D4D4F"/>
          <w:w w:val="110"/>
          <w:sz w:val="22"/>
        </w:rPr>
        <w:t>Maintaining illicit opioid abstinence is ideal, but imperfect abstinence does not preclude treatment beneﬁts. Patients should do better in treatment than before treatment. If not, seek alternatives.</w:t>
      </w:r>
    </w:p>
    <w:p>
      <w:pPr>
        <w:pStyle w:val="BodyText"/>
        <w:spacing w:line="247" w:lineRule="auto" w:before="178"/>
        <w:ind w:left="140" w:right="471"/>
      </w:pPr>
      <w:r>
        <w:rPr>
          <w:color w:val="4D4D4F"/>
          <w:w w:val="110"/>
        </w:rPr>
        <w:t>Do not judge treatment progress and success on the amount of medication a patient needs or how long treatment is required. Rather, gauge treatment progress and success based</w:t>
      </w:r>
    </w:p>
    <w:p>
      <w:pPr>
        <w:pStyle w:val="BodyText"/>
        <w:spacing w:before="11"/>
        <w:rPr>
          <w:sz w:val="31"/>
        </w:rPr>
      </w:pPr>
    </w:p>
    <w:p>
      <w:pPr>
        <w:pStyle w:val="Heading7"/>
        <w:spacing w:line="304" w:lineRule="auto"/>
        <w:ind w:left="438" w:right="307"/>
        <w:jc w:val="both"/>
        <w:rPr>
          <w:rFonts w:ascii="Arial"/>
        </w:rPr>
      </w:pPr>
      <w:r>
        <w:rPr/>
        <w:pict>
          <v:line style="position:absolute;mso-position-horizontal-relative:page;mso-position-vertical-relative:paragraph;z-index:15767040" from="315.501007pt,90.315972pt" to="315.501007pt,-.332028pt" stroked="true" strokeweight="1pt" strokecolor="#759eb4">
            <v:stroke dashstyle="solid"/>
            <w10:wrap type="none"/>
          </v:line>
        </w:pict>
      </w:r>
      <w:r>
        <w:rPr>
          <w:rFonts w:ascii="Arial"/>
          <w:color w:val="B15651"/>
          <w:w w:val="110"/>
        </w:rPr>
        <w:t>Given the often-chronic nature of</w:t>
      </w:r>
      <w:r>
        <w:rPr>
          <w:rFonts w:ascii="Arial"/>
          <w:color w:val="B15651"/>
          <w:spacing w:val="-42"/>
          <w:w w:val="110"/>
        </w:rPr>
        <w:t> </w:t>
      </w:r>
      <w:r>
        <w:rPr>
          <w:rFonts w:ascii="Arial"/>
          <w:color w:val="B15651"/>
          <w:w w:val="110"/>
        </w:rPr>
        <w:t>OUD and</w:t>
      </w:r>
      <w:r>
        <w:rPr>
          <w:rFonts w:ascii="Arial"/>
          <w:color w:val="B15651"/>
          <w:spacing w:val="-14"/>
          <w:w w:val="110"/>
        </w:rPr>
        <w:t> </w:t>
      </w:r>
      <w:r>
        <w:rPr>
          <w:rFonts w:ascii="Arial"/>
          <w:color w:val="B15651"/>
          <w:w w:val="110"/>
        </w:rPr>
        <w:t>the</w:t>
      </w:r>
      <w:r>
        <w:rPr>
          <w:rFonts w:ascii="Arial"/>
          <w:color w:val="B15651"/>
          <w:spacing w:val="-13"/>
          <w:w w:val="110"/>
        </w:rPr>
        <w:t> </w:t>
      </w:r>
      <w:r>
        <w:rPr>
          <w:rFonts w:ascii="Arial"/>
          <w:color w:val="B15651"/>
          <w:w w:val="110"/>
        </w:rPr>
        <w:t>potentially</w:t>
      </w:r>
      <w:r>
        <w:rPr>
          <w:rFonts w:ascii="Arial"/>
          <w:color w:val="B15651"/>
          <w:spacing w:val="-14"/>
          <w:w w:val="110"/>
        </w:rPr>
        <w:t> </w:t>
      </w:r>
      <w:r>
        <w:rPr>
          <w:rFonts w:ascii="Arial"/>
          <w:color w:val="B15651"/>
          <w:w w:val="110"/>
        </w:rPr>
        <w:t>fatal</w:t>
      </w:r>
      <w:r>
        <w:rPr>
          <w:rFonts w:ascii="Arial"/>
          <w:color w:val="B15651"/>
          <w:spacing w:val="-13"/>
          <w:w w:val="110"/>
        </w:rPr>
        <w:t> </w:t>
      </w:r>
      <w:r>
        <w:rPr>
          <w:rFonts w:ascii="Arial"/>
          <w:color w:val="B15651"/>
          <w:w w:val="110"/>
        </w:rPr>
        <w:t>consequences of unintended opioid overdose,</w:t>
      </w:r>
      <w:r>
        <w:rPr>
          <w:rFonts w:ascii="Arial"/>
          <w:color w:val="B15651"/>
          <w:spacing w:val="-40"/>
          <w:w w:val="110"/>
        </w:rPr>
        <w:t> </w:t>
      </w:r>
      <w:r>
        <w:rPr>
          <w:rFonts w:ascii="Arial"/>
          <w:color w:val="B15651"/>
          <w:w w:val="110"/>
        </w:rPr>
        <w:t>it</w:t>
      </w:r>
    </w:p>
    <w:p>
      <w:pPr>
        <w:spacing w:line="304" w:lineRule="auto" w:before="0"/>
        <w:ind w:left="438" w:right="253" w:firstLine="0"/>
        <w:jc w:val="left"/>
        <w:rPr>
          <w:rFonts w:ascii="Arial" w:hAnsi="Arial"/>
          <w:b/>
          <w:sz w:val="22"/>
        </w:rPr>
      </w:pPr>
      <w:r>
        <w:rPr>
          <w:rFonts w:ascii="Arial" w:hAnsi="Arial"/>
          <w:b/>
          <w:color w:val="B15651"/>
          <w:w w:val="115"/>
          <w:sz w:val="22"/>
        </w:rPr>
        <w:t>is critical that you base patients’ length of time in treatment on their individual needs.</w:t>
      </w:r>
    </w:p>
    <w:p>
      <w:pPr>
        <w:spacing w:after="0" w:line="304" w:lineRule="auto"/>
        <w:jc w:val="left"/>
        <w:rPr>
          <w:rFonts w:ascii="Arial" w:hAnsi="Arial"/>
          <w:sz w:val="22"/>
        </w:rPr>
        <w:sectPr>
          <w:type w:val="continuous"/>
          <w:pgSz w:w="12240" w:h="15840"/>
          <w:pgMar w:top="540" w:bottom="280" w:left="940" w:right="920"/>
          <w:cols w:num="2" w:equalWidth="0">
            <w:col w:w="5035" w:space="185"/>
            <w:col w:w="5160"/>
          </w:cols>
        </w:sectPr>
      </w:pPr>
    </w:p>
    <w:p>
      <w:pPr>
        <w:pStyle w:val="BodyText"/>
        <w:spacing w:before="7"/>
        <w:rPr>
          <w:rFonts w:ascii="Arial"/>
          <w:b/>
          <w:sz w:val="27"/>
        </w:rPr>
      </w:pPr>
    </w:p>
    <w:p>
      <w:pPr>
        <w:spacing w:after="0"/>
        <w:rPr>
          <w:rFonts w:ascii="Arial"/>
          <w:sz w:val="27"/>
        </w:rPr>
        <w:sectPr>
          <w:pgSz w:w="12240" w:h="15840"/>
          <w:pgMar w:header="576" w:footer="677" w:top="1340" w:bottom="860" w:left="940" w:right="920"/>
        </w:sectPr>
      </w:pPr>
    </w:p>
    <w:p>
      <w:pPr>
        <w:pStyle w:val="BodyText"/>
        <w:spacing w:line="247" w:lineRule="auto" w:before="100"/>
        <w:ind w:left="140" w:right="100"/>
      </w:pPr>
      <w:r>
        <w:rPr>
          <w:color w:val="4D4D4F"/>
          <w:w w:val="115"/>
        </w:rPr>
        <w:t>on patients’ achievement of speciﬁc goals that were</w:t>
      </w:r>
      <w:r>
        <w:rPr>
          <w:color w:val="4D4D4F"/>
          <w:spacing w:val="-20"/>
          <w:w w:val="115"/>
        </w:rPr>
        <w:t> </w:t>
      </w:r>
      <w:r>
        <w:rPr>
          <w:color w:val="4D4D4F"/>
          <w:w w:val="115"/>
        </w:rPr>
        <w:t>agreed</w:t>
      </w:r>
      <w:r>
        <w:rPr>
          <w:color w:val="4D4D4F"/>
          <w:spacing w:val="-20"/>
          <w:w w:val="115"/>
        </w:rPr>
        <w:t> </w:t>
      </w:r>
      <w:r>
        <w:rPr>
          <w:color w:val="4D4D4F"/>
          <w:w w:val="115"/>
        </w:rPr>
        <w:t>on</w:t>
      </w:r>
      <w:r>
        <w:rPr>
          <w:color w:val="4D4D4F"/>
          <w:spacing w:val="-20"/>
          <w:w w:val="115"/>
        </w:rPr>
        <w:t> </w:t>
      </w:r>
      <w:r>
        <w:rPr>
          <w:color w:val="4D4D4F"/>
          <w:w w:val="115"/>
        </w:rPr>
        <w:t>in</w:t>
      </w:r>
      <w:r>
        <w:rPr>
          <w:color w:val="4D4D4F"/>
          <w:spacing w:val="-20"/>
          <w:w w:val="115"/>
        </w:rPr>
        <w:t> </w:t>
      </w:r>
      <w:r>
        <w:rPr>
          <w:color w:val="4D4D4F"/>
          <w:w w:val="115"/>
        </w:rPr>
        <w:t>a</w:t>
      </w:r>
      <w:r>
        <w:rPr>
          <w:color w:val="4D4D4F"/>
          <w:spacing w:val="-20"/>
          <w:w w:val="115"/>
        </w:rPr>
        <w:t> </w:t>
      </w:r>
      <w:r>
        <w:rPr>
          <w:color w:val="4D4D4F"/>
          <w:w w:val="115"/>
        </w:rPr>
        <w:t>shared</w:t>
      </w:r>
      <w:r>
        <w:rPr>
          <w:color w:val="4D4D4F"/>
          <w:spacing w:val="-20"/>
          <w:w w:val="115"/>
        </w:rPr>
        <w:t> </w:t>
      </w:r>
      <w:r>
        <w:rPr>
          <w:color w:val="4D4D4F"/>
          <w:w w:val="115"/>
        </w:rPr>
        <w:t>decision-making</w:t>
      </w:r>
      <w:r>
        <w:rPr>
          <w:color w:val="4D4D4F"/>
          <w:spacing w:val="-19"/>
          <w:w w:val="115"/>
        </w:rPr>
        <w:t> </w:t>
      </w:r>
      <w:r>
        <w:rPr>
          <w:color w:val="4D4D4F"/>
          <w:spacing w:val="-6"/>
          <w:w w:val="115"/>
        </w:rPr>
        <w:t>and </w:t>
      </w:r>
      <w:r>
        <w:rPr>
          <w:color w:val="4D4D4F"/>
          <w:w w:val="115"/>
        </w:rPr>
        <w:t>treatment planning</w:t>
      </w:r>
      <w:r>
        <w:rPr>
          <w:color w:val="4D4D4F"/>
          <w:spacing w:val="-22"/>
          <w:w w:val="115"/>
        </w:rPr>
        <w:t> </w:t>
      </w:r>
      <w:r>
        <w:rPr>
          <w:color w:val="4D4D4F"/>
          <w:w w:val="115"/>
        </w:rPr>
        <w:t>process.</w:t>
      </w:r>
    </w:p>
    <w:p>
      <w:pPr>
        <w:pStyle w:val="BodyText"/>
        <w:spacing w:line="247" w:lineRule="auto" w:before="183"/>
        <w:ind w:left="140" w:right="50"/>
      </w:pPr>
      <w:r>
        <w:rPr>
          <w:color w:val="4D4D4F"/>
          <w:w w:val="110"/>
        </w:rPr>
        <w:t>Consider this analogy: A patient with poorly controlled diabetes was previously unable to work and was admitted to the hospital several times for diabetic ketoacidosis. When taking insulin regularly, the patient worked part time, had fewer hospitalizations for diabetic ketoaci- dosis despite a nondiabetic diet, and had lower (but still high) hemoglobin A1C. This patient’s treatment with insulin is not a “failure” because perfect control and function were not restored, and the patient would not be discharged from care against his or her will.</w:t>
      </w:r>
    </w:p>
    <w:p>
      <w:pPr>
        <w:pStyle w:val="BodyText"/>
        <w:rPr>
          <w:sz w:val="25"/>
        </w:rPr>
      </w:pPr>
    </w:p>
    <w:p>
      <w:pPr>
        <w:pStyle w:val="Heading3"/>
        <w:spacing w:line="228" w:lineRule="auto"/>
        <w:ind w:right="808"/>
      </w:pPr>
      <w:bookmarkStart w:name="_TOC_250038" w:id="77"/>
      <w:bookmarkEnd w:id="77"/>
      <w:r>
        <w:rPr>
          <w:color w:val="137692"/>
          <w:w w:val="110"/>
        </w:rPr>
        <w:t>Dose Tapering and Buprenorphine Discontinuation</w:t>
      </w:r>
    </w:p>
    <w:p>
      <w:pPr>
        <w:spacing w:line="242" w:lineRule="auto" w:before="45"/>
        <w:ind w:left="140" w:right="0" w:firstLine="0"/>
        <w:jc w:val="left"/>
        <w:rPr>
          <w:sz w:val="22"/>
        </w:rPr>
      </w:pPr>
      <w:r>
        <w:rPr>
          <w:rFonts w:ascii="Calibri"/>
          <w:b/>
          <w:color w:val="4D4D4F"/>
          <w:w w:val="110"/>
          <w:sz w:val="22"/>
        </w:rPr>
        <w:t>Following short-term medically supervised withdrawal, patients frequently restart illicit opioid use.</w:t>
      </w:r>
      <w:r>
        <w:rPr>
          <w:rFonts w:ascii="Calibri"/>
          <w:b/>
          <w:color w:val="4D4D4F"/>
          <w:w w:val="110"/>
          <w:position w:val="7"/>
          <w:sz w:val="13"/>
        </w:rPr>
        <w:t>345 </w:t>
      </w:r>
      <w:r>
        <w:rPr>
          <w:color w:val="4D4D4F"/>
          <w:w w:val="110"/>
          <w:sz w:val="22"/>
        </w:rPr>
        <w:t>In contrast to short-term medically supervised withdrawal, dose tapering refers to gradually reducing the buprenorphine dose in patients who have been stabilized on the medi- cation for some time.</w:t>
      </w:r>
    </w:p>
    <w:p>
      <w:pPr>
        <w:spacing w:line="235" w:lineRule="auto" w:before="187"/>
        <w:ind w:left="140" w:right="1" w:firstLine="0"/>
        <w:jc w:val="left"/>
        <w:rPr>
          <w:sz w:val="22"/>
        </w:rPr>
      </w:pPr>
      <w:r>
        <w:rPr>
          <w:rFonts w:ascii="Calibri" w:hAnsi="Calibri"/>
          <w:b/>
          <w:color w:val="4D4D4F"/>
          <w:w w:val="115"/>
          <w:sz w:val="22"/>
        </w:rPr>
        <w:t>Base decisions to decrease dose or stop buprenorphine on patients’ circumstances </w:t>
      </w:r>
      <w:r>
        <w:rPr>
          <w:rFonts w:ascii="Calibri" w:hAnsi="Calibri"/>
          <w:b/>
          <w:color w:val="4D4D4F"/>
          <w:spacing w:val="-6"/>
          <w:w w:val="115"/>
          <w:sz w:val="22"/>
        </w:rPr>
        <w:t>and </w:t>
      </w:r>
      <w:r>
        <w:rPr>
          <w:rFonts w:ascii="Calibri" w:hAnsi="Calibri"/>
          <w:b/>
          <w:color w:val="4D4D4F"/>
          <w:w w:val="115"/>
          <w:sz w:val="22"/>
        </w:rPr>
        <w:t>preferences. </w:t>
      </w:r>
      <w:r>
        <w:rPr>
          <w:color w:val="4D4D4F"/>
          <w:w w:val="115"/>
          <w:sz w:val="22"/>
        </w:rPr>
        <w:t>Successful dose reductions may</w:t>
      </w:r>
    </w:p>
    <w:p>
      <w:pPr>
        <w:pStyle w:val="BodyText"/>
        <w:spacing w:line="247" w:lineRule="auto" w:before="4"/>
        <w:ind w:left="140" w:right="73"/>
      </w:pPr>
      <w:r>
        <w:rPr>
          <w:color w:val="4D4D4F"/>
          <w:w w:val="110"/>
        </w:rPr>
        <w:t>be more likely when patients have sustained abstinence from opioids and other drugs, psychosocial support, housing, effective coping strategies, stable mental health,  employment, and involvement in mutual-help programs or other meaningful activities.</w:t>
      </w:r>
      <w:r>
        <w:rPr>
          <w:color w:val="4D4D4F"/>
          <w:w w:val="110"/>
          <w:position w:val="7"/>
          <w:sz w:val="13"/>
        </w:rPr>
        <w:t>346 </w:t>
      </w:r>
      <w:r>
        <w:rPr>
          <w:color w:val="4D4D4F"/>
          <w:spacing w:val="-3"/>
          <w:w w:val="110"/>
        </w:rPr>
        <w:t>However, </w:t>
      </w:r>
      <w:r>
        <w:rPr>
          <w:color w:val="4D4D4F"/>
          <w:w w:val="110"/>
        </w:rPr>
        <w:t>there is no guarantee that even patients with years of </w:t>
      </w:r>
      <w:r>
        <w:rPr>
          <w:color w:val="4D4D4F"/>
          <w:spacing w:val="-6"/>
          <w:w w:val="110"/>
        </w:rPr>
        <w:t>ab- </w:t>
      </w:r>
      <w:r>
        <w:rPr>
          <w:color w:val="4D4D4F"/>
          <w:w w:val="110"/>
        </w:rPr>
        <w:t>stinence, full-time employment, stable housing, and psychosocial supports can remain abstinent after discontinuing</w:t>
      </w:r>
      <w:r>
        <w:rPr>
          <w:color w:val="4D4D4F"/>
          <w:spacing w:val="-7"/>
          <w:w w:val="110"/>
        </w:rPr>
        <w:t> </w:t>
      </w:r>
      <w:r>
        <w:rPr>
          <w:color w:val="4D4D4F"/>
          <w:w w:val="110"/>
        </w:rPr>
        <w:t>buprenorphine.</w:t>
      </w:r>
    </w:p>
    <w:p>
      <w:pPr>
        <w:spacing w:line="242" w:lineRule="auto" w:before="187"/>
        <w:ind w:left="140" w:right="161" w:firstLine="0"/>
        <w:jc w:val="left"/>
        <w:rPr>
          <w:sz w:val="22"/>
        </w:rPr>
      </w:pPr>
      <w:r>
        <w:rPr>
          <w:rFonts w:ascii="Calibri"/>
          <w:b/>
          <w:color w:val="4D4D4F"/>
          <w:w w:val="115"/>
          <w:sz w:val="22"/>
        </w:rPr>
        <w:t>It is up to patients to decide whether to taper or eventually discontinue medication. </w:t>
      </w:r>
      <w:r>
        <w:rPr>
          <w:color w:val="4D4D4F"/>
          <w:w w:val="115"/>
          <w:sz w:val="22"/>
        </w:rPr>
        <w:t>Help</w:t>
      </w:r>
      <w:r>
        <w:rPr>
          <w:color w:val="4D4D4F"/>
          <w:spacing w:val="-27"/>
          <w:w w:val="115"/>
          <w:sz w:val="22"/>
        </w:rPr>
        <w:t> </w:t>
      </w:r>
      <w:r>
        <w:rPr>
          <w:color w:val="4D4D4F"/>
          <w:w w:val="115"/>
          <w:sz w:val="22"/>
        </w:rPr>
        <w:t>them</w:t>
      </w:r>
      <w:r>
        <w:rPr>
          <w:color w:val="4D4D4F"/>
          <w:spacing w:val="-26"/>
          <w:w w:val="115"/>
          <w:sz w:val="22"/>
        </w:rPr>
        <w:t> </w:t>
      </w:r>
      <w:r>
        <w:rPr>
          <w:color w:val="4D4D4F"/>
          <w:w w:val="115"/>
          <w:sz w:val="22"/>
        </w:rPr>
        <w:t>make</w:t>
      </w:r>
      <w:r>
        <w:rPr>
          <w:color w:val="4D4D4F"/>
          <w:spacing w:val="-26"/>
          <w:w w:val="115"/>
          <w:sz w:val="22"/>
        </w:rPr>
        <w:t> </w:t>
      </w:r>
      <w:r>
        <w:rPr>
          <w:color w:val="4D4D4F"/>
          <w:w w:val="115"/>
          <w:sz w:val="22"/>
        </w:rPr>
        <w:t>informed</w:t>
      </w:r>
      <w:r>
        <w:rPr>
          <w:color w:val="4D4D4F"/>
          <w:spacing w:val="-26"/>
          <w:w w:val="115"/>
          <w:sz w:val="22"/>
        </w:rPr>
        <w:t> </w:t>
      </w:r>
      <w:r>
        <w:rPr>
          <w:color w:val="4D4D4F"/>
          <w:w w:val="115"/>
          <w:sz w:val="22"/>
        </w:rPr>
        <w:t>choices</w:t>
      </w:r>
      <w:r>
        <w:rPr>
          <w:color w:val="4D4D4F"/>
          <w:spacing w:val="-26"/>
          <w:w w:val="115"/>
          <w:sz w:val="22"/>
        </w:rPr>
        <w:t> </w:t>
      </w:r>
      <w:r>
        <w:rPr>
          <w:color w:val="4D4D4F"/>
          <w:w w:val="115"/>
          <w:sz w:val="22"/>
        </w:rPr>
        <w:t>by</w:t>
      </w:r>
      <w:r>
        <w:rPr>
          <w:color w:val="4D4D4F"/>
          <w:spacing w:val="-26"/>
          <w:w w:val="115"/>
          <w:sz w:val="22"/>
        </w:rPr>
        <w:t> </w:t>
      </w:r>
      <w:r>
        <w:rPr>
          <w:color w:val="4D4D4F"/>
          <w:w w:val="115"/>
          <w:sz w:val="22"/>
        </w:rPr>
        <w:t>educating them</w:t>
      </w:r>
      <w:r>
        <w:rPr>
          <w:color w:val="4D4D4F"/>
          <w:spacing w:val="-14"/>
          <w:w w:val="115"/>
          <w:sz w:val="22"/>
        </w:rPr>
        <w:t> </w:t>
      </w:r>
      <w:r>
        <w:rPr>
          <w:color w:val="4D4D4F"/>
          <w:w w:val="115"/>
          <w:sz w:val="22"/>
        </w:rPr>
        <w:t>about</w:t>
      </w:r>
      <w:r>
        <w:rPr>
          <w:color w:val="4D4D4F"/>
          <w:spacing w:val="-14"/>
          <w:w w:val="115"/>
          <w:sz w:val="22"/>
        </w:rPr>
        <w:t> </w:t>
      </w:r>
      <w:r>
        <w:rPr>
          <w:color w:val="4D4D4F"/>
          <w:w w:val="115"/>
          <w:sz w:val="22"/>
        </w:rPr>
        <w:t>the</w:t>
      </w:r>
      <w:r>
        <w:rPr>
          <w:color w:val="4D4D4F"/>
          <w:spacing w:val="-13"/>
          <w:w w:val="115"/>
          <w:sz w:val="22"/>
        </w:rPr>
        <w:t> </w:t>
      </w:r>
      <w:r>
        <w:rPr>
          <w:color w:val="4D4D4F"/>
          <w:w w:val="115"/>
          <w:sz w:val="22"/>
        </w:rPr>
        <w:t>process</w:t>
      </w:r>
      <w:r>
        <w:rPr>
          <w:color w:val="4D4D4F"/>
          <w:spacing w:val="-14"/>
          <w:w w:val="115"/>
          <w:sz w:val="22"/>
        </w:rPr>
        <w:t> </w:t>
      </w:r>
      <w:r>
        <w:rPr>
          <w:color w:val="4D4D4F"/>
          <w:w w:val="115"/>
          <w:sz w:val="22"/>
        </w:rPr>
        <w:t>and</w:t>
      </w:r>
      <w:r>
        <w:rPr>
          <w:color w:val="4D4D4F"/>
          <w:spacing w:val="-14"/>
          <w:w w:val="115"/>
          <w:sz w:val="22"/>
        </w:rPr>
        <w:t> </w:t>
      </w:r>
      <w:r>
        <w:rPr>
          <w:color w:val="4D4D4F"/>
          <w:w w:val="115"/>
          <w:sz w:val="22"/>
        </w:rPr>
        <w:t>fully</w:t>
      </w:r>
      <w:r>
        <w:rPr>
          <w:color w:val="4D4D4F"/>
          <w:spacing w:val="-13"/>
          <w:w w:val="115"/>
          <w:sz w:val="22"/>
        </w:rPr>
        <w:t> </w:t>
      </w:r>
      <w:r>
        <w:rPr>
          <w:color w:val="4D4D4F"/>
          <w:w w:val="115"/>
          <w:sz w:val="22"/>
        </w:rPr>
        <w:t>including</w:t>
      </w:r>
    </w:p>
    <w:p>
      <w:pPr>
        <w:pStyle w:val="BodyText"/>
        <w:spacing w:line="247" w:lineRule="auto" w:before="100"/>
        <w:ind w:left="140"/>
      </w:pPr>
      <w:r>
        <w:rPr/>
        <w:br w:type="column"/>
      </w:r>
      <w:r>
        <w:rPr>
          <w:color w:val="4D4D4F"/>
          <w:w w:val="110"/>
        </w:rPr>
        <w:t>them in decision making. Invite them to reenter treatment if they believe they may return or have already returned to opioid use.</w:t>
      </w:r>
    </w:p>
    <w:p>
      <w:pPr>
        <w:pStyle w:val="Heading7"/>
        <w:spacing w:line="235" w:lineRule="auto" w:before="182"/>
        <w:ind w:right="459"/>
      </w:pPr>
      <w:r>
        <w:rPr>
          <w:color w:val="4D4D4F"/>
          <w:w w:val="115"/>
        </w:rPr>
        <w:t>Before beginning to taper the dose of med- ication, explore these considerations with patients:</w:t>
      </w:r>
    </w:p>
    <w:p>
      <w:pPr>
        <w:pStyle w:val="ListParagraph"/>
        <w:numPr>
          <w:ilvl w:val="0"/>
          <w:numId w:val="29"/>
        </w:numPr>
        <w:tabs>
          <w:tab w:pos="410" w:val="left" w:leader="none"/>
        </w:tabs>
        <w:spacing w:line="264" w:lineRule="exact" w:before="112" w:after="0"/>
        <w:ind w:left="410" w:right="317" w:hanging="270"/>
        <w:jc w:val="left"/>
        <w:rPr>
          <w:rFonts w:ascii="Arial" w:hAnsi="Arial"/>
          <w:color w:val="137692"/>
          <w:sz w:val="28"/>
        </w:rPr>
      </w:pPr>
      <w:r>
        <w:rPr>
          <w:rFonts w:ascii="Calibri" w:hAnsi="Calibri"/>
          <w:b/>
          <w:color w:val="4D4D4F"/>
          <w:w w:val="110"/>
          <w:sz w:val="22"/>
        </w:rPr>
        <w:t>How have they  responded  to  treatment so</w:t>
      </w:r>
      <w:r>
        <w:rPr>
          <w:rFonts w:ascii="Calibri" w:hAnsi="Calibri"/>
          <w:b/>
          <w:color w:val="4D4D4F"/>
          <w:spacing w:val="5"/>
          <w:w w:val="110"/>
          <w:sz w:val="22"/>
        </w:rPr>
        <w:t> </w:t>
      </w:r>
      <w:r>
        <w:rPr>
          <w:rFonts w:ascii="Calibri" w:hAnsi="Calibri"/>
          <w:b/>
          <w:color w:val="4D4D4F"/>
          <w:w w:val="110"/>
          <w:sz w:val="22"/>
        </w:rPr>
        <w:t>far?</w:t>
      </w:r>
      <w:r>
        <w:rPr>
          <w:rFonts w:ascii="Calibri" w:hAnsi="Calibri"/>
          <w:b/>
          <w:color w:val="4D4D4F"/>
          <w:spacing w:val="2"/>
          <w:w w:val="110"/>
          <w:sz w:val="22"/>
        </w:rPr>
        <w:t> </w:t>
      </w:r>
      <w:r>
        <w:rPr>
          <w:color w:val="4D4D4F"/>
          <w:w w:val="110"/>
          <w:sz w:val="22"/>
        </w:rPr>
        <w:t>Are</w:t>
      </w:r>
      <w:r>
        <w:rPr>
          <w:color w:val="4D4D4F"/>
          <w:spacing w:val="-11"/>
          <w:w w:val="110"/>
          <w:sz w:val="22"/>
        </w:rPr>
        <w:t> </w:t>
      </w:r>
      <w:r>
        <w:rPr>
          <w:color w:val="4D4D4F"/>
          <w:w w:val="110"/>
          <w:sz w:val="22"/>
        </w:rPr>
        <w:t>they</w:t>
      </w:r>
      <w:r>
        <w:rPr>
          <w:color w:val="4D4D4F"/>
          <w:spacing w:val="-10"/>
          <w:w w:val="110"/>
          <w:sz w:val="22"/>
        </w:rPr>
        <w:t> </w:t>
      </w:r>
      <w:r>
        <w:rPr>
          <w:color w:val="4D4D4F"/>
          <w:w w:val="110"/>
          <w:sz w:val="22"/>
        </w:rPr>
        <w:t>in</w:t>
      </w:r>
      <w:r>
        <w:rPr>
          <w:color w:val="4D4D4F"/>
          <w:spacing w:val="-10"/>
          <w:w w:val="110"/>
          <w:sz w:val="22"/>
        </w:rPr>
        <w:t> </w:t>
      </w:r>
      <w:r>
        <w:rPr>
          <w:color w:val="4D4D4F"/>
          <w:w w:val="110"/>
          <w:sz w:val="22"/>
        </w:rPr>
        <w:t>full</w:t>
      </w:r>
      <w:r>
        <w:rPr>
          <w:color w:val="4D4D4F"/>
          <w:spacing w:val="-11"/>
          <w:w w:val="110"/>
          <w:sz w:val="22"/>
        </w:rPr>
        <w:t> </w:t>
      </w:r>
      <w:r>
        <w:rPr>
          <w:color w:val="4D4D4F"/>
          <w:w w:val="110"/>
          <w:sz w:val="22"/>
        </w:rPr>
        <w:t>remission</w:t>
      </w:r>
      <w:r>
        <w:rPr>
          <w:color w:val="4D4D4F"/>
          <w:spacing w:val="-10"/>
          <w:w w:val="110"/>
          <w:sz w:val="22"/>
        </w:rPr>
        <w:t> </w:t>
      </w:r>
      <w:r>
        <w:rPr>
          <w:color w:val="4D4D4F"/>
          <w:w w:val="110"/>
          <w:sz w:val="22"/>
        </w:rPr>
        <w:t>from</w:t>
      </w:r>
      <w:r>
        <w:rPr>
          <w:color w:val="4D4D4F"/>
          <w:spacing w:val="-10"/>
          <w:w w:val="110"/>
          <w:sz w:val="22"/>
        </w:rPr>
        <w:t> </w:t>
      </w:r>
      <w:r>
        <w:rPr>
          <w:color w:val="4D4D4F"/>
          <w:w w:val="110"/>
          <w:sz w:val="22"/>
        </w:rPr>
        <w:t>OUD? Do they have adequate mental and social supports to remain in remission and </w:t>
      </w:r>
      <w:r>
        <w:rPr>
          <w:color w:val="4D4D4F"/>
          <w:spacing w:val="-3"/>
          <w:w w:val="110"/>
          <w:sz w:val="22"/>
        </w:rPr>
        <w:t>maintain </w:t>
      </w:r>
      <w:r>
        <w:rPr>
          <w:color w:val="4D4D4F"/>
          <w:w w:val="110"/>
          <w:sz w:val="22"/>
        </w:rPr>
        <w:t>recovery?</w:t>
      </w:r>
    </w:p>
    <w:p>
      <w:pPr>
        <w:pStyle w:val="ListParagraph"/>
        <w:numPr>
          <w:ilvl w:val="0"/>
          <w:numId w:val="29"/>
        </w:numPr>
        <w:tabs>
          <w:tab w:pos="410" w:val="left" w:leader="none"/>
        </w:tabs>
        <w:spacing w:line="264" w:lineRule="exact" w:before="43" w:after="0"/>
        <w:ind w:left="410" w:right="270" w:hanging="270"/>
        <w:jc w:val="left"/>
        <w:rPr>
          <w:rFonts w:ascii="Arial" w:hAnsi="Arial"/>
          <w:color w:val="137692"/>
          <w:sz w:val="28"/>
        </w:rPr>
      </w:pPr>
      <w:r>
        <w:rPr>
          <w:rFonts w:ascii="Calibri" w:hAnsi="Calibri"/>
          <w:b/>
          <w:color w:val="4D4D4F"/>
          <w:w w:val="115"/>
          <w:sz w:val="22"/>
        </w:rPr>
        <w:t>Why do they want to taper? </w:t>
      </w:r>
      <w:r>
        <w:rPr>
          <w:color w:val="4D4D4F"/>
          <w:w w:val="115"/>
          <w:sz w:val="22"/>
        </w:rPr>
        <w:t>They may be motivated by inconvenience, expense, loss of insurance coverage, side effects, feelings of shame, pressure from </w:t>
      </w:r>
      <w:r>
        <w:rPr>
          <w:color w:val="4D4D4F"/>
          <w:spacing w:val="-3"/>
          <w:w w:val="115"/>
          <w:sz w:val="22"/>
        </w:rPr>
        <w:t>family, </w:t>
      </w:r>
      <w:r>
        <w:rPr>
          <w:color w:val="4D4D4F"/>
          <w:w w:val="115"/>
          <w:sz w:val="22"/>
        </w:rPr>
        <w:t>and lack of recovery</w:t>
      </w:r>
      <w:r>
        <w:rPr>
          <w:color w:val="4D4D4F"/>
          <w:spacing w:val="-36"/>
          <w:w w:val="115"/>
          <w:sz w:val="22"/>
        </w:rPr>
        <w:t> </w:t>
      </w:r>
      <w:r>
        <w:rPr>
          <w:color w:val="4D4D4F"/>
          <w:w w:val="115"/>
          <w:sz w:val="22"/>
        </w:rPr>
        <w:t>supports.</w:t>
      </w:r>
      <w:r>
        <w:rPr>
          <w:color w:val="4D4D4F"/>
          <w:spacing w:val="-36"/>
          <w:w w:val="115"/>
          <w:sz w:val="22"/>
        </w:rPr>
        <w:t> </w:t>
      </w:r>
      <w:r>
        <w:rPr>
          <w:color w:val="4D4D4F"/>
          <w:w w:val="115"/>
          <w:sz w:val="22"/>
        </w:rPr>
        <w:t>Many</w:t>
      </w:r>
      <w:r>
        <w:rPr>
          <w:color w:val="4D4D4F"/>
          <w:spacing w:val="-35"/>
          <w:w w:val="115"/>
          <w:sz w:val="22"/>
        </w:rPr>
        <w:t> </w:t>
      </w:r>
      <w:r>
        <w:rPr>
          <w:color w:val="4D4D4F"/>
          <w:w w:val="115"/>
          <w:sz w:val="22"/>
        </w:rPr>
        <w:t>of</w:t>
      </w:r>
      <w:r>
        <w:rPr>
          <w:color w:val="4D4D4F"/>
          <w:spacing w:val="-36"/>
          <w:w w:val="115"/>
          <w:sz w:val="22"/>
        </w:rPr>
        <w:t> </w:t>
      </w:r>
      <w:r>
        <w:rPr>
          <w:color w:val="4D4D4F"/>
          <w:w w:val="115"/>
          <w:sz w:val="22"/>
        </w:rPr>
        <w:t>these</w:t>
      </w:r>
      <w:r>
        <w:rPr>
          <w:color w:val="4D4D4F"/>
          <w:spacing w:val="-35"/>
          <w:w w:val="115"/>
          <w:sz w:val="22"/>
        </w:rPr>
        <w:t> </w:t>
      </w:r>
      <w:r>
        <w:rPr>
          <w:color w:val="4D4D4F"/>
          <w:w w:val="115"/>
          <w:sz w:val="22"/>
        </w:rPr>
        <w:t>reasons</w:t>
      </w:r>
      <w:r>
        <w:rPr>
          <w:color w:val="4D4D4F"/>
          <w:spacing w:val="-36"/>
          <w:w w:val="115"/>
          <w:sz w:val="22"/>
        </w:rPr>
        <w:t> </w:t>
      </w:r>
      <w:r>
        <w:rPr>
          <w:color w:val="4D4D4F"/>
          <w:spacing w:val="-8"/>
          <w:w w:val="115"/>
          <w:sz w:val="22"/>
        </w:rPr>
        <w:t>are </w:t>
      </w:r>
      <w:r>
        <w:rPr>
          <w:color w:val="4D4D4F"/>
          <w:w w:val="115"/>
          <w:sz w:val="22"/>
        </w:rPr>
        <w:t>not</w:t>
      </w:r>
      <w:r>
        <w:rPr>
          <w:color w:val="4D4D4F"/>
          <w:spacing w:val="-17"/>
          <w:w w:val="115"/>
          <w:sz w:val="22"/>
        </w:rPr>
        <w:t> </w:t>
      </w:r>
      <w:r>
        <w:rPr>
          <w:color w:val="4D4D4F"/>
          <w:w w:val="115"/>
          <w:sz w:val="22"/>
        </w:rPr>
        <w:t>predictive</w:t>
      </w:r>
      <w:r>
        <w:rPr>
          <w:color w:val="4D4D4F"/>
          <w:spacing w:val="-16"/>
          <w:w w:val="115"/>
          <w:sz w:val="22"/>
        </w:rPr>
        <w:t> </w:t>
      </w:r>
      <w:r>
        <w:rPr>
          <w:color w:val="4D4D4F"/>
          <w:w w:val="115"/>
          <w:sz w:val="22"/>
        </w:rPr>
        <w:t>of</w:t>
      </w:r>
      <w:r>
        <w:rPr>
          <w:color w:val="4D4D4F"/>
          <w:spacing w:val="-16"/>
          <w:w w:val="115"/>
          <w:sz w:val="22"/>
        </w:rPr>
        <w:t> </w:t>
      </w:r>
      <w:r>
        <w:rPr>
          <w:color w:val="4D4D4F"/>
          <w:w w:val="115"/>
          <w:sz w:val="22"/>
        </w:rPr>
        <w:t>a</w:t>
      </w:r>
      <w:r>
        <w:rPr>
          <w:color w:val="4D4D4F"/>
          <w:spacing w:val="-16"/>
          <w:w w:val="115"/>
          <w:sz w:val="22"/>
        </w:rPr>
        <w:t> </w:t>
      </w:r>
      <w:r>
        <w:rPr>
          <w:color w:val="4D4D4F"/>
          <w:w w:val="115"/>
          <w:sz w:val="22"/>
        </w:rPr>
        <w:t>successful</w:t>
      </w:r>
      <w:r>
        <w:rPr>
          <w:color w:val="4D4D4F"/>
          <w:spacing w:val="-17"/>
          <w:w w:val="115"/>
          <w:sz w:val="22"/>
        </w:rPr>
        <w:t> </w:t>
      </w:r>
      <w:r>
        <w:rPr>
          <w:color w:val="4D4D4F"/>
          <w:w w:val="115"/>
          <w:sz w:val="22"/>
        </w:rPr>
        <w:t>outcome.</w:t>
      </w:r>
    </w:p>
    <w:p>
      <w:pPr>
        <w:pStyle w:val="ListParagraph"/>
        <w:numPr>
          <w:ilvl w:val="0"/>
          <w:numId w:val="29"/>
        </w:numPr>
        <w:tabs>
          <w:tab w:pos="410" w:val="left" w:leader="none"/>
        </w:tabs>
        <w:spacing w:line="208" w:lineRule="auto" w:before="61" w:after="0"/>
        <w:ind w:left="410" w:right="437" w:hanging="270"/>
        <w:jc w:val="left"/>
        <w:rPr>
          <w:rFonts w:ascii="Arial" w:hAnsi="Arial"/>
          <w:color w:val="137692"/>
          <w:sz w:val="28"/>
        </w:rPr>
      </w:pPr>
      <w:r>
        <w:rPr>
          <w:rFonts w:ascii="Calibri" w:hAnsi="Calibri"/>
          <w:b/>
          <w:color w:val="4D4D4F"/>
          <w:w w:val="115"/>
          <w:sz w:val="22"/>
        </w:rPr>
        <w:t>What do they expect to be different </w:t>
      </w:r>
      <w:r>
        <w:rPr>
          <w:color w:val="4D4D4F"/>
          <w:spacing w:val="-3"/>
          <w:w w:val="115"/>
          <w:sz w:val="22"/>
        </w:rPr>
        <w:t>after </w:t>
      </w:r>
      <w:r>
        <w:rPr>
          <w:color w:val="4D4D4F"/>
          <w:w w:val="115"/>
          <w:sz w:val="22"/>
        </w:rPr>
        <w:t>tapering</w:t>
      </w:r>
      <w:r>
        <w:rPr>
          <w:color w:val="4D4D4F"/>
          <w:spacing w:val="-22"/>
          <w:w w:val="115"/>
          <w:sz w:val="22"/>
        </w:rPr>
        <w:t> </w:t>
      </w:r>
      <w:r>
        <w:rPr>
          <w:color w:val="4D4D4F"/>
          <w:w w:val="115"/>
          <w:sz w:val="22"/>
        </w:rPr>
        <w:t>or</w:t>
      </w:r>
      <w:r>
        <w:rPr>
          <w:color w:val="4D4D4F"/>
          <w:spacing w:val="-21"/>
          <w:w w:val="115"/>
          <w:sz w:val="22"/>
        </w:rPr>
        <w:t> </w:t>
      </w:r>
      <w:r>
        <w:rPr>
          <w:color w:val="4D4D4F"/>
          <w:w w:val="115"/>
          <w:sz w:val="22"/>
        </w:rPr>
        <w:t>discontinuing</w:t>
      </w:r>
      <w:r>
        <w:rPr>
          <w:color w:val="4D4D4F"/>
          <w:spacing w:val="-22"/>
          <w:w w:val="115"/>
          <w:sz w:val="22"/>
        </w:rPr>
        <w:t> </w:t>
      </w:r>
      <w:r>
        <w:rPr>
          <w:color w:val="4D4D4F"/>
          <w:w w:val="115"/>
          <w:sz w:val="22"/>
        </w:rPr>
        <w:t>buprenorphine?</w:t>
      </w:r>
    </w:p>
    <w:p>
      <w:pPr>
        <w:pStyle w:val="ListParagraph"/>
        <w:numPr>
          <w:ilvl w:val="0"/>
          <w:numId w:val="29"/>
        </w:numPr>
        <w:tabs>
          <w:tab w:pos="410" w:val="left" w:leader="none"/>
        </w:tabs>
        <w:spacing w:line="225" w:lineRule="auto" w:before="54" w:after="0"/>
        <w:ind w:left="410" w:right="364" w:hanging="270"/>
        <w:jc w:val="left"/>
        <w:rPr>
          <w:rFonts w:ascii="Arial" w:hAnsi="Arial"/>
          <w:color w:val="137692"/>
          <w:sz w:val="28"/>
        </w:rPr>
      </w:pPr>
      <w:r>
        <w:rPr>
          <w:rFonts w:ascii="Calibri" w:hAnsi="Calibri"/>
          <w:b/>
          <w:color w:val="4D4D4F"/>
          <w:w w:val="115"/>
          <w:sz w:val="22"/>
        </w:rPr>
        <w:t>Do they understand the risks and </w:t>
      </w:r>
      <w:r>
        <w:rPr>
          <w:rFonts w:ascii="Calibri" w:hAnsi="Calibri"/>
          <w:b/>
          <w:color w:val="4D4D4F"/>
          <w:spacing w:val="-3"/>
          <w:w w:val="115"/>
          <w:sz w:val="22"/>
        </w:rPr>
        <w:t>beneﬁts </w:t>
      </w:r>
      <w:r>
        <w:rPr>
          <w:color w:val="4D4D4F"/>
          <w:w w:val="115"/>
          <w:sz w:val="22"/>
        </w:rPr>
        <w:t>of dose decrease and discontinuation of buprenorphine?</w:t>
      </w:r>
    </w:p>
    <w:p>
      <w:pPr>
        <w:pStyle w:val="Heading7"/>
        <w:numPr>
          <w:ilvl w:val="0"/>
          <w:numId w:val="29"/>
        </w:numPr>
        <w:tabs>
          <w:tab w:pos="410" w:val="left" w:leader="none"/>
        </w:tabs>
        <w:spacing w:line="225" w:lineRule="auto" w:before="53" w:after="0"/>
        <w:ind w:left="410" w:right="259" w:hanging="270"/>
        <w:jc w:val="left"/>
        <w:rPr>
          <w:rFonts w:ascii="Arial" w:hAnsi="Arial"/>
          <w:color w:val="137692"/>
          <w:sz w:val="28"/>
        </w:rPr>
      </w:pPr>
      <w:r>
        <w:rPr>
          <w:color w:val="4D4D4F"/>
          <w:w w:val="115"/>
        </w:rPr>
        <w:t>What strategies do they have for engaging family members and recovery supports to reduce the risk of return to illicit</w:t>
      </w:r>
      <w:r>
        <w:rPr>
          <w:color w:val="4D4D4F"/>
          <w:spacing w:val="-34"/>
          <w:w w:val="115"/>
        </w:rPr>
        <w:t> </w:t>
      </w:r>
      <w:r>
        <w:rPr>
          <w:color w:val="4D4D4F"/>
          <w:w w:val="115"/>
        </w:rPr>
        <w:t>substance use?</w:t>
      </w:r>
    </w:p>
    <w:p>
      <w:pPr>
        <w:pStyle w:val="ListParagraph"/>
        <w:numPr>
          <w:ilvl w:val="0"/>
          <w:numId w:val="29"/>
        </w:numPr>
        <w:tabs>
          <w:tab w:pos="410" w:val="left" w:leader="none"/>
        </w:tabs>
        <w:spacing w:line="204" w:lineRule="auto" w:before="59" w:after="0"/>
        <w:ind w:left="410" w:right="357" w:hanging="270"/>
        <w:jc w:val="left"/>
        <w:rPr>
          <w:rFonts w:ascii="Arial" w:hAnsi="Arial"/>
          <w:b/>
          <w:color w:val="137692"/>
          <w:sz w:val="28"/>
        </w:rPr>
      </w:pPr>
      <w:r>
        <w:rPr>
          <w:rFonts w:ascii="Calibri" w:hAnsi="Calibri"/>
          <w:b/>
          <w:color w:val="4D4D4F"/>
          <w:w w:val="115"/>
          <w:sz w:val="22"/>
        </w:rPr>
        <w:t>Do they grasp the risk of overdose </w:t>
      </w:r>
      <w:r>
        <w:rPr>
          <w:rFonts w:ascii="Calibri" w:hAnsi="Calibri"/>
          <w:b/>
          <w:color w:val="4D4D4F"/>
          <w:spacing w:val="-3"/>
          <w:w w:val="115"/>
          <w:sz w:val="22"/>
        </w:rPr>
        <w:t>associ- </w:t>
      </w:r>
      <w:r>
        <w:rPr>
          <w:rFonts w:ascii="Calibri" w:hAnsi="Calibri"/>
          <w:b/>
          <w:color w:val="4D4D4F"/>
          <w:w w:val="115"/>
          <w:sz w:val="22"/>
        </w:rPr>
        <w:t>ated with a return to illicit opioid</w:t>
      </w:r>
      <w:r>
        <w:rPr>
          <w:rFonts w:ascii="Calibri" w:hAnsi="Calibri"/>
          <w:b/>
          <w:color w:val="4D4D4F"/>
          <w:spacing w:val="9"/>
          <w:w w:val="115"/>
          <w:sz w:val="22"/>
        </w:rPr>
        <w:t> </w:t>
      </w:r>
      <w:r>
        <w:rPr>
          <w:rFonts w:ascii="Calibri" w:hAnsi="Calibri"/>
          <w:b/>
          <w:color w:val="4D4D4F"/>
          <w:w w:val="115"/>
          <w:sz w:val="22"/>
        </w:rPr>
        <w:t>use?</w:t>
      </w:r>
    </w:p>
    <w:p>
      <w:pPr>
        <w:pStyle w:val="ListParagraph"/>
        <w:numPr>
          <w:ilvl w:val="0"/>
          <w:numId w:val="29"/>
        </w:numPr>
        <w:tabs>
          <w:tab w:pos="410" w:val="left" w:leader="none"/>
        </w:tabs>
        <w:spacing w:line="225" w:lineRule="auto" w:before="49" w:after="0"/>
        <w:ind w:left="410" w:right="777" w:hanging="270"/>
        <w:jc w:val="both"/>
        <w:rPr>
          <w:rFonts w:ascii="Arial" w:hAnsi="Arial"/>
          <w:color w:val="137692"/>
          <w:sz w:val="28"/>
        </w:rPr>
      </w:pPr>
      <w:r>
        <w:rPr>
          <w:rFonts w:ascii="Calibri" w:hAnsi="Calibri"/>
          <w:b/>
          <w:color w:val="4D4D4F"/>
          <w:w w:val="110"/>
          <w:sz w:val="22"/>
        </w:rPr>
        <w:t>Do they have a safety plan? </w:t>
      </w:r>
      <w:r>
        <w:rPr>
          <w:color w:val="4D4D4F"/>
          <w:spacing w:val="-13"/>
          <w:w w:val="110"/>
          <w:sz w:val="22"/>
        </w:rPr>
        <w:t>To </w:t>
      </w:r>
      <w:r>
        <w:rPr>
          <w:color w:val="4D4D4F"/>
          <w:w w:val="110"/>
          <w:sz w:val="22"/>
        </w:rPr>
        <w:t>reduce overdose</w:t>
      </w:r>
      <w:r>
        <w:rPr>
          <w:color w:val="4D4D4F"/>
          <w:spacing w:val="-8"/>
          <w:w w:val="110"/>
          <w:sz w:val="22"/>
        </w:rPr>
        <w:t> </w:t>
      </w:r>
      <w:r>
        <w:rPr>
          <w:color w:val="4D4D4F"/>
          <w:w w:val="110"/>
          <w:sz w:val="22"/>
        </w:rPr>
        <w:t>risk</w:t>
      </w:r>
      <w:r>
        <w:rPr>
          <w:color w:val="4D4D4F"/>
          <w:spacing w:val="-7"/>
          <w:w w:val="110"/>
          <w:sz w:val="22"/>
        </w:rPr>
        <w:t> </w:t>
      </w:r>
      <w:r>
        <w:rPr>
          <w:color w:val="4D4D4F"/>
          <w:w w:val="110"/>
          <w:sz w:val="22"/>
        </w:rPr>
        <w:t>after</w:t>
      </w:r>
      <w:r>
        <w:rPr>
          <w:color w:val="4D4D4F"/>
          <w:spacing w:val="-7"/>
          <w:w w:val="110"/>
          <w:sz w:val="22"/>
        </w:rPr>
        <w:t> </w:t>
      </w:r>
      <w:r>
        <w:rPr>
          <w:color w:val="4D4D4F"/>
          <w:w w:val="110"/>
          <w:sz w:val="22"/>
        </w:rPr>
        <w:t>a</w:t>
      </w:r>
      <w:r>
        <w:rPr>
          <w:color w:val="4D4D4F"/>
          <w:spacing w:val="-7"/>
          <w:w w:val="110"/>
          <w:sz w:val="22"/>
        </w:rPr>
        <w:t> </w:t>
      </w:r>
      <w:r>
        <w:rPr>
          <w:color w:val="4D4D4F"/>
          <w:w w:val="110"/>
          <w:sz w:val="22"/>
        </w:rPr>
        <w:t>return</w:t>
      </w:r>
      <w:r>
        <w:rPr>
          <w:color w:val="4D4D4F"/>
          <w:spacing w:val="-8"/>
          <w:w w:val="110"/>
          <w:sz w:val="22"/>
        </w:rPr>
        <w:t> </w:t>
      </w:r>
      <w:r>
        <w:rPr>
          <w:color w:val="4D4D4F"/>
          <w:w w:val="110"/>
          <w:sz w:val="22"/>
        </w:rPr>
        <w:t>to</w:t>
      </w:r>
      <w:r>
        <w:rPr>
          <w:color w:val="4D4D4F"/>
          <w:spacing w:val="-7"/>
          <w:w w:val="110"/>
          <w:sz w:val="22"/>
        </w:rPr>
        <w:t> </w:t>
      </w:r>
      <w:r>
        <w:rPr>
          <w:color w:val="4D4D4F"/>
          <w:w w:val="110"/>
          <w:sz w:val="22"/>
        </w:rPr>
        <w:t>use,</w:t>
      </w:r>
      <w:r>
        <w:rPr>
          <w:color w:val="4D4D4F"/>
          <w:spacing w:val="-7"/>
          <w:w w:val="110"/>
          <w:sz w:val="22"/>
        </w:rPr>
        <w:t> </w:t>
      </w:r>
      <w:r>
        <w:rPr>
          <w:color w:val="4D4D4F"/>
          <w:spacing w:val="-4"/>
          <w:w w:val="110"/>
          <w:sz w:val="22"/>
        </w:rPr>
        <w:t>plans </w:t>
      </w:r>
      <w:r>
        <w:rPr>
          <w:color w:val="4D4D4F"/>
          <w:w w:val="110"/>
          <w:sz w:val="22"/>
        </w:rPr>
        <w:t>should</w:t>
      </w:r>
      <w:r>
        <w:rPr>
          <w:color w:val="4D4D4F"/>
          <w:spacing w:val="-6"/>
          <w:w w:val="110"/>
          <w:sz w:val="22"/>
        </w:rPr>
        <w:t> </w:t>
      </w:r>
      <w:r>
        <w:rPr>
          <w:color w:val="4D4D4F"/>
          <w:w w:val="110"/>
          <w:sz w:val="22"/>
        </w:rPr>
        <w:t>include:</w:t>
      </w:r>
    </w:p>
    <w:p>
      <w:pPr>
        <w:pStyle w:val="ListParagraph"/>
        <w:numPr>
          <w:ilvl w:val="1"/>
          <w:numId w:val="29"/>
        </w:numPr>
        <w:tabs>
          <w:tab w:pos="716" w:val="left" w:leader="none"/>
        </w:tabs>
        <w:spacing w:line="240" w:lineRule="auto" w:before="37" w:after="0"/>
        <w:ind w:left="716" w:right="0" w:hanging="270"/>
        <w:jc w:val="left"/>
        <w:rPr>
          <w:rFonts w:ascii="Arial" w:hAnsi="Arial"/>
          <w:color w:val="137692"/>
          <w:sz w:val="24"/>
        </w:rPr>
      </w:pPr>
      <w:r>
        <w:rPr>
          <w:color w:val="4D4D4F"/>
          <w:w w:val="110"/>
          <w:sz w:val="22"/>
        </w:rPr>
        <w:t>A</w:t>
      </w:r>
      <w:r>
        <w:rPr>
          <w:color w:val="4D4D4F"/>
          <w:spacing w:val="-17"/>
          <w:w w:val="110"/>
          <w:sz w:val="22"/>
        </w:rPr>
        <w:t> </w:t>
      </w:r>
      <w:r>
        <w:rPr>
          <w:color w:val="4D4D4F"/>
          <w:spacing w:val="-5"/>
          <w:w w:val="110"/>
          <w:sz w:val="22"/>
        </w:rPr>
        <w:t>prescription</w:t>
      </w:r>
      <w:r>
        <w:rPr>
          <w:color w:val="4D4D4F"/>
          <w:spacing w:val="-17"/>
          <w:w w:val="110"/>
          <w:sz w:val="22"/>
        </w:rPr>
        <w:t> </w:t>
      </w:r>
      <w:r>
        <w:rPr>
          <w:color w:val="4D4D4F"/>
          <w:spacing w:val="-4"/>
          <w:w w:val="110"/>
          <w:sz w:val="22"/>
        </w:rPr>
        <w:t>for</w:t>
      </w:r>
      <w:r>
        <w:rPr>
          <w:color w:val="4D4D4F"/>
          <w:spacing w:val="-17"/>
          <w:w w:val="110"/>
          <w:sz w:val="22"/>
        </w:rPr>
        <w:t> </w:t>
      </w:r>
      <w:r>
        <w:rPr>
          <w:color w:val="4D4D4F"/>
          <w:spacing w:val="-5"/>
          <w:w w:val="110"/>
          <w:sz w:val="22"/>
        </w:rPr>
        <w:t>naloxone</w:t>
      </w:r>
      <w:r>
        <w:rPr>
          <w:color w:val="4D4D4F"/>
          <w:spacing w:val="-17"/>
          <w:w w:val="110"/>
          <w:sz w:val="22"/>
        </w:rPr>
        <w:t> </w:t>
      </w:r>
      <w:r>
        <w:rPr>
          <w:color w:val="4D4D4F"/>
          <w:spacing w:val="-3"/>
          <w:w w:val="110"/>
          <w:sz w:val="22"/>
        </w:rPr>
        <w:t>or</w:t>
      </w:r>
      <w:r>
        <w:rPr>
          <w:color w:val="4D4D4F"/>
          <w:spacing w:val="-17"/>
          <w:w w:val="110"/>
          <w:sz w:val="22"/>
        </w:rPr>
        <w:t> </w:t>
      </w:r>
      <w:r>
        <w:rPr>
          <w:color w:val="4D4D4F"/>
          <w:w w:val="110"/>
          <w:sz w:val="22"/>
        </w:rPr>
        <w:t>a</w:t>
      </w:r>
      <w:r>
        <w:rPr>
          <w:color w:val="4D4D4F"/>
          <w:spacing w:val="-17"/>
          <w:w w:val="110"/>
          <w:sz w:val="22"/>
        </w:rPr>
        <w:t> </w:t>
      </w:r>
      <w:r>
        <w:rPr>
          <w:color w:val="4D4D4F"/>
          <w:spacing w:val="-5"/>
          <w:w w:val="110"/>
          <w:sz w:val="22"/>
        </w:rPr>
        <w:t>naloxone</w:t>
      </w:r>
      <w:r>
        <w:rPr>
          <w:color w:val="4D4D4F"/>
          <w:spacing w:val="-16"/>
          <w:w w:val="110"/>
          <w:sz w:val="22"/>
        </w:rPr>
        <w:t> </w:t>
      </w:r>
      <w:r>
        <w:rPr>
          <w:color w:val="4D4D4F"/>
          <w:spacing w:val="-5"/>
          <w:w w:val="110"/>
          <w:sz w:val="22"/>
        </w:rPr>
        <w:t>kit.</w:t>
      </w:r>
    </w:p>
    <w:p>
      <w:pPr>
        <w:pStyle w:val="ListParagraph"/>
        <w:numPr>
          <w:ilvl w:val="1"/>
          <w:numId w:val="29"/>
        </w:numPr>
        <w:tabs>
          <w:tab w:pos="716" w:val="left" w:leader="none"/>
        </w:tabs>
        <w:spacing w:line="247" w:lineRule="auto" w:before="31" w:after="0"/>
        <w:ind w:left="716" w:right="169" w:hanging="270"/>
        <w:jc w:val="left"/>
        <w:rPr>
          <w:rFonts w:ascii="Arial" w:hAnsi="Arial"/>
          <w:color w:val="137692"/>
          <w:sz w:val="24"/>
        </w:rPr>
      </w:pPr>
      <w:r>
        <w:rPr>
          <w:color w:val="4D4D4F"/>
          <w:w w:val="115"/>
          <w:sz w:val="22"/>
        </w:rPr>
        <w:t>Instructions</w:t>
      </w:r>
      <w:r>
        <w:rPr>
          <w:color w:val="4D4D4F"/>
          <w:spacing w:val="-30"/>
          <w:w w:val="115"/>
          <w:sz w:val="22"/>
        </w:rPr>
        <w:t> </w:t>
      </w:r>
      <w:r>
        <w:rPr>
          <w:color w:val="4D4D4F"/>
          <w:w w:val="115"/>
          <w:sz w:val="22"/>
        </w:rPr>
        <w:t>on</w:t>
      </w:r>
      <w:r>
        <w:rPr>
          <w:color w:val="4D4D4F"/>
          <w:spacing w:val="-30"/>
          <w:w w:val="115"/>
          <w:sz w:val="22"/>
        </w:rPr>
        <w:t> </w:t>
      </w:r>
      <w:r>
        <w:rPr>
          <w:color w:val="4D4D4F"/>
          <w:w w:val="115"/>
          <w:sz w:val="22"/>
        </w:rPr>
        <w:t>recognizing</w:t>
      </w:r>
      <w:r>
        <w:rPr>
          <w:color w:val="4D4D4F"/>
          <w:spacing w:val="-29"/>
          <w:w w:val="115"/>
          <w:sz w:val="22"/>
        </w:rPr>
        <w:t> </w:t>
      </w:r>
      <w:r>
        <w:rPr>
          <w:color w:val="4D4D4F"/>
          <w:w w:val="115"/>
          <w:sz w:val="22"/>
        </w:rPr>
        <w:t>and</w:t>
      </w:r>
      <w:r>
        <w:rPr>
          <w:color w:val="4D4D4F"/>
          <w:spacing w:val="-30"/>
          <w:w w:val="115"/>
          <w:sz w:val="22"/>
        </w:rPr>
        <w:t> </w:t>
      </w:r>
      <w:r>
        <w:rPr>
          <w:color w:val="4D4D4F"/>
          <w:spacing w:val="-3"/>
          <w:w w:val="115"/>
          <w:sz w:val="22"/>
        </w:rPr>
        <w:t>responding </w:t>
      </w:r>
      <w:r>
        <w:rPr>
          <w:color w:val="4D4D4F"/>
          <w:w w:val="115"/>
          <w:sz w:val="22"/>
        </w:rPr>
        <w:t>to an</w:t>
      </w:r>
      <w:r>
        <w:rPr>
          <w:color w:val="4D4D4F"/>
          <w:spacing w:val="-21"/>
          <w:w w:val="115"/>
          <w:sz w:val="22"/>
        </w:rPr>
        <w:t> </w:t>
      </w:r>
      <w:r>
        <w:rPr>
          <w:color w:val="4D4D4F"/>
          <w:w w:val="115"/>
          <w:sz w:val="22"/>
        </w:rPr>
        <w:t>overdose.</w:t>
      </w:r>
    </w:p>
    <w:p>
      <w:pPr>
        <w:pStyle w:val="ListParagraph"/>
        <w:numPr>
          <w:ilvl w:val="1"/>
          <w:numId w:val="29"/>
        </w:numPr>
        <w:tabs>
          <w:tab w:pos="716" w:val="left" w:leader="none"/>
        </w:tabs>
        <w:spacing w:line="247" w:lineRule="auto" w:before="24" w:after="0"/>
        <w:ind w:left="716" w:right="637" w:hanging="270"/>
        <w:jc w:val="left"/>
        <w:rPr>
          <w:rFonts w:ascii="Arial" w:hAnsi="Arial"/>
          <w:color w:val="137692"/>
          <w:sz w:val="24"/>
        </w:rPr>
      </w:pPr>
      <w:r>
        <w:rPr>
          <w:color w:val="4D4D4F"/>
          <w:w w:val="110"/>
          <w:sz w:val="22"/>
        </w:rPr>
        <w:t>Information on naloxone use for</w:t>
      </w:r>
      <w:r>
        <w:rPr>
          <w:color w:val="4D4D4F"/>
          <w:spacing w:val="-20"/>
          <w:w w:val="110"/>
          <w:sz w:val="22"/>
        </w:rPr>
        <w:t> </w:t>
      </w:r>
      <w:r>
        <w:rPr>
          <w:color w:val="4D4D4F"/>
          <w:spacing w:val="-3"/>
          <w:w w:val="110"/>
          <w:sz w:val="22"/>
        </w:rPr>
        <w:t>family </w:t>
      </w:r>
      <w:r>
        <w:rPr>
          <w:color w:val="4D4D4F"/>
          <w:w w:val="110"/>
          <w:sz w:val="22"/>
        </w:rPr>
        <w:t>members and others in the patient’s recovery support</w:t>
      </w:r>
      <w:r>
        <w:rPr>
          <w:color w:val="4D4D4F"/>
          <w:spacing w:val="-17"/>
          <w:w w:val="110"/>
          <w:sz w:val="22"/>
        </w:rPr>
        <w:t> </w:t>
      </w:r>
      <w:r>
        <w:rPr>
          <w:color w:val="4D4D4F"/>
          <w:w w:val="110"/>
          <w:sz w:val="22"/>
        </w:rPr>
        <w:t>network.</w:t>
      </w:r>
    </w:p>
    <w:p>
      <w:pPr>
        <w:pStyle w:val="ListParagraph"/>
        <w:numPr>
          <w:ilvl w:val="1"/>
          <w:numId w:val="29"/>
        </w:numPr>
        <w:tabs>
          <w:tab w:pos="716" w:val="left" w:leader="none"/>
        </w:tabs>
        <w:spacing w:line="247" w:lineRule="auto" w:before="26" w:after="0"/>
        <w:ind w:left="716" w:right="194" w:hanging="270"/>
        <w:jc w:val="left"/>
        <w:rPr>
          <w:rFonts w:ascii="Arial" w:hAnsi="Arial"/>
          <w:color w:val="137692"/>
          <w:sz w:val="24"/>
        </w:rPr>
      </w:pPr>
      <w:r>
        <w:rPr>
          <w:color w:val="4D4D4F"/>
          <w:w w:val="110"/>
          <w:sz w:val="22"/>
        </w:rPr>
        <w:t>See the </w:t>
      </w:r>
      <w:r>
        <w:rPr>
          <w:rFonts w:ascii="Arial" w:hAnsi="Arial"/>
          <w:i/>
          <w:color w:val="4D4D4F"/>
          <w:w w:val="110"/>
          <w:sz w:val="22"/>
        </w:rPr>
        <w:t>SAMHSA Opioid Overdose </w:t>
      </w:r>
      <w:r>
        <w:rPr>
          <w:rFonts w:ascii="Arial" w:hAnsi="Arial"/>
          <w:i/>
          <w:color w:val="4D4D4F"/>
          <w:w w:val="110"/>
          <w:sz w:val="22"/>
        </w:rPr>
        <w:t>Prevention </w:t>
      </w:r>
      <w:r>
        <w:rPr>
          <w:rFonts w:ascii="Arial" w:hAnsi="Arial"/>
          <w:i/>
          <w:color w:val="4D4D4F"/>
          <w:spacing w:val="-4"/>
          <w:w w:val="110"/>
          <w:sz w:val="22"/>
        </w:rPr>
        <w:t>Toolkit </w:t>
      </w:r>
      <w:r>
        <w:rPr>
          <w:color w:val="4D4D4F"/>
          <w:w w:val="110"/>
          <w:sz w:val="22"/>
        </w:rPr>
        <w:t>(</w:t>
      </w:r>
      <w:r>
        <w:rPr>
          <w:color w:val="205E9F"/>
          <w:w w:val="110"/>
          <w:sz w:val="22"/>
          <w:u w:val="single" w:color="205E9F"/>
        </w:rPr>
        <w:t>https://store.samhsa. </w:t>
      </w:r>
      <w:r>
        <w:rPr>
          <w:color w:val="205E9F"/>
          <w:spacing w:val="-1"/>
          <w:w w:val="110"/>
          <w:sz w:val="22"/>
          <w:u w:val="single" w:color="205E9F"/>
        </w:rPr>
        <w:t>gov/product/Opioid-Overdose-Prevention- </w:t>
      </w:r>
      <w:r>
        <w:rPr>
          <w:color w:val="205E9F"/>
          <w:w w:val="110"/>
          <w:sz w:val="22"/>
          <w:u w:val="single" w:color="205E9F"/>
        </w:rPr>
        <w:t>Toolkit/SMA18-4742</w:t>
      </w:r>
      <w:r>
        <w:rPr>
          <w:color w:val="4D4D4F"/>
          <w:w w:val="110"/>
          <w:sz w:val="22"/>
        </w:rPr>
        <w:t>) for more</w:t>
      </w:r>
      <w:r>
        <w:rPr>
          <w:color w:val="4D4D4F"/>
          <w:spacing w:val="-21"/>
          <w:w w:val="110"/>
          <w:sz w:val="22"/>
        </w:rPr>
        <w:t> </w:t>
      </w:r>
      <w:r>
        <w:rPr>
          <w:color w:val="4D4D4F"/>
          <w:w w:val="110"/>
          <w:sz w:val="22"/>
        </w:rPr>
        <w:t>guidance.</w:t>
      </w:r>
    </w:p>
    <w:p>
      <w:pPr>
        <w:spacing w:after="0" w:line="247" w:lineRule="auto"/>
        <w:jc w:val="left"/>
        <w:rPr>
          <w:rFonts w:ascii="Arial" w:hAnsi="Arial"/>
          <w:sz w:val="24"/>
        </w:rPr>
        <w:sectPr>
          <w:type w:val="continuous"/>
          <w:pgSz w:w="12240" w:h="15840"/>
          <w:pgMar w:top="540" w:bottom="280" w:left="940" w:right="920"/>
          <w:cols w:num="2" w:equalWidth="0">
            <w:col w:w="5040" w:space="180"/>
            <w:col w:w="5160"/>
          </w:cols>
        </w:sectPr>
      </w:pPr>
    </w:p>
    <w:p>
      <w:pPr>
        <w:pStyle w:val="BodyText"/>
        <w:spacing w:before="3"/>
        <w:rPr>
          <w:sz w:val="26"/>
        </w:rPr>
      </w:pPr>
    </w:p>
    <w:p>
      <w:pPr>
        <w:spacing w:after="0"/>
        <w:rPr>
          <w:sz w:val="26"/>
        </w:rPr>
        <w:sectPr>
          <w:pgSz w:w="12240" w:h="15840"/>
          <w:pgMar w:header="576" w:footer="677" w:top="1340" w:bottom="860" w:left="940" w:right="920"/>
        </w:sectPr>
      </w:pPr>
    </w:p>
    <w:p>
      <w:pPr>
        <w:pStyle w:val="ListParagraph"/>
        <w:numPr>
          <w:ilvl w:val="1"/>
          <w:numId w:val="29"/>
        </w:numPr>
        <w:tabs>
          <w:tab w:pos="716" w:val="left" w:leader="none"/>
        </w:tabs>
        <w:spacing w:line="247" w:lineRule="auto" w:before="92" w:after="0"/>
        <w:ind w:left="716" w:right="196" w:hanging="270"/>
        <w:jc w:val="left"/>
        <w:rPr>
          <w:rFonts w:ascii="Arial" w:hAnsi="Arial"/>
          <w:color w:val="137692"/>
          <w:sz w:val="24"/>
        </w:rPr>
      </w:pPr>
      <w:r>
        <w:rPr>
          <w:color w:val="4D4D4F"/>
          <w:w w:val="110"/>
          <w:sz w:val="22"/>
        </w:rPr>
        <w:t>If patients return to opioid use, it may be appropriate</w:t>
      </w:r>
      <w:r>
        <w:rPr>
          <w:color w:val="4D4D4F"/>
          <w:spacing w:val="-12"/>
          <w:w w:val="110"/>
          <w:sz w:val="22"/>
        </w:rPr>
        <w:t> </w:t>
      </w:r>
      <w:r>
        <w:rPr>
          <w:color w:val="4D4D4F"/>
          <w:w w:val="110"/>
          <w:sz w:val="22"/>
        </w:rPr>
        <w:t>for</w:t>
      </w:r>
      <w:r>
        <w:rPr>
          <w:color w:val="4D4D4F"/>
          <w:spacing w:val="-11"/>
          <w:w w:val="110"/>
          <w:sz w:val="22"/>
        </w:rPr>
        <w:t> </w:t>
      </w:r>
      <w:r>
        <w:rPr>
          <w:color w:val="4D4D4F"/>
          <w:w w:val="110"/>
          <w:sz w:val="22"/>
        </w:rPr>
        <w:t>them</w:t>
      </w:r>
      <w:r>
        <w:rPr>
          <w:color w:val="4D4D4F"/>
          <w:spacing w:val="-11"/>
          <w:w w:val="110"/>
          <w:sz w:val="22"/>
        </w:rPr>
        <w:t> </w:t>
      </w:r>
      <w:r>
        <w:rPr>
          <w:color w:val="4D4D4F"/>
          <w:w w:val="110"/>
          <w:sz w:val="22"/>
        </w:rPr>
        <w:t>to</w:t>
      </w:r>
      <w:r>
        <w:rPr>
          <w:color w:val="4D4D4F"/>
          <w:spacing w:val="-11"/>
          <w:w w:val="110"/>
          <w:sz w:val="22"/>
        </w:rPr>
        <w:t> </w:t>
      </w:r>
      <w:r>
        <w:rPr>
          <w:color w:val="4D4D4F"/>
          <w:w w:val="110"/>
          <w:sz w:val="22"/>
        </w:rPr>
        <w:t>restart</w:t>
      </w:r>
      <w:r>
        <w:rPr>
          <w:color w:val="4D4D4F"/>
          <w:spacing w:val="-11"/>
          <w:w w:val="110"/>
          <w:sz w:val="22"/>
        </w:rPr>
        <w:t> </w:t>
      </w:r>
      <w:r>
        <w:rPr>
          <w:color w:val="4D4D4F"/>
          <w:spacing w:val="-4"/>
          <w:w w:val="110"/>
          <w:sz w:val="22"/>
        </w:rPr>
        <w:t>buprenor- </w:t>
      </w:r>
      <w:r>
        <w:rPr>
          <w:color w:val="4D4D4F"/>
          <w:w w:val="110"/>
          <w:sz w:val="22"/>
        </w:rPr>
        <w:t>phine</w:t>
      </w:r>
      <w:r>
        <w:rPr>
          <w:color w:val="4D4D4F"/>
          <w:spacing w:val="-26"/>
          <w:w w:val="110"/>
          <w:sz w:val="22"/>
        </w:rPr>
        <w:t> </w:t>
      </w:r>
      <w:r>
        <w:rPr>
          <w:color w:val="4D4D4F"/>
          <w:w w:val="110"/>
          <w:sz w:val="22"/>
        </w:rPr>
        <w:t>or</w:t>
      </w:r>
      <w:r>
        <w:rPr>
          <w:color w:val="4D4D4F"/>
          <w:spacing w:val="-25"/>
          <w:w w:val="110"/>
          <w:sz w:val="22"/>
        </w:rPr>
        <w:t> </w:t>
      </w:r>
      <w:r>
        <w:rPr>
          <w:color w:val="4D4D4F"/>
          <w:w w:val="110"/>
          <w:sz w:val="22"/>
        </w:rPr>
        <w:t>switch</w:t>
      </w:r>
      <w:r>
        <w:rPr>
          <w:color w:val="4D4D4F"/>
          <w:spacing w:val="-25"/>
          <w:w w:val="110"/>
          <w:sz w:val="22"/>
        </w:rPr>
        <w:t> </w:t>
      </w:r>
      <w:r>
        <w:rPr>
          <w:color w:val="4D4D4F"/>
          <w:w w:val="110"/>
          <w:sz w:val="22"/>
        </w:rPr>
        <w:t>to</w:t>
      </w:r>
      <w:r>
        <w:rPr>
          <w:color w:val="4D4D4F"/>
          <w:spacing w:val="-25"/>
          <w:w w:val="110"/>
          <w:sz w:val="22"/>
        </w:rPr>
        <w:t> </w:t>
      </w:r>
      <w:r>
        <w:rPr>
          <w:color w:val="4D4D4F"/>
          <w:w w:val="110"/>
          <w:sz w:val="22"/>
        </w:rPr>
        <w:t>methadone</w:t>
      </w:r>
      <w:r>
        <w:rPr>
          <w:color w:val="4D4D4F"/>
          <w:spacing w:val="-26"/>
          <w:w w:val="110"/>
          <w:sz w:val="22"/>
        </w:rPr>
        <w:t> </w:t>
      </w:r>
      <w:r>
        <w:rPr>
          <w:color w:val="4D4D4F"/>
          <w:w w:val="110"/>
          <w:sz w:val="22"/>
        </w:rPr>
        <w:t>or</w:t>
      </w:r>
      <w:r>
        <w:rPr>
          <w:color w:val="4D4D4F"/>
          <w:spacing w:val="-25"/>
          <w:w w:val="110"/>
          <w:sz w:val="22"/>
        </w:rPr>
        <w:t> </w:t>
      </w:r>
      <w:r>
        <w:rPr>
          <w:color w:val="4D4D4F"/>
          <w:spacing w:val="-3"/>
          <w:w w:val="110"/>
          <w:sz w:val="22"/>
        </w:rPr>
        <w:t>XR-NTX </w:t>
      </w:r>
      <w:r>
        <w:rPr>
          <w:color w:val="4D4D4F"/>
          <w:w w:val="110"/>
          <w:sz w:val="22"/>
        </w:rPr>
        <w:t>treatment. These options should be discussed with</w:t>
      </w:r>
      <w:r>
        <w:rPr>
          <w:color w:val="4D4D4F"/>
          <w:spacing w:val="-11"/>
          <w:w w:val="110"/>
          <w:sz w:val="22"/>
        </w:rPr>
        <w:t> </w:t>
      </w:r>
      <w:r>
        <w:rPr>
          <w:color w:val="4D4D4F"/>
          <w:w w:val="110"/>
          <w:sz w:val="22"/>
        </w:rPr>
        <w:t>them.</w:t>
      </w:r>
    </w:p>
    <w:p>
      <w:pPr>
        <w:pStyle w:val="ListParagraph"/>
        <w:numPr>
          <w:ilvl w:val="0"/>
          <w:numId w:val="29"/>
        </w:numPr>
        <w:tabs>
          <w:tab w:pos="410" w:val="left" w:leader="none"/>
        </w:tabs>
        <w:spacing w:line="264" w:lineRule="exact" w:before="178" w:after="0"/>
        <w:ind w:left="410" w:right="38" w:hanging="270"/>
        <w:jc w:val="left"/>
        <w:rPr>
          <w:rFonts w:ascii="Arial" w:hAnsi="Arial"/>
          <w:color w:val="137692"/>
          <w:sz w:val="28"/>
        </w:rPr>
      </w:pPr>
      <w:r>
        <w:rPr>
          <w:rFonts w:ascii="Calibri" w:hAnsi="Calibri"/>
          <w:b/>
          <w:color w:val="4D4D4F"/>
          <w:w w:val="110"/>
          <w:sz w:val="22"/>
        </w:rPr>
        <w:t>Have they thought about how they will </w:t>
      </w:r>
      <w:r>
        <w:rPr>
          <w:rFonts w:ascii="Calibri" w:hAnsi="Calibri"/>
          <w:b/>
          <w:color w:val="4D4D4F"/>
          <w:spacing w:val="-4"/>
          <w:w w:val="110"/>
          <w:sz w:val="22"/>
        </w:rPr>
        <w:t>feel</w:t>
      </w:r>
      <w:r>
        <w:rPr>
          <w:rFonts w:ascii="Calibri" w:hAnsi="Calibri"/>
          <w:b/>
          <w:color w:val="4D4D4F"/>
          <w:spacing w:val="46"/>
          <w:w w:val="110"/>
          <w:sz w:val="22"/>
        </w:rPr>
        <w:t> </w:t>
      </w:r>
      <w:r>
        <w:rPr>
          <w:rFonts w:ascii="Calibri" w:hAnsi="Calibri"/>
          <w:b/>
          <w:color w:val="4D4D4F"/>
          <w:w w:val="110"/>
          <w:sz w:val="22"/>
        </w:rPr>
        <w:t>if they attempt to taper off of medication but cannot do so? </w:t>
      </w:r>
      <w:r>
        <w:rPr>
          <w:color w:val="4D4D4F"/>
          <w:w w:val="110"/>
          <w:sz w:val="22"/>
        </w:rPr>
        <w:t>Convey to patients that the inability to taper is not a failure and that they should not be afraid or embarrassed to discuss stopping the</w:t>
      </w:r>
      <w:r>
        <w:rPr>
          <w:color w:val="4D4D4F"/>
          <w:spacing w:val="-11"/>
          <w:w w:val="110"/>
          <w:sz w:val="22"/>
        </w:rPr>
        <w:t> </w:t>
      </w:r>
      <w:r>
        <w:rPr>
          <w:color w:val="4D4D4F"/>
          <w:spacing w:val="-4"/>
          <w:w w:val="110"/>
          <w:sz w:val="22"/>
        </w:rPr>
        <w:t>taper.</w:t>
      </w:r>
    </w:p>
    <w:p>
      <w:pPr>
        <w:pStyle w:val="Heading7"/>
        <w:spacing w:line="235" w:lineRule="auto" w:before="186"/>
        <w:ind w:right="56"/>
      </w:pPr>
      <w:r>
        <w:rPr>
          <w:color w:val="4D4D4F"/>
          <w:w w:val="110"/>
        </w:rPr>
        <w:t>Document the discussion, patient education, and decision in the medical record.</w:t>
      </w:r>
    </w:p>
    <w:p>
      <w:pPr>
        <w:pStyle w:val="BodyText"/>
        <w:spacing w:line="247" w:lineRule="auto" w:before="178"/>
        <w:ind w:left="140" w:right="56"/>
      </w:pPr>
      <w:r>
        <w:rPr>
          <w:rFonts w:ascii="Calibri"/>
          <w:b/>
          <w:color w:val="4D4D4F"/>
          <w:spacing w:val="-4"/>
          <w:w w:val="115"/>
        </w:rPr>
        <w:t>There </w:t>
      </w:r>
      <w:r>
        <w:rPr>
          <w:rFonts w:ascii="Calibri"/>
          <w:b/>
          <w:color w:val="4D4D4F"/>
          <w:w w:val="115"/>
        </w:rPr>
        <w:t>is no </w:t>
      </w:r>
      <w:r>
        <w:rPr>
          <w:rFonts w:ascii="Calibri"/>
          <w:b/>
          <w:color w:val="4D4D4F"/>
          <w:spacing w:val="-3"/>
          <w:w w:val="115"/>
        </w:rPr>
        <w:t>ideal tapering </w:t>
      </w:r>
      <w:r>
        <w:rPr>
          <w:rFonts w:ascii="Calibri"/>
          <w:b/>
          <w:color w:val="4D4D4F"/>
          <w:spacing w:val="-4"/>
          <w:w w:val="115"/>
        </w:rPr>
        <w:t>protocol. </w:t>
      </w:r>
      <w:r>
        <w:rPr>
          <w:color w:val="4D4D4F"/>
          <w:spacing w:val="-4"/>
          <w:w w:val="115"/>
        </w:rPr>
        <w:t>Providers </w:t>
      </w:r>
      <w:r>
        <w:rPr>
          <w:color w:val="4D4D4F"/>
          <w:w w:val="115"/>
        </w:rPr>
        <w:t>and patients should understand this before beginning a </w:t>
      </w:r>
      <w:r>
        <w:rPr>
          <w:color w:val="4D4D4F"/>
          <w:spacing w:val="-4"/>
          <w:w w:val="115"/>
        </w:rPr>
        <w:t>taper. </w:t>
      </w:r>
      <w:r>
        <w:rPr>
          <w:color w:val="4D4D4F"/>
          <w:w w:val="115"/>
        </w:rPr>
        <w:t>Whether buprenorphine is </w:t>
      </w:r>
      <w:r>
        <w:rPr>
          <w:color w:val="4D4D4F"/>
          <w:spacing w:val="-3"/>
          <w:w w:val="115"/>
        </w:rPr>
        <w:t>ultimately discontinued, patients need additional </w:t>
      </w:r>
      <w:r>
        <w:rPr>
          <w:color w:val="4D4D4F"/>
          <w:w w:val="115"/>
        </w:rPr>
        <w:t>psychosocial and recovery support </w:t>
      </w:r>
      <w:r>
        <w:rPr>
          <w:color w:val="4D4D4F"/>
          <w:spacing w:val="2"/>
          <w:w w:val="115"/>
        </w:rPr>
        <w:t>during</w:t>
      </w:r>
    </w:p>
    <w:p>
      <w:pPr>
        <w:pStyle w:val="BodyText"/>
        <w:spacing w:line="247" w:lineRule="auto"/>
        <w:ind w:left="140" w:right="56"/>
      </w:pPr>
      <w:r>
        <w:rPr>
          <w:color w:val="4D4D4F"/>
          <w:w w:val="110"/>
        </w:rPr>
        <w:t>this time. Generally, taper occurs over several months to permit patients to acclimate to the lower dose and to reduce potential discomfort from opioid withdrawal and craving.</w:t>
      </w:r>
    </w:p>
    <w:p>
      <w:pPr>
        <w:pStyle w:val="Heading7"/>
        <w:spacing w:line="235" w:lineRule="auto" w:before="112"/>
        <w:ind w:right="173"/>
        <w:rPr>
          <w:sz w:val="13"/>
        </w:rPr>
      </w:pPr>
      <w:r>
        <w:rPr>
          <w:b w:val="0"/>
        </w:rPr>
        <w:br w:type="column"/>
      </w:r>
      <w:r>
        <w:rPr>
          <w:color w:val="4D4D4F"/>
          <w:w w:val="115"/>
        </w:rPr>
        <w:t>For patients who wish to discontinue buprenorphine, national and international </w:t>
      </w:r>
      <w:r>
        <w:rPr>
          <w:color w:val="4D4D4F"/>
          <w:spacing w:val="-3"/>
          <w:w w:val="115"/>
        </w:rPr>
        <w:t>guidelines </w:t>
      </w:r>
      <w:r>
        <w:rPr>
          <w:color w:val="4D4D4F"/>
          <w:spacing w:val="-4"/>
          <w:w w:val="115"/>
        </w:rPr>
        <w:t>recommend </w:t>
      </w:r>
      <w:r>
        <w:rPr>
          <w:color w:val="4D4D4F"/>
          <w:spacing w:val="-3"/>
          <w:w w:val="115"/>
        </w:rPr>
        <w:t>gradual dose </w:t>
      </w:r>
      <w:r>
        <w:rPr>
          <w:color w:val="4D4D4F"/>
          <w:spacing w:val="-4"/>
          <w:w w:val="115"/>
        </w:rPr>
        <w:t>reductions </w:t>
      </w:r>
      <w:r>
        <w:rPr>
          <w:color w:val="4D4D4F"/>
          <w:w w:val="115"/>
        </w:rPr>
        <w:t>and advice to patients that they can stop the taper at any time.</w:t>
      </w:r>
      <w:r>
        <w:rPr>
          <w:color w:val="4D4D4F"/>
          <w:w w:val="115"/>
          <w:position w:val="7"/>
          <w:sz w:val="13"/>
        </w:rPr>
        <w:t>347,348,349</w:t>
      </w:r>
    </w:p>
    <w:p>
      <w:pPr>
        <w:pStyle w:val="BodyText"/>
        <w:spacing w:line="247" w:lineRule="auto" w:before="185"/>
        <w:ind w:left="140"/>
        <w:rPr>
          <w:sz w:val="13"/>
        </w:rPr>
      </w:pPr>
      <w:r>
        <w:rPr>
          <w:color w:val="4D4D4F"/>
          <w:w w:val="115"/>
        </w:rPr>
        <w:t>Consider increased monitoring and proactive discussions about how to address and manage cravings and withdrawal symptoms. </w:t>
      </w:r>
      <w:r>
        <w:rPr>
          <w:color w:val="4D4D4F"/>
          <w:spacing w:val="-3"/>
          <w:w w:val="115"/>
        </w:rPr>
        <w:t>Taper </w:t>
      </w:r>
      <w:r>
        <w:rPr>
          <w:color w:val="4D4D4F"/>
          <w:spacing w:val="-4"/>
          <w:w w:val="115"/>
        </w:rPr>
        <w:t>protocols</w:t>
      </w:r>
      <w:r>
        <w:rPr>
          <w:color w:val="4D4D4F"/>
          <w:spacing w:val="-33"/>
          <w:w w:val="115"/>
        </w:rPr>
        <w:t> </w:t>
      </w:r>
      <w:r>
        <w:rPr>
          <w:color w:val="4D4D4F"/>
          <w:spacing w:val="-3"/>
          <w:w w:val="115"/>
        </w:rPr>
        <w:t>vary</w:t>
      </w:r>
      <w:r>
        <w:rPr>
          <w:color w:val="4D4D4F"/>
          <w:spacing w:val="-32"/>
          <w:w w:val="115"/>
        </w:rPr>
        <w:t> </w:t>
      </w:r>
      <w:r>
        <w:rPr>
          <w:color w:val="4D4D4F"/>
          <w:w w:val="115"/>
        </w:rPr>
        <w:t>in</w:t>
      </w:r>
      <w:r>
        <w:rPr>
          <w:color w:val="4D4D4F"/>
          <w:spacing w:val="-32"/>
          <w:w w:val="115"/>
        </w:rPr>
        <w:t> </w:t>
      </w:r>
      <w:r>
        <w:rPr>
          <w:color w:val="4D4D4F"/>
          <w:spacing w:val="-3"/>
          <w:w w:val="115"/>
        </w:rPr>
        <w:t>duration</w:t>
      </w:r>
      <w:r>
        <w:rPr>
          <w:color w:val="4D4D4F"/>
          <w:spacing w:val="-32"/>
          <w:w w:val="115"/>
        </w:rPr>
        <w:t> </w:t>
      </w:r>
      <w:r>
        <w:rPr>
          <w:color w:val="4D4D4F"/>
          <w:w w:val="115"/>
        </w:rPr>
        <w:t>and</w:t>
      </w:r>
      <w:r>
        <w:rPr>
          <w:color w:val="4D4D4F"/>
          <w:spacing w:val="-32"/>
          <w:w w:val="115"/>
        </w:rPr>
        <w:t> </w:t>
      </w:r>
      <w:r>
        <w:rPr>
          <w:color w:val="4D4D4F"/>
          <w:w w:val="115"/>
        </w:rPr>
        <w:t>may</w:t>
      </w:r>
      <w:r>
        <w:rPr>
          <w:color w:val="4D4D4F"/>
          <w:spacing w:val="-32"/>
          <w:w w:val="115"/>
        </w:rPr>
        <w:t> </w:t>
      </w:r>
      <w:r>
        <w:rPr>
          <w:color w:val="4D4D4F"/>
          <w:spacing w:val="-3"/>
          <w:w w:val="115"/>
        </w:rPr>
        <w:t>include</w:t>
      </w:r>
      <w:r>
        <w:rPr>
          <w:color w:val="4D4D4F"/>
          <w:spacing w:val="-32"/>
          <w:w w:val="115"/>
        </w:rPr>
        <w:t> </w:t>
      </w:r>
      <w:r>
        <w:rPr>
          <w:color w:val="4D4D4F"/>
          <w:w w:val="115"/>
        </w:rPr>
        <w:t>use</w:t>
      </w:r>
      <w:r>
        <w:rPr>
          <w:color w:val="4D4D4F"/>
          <w:spacing w:val="-32"/>
          <w:w w:val="115"/>
        </w:rPr>
        <w:t> </w:t>
      </w:r>
      <w:r>
        <w:rPr>
          <w:color w:val="4D4D4F"/>
          <w:spacing w:val="-3"/>
          <w:w w:val="115"/>
        </w:rPr>
        <w:t>of ancillary</w:t>
      </w:r>
      <w:r>
        <w:rPr>
          <w:color w:val="4D4D4F"/>
          <w:spacing w:val="-23"/>
          <w:w w:val="115"/>
        </w:rPr>
        <w:t> </w:t>
      </w:r>
      <w:r>
        <w:rPr>
          <w:color w:val="4D4D4F"/>
          <w:spacing w:val="-3"/>
          <w:w w:val="115"/>
        </w:rPr>
        <w:t>medication,</w:t>
      </w:r>
      <w:r>
        <w:rPr>
          <w:color w:val="4D4D4F"/>
          <w:spacing w:val="-23"/>
          <w:w w:val="115"/>
        </w:rPr>
        <w:t> </w:t>
      </w:r>
      <w:r>
        <w:rPr>
          <w:color w:val="4D4D4F"/>
          <w:spacing w:val="-3"/>
          <w:w w:val="115"/>
        </w:rPr>
        <w:t>such</w:t>
      </w:r>
      <w:r>
        <w:rPr>
          <w:color w:val="4D4D4F"/>
          <w:spacing w:val="-23"/>
          <w:w w:val="115"/>
        </w:rPr>
        <w:t> </w:t>
      </w:r>
      <w:r>
        <w:rPr>
          <w:color w:val="4D4D4F"/>
          <w:w w:val="115"/>
        </w:rPr>
        <w:t>as</w:t>
      </w:r>
      <w:r>
        <w:rPr>
          <w:color w:val="4D4D4F"/>
          <w:spacing w:val="-22"/>
          <w:w w:val="115"/>
        </w:rPr>
        <w:t> </w:t>
      </w:r>
      <w:r>
        <w:rPr>
          <w:color w:val="4D4D4F"/>
          <w:spacing w:val="-3"/>
          <w:w w:val="115"/>
        </w:rPr>
        <w:t>clonidine,</w:t>
      </w:r>
      <w:r>
        <w:rPr>
          <w:color w:val="4D4D4F"/>
          <w:spacing w:val="-23"/>
          <w:w w:val="115"/>
        </w:rPr>
        <w:t> </w:t>
      </w:r>
      <w:r>
        <w:rPr>
          <w:color w:val="4D4D4F"/>
          <w:w w:val="115"/>
        </w:rPr>
        <w:t>if</w:t>
      </w:r>
      <w:r>
        <w:rPr>
          <w:color w:val="4D4D4F"/>
          <w:spacing w:val="-23"/>
          <w:w w:val="115"/>
        </w:rPr>
        <w:t> </w:t>
      </w:r>
      <w:r>
        <w:rPr>
          <w:color w:val="4D4D4F"/>
          <w:spacing w:val="-3"/>
          <w:w w:val="115"/>
        </w:rPr>
        <w:t>needed </w:t>
      </w:r>
      <w:r>
        <w:rPr>
          <w:color w:val="4D4D4F"/>
          <w:w w:val="115"/>
        </w:rPr>
        <w:t>(Exhibit</w:t>
      </w:r>
      <w:r>
        <w:rPr>
          <w:color w:val="4D4D4F"/>
          <w:spacing w:val="-11"/>
          <w:w w:val="115"/>
        </w:rPr>
        <w:t> </w:t>
      </w:r>
      <w:r>
        <w:rPr>
          <w:color w:val="4D4D4F"/>
          <w:w w:val="115"/>
        </w:rPr>
        <w:t>3A.2).</w:t>
      </w:r>
      <w:r>
        <w:rPr>
          <w:color w:val="4D4D4F"/>
          <w:w w:val="115"/>
          <w:position w:val="7"/>
          <w:sz w:val="13"/>
        </w:rPr>
        <w:t>350</w:t>
      </w:r>
    </w:p>
    <w:p>
      <w:pPr>
        <w:pStyle w:val="BodyText"/>
        <w:spacing w:line="247" w:lineRule="auto" w:before="182"/>
        <w:ind w:left="140" w:right="167"/>
      </w:pPr>
      <w:r>
        <w:rPr>
          <w:rFonts w:ascii="Calibri" w:hAnsi="Calibri"/>
          <w:b/>
          <w:color w:val="4D4D4F"/>
          <w:w w:val="110"/>
        </w:rPr>
        <w:t>Continue to monitor patients who successfully taper off buprenorphine  completely.  </w:t>
      </w:r>
      <w:r>
        <w:rPr>
          <w:color w:val="4D4D4F"/>
          <w:w w:val="110"/>
        </w:rPr>
        <w:t>Establish a post-taper monitoring and support plan (see Chapter 3E for more information on medical management strategies). Continue to assess and monitor patients’ progress and how they </w:t>
      </w:r>
      <w:r>
        <w:rPr>
          <w:color w:val="4D4D4F"/>
          <w:spacing w:val="-3"/>
          <w:w w:val="110"/>
        </w:rPr>
        <w:t>cope with </w:t>
      </w:r>
      <w:r>
        <w:rPr>
          <w:color w:val="4D4D4F"/>
          <w:spacing w:val="-4"/>
          <w:w w:val="110"/>
        </w:rPr>
        <w:t>stress </w:t>
      </w:r>
      <w:r>
        <w:rPr>
          <w:color w:val="4D4D4F"/>
          <w:w w:val="110"/>
        </w:rPr>
        <w:t>and </w:t>
      </w:r>
      <w:r>
        <w:rPr>
          <w:color w:val="4D4D4F"/>
          <w:spacing w:val="-3"/>
          <w:w w:val="110"/>
        </w:rPr>
        <w:t>triggers </w:t>
      </w:r>
      <w:r>
        <w:rPr>
          <w:color w:val="4D4D4F"/>
          <w:w w:val="110"/>
        </w:rPr>
        <w:t>to </w:t>
      </w:r>
      <w:r>
        <w:rPr>
          <w:color w:val="4D4D4F"/>
          <w:spacing w:val="-3"/>
          <w:w w:val="110"/>
        </w:rPr>
        <w:t>use. Discuss </w:t>
      </w:r>
      <w:r>
        <w:rPr>
          <w:color w:val="4D4D4F"/>
          <w:w w:val="110"/>
        </w:rPr>
        <w:t>the role of XR-NTX in preventing return to opioid use after completing treatment with an opioid agonist </w:t>
      </w:r>
      <w:r>
        <w:rPr>
          <w:color w:val="4D4D4F"/>
          <w:spacing w:val="-6"/>
          <w:w w:val="110"/>
        </w:rPr>
        <w:t>(see </w:t>
      </w:r>
      <w:r>
        <w:rPr>
          <w:color w:val="4D4D4F"/>
          <w:spacing w:val="-3"/>
          <w:w w:val="110"/>
        </w:rPr>
        <w:t>Chapter</w:t>
      </w:r>
      <w:r>
        <w:rPr>
          <w:color w:val="4D4D4F"/>
          <w:spacing w:val="-22"/>
          <w:w w:val="110"/>
        </w:rPr>
        <w:t> </w:t>
      </w:r>
      <w:r>
        <w:rPr>
          <w:color w:val="4D4D4F"/>
          <w:w w:val="110"/>
        </w:rPr>
        <w:t>3C</w:t>
      </w:r>
      <w:r>
        <w:rPr>
          <w:color w:val="4D4D4F"/>
          <w:spacing w:val="-21"/>
          <w:w w:val="110"/>
        </w:rPr>
        <w:t> </w:t>
      </w:r>
      <w:r>
        <w:rPr>
          <w:color w:val="4D4D4F"/>
          <w:w w:val="110"/>
        </w:rPr>
        <w:t>for</w:t>
      </w:r>
      <w:r>
        <w:rPr>
          <w:color w:val="4D4D4F"/>
          <w:spacing w:val="-21"/>
          <w:w w:val="110"/>
        </w:rPr>
        <w:t> </w:t>
      </w:r>
      <w:r>
        <w:rPr>
          <w:color w:val="4D4D4F"/>
          <w:spacing w:val="-4"/>
          <w:w w:val="110"/>
        </w:rPr>
        <w:t>more</w:t>
      </w:r>
      <w:r>
        <w:rPr>
          <w:color w:val="4D4D4F"/>
          <w:spacing w:val="-21"/>
          <w:w w:val="110"/>
        </w:rPr>
        <w:t> </w:t>
      </w:r>
      <w:r>
        <w:rPr>
          <w:color w:val="4D4D4F"/>
          <w:spacing w:val="-3"/>
          <w:w w:val="110"/>
        </w:rPr>
        <w:t>information</w:t>
      </w:r>
      <w:r>
        <w:rPr>
          <w:color w:val="4D4D4F"/>
          <w:spacing w:val="-21"/>
          <w:w w:val="110"/>
        </w:rPr>
        <w:t> </w:t>
      </w:r>
      <w:r>
        <w:rPr>
          <w:color w:val="4D4D4F"/>
          <w:w w:val="110"/>
        </w:rPr>
        <w:t>on</w:t>
      </w:r>
      <w:r>
        <w:rPr>
          <w:color w:val="4D4D4F"/>
          <w:spacing w:val="-22"/>
          <w:w w:val="110"/>
        </w:rPr>
        <w:t> </w:t>
      </w:r>
      <w:r>
        <w:rPr>
          <w:color w:val="4D4D4F"/>
          <w:w w:val="110"/>
        </w:rPr>
        <w:t>naltrexone).</w:t>
      </w:r>
    </w:p>
    <w:p>
      <w:pPr>
        <w:spacing w:after="0" w:line="247" w:lineRule="auto"/>
        <w:sectPr>
          <w:type w:val="continuous"/>
          <w:pgSz w:w="12240" w:h="15840"/>
          <w:pgMar w:top="540" w:bottom="280" w:left="940" w:right="920"/>
          <w:cols w:num="2" w:equalWidth="0">
            <w:col w:w="4996" w:space="224"/>
            <w:col w:w="5160"/>
          </w:cols>
        </w:sectPr>
      </w:pPr>
    </w:p>
    <w:p>
      <w:pPr>
        <w:pStyle w:val="BodyText"/>
        <w:spacing w:before="5"/>
        <w:rPr>
          <w:sz w:val="26"/>
        </w:rPr>
      </w:pPr>
    </w:p>
    <w:p>
      <w:pPr>
        <w:pStyle w:val="Heading2"/>
      </w:pPr>
      <w:bookmarkStart w:name="_TOC_250037" w:id="78"/>
      <w:bookmarkEnd w:id="78"/>
      <w:r>
        <w:rPr>
          <w:color w:val="137692"/>
          <w:w w:val="110"/>
        </w:rPr>
        <w:t>Chapter 3D Appendix</w:t>
      </w:r>
    </w:p>
    <w:p>
      <w:pPr>
        <w:pStyle w:val="Heading3"/>
        <w:spacing w:before="236"/>
      </w:pPr>
      <w:r>
        <w:rPr/>
        <w:pict>
          <v:group style="position:absolute;margin-left:54pt;margin-top:32.680634pt;width:504.05pt;height:583.75pt;mso-position-horizontal-relative:page;mso-position-vertical-relative:paragraph;z-index:-15689728;mso-wrap-distance-left:0;mso-wrap-distance-right:0" coordorigin="1080,654" coordsize="10081,11675">
            <v:shape style="position:absolute;left:2143;top:1012;width:8071;height:11075" type="#_x0000_t75" stroked="false">
              <v:imagedata r:id="rId65" o:title=""/>
            </v:shape>
            <v:rect style="position:absolute;left:1085;top:658;width:10071;height:11665" filled="false" stroked="true" strokeweight=".5pt" strokecolor="#88aabd">
              <v:stroke dashstyle="solid"/>
            </v:rect>
            <w10:wrap type="topAndBottom"/>
          </v:group>
        </w:pict>
      </w:r>
      <w:bookmarkStart w:name="_TOC_250036" w:id="79"/>
      <w:bookmarkEnd w:id="79"/>
      <w:r>
        <w:rPr>
          <w:color w:val="137692"/>
          <w:w w:val="110"/>
        </w:rPr>
        <w:t>Buprenorphine Induction and Maintenance Appropriate Use Checklists</w:t>
      </w:r>
    </w:p>
    <w:p>
      <w:pPr>
        <w:spacing w:before="55"/>
        <w:ind w:left="140" w:right="0" w:firstLine="0"/>
        <w:jc w:val="left"/>
        <w:rPr>
          <w:rFonts w:ascii="Arial"/>
          <w:i/>
          <w:sz w:val="18"/>
        </w:rPr>
      </w:pPr>
      <w:r>
        <w:rPr>
          <w:rFonts w:ascii="Arial"/>
          <w:i/>
          <w:color w:val="4D4D4F"/>
          <w:w w:val="105"/>
          <w:sz w:val="18"/>
        </w:rPr>
        <w:t>Continued on next page</w:t>
      </w:r>
    </w:p>
    <w:p>
      <w:pPr>
        <w:spacing w:after="0"/>
        <w:jc w:val="left"/>
        <w:rPr>
          <w:rFonts w:ascii="Arial"/>
          <w:sz w:val="18"/>
        </w:rPr>
        <w:sectPr>
          <w:pgSz w:w="12240" w:h="15840"/>
          <w:pgMar w:header="576" w:footer="677" w:top="1340" w:bottom="860" w:left="940" w:right="920"/>
        </w:sectPr>
      </w:pPr>
    </w:p>
    <w:p>
      <w:pPr>
        <w:pStyle w:val="BodyText"/>
        <w:rPr>
          <w:rFonts w:ascii="Arial"/>
          <w:i/>
          <w:sz w:val="20"/>
        </w:rPr>
      </w:pPr>
    </w:p>
    <w:p>
      <w:pPr>
        <w:pStyle w:val="BodyText"/>
        <w:spacing w:before="7"/>
        <w:rPr>
          <w:rFonts w:ascii="Arial"/>
          <w:i/>
          <w:sz w:val="19"/>
        </w:rPr>
      </w:pPr>
    </w:p>
    <w:p>
      <w:pPr>
        <w:pStyle w:val="BodyText"/>
        <w:ind w:left="147"/>
        <w:rPr>
          <w:rFonts w:ascii="Arial"/>
          <w:sz w:val="20"/>
        </w:rPr>
      </w:pPr>
      <w:r>
        <w:rPr>
          <w:rFonts w:ascii="Arial"/>
          <w:sz w:val="20"/>
        </w:rPr>
        <w:pict>
          <v:group style="width:504.05pt;height:583.75pt;mso-position-horizontal-relative:char;mso-position-vertical-relative:line" coordorigin="0,0" coordsize="10081,11675">
            <v:shape style="position:absolute;left:1063;top:358;width:8071;height:11075" type="#_x0000_t75" stroked="false">
              <v:imagedata r:id="rId66" o:title=""/>
            </v:shape>
            <v:rect style="position:absolute;left:5;top:5;width:10071;height:11665" filled="false" stroked="true" strokeweight=".5pt" strokecolor="#88aabd">
              <v:stroke dashstyle="solid"/>
            </v:rect>
          </v:group>
        </w:pict>
      </w:r>
      <w:r>
        <w:rPr>
          <w:rFonts w:ascii="Arial"/>
          <w:sz w:val="20"/>
        </w:rPr>
      </w:r>
    </w:p>
    <w:p>
      <w:pPr>
        <w:spacing w:before="119"/>
        <w:ind w:left="140" w:right="0" w:firstLine="0"/>
        <w:jc w:val="left"/>
        <w:rPr>
          <w:sz w:val="18"/>
        </w:rPr>
      </w:pPr>
      <w:r>
        <w:rPr>
          <w:color w:val="4D4D4F"/>
          <w:w w:val="110"/>
          <w:sz w:val="18"/>
        </w:rPr>
        <w:t>Available online (</w:t>
      </w:r>
      <w:hyperlink r:id="rId67">
        <w:r>
          <w:rPr>
            <w:color w:val="205E9F"/>
            <w:w w:val="110"/>
            <w:sz w:val="18"/>
            <w:u w:val="single" w:color="205E9F"/>
          </w:rPr>
          <w:t>www.accessdata.fda.gov/drugsatfda_docs/rems/BTOD_2017-01-23_Appropriate_Use_Checklist.pdf</w:t>
        </w:r>
        <w:r>
          <w:rPr>
            <w:color w:val="4D4D4F"/>
            <w:w w:val="110"/>
            <w:sz w:val="18"/>
          </w:rPr>
          <w:t>).</w:t>
        </w:r>
      </w:hyperlink>
    </w:p>
    <w:p>
      <w:pPr>
        <w:spacing w:before="63"/>
        <w:ind w:left="140" w:right="0" w:firstLine="0"/>
        <w:jc w:val="left"/>
        <w:rPr>
          <w:rFonts w:ascii="Arial"/>
          <w:i/>
          <w:sz w:val="10"/>
        </w:rPr>
      </w:pPr>
      <w:r>
        <w:rPr>
          <w:rFonts w:ascii="Arial"/>
          <w:i/>
          <w:color w:val="414142"/>
          <w:w w:val="105"/>
          <w:sz w:val="18"/>
        </w:rPr>
        <w:t>Reprinted from material in the public domain.</w:t>
      </w:r>
      <w:r>
        <w:rPr>
          <w:rFonts w:ascii="Arial"/>
          <w:i/>
          <w:color w:val="414142"/>
          <w:w w:val="105"/>
          <w:position w:val="6"/>
          <w:sz w:val="10"/>
        </w:rPr>
        <w:t>351</w:t>
      </w:r>
    </w:p>
    <w:p>
      <w:pPr>
        <w:spacing w:after="0"/>
        <w:jc w:val="left"/>
        <w:rPr>
          <w:rFonts w:ascii="Arial"/>
          <w:sz w:val="10"/>
        </w:rPr>
        <w:sectPr>
          <w:pgSz w:w="12240" w:h="15840"/>
          <w:pgMar w:header="576" w:footer="677" w:top="1340" w:bottom="860" w:left="940" w:right="920"/>
        </w:sectPr>
      </w:pPr>
    </w:p>
    <w:p>
      <w:pPr>
        <w:pStyle w:val="BodyText"/>
        <w:spacing w:before="5"/>
        <w:rPr>
          <w:rFonts w:ascii="Arial"/>
          <w:i/>
          <w:sz w:val="27"/>
        </w:rPr>
      </w:pPr>
    </w:p>
    <w:p>
      <w:pPr>
        <w:pStyle w:val="Heading3"/>
        <w:spacing w:before="89"/>
      </w:pPr>
      <w:bookmarkStart w:name="_TOC_250035" w:id="80"/>
      <w:bookmarkEnd w:id="80"/>
      <w:r>
        <w:rPr>
          <w:color w:val="137692"/>
          <w:w w:val="110"/>
        </w:rPr>
        <w:t>Sample Goal Sheet and Coping Strategies Form</w:t>
      </w:r>
    </w:p>
    <w:p>
      <w:pPr>
        <w:pStyle w:val="BodyText"/>
        <w:spacing w:before="3"/>
        <w:rPr>
          <w:rFonts w:ascii="Calibri"/>
          <w:b/>
          <w:sz w:val="19"/>
        </w:rPr>
      </w:pPr>
    </w:p>
    <w:p>
      <w:pPr>
        <w:tabs>
          <w:tab w:pos="7203" w:val="left" w:leader="none"/>
          <w:tab w:pos="7453" w:val="left" w:leader="none"/>
          <w:tab w:pos="10216" w:val="left" w:leader="none"/>
        </w:tabs>
        <w:spacing w:before="100"/>
        <w:ind w:left="140" w:right="0" w:firstLine="0"/>
        <w:jc w:val="left"/>
        <w:rPr>
          <w:rFonts w:ascii="Calibri" w:hAnsi="Calibri"/>
          <w:b/>
          <w:sz w:val="18"/>
        </w:rPr>
      </w:pPr>
      <w:r>
        <w:rPr>
          <w:rFonts w:ascii="Calibri" w:hAnsi="Calibri"/>
          <w:b/>
          <w:color w:val="4D4D4F"/>
          <w:w w:val="115"/>
          <w:sz w:val="18"/>
        </w:rPr>
        <w:t>Patient’s</w:t>
      </w:r>
      <w:r>
        <w:rPr>
          <w:rFonts w:ascii="Calibri" w:hAnsi="Calibri"/>
          <w:b/>
          <w:color w:val="4D4D4F"/>
          <w:spacing w:val="-7"/>
          <w:w w:val="115"/>
          <w:sz w:val="18"/>
        </w:rPr>
        <w:t> </w:t>
      </w:r>
      <w:r>
        <w:rPr>
          <w:rFonts w:ascii="Calibri" w:hAnsi="Calibri"/>
          <w:b/>
          <w:color w:val="4D4D4F"/>
          <w:w w:val="115"/>
          <w:sz w:val="18"/>
        </w:rPr>
        <w:t>Name:</w:t>
      </w:r>
      <w:r>
        <w:rPr>
          <w:rFonts w:ascii="Calibri" w:hAnsi="Calibri"/>
          <w:b/>
          <w:color w:val="4D4D4F"/>
          <w:w w:val="115"/>
          <w:sz w:val="18"/>
          <w:u w:val="single" w:color="7F8184"/>
        </w:rPr>
        <w:t> </w:t>
        <w:tab/>
      </w:r>
      <w:r>
        <w:rPr>
          <w:rFonts w:ascii="Calibri" w:hAnsi="Calibri"/>
          <w:b/>
          <w:color w:val="4D4D4F"/>
          <w:w w:val="115"/>
          <w:sz w:val="18"/>
        </w:rPr>
        <w:tab/>
        <w:t>Date:</w:t>
      </w:r>
      <w:r>
        <w:rPr>
          <w:rFonts w:ascii="Calibri" w:hAnsi="Calibri"/>
          <w:b/>
          <w:color w:val="4D4D4F"/>
          <w:spacing w:val="9"/>
          <w:sz w:val="18"/>
        </w:rPr>
        <w:t> </w:t>
      </w:r>
      <w:r>
        <w:rPr>
          <w:rFonts w:ascii="Calibri" w:hAnsi="Calibri"/>
          <w:b/>
          <w:color w:val="4D4D4F"/>
          <w:w w:val="130"/>
          <w:sz w:val="18"/>
          <w:u w:val="single" w:color="7F8184"/>
        </w:rPr>
        <w:t> </w:t>
      </w:r>
      <w:r>
        <w:rPr>
          <w:rFonts w:ascii="Calibri" w:hAnsi="Calibri"/>
          <w:b/>
          <w:color w:val="4D4D4F"/>
          <w:sz w:val="18"/>
          <w:u w:val="single" w:color="7F8184"/>
        </w:rPr>
        <w:tab/>
      </w:r>
    </w:p>
    <w:p>
      <w:pPr>
        <w:pStyle w:val="BodyText"/>
        <w:rPr>
          <w:rFonts w:ascii="Calibri"/>
          <w:b/>
          <w:sz w:val="20"/>
        </w:rPr>
      </w:pPr>
    </w:p>
    <w:p>
      <w:pPr>
        <w:pStyle w:val="BodyText"/>
        <w:spacing w:before="3"/>
        <w:rPr>
          <w:rFonts w:ascii="Calibri"/>
          <w:b/>
        </w:rPr>
      </w:pPr>
    </w:p>
    <w:p>
      <w:pPr>
        <w:tabs>
          <w:tab w:pos="1605" w:val="left" w:leader="none"/>
        </w:tabs>
        <w:spacing w:line="245" w:lineRule="exact" w:before="0"/>
        <w:ind w:left="280" w:right="0" w:firstLine="0"/>
        <w:jc w:val="left"/>
        <w:rPr>
          <w:rFonts w:ascii="Calibri"/>
          <w:b/>
          <w:sz w:val="18"/>
        </w:rPr>
      </w:pPr>
      <w:r>
        <w:rPr/>
        <w:pict>
          <v:line style="position:absolute;mso-position-horizontal-relative:page;mso-position-vertical-relative:paragraph;z-index:15779328" from="137.119995pt,10.022113pt" to="554.000995pt,10.022113pt" stroked="true" strokeweight=".25pt" strokecolor="#808285">
            <v:stroke dashstyle="solid"/>
            <w10:wrap type="none"/>
          </v:line>
        </w:pict>
      </w:r>
      <w:r>
        <w:rPr>
          <w:rFonts w:ascii="Calibri"/>
          <w:b/>
          <w:color w:val="137692"/>
          <w:w w:val="115"/>
          <w:position w:val="1"/>
          <w:sz w:val="20"/>
        </w:rPr>
        <w:t>3-MONTH</w:t>
        <w:tab/>
      </w:r>
      <w:r>
        <w:rPr>
          <w:rFonts w:ascii="Calibri"/>
          <w:b/>
          <w:color w:val="4D4D4F"/>
          <w:w w:val="115"/>
          <w:sz w:val="18"/>
        </w:rPr>
        <w:t>1</w:t>
      </w:r>
    </w:p>
    <w:p>
      <w:pPr>
        <w:spacing w:line="240" w:lineRule="exact" w:before="0"/>
        <w:ind w:left="280" w:right="0" w:firstLine="0"/>
        <w:jc w:val="left"/>
        <w:rPr>
          <w:rFonts w:ascii="Calibri"/>
          <w:b/>
          <w:sz w:val="20"/>
        </w:rPr>
      </w:pPr>
      <w:r>
        <w:rPr/>
        <w:pict>
          <v:shape style="position:absolute;margin-left:137.119995pt;margin-top:15.772906pt;width:416.9pt;height:.1pt;mso-position-horizontal-relative:page;mso-position-vertical-relative:paragraph;z-index:-15688704;mso-wrap-distance-left:0;mso-wrap-distance-right:0" coordorigin="2742,315" coordsize="8338,0" path="m2742,315l11080,315e" filled="false" stroked="true" strokeweight=".25pt" strokecolor="#808285">
            <v:path arrowok="t"/>
            <v:stroke dashstyle="solid"/>
            <w10:wrap type="topAndBottom"/>
          </v:shape>
        </w:pict>
      </w:r>
      <w:r>
        <w:rPr/>
        <w:pict>
          <v:line style="position:absolute;mso-position-horizontal-relative:page;mso-position-vertical-relative:paragraph;z-index:15778304" from="137.119995pt,69.772903pt" to="554.000995pt,69.772903pt" stroked="true" strokeweight=".25pt" strokecolor="#808285">
            <v:stroke dashstyle="solid"/>
            <w10:wrap type="none"/>
          </v:line>
        </w:pict>
      </w:r>
      <w:r>
        <w:rPr/>
        <w:pict>
          <v:line style="position:absolute;mso-position-horizontal-relative:page;mso-position-vertical-relative:paragraph;z-index:15778816" from="137.119995pt,33.772907pt" to="554.000995pt,33.772907pt" stroked="true" strokeweight=".25pt" strokecolor="#808285">
            <v:stroke dashstyle="solid"/>
            <w10:wrap type="none"/>
          </v:line>
        </w:pict>
      </w:r>
      <w:r>
        <w:rPr>
          <w:rFonts w:ascii="Calibri"/>
          <w:b/>
          <w:color w:val="137692"/>
          <w:w w:val="125"/>
          <w:sz w:val="20"/>
        </w:rPr>
        <w:t>GOALS</w:t>
      </w:r>
    </w:p>
    <w:p>
      <w:pPr>
        <w:spacing w:before="156"/>
        <w:ind w:left="1605" w:right="0" w:firstLine="0"/>
        <w:jc w:val="left"/>
        <w:rPr>
          <w:rFonts w:ascii="Calibri"/>
          <w:b/>
          <w:sz w:val="18"/>
        </w:rPr>
      </w:pPr>
      <w:r>
        <w:rPr>
          <w:rFonts w:ascii="Calibri"/>
          <w:b/>
          <w:color w:val="4D4D4F"/>
          <w:w w:val="116"/>
          <w:sz w:val="18"/>
        </w:rPr>
        <w:t>2</w:t>
      </w:r>
    </w:p>
    <w:p>
      <w:pPr>
        <w:pStyle w:val="BodyText"/>
        <w:spacing w:before="1"/>
        <w:rPr>
          <w:rFonts w:ascii="Calibri"/>
          <w:b/>
        </w:rPr>
      </w:pPr>
      <w:r>
        <w:rPr/>
        <w:pict>
          <v:shape style="position:absolute;margin-left:137.119995pt;margin-top:15.613672pt;width:416.9pt;height:.1pt;mso-position-horizontal-relative:page;mso-position-vertical-relative:paragraph;z-index:-15688192;mso-wrap-distance-left:0;mso-wrap-distance-right:0" coordorigin="2742,312" coordsize="8338,0" path="m2742,312l11080,312e" filled="false" stroked="true" strokeweight=".25pt" strokecolor="#808285">
            <v:path arrowok="t"/>
            <v:stroke dashstyle="solid"/>
            <w10:wrap type="topAndBottom"/>
          </v:shape>
        </w:pict>
      </w:r>
    </w:p>
    <w:p>
      <w:pPr>
        <w:spacing w:before="156"/>
        <w:ind w:left="1605" w:right="0" w:firstLine="0"/>
        <w:jc w:val="left"/>
        <w:rPr>
          <w:rFonts w:ascii="Calibri"/>
          <w:b/>
          <w:sz w:val="18"/>
        </w:rPr>
      </w:pPr>
      <w:r>
        <w:rPr>
          <w:rFonts w:ascii="Calibri"/>
          <w:b/>
          <w:color w:val="4D4D4F"/>
          <w:w w:val="116"/>
          <w:sz w:val="18"/>
        </w:rPr>
        <w:t>3</w:t>
      </w:r>
    </w:p>
    <w:p>
      <w:pPr>
        <w:pStyle w:val="BodyText"/>
        <w:spacing w:before="1"/>
        <w:rPr>
          <w:rFonts w:ascii="Calibri"/>
          <w:b/>
        </w:rPr>
      </w:pPr>
      <w:r>
        <w:rPr/>
        <w:pict>
          <v:shape style="position:absolute;margin-left:137.119995pt;margin-top:15.613672pt;width:416.9pt;height:.1pt;mso-position-horizontal-relative:page;mso-position-vertical-relative:paragraph;z-index:-15687680;mso-wrap-distance-left:0;mso-wrap-distance-right:0" coordorigin="2742,312" coordsize="8338,0" path="m2742,312l11080,312e" filled="false" stroked="true" strokeweight=".25pt" strokecolor="#808285">
            <v:path arrowok="t"/>
            <v:stroke dashstyle="solid"/>
            <w10:wrap type="topAndBottom"/>
          </v:shape>
        </w:pict>
      </w:r>
    </w:p>
    <w:p>
      <w:pPr>
        <w:pStyle w:val="BodyText"/>
        <w:spacing w:before="11"/>
        <w:rPr>
          <w:rFonts w:ascii="Calibri"/>
          <w:b/>
          <w:sz w:val="26"/>
        </w:rPr>
      </w:pPr>
    </w:p>
    <w:p>
      <w:pPr>
        <w:tabs>
          <w:tab w:pos="1605" w:val="left" w:leader="none"/>
        </w:tabs>
        <w:spacing w:line="245" w:lineRule="exact" w:before="99"/>
        <w:ind w:left="280" w:right="0" w:firstLine="0"/>
        <w:jc w:val="left"/>
        <w:rPr>
          <w:rFonts w:ascii="Calibri"/>
          <w:b/>
          <w:sz w:val="18"/>
        </w:rPr>
      </w:pPr>
      <w:r>
        <w:rPr/>
        <w:pict>
          <v:line style="position:absolute;mso-position-horizontal-relative:page;mso-position-vertical-relative:paragraph;z-index:15777792" from="137.119995pt,14.971869pt" to="554.000995pt,14.971869pt" stroked="true" strokeweight=".25pt" strokecolor="#808285">
            <v:stroke dashstyle="solid"/>
            <w10:wrap type="none"/>
          </v:line>
        </w:pict>
      </w:r>
      <w:r>
        <w:rPr>
          <w:rFonts w:ascii="Calibri"/>
          <w:b/>
          <w:color w:val="137692"/>
          <w:w w:val="115"/>
          <w:position w:val="1"/>
          <w:sz w:val="20"/>
        </w:rPr>
        <w:t>6-MONTH</w:t>
        <w:tab/>
      </w:r>
      <w:r>
        <w:rPr>
          <w:rFonts w:ascii="Calibri"/>
          <w:b/>
          <w:color w:val="4D4D4F"/>
          <w:w w:val="115"/>
          <w:sz w:val="18"/>
        </w:rPr>
        <w:t>1</w:t>
      </w:r>
    </w:p>
    <w:p>
      <w:pPr>
        <w:spacing w:line="240" w:lineRule="exact" w:before="0"/>
        <w:ind w:left="280" w:right="0" w:firstLine="0"/>
        <w:jc w:val="left"/>
        <w:rPr>
          <w:rFonts w:ascii="Calibri"/>
          <w:b/>
          <w:sz w:val="20"/>
        </w:rPr>
      </w:pPr>
      <w:r>
        <w:rPr/>
        <w:pict>
          <v:shape style="position:absolute;margin-left:137.119995pt;margin-top:15.772632pt;width:416.9pt;height:.1pt;mso-position-horizontal-relative:page;mso-position-vertical-relative:paragraph;z-index:-15687168;mso-wrap-distance-left:0;mso-wrap-distance-right:0" coordorigin="2742,315" coordsize="8338,0" path="m2742,315l11080,315e" filled="false" stroked="true" strokeweight=".25pt" strokecolor="#808285">
            <v:path arrowok="t"/>
            <v:stroke dashstyle="solid"/>
            <w10:wrap type="topAndBottom"/>
          </v:shape>
        </w:pict>
      </w:r>
      <w:r>
        <w:rPr/>
        <w:pict>
          <v:line style="position:absolute;mso-position-horizontal-relative:page;mso-position-vertical-relative:paragraph;z-index:15776768" from="137.119995pt,69.772629pt" to="554.000995pt,69.772629pt" stroked="true" strokeweight=".25pt" strokecolor="#808285">
            <v:stroke dashstyle="solid"/>
            <w10:wrap type="none"/>
          </v:line>
        </w:pict>
      </w:r>
      <w:r>
        <w:rPr/>
        <w:pict>
          <v:line style="position:absolute;mso-position-horizontal-relative:page;mso-position-vertical-relative:paragraph;z-index:15777280" from="137.119995pt,33.772633pt" to="554.000995pt,33.772633pt" stroked="true" strokeweight=".25pt" strokecolor="#808285">
            <v:stroke dashstyle="solid"/>
            <w10:wrap type="none"/>
          </v:line>
        </w:pict>
      </w:r>
      <w:r>
        <w:rPr>
          <w:rFonts w:ascii="Calibri"/>
          <w:b/>
          <w:color w:val="137692"/>
          <w:w w:val="125"/>
          <w:sz w:val="20"/>
        </w:rPr>
        <w:t>GOALS</w:t>
      </w:r>
    </w:p>
    <w:p>
      <w:pPr>
        <w:spacing w:before="156"/>
        <w:ind w:left="1605" w:right="0" w:firstLine="0"/>
        <w:jc w:val="left"/>
        <w:rPr>
          <w:rFonts w:ascii="Calibri"/>
          <w:b/>
          <w:sz w:val="18"/>
        </w:rPr>
      </w:pPr>
      <w:r>
        <w:rPr>
          <w:rFonts w:ascii="Calibri"/>
          <w:b/>
          <w:color w:val="4D4D4F"/>
          <w:w w:val="116"/>
          <w:sz w:val="18"/>
        </w:rPr>
        <w:t>2</w:t>
      </w:r>
    </w:p>
    <w:p>
      <w:pPr>
        <w:pStyle w:val="BodyText"/>
        <w:spacing w:before="1"/>
        <w:rPr>
          <w:rFonts w:ascii="Calibri"/>
          <w:b/>
        </w:rPr>
      </w:pPr>
      <w:r>
        <w:rPr/>
        <w:pict>
          <v:shape style="position:absolute;margin-left:137.119995pt;margin-top:15.613672pt;width:416.9pt;height:.1pt;mso-position-horizontal-relative:page;mso-position-vertical-relative:paragraph;z-index:-15686656;mso-wrap-distance-left:0;mso-wrap-distance-right:0" coordorigin="2742,312" coordsize="8338,0" path="m2742,312l11080,312e" filled="false" stroked="true" strokeweight=".25pt" strokecolor="#808285">
            <v:path arrowok="t"/>
            <v:stroke dashstyle="solid"/>
            <w10:wrap type="topAndBottom"/>
          </v:shape>
        </w:pict>
      </w:r>
    </w:p>
    <w:p>
      <w:pPr>
        <w:spacing w:before="156"/>
        <w:ind w:left="1605" w:right="0" w:firstLine="0"/>
        <w:jc w:val="left"/>
        <w:rPr>
          <w:rFonts w:ascii="Calibri"/>
          <w:b/>
          <w:sz w:val="18"/>
        </w:rPr>
      </w:pPr>
      <w:r>
        <w:rPr>
          <w:rFonts w:ascii="Calibri"/>
          <w:b/>
          <w:color w:val="4D4D4F"/>
          <w:w w:val="116"/>
          <w:sz w:val="18"/>
        </w:rPr>
        <w:t>3</w:t>
      </w:r>
    </w:p>
    <w:p>
      <w:pPr>
        <w:pStyle w:val="BodyText"/>
        <w:spacing w:before="1"/>
        <w:rPr>
          <w:rFonts w:ascii="Calibri"/>
          <w:b/>
        </w:rPr>
      </w:pPr>
      <w:r>
        <w:rPr/>
        <w:pict>
          <v:shape style="position:absolute;margin-left:137.119995pt;margin-top:15.613672pt;width:416.9pt;height:.1pt;mso-position-horizontal-relative:page;mso-position-vertical-relative:paragraph;z-index:-15686144;mso-wrap-distance-left:0;mso-wrap-distance-right:0" coordorigin="2742,312" coordsize="8338,0" path="m2742,312l11080,312e" filled="false" stroked="true" strokeweight=".25pt" strokecolor="#808285">
            <v:path arrowok="t"/>
            <v:stroke dashstyle="solid"/>
            <w10:wrap type="topAndBottom"/>
          </v:shape>
        </w:pict>
      </w:r>
    </w:p>
    <w:p>
      <w:pPr>
        <w:pStyle w:val="BodyText"/>
        <w:spacing w:before="3"/>
        <w:rPr>
          <w:rFonts w:ascii="Calibri"/>
          <w:b/>
          <w:sz w:val="25"/>
        </w:rPr>
      </w:pPr>
    </w:p>
    <w:p>
      <w:pPr>
        <w:tabs>
          <w:tab w:pos="1712" w:val="right" w:leader="none"/>
        </w:tabs>
        <w:spacing w:line="242" w:lineRule="exact" w:before="100"/>
        <w:ind w:left="280" w:right="0" w:firstLine="0"/>
        <w:jc w:val="left"/>
        <w:rPr>
          <w:rFonts w:ascii="Calibri"/>
          <w:b/>
          <w:sz w:val="18"/>
        </w:rPr>
      </w:pPr>
      <w:r>
        <w:rPr/>
        <w:pict>
          <v:line style="position:absolute;mso-position-horizontal-relative:page;mso-position-vertical-relative:paragraph;z-index:15776256" from="137.119995pt,13.961688pt" to="554.000995pt,13.961688pt" stroked="true" strokeweight=".25pt" strokecolor="#808285">
            <v:stroke dashstyle="solid"/>
            <w10:wrap type="none"/>
          </v:line>
        </w:pict>
      </w:r>
      <w:r>
        <w:rPr>
          <w:rFonts w:ascii="Calibri"/>
          <w:b/>
          <w:color w:val="137692"/>
          <w:w w:val="115"/>
          <w:sz w:val="20"/>
        </w:rPr>
        <w:t>1-YEAR</w:t>
        <w:tab/>
      </w:r>
      <w:r>
        <w:rPr>
          <w:rFonts w:ascii="Calibri"/>
          <w:b/>
          <w:color w:val="4D4D4F"/>
          <w:w w:val="115"/>
          <w:position w:val="1"/>
          <w:sz w:val="18"/>
        </w:rPr>
        <w:t>1</w:t>
      </w:r>
    </w:p>
    <w:p>
      <w:pPr>
        <w:spacing w:line="242" w:lineRule="exact" w:before="0"/>
        <w:ind w:left="280" w:right="0" w:firstLine="0"/>
        <w:jc w:val="left"/>
        <w:rPr>
          <w:rFonts w:ascii="Calibri"/>
          <w:b/>
          <w:sz w:val="20"/>
        </w:rPr>
      </w:pPr>
      <w:r>
        <w:rPr/>
        <w:pict>
          <v:shape style="position:absolute;margin-left:137.119995pt;margin-top:14.858172pt;width:416.9pt;height:.1pt;mso-position-horizontal-relative:page;mso-position-vertical-relative:paragraph;z-index:-15685632;mso-wrap-distance-left:0;mso-wrap-distance-right:0" coordorigin="2742,297" coordsize="8338,0" path="m2742,297l11080,297e" filled="false" stroked="true" strokeweight=".25pt" strokecolor="#808285">
            <v:path arrowok="t"/>
            <v:stroke dashstyle="solid"/>
            <w10:wrap type="topAndBottom"/>
          </v:shape>
        </w:pict>
      </w:r>
      <w:r>
        <w:rPr/>
        <w:pict>
          <v:line style="position:absolute;mso-position-horizontal-relative:page;mso-position-vertical-relative:paragraph;z-index:15775232" from="137.119995pt,68.85817pt" to="554.000995pt,68.85817pt" stroked="true" strokeweight=".25pt" strokecolor="#808285">
            <v:stroke dashstyle="solid"/>
            <w10:wrap type="none"/>
          </v:line>
        </w:pict>
      </w:r>
      <w:r>
        <w:rPr/>
        <w:pict>
          <v:line style="position:absolute;mso-position-horizontal-relative:page;mso-position-vertical-relative:paragraph;z-index:15775744" from="137.119995pt,32.858173pt" to="554.000995pt,32.858173pt" stroked="true" strokeweight=".25pt" strokecolor="#808285">
            <v:stroke dashstyle="solid"/>
            <w10:wrap type="none"/>
          </v:line>
        </w:pict>
      </w:r>
      <w:r>
        <w:rPr>
          <w:rFonts w:ascii="Calibri"/>
          <w:b/>
          <w:color w:val="137692"/>
          <w:w w:val="125"/>
          <w:sz w:val="20"/>
        </w:rPr>
        <w:t>GOALS</w:t>
      </w:r>
    </w:p>
    <w:p>
      <w:pPr>
        <w:spacing w:before="156"/>
        <w:ind w:left="1605" w:right="0" w:firstLine="0"/>
        <w:jc w:val="left"/>
        <w:rPr>
          <w:rFonts w:ascii="Calibri"/>
          <w:b/>
          <w:sz w:val="18"/>
        </w:rPr>
      </w:pPr>
      <w:r>
        <w:rPr>
          <w:rFonts w:ascii="Calibri"/>
          <w:b/>
          <w:color w:val="4D4D4F"/>
          <w:w w:val="116"/>
          <w:sz w:val="18"/>
        </w:rPr>
        <w:t>2</w:t>
      </w:r>
    </w:p>
    <w:p>
      <w:pPr>
        <w:pStyle w:val="BodyText"/>
        <w:spacing w:before="1"/>
        <w:rPr>
          <w:rFonts w:ascii="Calibri"/>
          <w:b/>
        </w:rPr>
      </w:pPr>
      <w:r>
        <w:rPr/>
        <w:pict>
          <v:shape style="position:absolute;margin-left:137.119995pt;margin-top:15.613672pt;width:416.9pt;height:.1pt;mso-position-horizontal-relative:page;mso-position-vertical-relative:paragraph;z-index:-15685120;mso-wrap-distance-left:0;mso-wrap-distance-right:0" coordorigin="2742,312" coordsize="8338,0" path="m2742,312l11080,312e" filled="false" stroked="true" strokeweight=".25pt" strokecolor="#808285">
            <v:path arrowok="t"/>
            <v:stroke dashstyle="solid"/>
            <w10:wrap type="topAndBottom"/>
          </v:shape>
        </w:pict>
      </w:r>
    </w:p>
    <w:p>
      <w:pPr>
        <w:spacing w:before="156"/>
        <w:ind w:left="1605" w:right="0" w:firstLine="0"/>
        <w:jc w:val="left"/>
        <w:rPr>
          <w:rFonts w:ascii="Calibri"/>
          <w:b/>
          <w:sz w:val="18"/>
        </w:rPr>
      </w:pPr>
      <w:r>
        <w:rPr>
          <w:rFonts w:ascii="Calibri"/>
          <w:b/>
          <w:color w:val="4D4D4F"/>
          <w:w w:val="116"/>
          <w:sz w:val="18"/>
        </w:rPr>
        <w:t>3</w:t>
      </w:r>
    </w:p>
    <w:p>
      <w:pPr>
        <w:pStyle w:val="BodyText"/>
        <w:spacing w:before="1"/>
        <w:rPr>
          <w:rFonts w:ascii="Calibri"/>
          <w:b/>
        </w:rPr>
      </w:pPr>
      <w:r>
        <w:rPr/>
        <w:pict>
          <v:shape style="position:absolute;margin-left:137.119995pt;margin-top:15.613672pt;width:416.9pt;height:.1pt;mso-position-horizontal-relative:page;mso-position-vertical-relative:paragraph;z-index:-15684608;mso-wrap-distance-left:0;mso-wrap-distance-right:0" coordorigin="2742,312" coordsize="8338,0" path="m2742,312l11080,312e" filled="false" stroked="true" strokeweight=".25pt" strokecolor="#808285">
            <v:path arrowok="t"/>
            <v:stroke dashstyle="solid"/>
            <w10:wrap type="topAndBottom"/>
          </v:shape>
        </w:pict>
      </w:r>
    </w:p>
    <w:p>
      <w:pPr>
        <w:pStyle w:val="BodyText"/>
        <w:rPr>
          <w:rFonts w:ascii="Calibri"/>
          <w:b/>
          <w:sz w:val="20"/>
        </w:rPr>
      </w:pPr>
    </w:p>
    <w:p>
      <w:pPr>
        <w:pStyle w:val="BodyText"/>
        <w:rPr>
          <w:rFonts w:ascii="Calibri"/>
          <w:b/>
          <w:sz w:val="20"/>
        </w:rPr>
      </w:pPr>
    </w:p>
    <w:p>
      <w:pPr>
        <w:pStyle w:val="BodyText"/>
        <w:spacing w:before="10"/>
        <w:rPr>
          <w:rFonts w:ascii="Calibri"/>
          <w:b/>
          <w:sz w:val="24"/>
        </w:rPr>
      </w:pPr>
      <w:r>
        <w:rPr/>
        <w:pict>
          <v:shape style="position:absolute;margin-left:54pt;margin-top:17.271938pt;width:504.05pt;height:.1pt;mso-position-horizontal-relative:page;mso-position-vertical-relative:paragraph;z-index:-15684096;mso-wrap-distance-left:0;mso-wrap-distance-right:0" coordorigin="1080,345" coordsize="10081,0" path="m1080,345l11160,345e" filled="false" stroked="true" strokeweight=".25pt" strokecolor="#808285">
            <v:path arrowok="t"/>
            <v:stroke dashstyle="solid"/>
            <w10:wrap type="topAndBottom"/>
          </v:shape>
        </w:pict>
      </w:r>
    </w:p>
    <w:p>
      <w:pPr>
        <w:spacing w:before="22"/>
        <w:ind w:left="140" w:right="0" w:firstLine="0"/>
        <w:jc w:val="left"/>
        <w:rPr>
          <w:rFonts w:ascii="Calibri"/>
          <w:b/>
          <w:sz w:val="18"/>
        </w:rPr>
      </w:pPr>
      <w:r>
        <w:rPr>
          <w:rFonts w:ascii="Calibri"/>
          <w:b/>
          <w:color w:val="4D4D4F"/>
          <w:w w:val="115"/>
          <w:sz w:val="18"/>
        </w:rPr>
        <w:t>List of Triggers to Using Drugs</w:t>
      </w:r>
    </w:p>
    <w:p>
      <w:pPr>
        <w:pStyle w:val="BodyText"/>
        <w:rPr>
          <w:rFonts w:ascii="Calibri"/>
          <w:b/>
          <w:sz w:val="20"/>
        </w:rPr>
      </w:pPr>
    </w:p>
    <w:p>
      <w:pPr>
        <w:pStyle w:val="BodyText"/>
        <w:rPr>
          <w:rFonts w:ascii="Calibri"/>
          <w:b/>
          <w:sz w:val="20"/>
        </w:rPr>
      </w:pPr>
    </w:p>
    <w:p>
      <w:pPr>
        <w:pStyle w:val="BodyText"/>
        <w:spacing w:before="9"/>
        <w:rPr>
          <w:rFonts w:ascii="Calibri"/>
          <w:b/>
          <w:sz w:val="10"/>
        </w:rPr>
      </w:pPr>
      <w:r>
        <w:rPr/>
        <w:pict>
          <v:shape style="position:absolute;margin-left:54pt;margin-top:8.69961pt;width:504.05pt;height:.1pt;mso-position-horizontal-relative:page;mso-position-vertical-relative:paragraph;z-index:-15683584;mso-wrap-distance-left:0;mso-wrap-distance-right:0" coordorigin="1080,174" coordsize="10081,0" path="m1080,174l11160,174e" filled="false" stroked="true" strokeweight=".25pt" strokecolor="#808285">
            <v:path arrowok="t"/>
            <v:stroke dashstyle="solid"/>
            <w10:wrap type="topAndBottom"/>
          </v:shape>
        </w:pict>
      </w:r>
    </w:p>
    <w:p>
      <w:pPr>
        <w:spacing w:before="22"/>
        <w:ind w:left="140" w:right="0" w:firstLine="0"/>
        <w:jc w:val="left"/>
        <w:rPr>
          <w:rFonts w:ascii="Calibri"/>
          <w:b/>
          <w:sz w:val="18"/>
        </w:rPr>
      </w:pPr>
      <w:r>
        <w:rPr>
          <w:rFonts w:ascii="Calibri"/>
          <w:b/>
          <w:color w:val="4D4D4F"/>
          <w:w w:val="115"/>
          <w:sz w:val="18"/>
        </w:rPr>
        <w:t>People To Stay Away From</w:t>
      </w:r>
    </w:p>
    <w:p>
      <w:pPr>
        <w:pStyle w:val="BodyText"/>
        <w:rPr>
          <w:rFonts w:ascii="Calibri"/>
          <w:b/>
          <w:sz w:val="20"/>
        </w:rPr>
      </w:pPr>
    </w:p>
    <w:p>
      <w:pPr>
        <w:pStyle w:val="BodyText"/>
        <w:rPr>
          <w:rFonts w:ascii="Calibri"/>
          <w:b/>
          <w:sz w:val="20"/>
        </w:rPr>
      </w:pPr>
    </w:p>
    <w:p>
      <w:pPr>
        <w:pStyle w:val="BodyText"/>
        <w:spacing w:before="9"/>
        <w:rPr>
          <w:rFonts w:ascii="Calibri"/>
          <w:b/>
          <w:sz w:val="10"/>
        </w:rPr>
      </w:pPr>
      <w:r>
        <w:rPr/>
        <w:pict>
          <v:shape style="position:absolute;margin-left:54pt;margin-top:8.69961pt;width:504.05pt;height:.1pt;mso-position-horizontal-relative:page;mso-position-vertical-relative:paragraph;z-index:-15683072;mso-wrap-distance-left:0;mso-wrap-distance-right:0" coordorigin="1080,174" coordsize="10081,0" path="m1080,174l11160,174e" filled="false" stroked="true" strokeweight=".25pt" strokecolor="#808285">
            <v:path arrowok="t"/>
            <v:stroke dashstyle="solid"/>
            <w10:wrap type="topAndBottom"/>
          </v:shape>
        </w:pict>
      </w:r>
    </w:p>
    <w:p>
      <w:pPr>
        <w:spacing w:before="22"/>
        <w:ind w:left="140" w:right="0" w:firstLine="0"/>
        <w:jc w:val="left"/>
        <w:rPr>
          <w:rFonts w:ascii="Calibri"/>
          <w:b/>
          <w:sz w:val="18"/>
        </w:rPr>
      </w:pPr>
      <w:r>
        <w:rPr>
          <w:rFonts w:ascii="Calibri"/>
          <w:b/>
          <w:color w:val="4D4D4F"/>
          <w:w w:val="115"/>
          <w:sz w:val="18"/>
        </w:rPr>
        <w:t>Places To Stay Away From</w:t>
      </w:r>
    </w:p>
    <w:p>
      <w:pPr>
        <w:pStyle w:val="BodyText"/>
        <w:rPr>
          <w:rFonts w:ascii="Calibri"/>
          <w:b/>
          <w:sz w:val="20"/>
        </w:rPr>
      </w:pPr>
    </w:p>
    <w:p>
      <w:pPr>
        <w:pStyle w:val="BodyText"/>
        <w:rPr>
          <w:rFonts w:ascii="Calibri"/>
          <w:b/>
          <w:sz w:val="20"/>
        </w:rPr>
      </w:pPr>
    </w:p>
    <w:p>
      <w:pPr>
        <w:pStyle w:val="BodyText"/>
        <w:spacing w:before="9"/>
        <w:rPr>
          <w:rFonts w:ascii="Calibri"/>
          <w:b/>
          <w:sz w:val="10"/>
        </w:rPr>
      </w:pPr>
      <w:r>
        <w:rPr/>
        <w:pict>
          <v:shape style="position:absolute;margin-left:54pt;margin-top:8.69961pt;width:504.05pt;height:.1pt;mso-position-horizontal-relative:page;mso-position-vertical-relative:paragraph;z-index:-15682560;mso-wrap-distance-left:0;mso-wrap-distance-right:0" coordorigin="1080,174" coordsize="10081,0" path="m1080,174l11160,174e" filled="false" stroked="true" strokeweight=".25pt" strokecolor="#808285">
            <v:path arrowok="t"/>
            <v:stroke dashstyle="solid"/>
            <w10:wrap type="topAndBottom"/>
          </v:shape>
        </w:pict>
      </w:r>
    </w:p>
    <w:p>
      <w:pPr>
        <w:spacing w:before="22"/>
        <w:ind w:left="140" w:right="0" w:firstLine="0"/>
        <w:jc w:val="left"/>
        <w:rPr>
          <w:rFonts w:ascii="Calibri"/>
          <w:b/>
          <w:sz w:val="18"/>
        </w:rPr>
      </w:pPr>
      <w:r>
        <w:rPr>
          <w:rFonts w:ascii="Calibri"/>
          <w:b/>
          <w:color w:val="4D4D4F"/>
          <w:w w:val="115"/>
          <w:sz w:val="18"/>
        </w:rPr>
        <w:t>Ways To Cope or Manage Stress Without Using Drugs</w:t>
      </w:r>
    </w:p>
    <w:p>
      <w:pPr>
        <w:pStyle w:val="BodyText"/>
        <w:rPr>
          <w:rFonts w:ascii="Calibri"/>
          <w:b/>
        </w:rPr>
      </w:pPr>
    </w:p>
    <w:p>
      <w:pPr>
        <w:spacing w:before="140"/>
        <w:ind w:left="140" w:right="0" w:firstLine="0"/>
        <w:jc w:val="left"/>
        <w:rPr>
          <w:rFonts w:ascii="Arial"/>
          <w:i/>
          <w:sz w:val="16"/>
        </w:rPr>
      </w:pPr>
      <w:r>
        <w:rPr>
          <w:rFonts w:ascii="Arial"/>
          <w:i/>
          <w:color w:val="4D4D4F"/>
          <w:sz w:val="16"/>
        </w:rPr>
        <w:t>M. Lofwall, February 27, 2017 (personal communication). Adapted with permission.</w:t>
      </w:r>
    </w:p>
    <w:p>
      <w:pPr>
        <w:spacing w:after="0"/>
        <w:jc w:val="left"/>
        <w:rPr>
          <w:rFonts w:ascii="Arial"/>
          <w:sz w:val="16"/>
        </w:rPr>
        <w:sectPr>
          <w:pgSz w:w="12240" w:h="15840"/>
          <w:pgMar w:header="576" w:footer="677" w:top="1340" w:bottom="860" w:left="940" w:right="920"/>
        </w:sectPr>
      </w:pPr>
    </w:p>
    <w:p>
      <w:pPr>
        <w:pStyle w:val="BodyText"/>
        <w:spacing w:before="5"/>
        <w:rPr>
          <w:rFonts w:ascii="Arial"/>
          <w:i/>
          <w:sz w:val="27"/>
        </w:rPr>
      </w:pPr>
    </w:p>
    <w:p>
      <w:pPr>
        <w:pStyle w:val="Heading3"/>
        <w:spacing w:before="89"/>
      </w:pPr>
      <w:bookmarkStart w:name="_TOC_250034" w:id="81"/>
      <w:bookmarkEnd w:id="81"/>
      <w:r>
        <w:rPr>
          <w:color w:val="137692"/>
          <w:w w:val="110"/>
        </w:rPr>
        <w:t>Sample Goal-Setting Form</w:t>
      </w:r>
    </w:p>
    <w:p>
      <w:pPr>
        <w:pStyle w:val="BodyText"/>
        <w:spacing w:before="7"/>
        <w:rPr>
          <w:rFonts w:ascii="Calibri"/>
          <w:b/>
          <w:sz w:val="26"/>
        </w:rPr>
      </w:pPr>
    </w:p>
    <w:p>
      <w:pPr>
        <w:tabs>
          <w:tab w:pos="7293" w:val="left" w:leader="none"/>
          <w:tab w:pos="10248" w:val="left" w:leader="none"/>
        </w:tabs>
        <w:spacing w:before="101"/>
        <w:ind w:left="140" w:right="0" w:firstLine="0"/>
        <w:jc w:val="left"/>
        <w:rPr>
          <w:rFonts w:ascii="Calibri" w:hAnsi="Calibri"/>
          <w:b/>
          <w:sz w:val="18"/>
        </w:rPr>
      </w:pPr>
      <w:r>
        <w:rPr>
          <w:rFonts w:ascii="Calibri" w:hAnsi="Calibri"/>
          <w:b/>
          <w:color w:val="4D4D4F"/>
          <w:w w:val="115"/>
          <w:sz w:val="18"/>
        </w:rPr>
        <w:t>Patient’s</w:t>
      </w:r>
      <w:r>
        <w:rPr>
          <w:rFonts w:ascii="Calibri" w:hAnsi="Calibri"/>
          <w:b/>
          <w:color w:val="4D4D4F"/>
          <w:spacing w:val="-8"/>
          <w:w w:val="115"/>
          <w:sz w:val="18"/>
        </w:rPr>
        <w:t> </w:t>
      </w:r>
      <w:r>
        <w:rPr>
          <w:rFonts w:ascii="Calibri" w:hAnsi="Calibri"/>
          <w:b/>
          <w:color w:val="4D4D4F"/>
          <w:w w:val="115"/>
          <w:sz w:val="18"/>
        </w:rPr>
        <w:t>Name:</w:t>
      </w:r>
      <w:r>
        <w:rPr>
          <w:rFonts w:ascii="Calibri" w:hAnsi="Calibri"/>
          <w:b/>
          <w:color w:val="4D4D4F"/>
          <w:w w:val="115"/>
          <w:sz w:val="18"/>
          <w:u w:val="single" w:color="7F8184"/>
        </w:rPr>
        <w:t> </w:t>
        <w:tab/>
      </w:r>
      <w:r>
        <w:rPr>
          <w:rFonts w:ascii="Calibri" w:hAnsi="Calibri"/>
          <w:b/>
          <w:color w:val="4D4D4F"/>
          <w:w w:val="115"/>
          <w:sz w:val="18"/>
        </w:rPr>
        <w:t>Date:</w:t>
      </w:r>
      <w:r>
        <w:rPr>
          <w:rFonts w:ascii="Calibri" w:hAnsi="Calibri"/>
          <w:b/>
          <w:color w:val="4D4D4F"/>
          <w:spacing w:val="7"/>
          <w:sz w:val="18"/>
        </w:rPr>
        <w:t> </w:t>
      </w:r>
      <w:r>
        <w:rPr>
          <w:rFonts w:ascii="Calibri" w:hAnsi="Calibri"/>
          <w:b/>
          <w:color w:val="4D4D4F"/>
          <w:w w:val="130"/>
          <w:sz w:val="18"/>
          <w:u w:val="single" w:color="7F8184"/>
        </w:rPr>
        <w:t> </w:t>
      </w:r>
      <w:r>
        <w:rPr>
          <w:rFonts w:ascii="Calibri" w:hAnsi="Calibri"/>
          <w:b/>
          <w:color w:val="4D4D4F"/>
          <w:sz w:val="18"/>
          <w:u w:val="single" w:color="7F8184"/>
        </w:rPr>
        <w:tab/>
      </w:r>
    </w:p>
    <w:p>
      <w:pPr>
        <w:pStyle w:val="BodyText"/>
        <w:rPr>
          <w:rFonts w:ascii="Calibri"/>
          <w:b/>
          <w:sz w:val="20"/>
        </w:rPr>
      </w:pPr>
    </w:p>
    <w:p>
      <w:pPr>
        <w:pStyle w:val="BodyText"/>
        <w:spacing w:before="1"/>
        <w:rPr>
          <w:rFonts w:ascii="Calibri"/>
          <w:b/>
          <w:sz w:val="12"/>
        </w:rPr>
      </w:pPr>
    </w:p>
    <w:tbl>
      <w:tblPr>
        <w:tblW w:w="0" w:type="auto"/>
        <w:jc w:val="left"/>
        <w:tblInd w:w="147"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3356"/>
        <w:gridCol w:w="1980"/>
        <w:gridCol w:w="2189"/>
        <w:gridCol w:w="2585"/>
      </w:tblGrid>
      <w:tr>
        <w:trPr>
          <w:trHeight w:val="1167" w:hRule="atLeast"/>
        </w:trPr>
        <w:tc>
          <w:tcPr>
            <w:tcW w:w="3356" w:type="dxa"/>
            <w:tcBorders>
              <w:left w:val="nil"/>
              <w:right w:val="single" w:sz="2" w:space="0" w:color="FFFFFF"/>
            </w:tcBorders>
            <w:shd w:val="clear" w:color="auto" w:fill="377F9A"/>
          </w:tcPr>
          <w:p>
            <w:pPr>
              <w:pStyle w:val="TableParagraph"/>
              <w:rPr>
                <w:b/>
                <w:sz w:val="22"/>
              </w:rPr>
            </w:pPr>
          </w:p>
          <w:p>
            <w:pPr>
              <w:pStyle w:val="TableParagraph"/>
              <w:rPr>
                <w:b/>
                <w:sz w:val="22"/>
              </w:rPr>
            </w:pPr>
          </w:p>
          <w:p>
            <w:pPr>
              <w:pStyle w:val="TableParagraph"/>
              <w:spacing w:before="2"/>
              <w:rPr>
                <w:b/>
                <w:sz w:val="32"/>
              </w:rPr>
            </w:pPr>
          </w:p>
          <w:p>
            <w:pPr>
              <w:pStyle w:val="TableParagraph"/>
              <w:spacing w:before="1"/>
              <w:ind w:left="80"/>
              <w:rPr>
                <w:rFonts w:ascii="Arial"/>
                <w:b/>
                <w:sz w:val="17"/>
              </w:rPr>
            </w:pPr>
            <w:r>
              <w:rPr>
                <w:rFonts w:ascii="Arial"/>
                <w:b/>
                <w:color w:val="FFFFFF"/>
                <w:w w:val="105"/>
                <w:sz w:val="17"/>
              </w:rPr>
              <w:t>GOAL CATEGORY</w:t>
            </w:r>
          </w:p>
        </w:tc>
        <w:tc>
          <w:tcPr>
            <w:tcW w:w="1980" w:type="dxa"/>
            <w:tcBorders>
              <w:left w:val="single" w:sz="2" w:space="0" w:color="FFFFFF"/>
              <w:right w:val="single" w:sz="2" w:space="0" w:color="FFFFFF"/>
            </w:tcBorders>
            <w:shd w:val="clear" w:color="auto" w:fill="377F9A"/>
          </w:tcPr>
          <w:p>
            <w:pPr>
              <w:pStyle w:val="TableParagraph"/>
              <w:spacing w:before="11"/>
              <w:rPr>
                <w:b/>
                <w:sz w:val="21"/>
              </w:rPr>
            </w:pPr>
          </w:p>
          <w:p>
            <w:pPr>
              <w:pStyle w:val="TableParagraph"/>
              <w:spacing w:line="271" w:lineRule="auto"/>
              <w:ind w:left="150" w:right="149" w:hanging="1"/>
              <w:jc w:val="center"/>
              <w:rPr>
                <w:rFonts w:ascii="Arial"/>
                <w:b/>
                <w:sz w:val="17"/>
              </w:rPr>
            </w:pPr>
            <w:r>
              <w:rPr>
                <w:rFonts w:ascii="Arial"/>
                <w:b/>
                <w:color w:val="FFFFFF"/>
                <w:w w:val="105"/>
                <w:sz w:val="17"/>
              </w:rPr>
              <w:t>CURRENT SITUATION</w:t>
            </w:r>
            <w:r>
              <w:rPr>
                <w:rFonts w:ascii="Arial"/>
                <w:b/>
                <w:color w:val="FFFFFF"/>
                <w:spacing w:val="29"/>
                <w:w w:val="105"/>
                <w:sz w:val="17"/>
              </w:rPr>
              <w:t> </w:t>
            </w:r>
            <w:r>
              <w:rPr>
                <w:rFonts w:ascii="Arial"/>
                <w:b/>
                <w:color w:val="FFFFFF"/>
                <w:spacing w:val="-4"/>
                <w:w w:val="105"/>
                <w:sz w:val="17"/>
              </w:rPr>
              <w:t>SCORE</w:t>
            </w:r>
          </w:p>
          <w:p>
            <w:pPr>
              <w:pStyle w:val="TableParagraph"/>
              <w:spacing w:line="261" w:lineRule="auto" w:before="31"/>
              <w:ind w:left="139" w:right="139"/>
              <w:jc w:val="center"/>
              <w:rPr>
                <w:rFonts w:ascii="Arial"/>
                <w:b/>
                <w:sz w:val="16"/>
              </w:rPr>
            </w:pPr>
            <w:r>
              <w:rPr>
                <w:rFonts w:ascii="Arial"/>
                <w:b/>
                <w:color w:val="FFFFFF"/>
                <w:w w:val="110"/>
                <w:sz w:val="16"/>
              </w:rPr>
              <w:t>10</w:t>
            </w:r>
            <w:r>
              <w:rPr>
                <w:rFonts w:ascii="Arial"/>
                <w:b/>
                <w:color w:val="FFFFFF"/>
                <w:spacing w:val="-17"/>
                <w:w w:val="110"/>
                <w:sz w:val="16"/>
              </w:rPr>
              <w:t> </w:t>
            </w:r>
            <w:r>
              <w:rPr>
                <w:rFonts w:ascii="Arial"/>
                <w:b/>
                <w:color w:val="FFFFFF"/>
                <w:w w:val="110"/>
                <w:sz w:val="16"/>
              </w:rPr>
              <w:t>=</w:t>
            </w:r>
            <w:r>
              <w:rPr>
                <w:rFonts w:ascii="Arial"/>
                <w:b/>
                <w:color w:val="FFFFFF"/>
                <w:spacing w:val="-17"/>
                <w:w w:val="110"/>
                <w:sz w:val="16"/>
              </w:rPr>
              <w:t> </w:t>
            </w:r>
            <w:r>
              <w:rPr>
                <w:rFonts w:ascii="Arial"/>
                <w:b/>
                <w:color w:val="FFFFFF"/>
                <w:w w:val="110"/>
                <w:sz w:val="16"/>
              </w:rPr>
              <w:t>major</w:t>
            </w:r>
            <w:r>
              <w:rPr>
                <w:rFonts w:ascii="Arial"/>
                <w:b/>
                <w:color w:val="FFFFFF"/>
                <w:spacing w:val="-17"/>
                <w:w w:val="110"/>
                <w:sz w:val="16"/>
              </w:rPr>
              <w:t> </w:t>
            </w:r>
            <w:r>
              <w:rPr>
                <w:rFonts w:ascii="Arial"/>
                <w:b/>
                <w:color w:val="FFFFFF"/>
                <w:w w:val="110"/>
                <w:sz w:val="16"/>
              </w:rPr>
              <w:t>problems and 0 = no</w:t>
            </w:r>
            <w:r>
              <w:rPr>
                <w:rFonts w:ascii="Arial"/>
                <w:b/>
                <w:color w:val="FFFFFF"/>
                <w:spacing w:val="-16"/>
                <w:w w:val="110"/>
                <w:sz w:val="16"/>
              </w:rPr>
              <w:t> </w:t>
            </w:r>
            <w:r>
              <w:rPr>
                <w:rFonts w:ascii="Arial"/>
                <w:b/>
                <w:color w:val="FFFFFF"/>
                <w:spacing w:val="-3"/>
                <w:w w:val="110"/>
                <w:sz w:val="16"/>
              </w:rPr>
              <w:t>problems</w:t>
            </w:r>
          </w:p>
        </w:tc>
        <w:tc>
          <w:tcPr>
            <w:tcW w:w="4774" w:type="dxa"/>
            <w:gridSpan w:val="2"/>
            <w:tcBorders>
              <w:left w:val="single" w:sz="2" w:space="0" w:color="FFFFFF"/>
              <w:right w:val="nil"/>
            </w:tcBorders>
            <w:shd w:val="clear" w:color="auto" w:fill="377F9A"/>
          </w:tcPr>
          <w:p>
            <w:pPr>
              <w:pStyle w:val="TableParagraph"/>
              <w:spacing w:before="87"/>
              <w:ind w:left="2699"/>
              <w:rPr>
                <w:rFonts w:ascii="Arial"/>
                <w:b/>
                <w:sz w:val="17"/>
              </w:rPr>
            </w:pPr>
            <w:r>
              <w:rPr>
                <w:rFonts w:ascii="Arial"/>
                <w:b/>
                <w:color w:val="FFFFFF"/>
                <w:w w:val="105"/>
                <w:sz w:val="17"/>
              </w:rPr>
              <w:t>PRIORITY SCORE</w:t>
            </w:r>
          </w:p>
          <w:p>
            <w:pPr>
              <w:pStyle w:val="TableParagraph"/>
              <w:spacing w:before="57"/>
              <w:ind w:right="128"/>
              <w:jc w:val="right"/>
              <w:rPr>
                <w:rFonts w:ascii="Arial" w:hAnsi="Arial"/>
                <w:b/>
                <w:sz w:val="16"/>
              </w:rPr>
            </w:pPr>
            <w:r>
              <w:rPr>
                <w:rFonts w:ascii="Arial" w:hAnsi="Arial"/>
                <w:b/>
                <w:color w:val="FFFFFF"/>
                <w:w w:val="105"/>
                <w:sz w:val="16"/>
              </w:rPr>
              <w:t>10 = highest priority (“I really</w:t>
            </w:r>
          </w:p>
          <w:p>
            <w:pPr>
              <w:pStyle w:val="TableParagraph"/>
              <w:tabs>
                <w:tab w:pos="2039" w:val="left" w:leader="none"/>
              </w:tabs>
              <w:spacing w:before="16"/>
              <w:ind w:right="200"/>
              <w:jc w:val="right"/>
              <w:rPr>
                <w:rFonts w:ascii="Arial" w:hAnsi="Arial"/>
                <w:b/>
                <w:sz w:val="16"/>
              </w:rPr>
            </w:pPr>
            <w:r>
              <w:rPr>
                <w:rFonts w:ascii="Arial" w:hAnsi="Arial"/>
                <w:b/>
                <w:color w:val="FFFFFF"/>
                <w:w w:val="115"/>
                <w:sz w:val="16"/>
              </w:rPr>
              <w:t>What</w:t>
            </w:r>
            <w:r>
              <w:rPr>
                <w:rFonts w:ascii="Arial" w:hAnsi="Arial"/>
                <w:b/>
                <w:color w:val="FFFFFF"/>
                <w:spacing w:val="-8"/>
                <w:w w:val="115"/>
                <w:sz w:val="16"/>
              </w:rPr>
              <w:t> </w:t>
            </w:r>
            <w:r>
              <w:rPr>
                <w:rFonts w:ascii="Arial" w:hAnsi="Arial"/>
                <w:b/>
                <w:color w:val="FFFFFF"/>
                <w:w w:val="115"/>
                <w:sz w:val="16"/>
              </w:rPr>
              <w:t>would</w:t>
            </w:r>
            <w:r>
              <w:rPr>
                <w:rFonts w:ascii="Arial" w:hAnsi="Arial"/>
                <w:b/>
                <w:color w:val="FFFFFF"/>
                <w:spacing w:val="-7"/>
                <w:w w:val="115"/>
                <w:sz w:val="16"/>
              </w:rPr>
              <w:t> </w:t>
            </w:r>
            <w:r>
              <w:rPr>
                <w:rFonts w:ascii="Arial" w:hAnsi="Arial"/>
                <w:b/>
                <w:color w:val="FFFFFF"/>
                <w:w w:val="115"/>
                <w:sz w:val="16"/>
              </w:rPr>
              <w:t>need</w:t>
              <w:tab/>
              <w:t>want</w:t>
            </w:r>
            <w:r>
              <w:rPr>
                <w:rFonts w:ascii="Arial" w:hAnsi="Arial"/>
                <w:b/>
                <w:color w:val="FFFFFF"/>
                <w:spacing w:val="-25"/>
                <w:w w:val="115"/>
                <w:sz w:val="16"/>
              </w:rPr>
              <w:t> </w:t>
            </w:r>
            <w:r>
              <w:rPr>
                <w:rFonts w:ascii="Arial" w:hAnsi="Arial"/>
                <w:b/>
                <w:color w:val="FFFFFF"/>
                <w:w w:val="115"/>
                <w:sz w:val="16"/>
              </w:rPr>
              <w:t>to</w:t>
            </w:r>
            <w:r>
              <w:rPr>
                <w:rFonts w:ascii="Arial" w:hAnsi="Arial"/>
                <w:b/>
                <w:color w:val="FFFFFF"/>
                <w:spacing w:val="-25"/>
                <w:w w:val="115"/>
                <w:sz w:val="16"/>
              </w:rPr>
              <w:t> </w:t>
            </w:r>
            <w:r>
              <w:rPr>
                <w:rFonts w:ascii="Arial" w:hAnsi="Arial"/>
                <w:b/>
                <w:color w:val="FFFFFF"/>
                <w:w w:val="115"/>
                <w:sz w:val="16"/>
              </w:rPr>
              <w:t>work</w:t>
            </w:r>
            <w:r>
              <w:rPr>
                <w:rFonts w:ascii="Arial" w:hAnsi="Arial"/>
                <w:b/>
                <w:color w:val="FFFFFF"/>
                <w:spacing w:val="-25"/>
                <w:w w:val="115"/>
                <w:sz w:val="16"/>
              </w:rPr>
              <w:t> </w:t>
            </w:r>
            <w:r>
              <w:rPr>
                <w:rFonts w:ascii="Arial" w:hAnsi="Arial"/>
                <w:b/>
                <w:color w:val="FFFFFF"/>
                <w:w w:val="115"/>
                <w:sz w:val="16"/>
              </w:rPr>
              <w:t>on</w:t>
            </w:r>
            <w:r>
              <w:rPr>
                <w:rFonts w:ascii="Arial" w:hAnsi="Arial"/>
                <w:b/>
                <w:color w:val="FFFFFF"/>
                <w:spacing w:val="-25"/>
                <w:w w:val="115"/>
                <w:sz w:val="16"/>
              </w:rPr>
              <w:t> </w:t>
            </w:r>
            <w:r>
              <w:rPr>
                <w:rFonts w:ascii="Arial" w:hAnsi="Arial"/>
                <w:b/>
                <w:color w:val="FFFFFF"/>
                <w:w w:val="115"/>
                <w:sz w:val="16"/>
              </w:rPr>
              <w:t>this”)</w:t>
            </w:r>
            <w:r>
              <w:rPr>
                <w:rFonts w:ascii="Arial" w:hAnsi="Arial"/>
                <w:b/>
                <w:color w:val="FFFFFF"/>
                <w:spacing w:val="-26"/>
                <w:w w:val="115"/>
                <w:sz w:val="16"/>
              </w:rPr>
              <w:t> </w:t>
            </w:r>
            <w:r>
              <w:rPr>
                <w:rFonts w:ascii="Arial" w:hAnsi="Arial"/>
                <w:b/>
                <w:color w:val="FFFFFF"/>
                <w:w w:val="115"/>
                <w:sz w:val="16"/>
              </w:rPr>
              <w:t>and</w:t>
            </w:r>
          </w:p>
          <w:p>
            <w:pPr>
              <w:pStyle w:val="TableParagraph"/>
              <w:tabs>
                <w:tab w:pos="2116" w:val="left" w:leader="none"/>
              </w:tabs>
              <w:spacing w:before="16"/>
              <w:ind w:right="96"/>
              <w:jc w:val="right"/>
              <w:rPr>
                <w:rFonts w:ascii="Arial" w:hAnsi="Arial"/>
                <w:b/>
                <w:sz w:val="16"/>
              </w:rPr>
            </w:pPr>
            <w:r>
              <w:rPr>
                <w:rFonts w:ascii="Arial" w:hAnsi="Arial"/>
                <w:b/>
                <w:color w:val="FFFFFF"/>
                <w:w w:val="110"/>
                <w:sz w:val="16"/>
              </w:rPr>
              <w:t>to change</w:t>
            </w:r>
            <w:r>
              <w:rPr>
                <w:rFonts w:ascii="Arial" w:hAnsi="Arial"/>
                <w:b/>
                <w:color w:val="FFFFFF"/>
                <w:spacing w:val="-7"/>
                <w:w w:val="110"/>
                <w:sz w:val="16"/>
              </w:rPr>
              <w:t> </w:t>
            </w:r>
            <w:r>
              <w:rPr>
                <w:rFonts w:ascii="Arial" w:hAnsi="Arial"/>
                <w:b/>
                <w:color w:val="FFFFFF"/>
                <w:w w:val="110"/>
                <w:sz w:val="16"/>
              </w:rPr>
              <w:t>to</w:t>
            </w:r>
            <w:r>
              <w:rPr>
                <w:rFonts w:ascii="Arial" w:hAnsi="Arial"/>
                <w:b/>
                <w:color w:val="FFFFFF"/>
                <w:spacing w:val="-4"/>
                <w:w w:val="110"/>
                <w:sz w:val="16"/>
              </w:rPr>
              <w:t> </w:t>
            </w:r>
            <w:r>
              <w:rPr>
                <w:rFonts w:ascii="Arial" w:hAnsi="Arial"/>
                <w:b/>
                <w:color w:val="FFFFFF"/>
                <w:w w:val="110"/>
                <w:sz w:val="16"/>
              </w:rPr>
              <w:t>decrease</w:t>
              <w:tab/>
            </w:r>
            <w:r>
              <w:rPr>
                <w:rFonts w:ascii="Arial" w:hAnsi="Arial"/>
                <w:b/>
                <w:color w:val="FFFFFF"/>
                <w:sz w:val="16"/>
              </w:rPr>
              <w:t>1</w:t>
            </w:r>
            <w:r>
              <w:rPr>
                <w:rFonts w:ascii="Arial" w:hAnsi="Arial"/>
                <w:b/>
                <w:color w:val="FFFFFF"/>
                <w:spacing w:val="-18"/>
                <w:sz w:val="16"/>
              </w:rPr>
              <w:t> </w:t>
            </w:r>
            <w:r>
              <w:rPr>
                <w:rFonts w:ascii="Arial" w:hAnsi="Arial"/>
                <w:b/>
                <w:color w:val="FFFFFF"/>
                <w:w w:val="110"/>
                <w:sz w:val="16"/>
              </w:rPr>
              <w:t>=</w:t>
            </w:r>
            <w:r>
              <w:rPr>
                <w:rFonts w:ascii="Arial" w:hAnsi="Arial"/>
                <w:b/>
                <w:color w:val="FFFFFF"/>
                <w:spacing w:val="-22"/>
                <w:w w:val="110"/>
                <w:sz w:val="16"/>
              </w:rPr>
              <w:t> </w:t>
            </w:r>
            <w:r>
              <w:rPr>
                <w:rFonts w:ascii="Arial" w:hAnsi="Arial"/>
                <w:b/>
                <w:color w:val="FFFFFF"/>
                <w:w w:val="110"/>
                <w:sz w:val="16"/>
              </w:rPr>
              <w:t>lowest</w:t>
            </w:r>
            <w:r>
              <w:rPr>
                <w:rFonts w:ascii="Arial" w:hAnsi="Arial"/>
                <w:b/>
                <w:color w:val="FFFFFF"/>
                <w:spacing w:val="-23"/>
                <w:w w:val="110"/>
                <w:sz w:val="16"/>
              </w:rPr>
              <w:t> </w:t>
            </w:r>
            <w:r>
              <w:rPr>
                <w:rFonts w:ascii="Arial" w:hAnsi="Arial"/>
                <w:b/>
                <w:color w:val="FFFFFF"/>
                <w:w w:val="110"/>
                <w:sz w:val="16"/>
              </w:rPr>
              <w:t>priority</w:t>
            </w:r>
            <w:r>
              <w:rPr>
                <w:rFonts w:ascii="Arial" w:hAnsi="Arial"/>
                <w:b/>
                <w:color w:val="FFFFFF"/>
                <w:spacing w:val="-22"/>
                <w:w w:val="110"/>
                <w:sz w:val="16"/>
              </w:rPr>
              <w:t> </w:t>
            </w:r>
            <w:r>
              <w:rPr>
                <w:rFonts w:ascii="Arial" w:hAnsi="Arial"/>
                <w:b/>
                <w:color w:val="FFFFFF"/>
                <w:w w:val="110"/>
                <w:sz w:val="16"/>
              </w:rPr>
              <w:t>(“I</w:t>
            </w:r>
            <w:r>
              <w:rPr>
                <w:rFonts w:ascii="Arial" w:hAnsi="Arial"/>
                <w:b/>
                <w:color w:val="FFFFFF"/>
                <w:spacing w:val="-22"/>
                <w:w w:val="110"/>
                <w:sz w:val="16"/>
              </w:rPr>
              <w:t> </w:t>
            </w:r>
            <w:r>
              <w:rPr>
                <w:rFonts w:ascii="Arial" w:hAnsi="Arial"/>
                <w:b/>
                <w:color w:val="FFFFFF"/>
                <w:w w:val="110"/>
                <w:sz w:val="16"/>
              </w:rPr>
              <w:t>really</w:t>
            </w:r>
            <w:r>
              <w:rPr>
                <w:rFonts w:ascii="Arial" w:hAnsi="Arial"/>
                <w:b/>
                <w:color w:val="FFFFFF"/>
                <w:spacing w:val="-23"/>
                <w:w w:val="110"/>
                <w:sz w:val="16"/>
              </w:rPr>
              <w:t> </w:t>
            </w:r>
            <w:r>
              <w:rPr>
                <w:rFonts w:ascii="Arial" w:hAnsi="Arial"/>
                <w:b/>
                <w:color w:val="FFFFFF"/>
                <w:w w:val="110"/>
                <w:sz w:val="16"/>
              </w:rPr>
              <w:t>do</w:t>
            </w:r>
          </w:p>
          <w:p>
            <w:pPr>
              <w:pStyle w:val="TableParagraph"/>
              <w:tabs>
                <w:tab w:pos="2398" w:val="left" w:leader="none"/>
              </w:tabs>
              <w:spacing w:before="16"/>
              <w:ind w:left="642"/>
              <w:rPr>
                <w:rFonts w:ascii="Arial" w:hAnsi="Arial"/>
                <w:b/>
                <w:sz w:val="16"/>
              </w:rPr>
            </w:pPr>
            <w:r>
              <w:rPr>
                <w:rFonts w:ascii="Arial" w:hAnsi="Arial"/>
                <w:b/>
                <w:color w:val="FFFFFF"/>
                <w:w w:val="110"/>
                <w:sz w:val="16"/>
              </w:rPr>
              <w:t>this</w:t>
            </w:r>
            <w:r>
              <w:rPr>
                <w:rFonts w:ascii="Arial" w:hAnsi="Arial"/>
                <w:b/>
                <w:color w:val="FFFFFF"/>
                <w:spacing w:val="-14"/>
                <w:w w:val="110"/>
                <w:sz w:val="16"/>
              </w:rPr>
              <w:t> </w:t>
            </w:r>
            <w:r>
              <w:rPr>
                <w:rFonts w:ascii="Arial" w:hAnsi="Arial"/>
                <w:b/>
                <w:color w:val="FFFFFF"/>
                <w:spacing w:val="-2"/>
                <w:w w:val="110"/>
                <w:sz w:val="16"/>
              </w:rPr>
              <w:t>score?</w:t>
              <w:tab/>
            </w:r>
            <w:r>
              <w:rPr>
                <w:rFonts w:ascii="Arial" w:hAnsi="Arial"/>
                <w:b/>
                <w:color w:val="FFFFFF"/>
                <w:w w:val="110"/>
                <w:sz w:val="16"/>
              </w:rPr>
              <w:t>not want to work on</w:t>
            </w:r>
            <w:r>
              <w:rPr>
                <w:rFonts w:ascii="Arial" w:hAnsi="Arial"/>
                <w:b/>
                <w:color w:val="FFFFFF"/>
                <w:spacing w:val="-25"/>
                <w:w w:val="110"/>
                <w:sz w:val="16"/>
              </w:rPr>
              <w:t> </w:t>
            </w:r>
            <w:r>
              <w:rPr>
                <w:rFonts w:ascii="Arial" w:hAnsi="Arial"/>
                <w:b/>
                <w:color w:val="FFFFFF"/>
                <w:w w:val="110"/>
                <w:sz w:val="16"/>
              </w:rPr>
              <w:t>this”)</w:t>
            </w: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05"/>
                <w:sz w:val="18"/>
              </w:rPr>
              <w:t>Opioid use</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tabs>
                <w:tab w:pos="3258" w:val="left" w:leader="none"/>
              </w:tabs>
              <w:spacing w:before="118"/>
              <w:rPr>
                <w:rFonts w:ascii="Arial"/>
                <w:b/>
                <w:sz w:val="18"/>
              </w:rPr>
            </w:pPr>
            <w:r>
              <w:rPr>
                <w:rFonts w:ascii="Arial"/>
                <w:b/>
                <w:color w:val="231F20"/>
                <w:w w:val="110"/>
                <w:sz w:val="18"/>
              </w:rPr>
              <w:t>Other</w:t>
            </w:r>
            <w:r>
              <w:rPr>
                <w:rFonts w:ascii="Arial"/>
                <w:b/>
                <w:color w:val="231F20"/>
                <w:spacing w:val="-16"/>
                <w:w w:val="110"/>
                <w:sz w:val="18"/>
              </w:rPr>
              <w:t> </w:t>
            </w:r>
            <w:r>
              <w:rPr>
                <w:rFonts w:ascii="Arial"/>
                <w:b/>
                <w:color w:val="231F20"/>
                <w:w w:val="110"/>
                <w:sz w:val="18"/>
              </w:rPr>
              <w:t>illicit</w:t>
            </w:r>
            <w:r>
              <w:rPr>
                <w:rFonts w:ascii="Arial"/>
                <w:b/>
                <w:color w:val="231F20"/>
                <w:spacing w:val="-16"/>
                <w:w w:val="110"/>
                <w:sz w:val="18"/>
              </w:rPr>
              <w:t> </w:t>
            </w:r>
            <w:r>
              <w:rPr>
                <w:rFonts w:ascii="Arial"/>
                <w:b/>
                <w:color w:val="231F20"/>
                <w:w w:val="110"/>
                <w:sz w:val="18"/>
              </w:rPr>
              <w:t>drug</w:t>
            </w:r>
            <w:r>
              <w:rPr>
                <w:rFonts w:ascii="Arial"/>
                <w:b/>
                <w:color w:val="231F20"/>
                <w:spacing w:val="-15"/>
                <w:w w:val="110"/>
                <w:sz w:val="18"/>
              </w:rPr>
              <w:t> </w:t>
            </w:r>
            <w:r>
              <w:rPr>
                <w:rFonts w:ascii="Arial"/>
                <w:b/>
                <w:color w:val="231F20"/>
                <w:w w:val="110"/>
                <w:sz w:val="18"/>
              </w:rPr>
              <w:t>use:</w:t>
            </w:r>
            <w:r>
              <w:rPr>
                <w:rFonts w:ascii="Arial"/>
                <w:b/>
                <w:color w:val="231F20"/>
                <w:sz w:val="18"/>
              </w:rPr>
              <w:t> </w:t>
            </w:r>
            <w:r>
              <w:rPr>
                <w:rFonts w:ascii="Arial"/>
                <w:b/>
                <w:color w:val="231F20"/>
                <w:w w:val="99"/>
                <w:sz w:val="18"/>
                <w:u w:val="single" w:color="7F8184"/>
              </w:rPr>
              <w:t> </w:t>
            </w:r>
            <w:r>
              <w:rPr>
                <w:rFonts w:ascii="Arial"/>
                <w:b/>
                <w:color w:val="231F20"/>
                <w:sz w:val="18"/>
                <w:u w:val="single" w:color="7F8184"/>
              </w:rPr>
              <w:tab/>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05"/>
                <w:sz w:val="18"/>
              </w:rPr>
              <w:t>Alcohol use</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05"/>
                <w:sz w:val="18"/>
              </w:rPr>
              <w:t>Tobacco use</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Physical health</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5"/>
                <w:sz w:val="18"/>
              </w:rPr>
              <w:t>Mental health</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05"/>
                <w:sz w:val="18"/>
              </w:rPr>
              <w:t>Legal/court issues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05"/>
                <w:sz w:val="18"/>
              </w:rPr>
              <w:t>Finances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Job/employment</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Hobbies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Family relations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Partner relations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Supportive drug-free network</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Education</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831" w:hRule="atLeast"/>
        </w:trPr>
        <w:tc>
          <w:tcPr>
            <w:tcW w:w="3356" w:type="dxa"/>
            <w:tcBorders>
              <w:left w:val="nil"/>
            </w:tcBorders>
          </w:tcPr>
          <w:p>
            <w:pPr>
              <w:pStyle w:val="TableParagraph"/>
              <w:spacing w:before="118"/>
              <w:rPr>
                <w:rFonts w:ascii="Arial"/>
                <w:b/>
                <w:sz w:val="18"/>
              </w:rPr>
            </w:pPr>
            <w:r>
              <w:rPr>
                <w:rFonts w:ascii="Arial"/>
                <w:b/>
                <w:color w:val="231F20"/>
                <w:w w:val="110"/>
                <w:sz w:val="18"/>
              </w:rPr>
              <w:t>Keeping medication safe</w:t>
            </w:r>
          </w:p>
          <w:p>
            <w:pPr>
              <w:pStyle w:val="TableParagraph"/>
              <w:spacing w:line="235" w:lineRule="auto" w:before="10"/>
              <w:ind w:right="423"/>
              <w:rPr>
                <w:sz w:val="18"/>
              </w:rPr>
            </w:pPr>
            <w:r>
              <w:rPr>
                <w:color w:val="414142"/>
                <w:w w:val="120"/>
                <w:sz w:val="18"/>
              </w:rPr>
              <w:t>(e.g., not giving it away, selling it, having it stolen)</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Other</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56" w:hRule="atLeast"/>
        </w:trPr>
        <w:tc>
          <w:tcPr>
            <w:tcW w:w="3356" w:type="dxa"/>
            <w:tcBorders>
              <w:left w:val="nil"/>
            </w:tcBorders>
          </w:tcPr>
          <w:p>
            <w:pPr>
              <w:pStyle w:val="TableParagraph"/>
              <w:spacing w:before="118"/>
              <w:rPr>
                <w:rFonts w:ascii="Arial"/>
                <w:b/>
                <w:sz w:val="18"/>
              </w:rPr>
            </w:pPr>
            <w:r>
              <w:rPr>
                <w:rFonts w:ascii="Arial"/>
                <w:b/>
                <w:color w:val="231F20"/>
                <w:w w:val="110"/>
                <w:sz w:val="18"/>
              </w:rPr>
              <w:t>Other</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bl>
    <w:p>
      <w:pPr>
        <w:spacing w:before="165"/>
        <w:ind w:left="140" w:right="0" w:firstLine="0"/>
        <w:jc w:val="left"/>
        <w:rPr>
          <w:rFonts w:ascii="Calibri"/>
          <w:i/>
          <w:sz w:val="16"/>
        </w:rPr>
      </w:pPr>
      <w:r>
        <w:rPr>
          <w:rFonts w:ascii="Calibri"/>
          <w:i/>
          <w:color w:val="606163"/>
          <w:w w:val="120"/>
          <w:sz w:val="16"/>
        </w:rPr>
        <w:t>M. Lofwall, February 27, 2017 (personal communication). Adapted with permission.</w:t>
      </w:r>
    </w:p>
    <w:p>
      <w:pPr>
        <w:spacing w:after="0"/>
        <w:jc w:val="left"/>
        <w:rPr>
          <w:rFonts w:ascii="Calibri"/>
          <w:sz w:val="16"/>
        </w:rPr>
        <w:sectPr>
          <w:pgSz w:w="12240" w:h="15840"/>
          <w:pgMar w:header="576" w:footer="677" w:top="1340" w:bottom="860" w:left="940" w:right="920"/>
        </w:sectPr>
      </w:pPr>
    </w:p>
    <w:p>
      <w:pPr>
        <w:pStyle w:val="BodyText"/>
        <w:spacing w:before="11"/>
        <w:rPr>
          <w:rFonts w:ascii="Calibri"/>
          <w:i/>
          <w:sz w:val="25"/>
        </w:rPr>
      </w:pPr>
    </w:p>
    <w:p>
      <w:pPr>
        <w:pStyle w:val="Heading3"/>
        <w:spacing w:before="89"/>
      </w:pPr>
      <w:bookmarkStart w:name="_TOC_250033" w:id="82"/>
      <w:bookmarkEnd w:id="82"/>
      <w:r>
        <w:rPr>
          <w:color w:val="137692"/>
          <w:w w:val="110"/>
        </w:rPr>
        <w:t>Buprenorphine/Naloxone Home Dosage Schedule: Films or Tablets</w:t>
      </w:r>
    </w:p>
    <w:p>
      <w:pPr>
        <w:spacing w:after="0"/>
        <w:sectPr>
          <w:pgSz w:w="12240" w:h="15840"/>
          <w:pgMar w:header="576" w:footer="677" w:top="1340" w:bottom="860" w:left="940" w:right="920"/>
        </w:sectPr>
      </w:pPr>
    </w:p>
    <w:p>
      <w:pPr>
        <w:tabs>
          <w:tab w:pos="6509" w:val="left" w:leader="none"/>
        </w:tabs>
        <w:spacing w:line="390" w:lineRule="atLeast" w:before="6"/>
        <w:ind w:left="140" w:right="38" w:firstLine="0"/>
        <w:jc w:val="left"/>
        <w:rPr>
          <w:rFonts w:ascii="Calibri"/>
          <w:b/>
          <w:sz w:val="18"/>
        </w:rPr>
      </w:pPr>
      <w:r>
        <w:rPr>
          <w:rFonts w:ascii="Calibri"/>
          <w:b/>
          <w:color w:val="4D4D4F"/>
          <w:w w:val="115"/>
          <w:sz w:val="18"/>
        </w:rPr>
        <w:t>Name:</w:t>
      </w:r>
      <w:r>
        <w:rPr>
          <w:rFonts w:ascii="Calibri"/>
          <w:b/>
          <w:color w:val="4D4D4F"/>
          <w:w w:val="115"/>
          <w:sz w:val="18"/>
          <w:u w:val="single" w:color="7F8184"/>
        </w:rPr>
        <w:tab/>
      </w:r>
      <w:r>
        <w:rPr>
          <w:rFonts w:ascii="Calibri"/>
          <w:b/>
          <w:color w:val="4D4D4F"/>
          <w:w w:val="115"/>
          <w:sz w:val="18"/>
        </w:rPr>
        <w:t> Procedure for taking</w:t>
      </w:r>
      <w:r>
        <w:rPr>
          <w:rFonts w:ascii="Calibri"/>
          <w:b/>
          <w:color w:val="4D4D4F"/>
          <w:spacing w:val="15"/>
          <w:w w:val="115"/>
          <w:sz w:val="18"/>
        </w:rPr>
        <w:t> </w:t>
      </w:r>
      <w:r>
        <w:rPr>
          <w:rFonts w:ascii="Calibri"/>
          <w:b/>
          <w:color w:val="4D4D4F"/>
          <w:w w:val="115"/>
          <w:sz w:val="18"/>
        </w:rPr>
        <w:t>buprenorphine:</w:t>
      </w:r>
    </w:p>
    <w:p>
      <w:pPr>
        <w:tabs>
          <w:tab w:pos="3083" w:val="left" w:leader="none"/>
        </w:tabs>
        <w:spacing w:before="176"/>
        <w:ind w:left="140" w:right="0" w:firstLine="0"/>
        <w:jc w:val="left"/>
        <w:rPr>
          <w:rFonts w:ascii="Calibri"/>
          <w:b/>
          <w:sz w:val="18"/>
        </w:rPr>
      </w:pPr>
      <w:r>
        <w:rPr/>
        <w:br w:type="column"/>
      </w:r>
      <w:r>
        <w:rPr>
          <w:rFonts w:ascii="Calibri"/>
          <w:b/>
          <w:color w:val="4D4D4F"/>
          <w:w w:val="115"/>
          <w:sz w:val="18"/>
        </w:rPr>
        <w:t>Date:</w:t>
      </w:r>
      <w:r>
        <w:rPr>
          <w:rFonts w:ascii="Calibri"/>
          <w:b/>
          <w:color w:val="4D4D4F"/>
          <w:spacing w:val="9"/>
          <w:sz w:val="18"/>
        </w:rPr>
        <w:t> </w:t>
      </w:r>
      <w:r>
        <w:rPr>
          <w:rFonts w:ascii="Calibri"/>
          <w:b/>
          <w:color w:val="4D4D4F"/>
          <w:w w:val="130"/>
          <w:sz w:val="18"/>
          <w:u w:val="single" w:color="7F8184"/>
        </w:rPr>
        <w:t> </w:t>
      </w:r>
      <w:r>
        <w:rPr>
          <w:rFonts w:ascii="Calibri"/>
          <w:b/>
          <w:color w:val="4D4D4F"/>
          <w:sz w:val="18"/>
          <w:u w:val="single" w:color="7F8184"/>
        </w:rPr>
        <w:tab/>
      </w:r>
    </w:p>
    <w:p>
      <w:pPr>
        <w:spacing w:after="0"/>
        <w:jc w:val="left"/>
        <w:rPr>
          <w:rFonts w:ascii="Calibri"/>
          <w:sz w:val="18"/>
        </w:rPr>
        <w:sectPr>
          <w:type w:val="continuous"/>
          <w:pgSz w:w="12240" w:h="15840"/>
          <w:pgMar w:top="540" w:bottom="280" w:left="940" w:right="920"/>
          <w:cols w:num="2" w:equalWidth="0">
            <w:col w:w="6550" w:space="120"/>
            <w:col w:w="3710"/>
          </w:cols>
        </w:sectPr>
      </w:pPr>
    </w:p>
    <w:p>
      <w:pPr>
        <w:pStyle w:val="ListParagraph"/>
        <w:numPr>
          <w:ilvl w:val="0"/>
          <w:numId w:val="29"/>
        </w:numPr>
        <w:tabs>
          <w:tab w:pos="320" w:val="left" w:leader="none"/>
        </w:tabs>
        <w:spacing w:line="223" w:lineRule="exact" w:before="15" w:after="0"/>
        <w:ind w:left="320" w:right="0" w:hanging="180"/>
        <w:jc w:val="left"/>
        <w:rPr>
          <w:rFonts w:ascii="Arial" w:hAnsi="Arial"/>
          <w:color w:val="137692"/>
          <w:sz w:val="20"/>
        </w:rPr>
      </w:pPr>
      <w:r>
        <w:rPr>
          <w:color w:val="4D4D4F"/>
          <w:w w:val="110"/>
          <w:sz w:val="18"/>
        </w:rPr>
        <w:t>Let</w:t>
      </w:r>
      <w:r>
        <w:rPr>
          <w:color w:val="4D4D4F"/>
          <w:spacing w:val="-5"/>
          <w:w w:val="110"/>
          <w:sz w:val="18"/>
        </w:rPr>
        <w:t> </w:t>
      </w:r>
      <w:r>
        <w:rPr>
          <w:color w:val="4D4D4F"/>
          <w:w w:val="110"/>
          <w:sz w:val="18"/>
        </w:rPr>
        <w:t>the</w:t>
      </w:r>
      <w:r>
        <w:rPr>
          <w:color w:val="4D4D4F"/>
          <w:spacing w:val="-4"/>
          <w:w w:val="110"/>
          <w:sz w:val="18"/>
        </w:rPr>
        <w:t> </w:t>
      </w:r>
      <w:r>
        <w:rPr>
          <w:color w:val="4D4D4F"/>
          <w:w w:val="110"/>
          <w:sz w:val="18"/>
        </w:rPr>
        <w:t>medication</w:t>
      </w:r>
      <w:r>
        <w:rPr>
          <w:color w:val="4D4D4F"/>
          <w:spacing w:val="-5"/>
          <w:w w:val="110"/>
          <w:sz w:val="18"/>
        </w:rPr>
        <w:t> </w:t>
      </w:r>
      <w:r>
        <w:rPr>
          <w:color w:val="4D4D4F"/>
          <w:w w:val="110"/>
          <w:sz w:val="18"/>
        </w:rPr>
        <w:t>dissolve</w:t>
      </w:r>
      <w:r>
        <w:rPr>
          <w:color w:val="4D4D4F"/>
          <w:spacing w:val="-4"/>
          <w:w w:val="110"/>
          <w:sz w:val="18"/>
        </w:rPr>
        <w:t> </w:t>
      </w:r>
      <w:r>
        <w:rPr>
          <w:color w:val="4D4D4F"/>
          <w:w w:val="110"/>
          <w:sz w:val="18"/>
        </w:rPr>
        <w:t>under</w:t>
      </w:r>
      <w:r>
        <w:rPr>
          <w:color w:val="4D4D4F"/>
          <w:spacing w:val="-5"/>
          <w:w w:val="110"/>
          <w:sz w:val="18"/>
        </w:rPr>
        <w:t> </w:t>
      </w:r>
      <w:r>
        <w:rPr>
          <w:color w:val="4D4D4F"/>
          <w:w w:val="110"/>
          <w:sz w:val="18"/>
        </w:rPr>
        <w:t>your</w:t>
      </w:r>
      <w:r>
        <w:rPr>
          <w:color w:val="4D4D4F"/>
          <w:spacing w:val="-4"/>
          <w:w w:val="110"/>
          <w:sz w:val="18"/>
        </w:rPr>
        <w:t> </w:t>
      </w:r>
      <w:r>
        <w:rPr>
          <w:color w:val="4D4D4F"/>
          <w:w w:val="110"/>
          <w:sz w:val="18"/>
        </w:rPr>
        <w:t>tongue</w:t>
      </w:r>
      <w:r>
        <w:rPr>
          <w:color w:val="4D4D4F"/>
          <w:spacing w:val="-4"/>
          <w:w w:val="110"/>
          <w:sz w:val="18"/>
        </w:rPr>
        <w:t> </w:t>
      </w:r>
      <w:r>
        <w:rPr>
          <w:color w:val="4D4D4F"/>
          <w:w w:val="110"/>
          <w:sz w:val="18"/>
        </w:rPr>
        <w:t>for</w:t>
      </w:r>
      <w:r>
        <w:rPr>
          <w:color w:val="4D4D4F"/>
          <w:spacing w:val="-5"/>
          <w:w w:val="110"/>
          <w:sz w:val="18"/>
        </w:rPr>
        <w:t> </w:t>
      </w:r>
      <w:r>
        <w:rPr>
          <w:color w:val="4D4D4F"/>
          <w:w w:val="110"/>
          <w:sz w:val="18"/>
        </w:rPr>
        <w:t>at</w:t>
      </w:r>
      <w:r>
        <w:rPr>
          <w:color w:val="4D4D4F"/>
          <w:spacing w:val="-4"/>
          <w:w w:val="110"/>
          <w:sz w:val="18"/>
        </w:rPr>
        <w:t> </w:t>
      </w:r>
      <w:r>
        <w:rPr>
          <w:color w:val="4D4D4F"/>
          <w:w w:val="110"/>
          <w:sz w:val="18"/>
        </w:rPr>
        <w:t>least</w:t>
      </w:r>
      <w:r>
        <w:rPr>
          <w:color w:val="4D4D4F"/>
          <w:spacing w:val="-5"/>
          <w:w w:val="110"/>
          <w:sz w:val="18"/>
        </w:rPr>
        <w:t> </w:t>
      </w:r>
      <w:r>
        <w:rPr>
          <w:color w:val="4D4D4F"/>
          <w:w w:val="110"/>
          <w:sz w:val="18"/>
        </w:rPr>
        <w:t>10</w:t>
      </w:r>
      <w:r>
        <w:rPr>
          <w:color w:val="4D4D4F"/>
          <w:spacing w:val="-4"/>
          <w:w w:val="110"/>
          <w:sz w:val="18"/>
        </w:rPr>
        <w:t> </w:t>
      </w:r>
      <w:r>
        <w:rPr>
          <w:color w:val="4D4D4F"/>
          <w:w w:val="110"/>
          <w:sz w:val="18"/>
        </w:rPr>
        <w:t>minutes.</w:t>
      </w:r>
      <w:r>
        <w:rPr>
          <w:color w:val="4D4D4F"/>
          <w:spacing w:val="-4"/>
          <w:w w:val="110"/>
          <w:sz w:val="18"/>
        </w:rPr>
        <w:t> </w:t>
      </w:r>
      <w:r>
        <w:rPr>
          <w:color w:val="4D4D4F"/>
          <w:w w:val="110"/>
          <w:sz w:val="18"/>
        </w:rPr>
        <w:t>Do</w:t>
      </w:r>
      <w:r>
        <w:rPr>
          <w:color w:val="4D4D4F"/>
          <w:spacing w:val="-5"/>
          <w:w w:val="110"/>
          <w:sz w:val="18"/>
        </w:rPr>
        <w:t> </w:t>
      </w:r>
      <w:r>
        <w:rPr>
          <w:color w:val="4D4D4F"/>
          <w:w w:val="110"/>
          <w:sz w:val="18"/>
        </w:rPr>
        <w:t>not</w:t>
      </w:r>
      <w:r>
        <w:rPr>
          <w:color w:val="4D4D4F"/>
          <w:spacing w:val="-4"/>
          <w:w w:val="110"/>
          <w:sz w:val="18"/>
        </w:rPr>
        <w:t> </w:t>
      </w:r>
      <w:r>
        <w:rPr>
          <w:color w:val="4D4D4F"/>
          <w:w w:val="110"/>
          <w:sz w:val="18"/>
        </w:rPr>
        <w:t>suck</w:t>
      </w:r>
      <w:r>
        <w:rPr>
          <w:color w:val="4D4D4F"/>
          <w:spacing w:val="-5"/>
          <w:w w:val="110"/>
          <w:sz w:val="18"/>
        </w:rPr>
        <w:t> </w:t>
      </w:r>
      <w:r>
        <w:rPr>
          <w:color w:val="4D4D4F"/>
          <w:w w:val="110"/>
          <w:sz w:val="18"/>
        </w:rPr>
        <w:t>on</w:t>
      </w:r>
      <w:r>
        <w:rPr>
          <w:color w:val="4D4D4F"/>
          <w:spacing w:val="-4"/>
          <w:w w:val="110"/>
          <w:sz w:val="18"/>
        </w:rPr>
        <w:t> </w:t>
      </w:r>
      <w:r>
        <w:rPr>
          <w:color w:val="4D4D4F"/>
          <w:w w:val="110"/>
          <w:sz w:val="18"/>
        </w:rPr>
        <w:t>it.*</w:t>
      </w:r>
    </w:p>
    <w:p>
      <w:pPr>
        <w:pStyle w:val="ListParagraph"/>
        <w:numPr>
          <w:ilvl w:val="0"/>
          <w:numId w:val="29"/>
        </w:numPr>
        <w:tabs>
          <w:tab w:pos="320" w:val="left" w:leader="none"/>
        </w:tabs>
        <w:spacing w:line="216" w:lineRule="exact" w:before="0" w:after="0"/>
        <w:ind w:left="320" w:right="0" w:hanging="180"/>
        <w:jc w:val="left"/>
        <w:rPr>
          <w:rFonts w:ascii="Arial" w:hAnsi="Arial"/>
          <w:color w:val="137692"/>
          <w:sz w:val="20"/>
        </w:rPr>
      </w:pPr>
      <w:r>
        <w:rPr>
          <w:color w:val="4D4D4F"/>
          <w:w w:val="110"/>
          <w:sz w:val="18"/>
        </w:rPr>
        <w:t>Do</w:t>
      </w:r>
      <w:r>
        <w:rPr>
          <w:color w:val="4D4D4F"/>
          <w:spacing w:val="-5"/>
          <w:w w:val="110"/>
          <w:sz w:val="18"/>
        </w:rPr>
        <w:t> </w:t>
      </w:r>
      <w:r>
        <w:rPr>
          <w:color w:val="4D4D4F"/>
          <w:w w:val="110"/>
          <w:sz w:val="18"/>
        </w:rPr>
        <w:t>not</w:t>
      </w:r>
      <w:r>
        <w:rPr>
          <w:color w:val="4D4D4F"/>
          <w:spacing w:val="-5"/>
          <w:w w:val="110"/>
          <w:sz w:val="18"/>
        </w:rPr>
        <w:t> </w:t>
      </w:r>
      <w:r>
        <w:rPr>
          <w:color w:val="4D4D4F"/>
          <w:w w:val="110"/>
          <w:sz w:val="18"/>
        </w:rPr>
        <w:t>eat,</w:t>
      </w:r>
      <w:r>
        <w:rPr>
          <w:color w:val="4D4D4F"/>
          <w:spacing w:val="-5"/>
          <w:w w:val="110"/>
          <w:sz w:val="18"/>
        </w:rPr>
        <w:t> </w:t>
      </w:r>
      <w:r>
        <w:rPr>
          <w:color w:val="4D4D4F"/>
          <w:w w:val="110"/>
          <w:sz w:val="18"/>
        </w:rPr>
        <w:t>drink,</w:t>
      </w:r>
      <w:r>
        <w:rPr>
          <w:color w:val="4D4D4F"/>
          <w:spacing w:val="-5"/>
          <w:w w:val="110"/>
          <w:sz w:val="18"/>
        </w:rPr>
        <w:t> </w:t>
      </w:r>
      <w:r>
        <w:rPr>
          <w:color w:val="4D4D4F"/>
          <w:w w:val="110"/>
          <w:sz w:val="18"/>
        </w:rPr>
        <w:t>or</w:t>
      </w:r>
      <w:r>
        <w:rPr>
          <w:color w:val="4D4D4F"/>
          <w:spacing w:val="-5"/>
          <w:w w:val="110"/>
          <w:sz w:val="18"/>
        </w:rPr>
        <w:t> </w:t>
      </w:r>
      <w:r>
        <w:rPr>
          <w:color w:val="4D4D4F"/>
          <w:w w:val="110"/>
          <w:sz w:val="18"/>
        </w:rPr>
        <w:t>smoke</w:t>
      </w:r>
      <w:r>
        <w:rPr>
          <w:color w:val="4D4D4F"/>
          <w:spacing w:val="-4"/>
          <w:w w:val="110"/>
          <w:sz w:val="18"/>
        </w:rPr>
        <w:t> </w:t>
      </w:r>
      <w:r>
        <w:rPr>
          <w:color w:val="4D4D4F"/>
          <w:w w:val="110"/>
          <w:sz w:val="18"/>
        </w:rPr>
        <w:t>cigarettes</w:t>
      </w:r>
      <w:r>
        <w:rPr>
          <w:color w:val="4D4D4F"/>
          <w:spacing w:val="-5"/>
          <w:w w:val="110"/>
          <w:sz w:val="18"/>
        </w:rPr>
        <w:t> </w:t>
      </w:r>
      <w:r>
        <w:rPr>
          <w:color w:val="4D4D4F"/>
          <w:w w:val="110"/>
          <w:sz w:val="18"/>
        </w:rPr>
        <w:t>for</w:t>
      </w:r>
      <w:r>
        <w:rPr>
          <w:color w:val="4D4D4F"/>
          <w:spacing w:val="-5"/>
          <w:w w:val="110"/>
          <w:sz w:val="18"/>
        </w:rPr>
        <w:t> </w:t>
      </w:r>
      <w:r>
        <w:rPr>
          <w:color w:val="4D4D4F"/>
          <w:w w:val="110"/>
          <w:sz w:val="18"/>
        </w:rPr>
        <w:t>30</w:t>
      </w:r>
      <w:r>
        <w:rPr>
          <w:color w:val="4D4D4F"/>
          <w:spacing w:val="-5"/>
          <w:w w:val="110"/>
          <w:sz w:val="18"/>
        </w:rPr>
        <w:t> </w:t>
      </w:r>
      <w:r>
        <w:rPr>
          <w:color w:val="4D4D4F"/>
          <w:w w:val="110"/>
          <w:sz w:val="18"/>
        </w:rPr>
        <w:t>minutes</w:t>
      </w:r>
      <w:r>
        <w:rPr>
          <w:color w:val="4D4D4F"/>
          <w:spacing w:val="-5"/>
          <w:w w:val="110"/>
          <w:sz w:val="18"/>
        </w:rPr>
        <w:t> </w:t>
      </w:r>
      <w:r>
        <w:rPr>
          <w:color w:val="4D4D4F"/>
          <w:w w:val="110"/>
          <w:sz w:val="18"/>
        </w:rPr>
        <w:t>after</w:t>
      </w:r>
      <w:r>
        <w:rPr>
          <w:color w:val="4D4D4F"/>
          <w:spacing w:val="-5"/>
          <w:w w:val="110"/>
          <w:sz w:val="18"/>
        </w:rPr>
        <w:t> </w:t>
      </w:r>
      <w:r>
        <w:rPr>
          <w:color w:val="4D4D4F"/>
          <w:w w:val="110"/>
          <w:sz w:val="18"/>
        </w:rPr>
        <w:t>you</w:t>
      </w:r>
      <w:r>
        <w:rPr>
          <w:color w:val="4D4D4F"/>
          <w:spacing w:val="-4"/>
          <w:w w:val="110"/>
          <w:sz w:val="18"/>
        </w:rPr>
        <w:t> </w:t>
      </w:r>
      <w:r>
        <w:rPr>
          <w:color w:val="4D4D4F"/>
          <w:w w:val="110"/>
          <w:sz w:val="18"/>
        </w:rPr>
        <w:t>take</w:t>
      </w:r>
      <w:r>
        <w:rPr>
          <w:color w:val="4D4D4F"/>
          <w:spacing w:val="-5"/>
          <w:w w:val="110"/>
          <w:sz w:val="18"/>
        </w:rPr>
        <w:t> </w:t>
      </w:r>
      <w:r>
        <w:rPr>
          <w:color w:val="4D4D4F"/>
          <w:w w:val="110"/>
          <w:sz w:val="18"/>
        </w:rPr>
        <w:t>your</w:t>
      </w:r>
      <w:r>
        <w:rPr>
          <w:color w:val="4D4D4F"/>
          <w:spacing w:val="-5"/>
          <w:w w:val="110"/>
          <w:sz w:val="18"/>
        </w:rPr>
        <w:t> </w:t>
      </w:r>
      <w:r>
        <w:rPr>
          <w:color w:val="4D4D4F"/>
          <w:w w:val="110"/>
          <w:sz w:val="18"/>
        </w:rPr>
        <w:t>medication.</w:t>
      </w:r>
    </w:p>
    <w:p>
      <w:pPr>
        <w:pStyle w:val="ListParagraph"/>
        <w:numPr>
          <w:ilvl w:val="0"/>
          <w:numId w:val="29"/>
        </w:numPr>
        <w:tabs>
          <w:tab w:pos="320" w:val="left" w:leader="none"/>
        </w:tabs>
        <w:spacing w:line="223" w:lineRule="exact" w:before="0" w:after="0"/>
        <w:ind w:left="320" w:right="0" w:hanging="180"/>
        <w:jc w:val="left"/>
        <w:rPr>
          <w:rFonts w:ascii="Arial" w:hAnsi="Arial"/>
          <w:color w:val="137692"/>
          <w:sz w:val="20"/>
        </w:rPr>
      </w:pPr>
      <w:r>
        <w:rPr>
          <w:color w:val="4D4D4F"/>
          <w:w w:val="110"/>
          <w:sz w:val="18"/>
        </w:rPr>
        <w:t>Wait 2 hours between each</w:t>
      </w:r>
      <w:r>
        <w:rPr>
          <w:color w:val="4D4D4F"/>
          <w:spacing w:val="-25"/>
          <w:w w:val="110"/>
          <w:sz w:val="18"/>
        </w:rPr>
        <w:t> </w:t>
      </w:r>
      <w:r>
        <w:rPr>
          <w:color w:val="4D4D4F"/>
          <w:w w:val="110"/>
          <w:sz w:val="18"/>
        </w:rPr>
        <w:t>dose.</w:t>
      </w:r>
    </w:p>
    <w:p>
      <w:pPr>
        <w:tabs>
          <w:tab w:pos="5641" w:val="left" w:leader="none"/>
        </w:tabs>
        <w:spacing w:line="331" w:lineRule="auto" w:before="96"/>
        <w:ind w:left="140" w:right="885" w:firstLine="0"/>
        <w:jc w:val="left"/>
        <w:rPr>
          <w:sz w:val="18"/>
        </w:rPr>
      </w:pPr>
      <w:r>
        <w:rPr>
          <w:color w:val="4D4D4F"/>
          <w:w w:val="110"/>
          <w:sz w:val="18"/>
        </w:rPr>
        <w:t>The maximum dose is 16 mg/4 mg. If you reach this dose, you cannot increase further without calling the ofﬁce </w:t>
      </w:r>
      <w:r>
        <w:rPr>
          <w:color w:val="4D4D4F"/>
          <w:spacing w:val="-3"/>
          <w:w w:val="110"/>
          <w:sz w:val="18"/>
        </w:rPr>
        <w:t>ﬁrst. </w:t>
      </w:r>
      <w:r>
        <w:rPr>
          <w:color w:val="4D4D4F"/>
          <w:w w:val="110"/>
          <w:sz w:val="18"/>
        </w:rPr>
        <w:t>The ofﬁce phone</w:t>
      </w:r>
      <w:r>
        <w:rPr>
          <w:color w:val="4D4D4F"/>
          <w:spacing w:val="-8"/>
          <w:w w:val="110"/>
          <w:sz w:val="18"/>
        </w:rPr>
        <w:t> </w:t>
      </w:r>
      <w:r>
        <w:rPr>
          <w:color w:val="4D4D4F"/>
          <w:w w:val="110"/>
          <w:sz w:val="18"/>
        </w:rPr>
        <w:t>number</w:t>
      </w:r>
      <w:r>
        <w:rPr>
          <w:color w:val="4D4D4F"/>
          <w:spacing w:val="-3"/>
          <w:w w:val="110"/>
          <w:sz w:val="18"/>
        </w:rPr>
        <w:t> </w:t>
      </w:r>
      <w:r>
        <w:rPr>
          <w:color w:val="4D4D4F"/>
          <w:w w:val="110"/>
          <w:sz w:val="18"/>
        </w:rPr>
        <w:t>is</w:t>
      </w:r>
      <w:r>
        <w:rPr>
          <w:color w:val="4D4D4F"/>
          <w:w w:val="110"/>
          <w:sz w:val="18"/>
          <w:u w:val="single" w:color="7F8184"/>
        </w:rPr>
        <w:t> </w:t>
        <w:tab/>
      </w:r>
      <w:r>
        <w:rPr>
          <w:color w:val="4D4D4F"/>
          <w:w w:val="110"/>
          <w:sz w:val="18"/>
        </w:rPr>
        <w:t>[insert phone</w:t>
      </w:r>
      <w:r>
        <w:rPr>
          <w:color w:val="4D4D4F"/>
          <w:spacing w:val="-11"/>
          <w:w w:val="110"/>
          <w:sz w:val="18"/>
        </w:rPr>
        <w:t> </w:t>
      </w:r>
      <w:r>
        <w:rPr>
          <w:color w:val="4D4D4F"/>
          <w:w w:val="110"/>
          <w:sz w:val="18"/>
        </w:rPr>
        <w:t>number].</w:t>
      </w:r>
    </w:p>
    <w:p>
      <w:pPr>
        <w:pStyle w:val="BodyText"/>
        <w:rPr>
          <w:sz w:val="20"/>
        </w:rPr>
      </w:pPr>
    </w:p>
    <w:p>
      <w:pPr>
        <w:pStyle w:val="BodyText"/>
        <w:spacing w:before="3"/>
        <w:rPr>
          <w:sz w:val="24"/>
        </w:rPr>
      </w:pPr>
    </w:p>
    <w:p>
      <w:pPr>
        <w:tabs>
          <w:tab w:pos="6262" w:val="left" w:leader="none"/>
        </w:tabs>
        <w:spacing w:before="0"/>
        <w:ind w:left="417" w:right="0" w:firstLine="0"/>
        <w:jc w:val="left"/>
        <w:rPr>
          <w:sz w:val="18"/>
        </w:rPr>
      </w:pPr>
      <w:r>
        <w:rPr/>
        <w:pict>
          <v:rect style="position:absolute;margin-left:54.125pt;margin-top:-11.98394pt;width:503.751pt;height:311.991pt;mso-position-horizontal-relative:page;mso-position-vertical-relative:paragraph;z-index:-19535872" filled="false" stroked="true" strokeweight=".5pt" strokecolor="#377f9a">
            <v:stroke dashstyle="solid"/>
            <w10:wrap type="none"/>
          </v:rect>
        </w:pict>
      </w:r>
      <w:r>
        <w:rPr>
          <w:rFonts w:ascii="Calibri" w:hAnsi="Calibri"/>
          <w:b/>
          <w:color w:val="4D4D4F"/>
          <w:w w:val="110"/>
          <w:sz w:val="18"/>
        </w:rPr>
        <w:t>Day</w:t>
      </w:r>
      <w:r>
        <w:rPr>
          <w:rFonts w:ascii="Calibri" w:hAnsi="Calibri"/>
          <w:b/>
          <w:color w:val="4D4D4F"/>
          <w:spacing w:val="15"/>
          <w:w w:val="110"/>
          <w:sz w:val="18"/>
        </w:rPr>
        <w:t> </w:t>
      </w:r>
      <w:r>
        <w:rPr>
          <w:rFonts w:ascii="Calibri" w:hAnsi="Calibri"/>
          <w:b/>
          <w:color w:val="4D4D4F"/>
          <w:w w:val="110"/>
          <w:sz w:val="18"/>
        </w:rPr>
        <w:t>1</w:t>
      </w:r>
      <w:r>
        <w:rPr>
          <w:rFonts w:ascii="Calibri" w:hAnsi="Calibri"/>
          <w:b/>
          <w:color w:val="4D4D4F"/>
          <w:spacing w:val="15"/>
          <w:w w:val="110"/>
          <w:sz w:val="18"/>
        </w:rPr>
        <w:t> </w:t>
      </w:r>
      <w:r>
        <w:rPr>
          <w:rFonts w:ascii="Calibri" w:hAnsi="Calibri"/>
          <w:b/>
          <w:color w:val="4D4D4F"/>
          <w:w w:val="110"/>
          <w:sz w:val="18"/>
        </w:rPr>
        <w:t>Induction</w:t>
      </w:r>
      <w:r>
        <w:rPr>
          <w:rFonts w:ascii="Calibri" w:hAnsi="Calibri"/>
          <w:b/>
          <w:color w:val="4D4D4F"/>
          <w:spacing w:val="15"/>
          <w:w w:val="110"/>
          <w:sz w:val="18"/>
        </w:rPr>
        <w:t> </w:t>
      </w:r>
      <w:r>
        <w:rPr>
          <w:rFonts w:ascii="Calibri" w:hAnsi="Calibri"/>
          <w:b/>
          <w:color w:val="4D4D4F"/>
          <w:w w:val="110"/>
          <w:sz w:val="18"/>
        </w:rPr>
        <w:t>Day</w:t>
      </w:r>
      <w:r>
        <w:rPr>
          <w:rFonts w:ascii="Calibri" w:hAnsi="Calibri"/>
          <w:b/>
          <w:color w:val="4D4D4F"/>
          <w:spacing w:val="15"/>
          <w:w w:val="110"/>
          <w:sz w:val="18"/>
        </w:rPr>
        <w:t> </w:t>
      </w:r>
      <w:r>
        <w:rPr>
          <w:rFonts w:ascii="Calibri" w:hAnsi="Calibri"/>
          <w:b/>
          <w:color w:val="4D4D4F"/>
          <w:w w:val="110"/>
          <w:sz w:val="18"/>
        </w:rPr>
        <w:t>(In</w:t>
      </w:r>
      <w:r>
        <w:rPr>
          <w:rFonts w:ascii="Calibri" w:hAnsi="Calibri"/>
          <w:b/>
          <w:color w:val="4D4D4F"/>
          <w:spacing w:val="16"/>
          <w:w w:val="110"/>
          <w:sz w:val="18"/>
        </w:rPr>
        <w:t> </w:t>
      </w:r>
      <w:r>
        <w:rPr>
          <w:rFonts w:ascii="Calibri" w:hAnsi="Calibri"/>
          <w:b/>
          <w:color w:val="4D4D4F"/>
          <w:w w:val="110"/>
          <w:sz w:val="18"/>
        </w:rPr>
        <w:t>Ofﬁce):</w:t>
      </w:r>
      <w:r>
        <w:rPr>
          <w:rFonts w:ascii="Calibri" w:hAnsi="Calibri"/>
          <w:b/>
          <w:color w:val="4D4D4F"/>
          <w:spacing w:val="11"/>
          <w:w w:val="110"/>
          <w:sz w:val="18"/>
        </w:rPr>
        <w:t> </w:t>
      </w:r>
      <w:r>
        <w:rPr>
          <w:color w:val="4D4D4F"/>
          <w:spacing w:val="-7"/>
          <w:w w:val="110"/>
          <w:sz w:val="18"/>
        </w:rPr>
        <w:t>You</w:t>
      </w:r>
      <w:r>
        <w:rPr>
          <w:color w:val="4D4D4F"/>
          <w:spacing w:val="2"/>
          <w:w w:val="110"/>
          <w:sz w:val="18"/>
        </w:rPr>
        <w:t> </w:t>
      </w:r>
      <w:r>
        <w:rPr>
          <w:color w:val="4D4D4F"/>
          <w:w w:val="110"/>
          <w:sz w:val="18"/>
        </w:rPr>
        <w:t>have</w:t>
      </w:r>
      <w:r>
        <w:rPr>
          <w:color w:val="4D4D4F"/>
          <w:spacing w:val="2"/>
          <w:w w:val="110"/>
          <w:sz w:val="18"/>
        </w:rPr>
        <w:t> </w:t>
      </w:r>
      <w:r>
        <w:rPr>
          <w:color w:val="4D4D4F"/>
          <w:w w:val="110"/>
          <w:sz w:val="18"/>
        </w:rPr>
        <w:t>taken</w:t>
      </w:r>
      <w:r>
        <w:rPr>
          <w:color w:val="4D4D4F"/>
          <w:spacing w:val="2"/>
          <w:w w:val="110"/>
          <w:sz w:val="18"/>
        </w:rPr>
        <w:t> </w:t>
      </w:r>
      <w:r>
        <w:rPr>
          <w:color w:val="4D4D4F"/>
          <w:w w:val="110"/>
          <w:sz w:val="18"/>
        </w:rPr>
        <w:t>a</w:t>
      </w:r>
      <w:r>
        <w:rPr>
          <w:color w:val="4D4D4F"/>
          <w:spacing w:val="2"/>
          <w:w w:val="110"/>
          <w:sz w:val="18"/>
        </w:rPr>
        <w:t> </w:t>
      </w:r>
      <w:r>
        <w:rPr>
          <w:color w:val="4D4D4F"/>
          <w:w w:val="110"/>
          <w:sz w:val="18"/>
        </w:rPr>
        <w:t>total</w:t>
      </w:r>
      <w:r>
        <w:rPr>
          <w:color w:val="4D4D4F"/>
          <w:spacing w:val="2"/>
          <w:w w:val="110"/>
          <w:sz w:val="18"/>
        </w:rPr>
        <w:t> </w:t>
      </w:r>
      <w:r>
        <w:rPr>
          <w:color w:val="4D4D4F"/>
          <w:w w:val="110"/>
          <w:sz w:val="18"/>
        </w:rPr>
        <w:t>dose</w:t>
      </w:r>
      <w:r>
        <w:rPr>
          <w:color w:val="4D4D4F"/>
          <w:spacing w:val="2"/>
          <w:w w:val="110"/>
          <w:sz w:val="18"/>
        </w:rPr>
        <w:t> </w:t>
      </w:r>
      <w:r>
        <w:rPr>
          <w:color w:val="4D4D4F"/>
          <w:w w:val="110"/>
          <w:sz w:val="18"/>
        </w:rPr>
        <w:t>of</w:t>
      </w:r>
      <w:r>
        <w:rPr>
          <w:color w:val="4D4D4F"/>
          <w:w w:val="110"/>
          <w:sz w:val="18"/>
          <w:u w:val="single" w:color="7F8184"/>
        </w:rPr>
        <w:t> </w:t>
        <w:tab/>
      </w:r>
      <w:r>
        <w:rPr>
          <w:color w:val="4D4D4F"/>
          <w:w w:val="110"/>
          <w:sz w:val="18"/>
        </w:rPr>
        <w:t>mg.</w:t>
      </w:r>
    </w:p>
    <w:p>
      <w:pPr>
        <w:pStyle w:val="BodyText"/>
        <w:spacing w:before="6"/>
        <w:rPr>
          <w:sz w:val="19"/>
        </w:rPr>
      </w:pPr>
    </w:p>
    <w:p>
      <w:pPr>
        <w:tabs>
          <w:tab w:pos="6285" w:val="left" w:leader="none"/>
        </w:tabs>
        <w:spacing w:before="0"/>
        <w:ind w:left="417" w:right="0" w:firstLine="0"/>
        <w:jc w:val="left"/>
        <w:rPr>
          <w:sz w:val="18"/>
        </w:rPr>
      </w:pPr>
      <w:r>
        <w:rPr>
          <w:rFonts w:ascii="Calibri"/>
          <w:b/>
          <w:color w:val="4D4D4F"/>
          <w:w w:val="110"/>
          <w:sz w:val="18"/>
        </w:rPr>
        <w:t>Day 2 in the Morning: </w:t>
      </w:r>
      <w:r>
        <w:rPr>
          <w:color w:val="4D4D4F"/>
          <w:spacing w:val="-5"/>
          <w:w w:val="110"/>
          <w:sz w:val="18"/>
        </w:rPr>
        <w:t>Take </w:t>
      </w:r>
      <w:r>
        <w:rPr>
          <w:color w:val="4D4D4F"/>
          <w:w w:val="110"/>
          <w:sz w:val="18"/>
        </w:rPr>
        <w:t>the total dose you took on </w:t>
      </w:r>
      <w:r>
        <w:rPr>
          <w:rFonts w:ascii="Calibri"/>
          <w:b/>
          <w:color w:val="4D4D4F"/>
          <w:w w:val="110"/>
          <w:sz w:val="18"/>
        </w:rPr>
        <w:t>Day </w:t>
      </w:r>
      <w:r>
        <w:rPr>
          <w:rFonts w:ascii="Calibri"/>
          <w:b/>
          <w:color w:val="4D4D4F"/>
          <w:spacing w:val="21"/>
          <w:w w:val="110"/>
          <w:sz w:val="18"/>
        </w:rPr>
        <w:t> </w:t>
      </w:r>
      <w:r>
        <w:rPr>
          <w:rFonts w:ascii="Calibri"/>
          <w:b/>
          <w:color w:val="4D4D4F"/>
          <w:w w:val="110"/>
          <w:sz w:val="18"/>
        </w:rPr>
        <w:t>1</w:t>
      </w:r>
      <w:r>
        <w:rPr>
          <w:rFonts w:ascii="Calibri"/>
          <w:b/>
          <w:color w:val="4D4D4F"/>
          <w:spacing w:val="12"/>
          <w:w w:val="110"/>
          <w:sz w:val="18"/>
        </w:rPr>
        <w:t> </w:t>
      </w:r>
      <w:r>
        <w:rPr>
          <w:color w:val="4D4D4F"/>
          <w:w w:val="110"/>
          <w:sz w:val="18"/>
        </w:rPr>
        <w:t>=</w:t>
      </w:r>
      <w:r>
        <w:rPr>
          <w:color w:val="4D4D4F"/>
          <w:w w:val="110"/>
          <w:sz w:val="18"/>
          <w:u w:val="single" w:color="7F8184"/>
        </w:rPr>
        <w:t> </w:t>
        <w:tab/>
      </w:r>
      <w:r>
        <w:rPr>
          <w:color w:val="4D4D4F"/>
          <w:w w:val="110"/>
          <w:sz w:val="18"/>
        </w:rPr>
        <w:t>mg.</w:t>
      </w:r>
    </w:p>
    <w:p>
      <w:pPr>
        <w:pStyle w:val="ListParagraph"/>
        <w:numPr>
          <w:ilvl w:val="0"/>
          <w:numId w:val="40"/>
        </w:numPr>
        <w:tabs>
          <w:tab w:pos="868" w:val="left" w:leader="none"/>
        </w:tabs>
        <w:spacing w:line="223" w:lineRule="exact" w:before="71" w:after="0"/>
        <w:ind w:left="867" w:right="0" w:hanging="181"/>
        <w:jc w:val="left"/>
        <w:rPr>
          <w:sz w:val="18"/>
        </w:rPr>
      </w:pPr>
      <w:r>
        <w:rPr>
          <w:color w:val="4D4D4F"/>
          <w:w w:val="110"/>
          <w:sz w:val="18"/>
        </w:rPr>
        <w:t>If</w:t>
      </w:r>
      <w:r>
        <w:rPr>
          <w:color w:val="4D4D4F"/>
          <w:spacing w:val="-4"/>
          <w:w w:val="110"/>
          <w:sz w:val="18"/>
        </w:rPr>
        <w:t> </w:t>
      </w:r>
      <w:r>
        <w:rPr>
          <w:color w:val="4D4D4F"/>
          <w:w w:val="110"/>
          <w:sz w:val="18"/>
        </w:rPr>
        <w:t>you</w:t>
      </w:r>
      <w:r>
        <w:rPr>
          <w:color w:val="4D4D4F"/>
          <w:spacing w:val="-4"/>
          <w:w w:val="110"/>
          <w:sz w:val="18"/>
        </w:rPr>
        <w:t> </w:t>
      </w:r>
      <w:r>
        <w:rPr>
          <w:color w:val="4D4D4F"/>
          <w:w w:val="110"/>
          <w:sz w:val="18"/>
        </w:rPr>
        <w:t>experience</w:t>
      </w:r>
      <w:r>
        <w:rPr>
          <w:color w:val="4D4D4F"/>
          <w:spacing w:val="-3"/>
          <w:w w:val="110"/>
          <w:sz w:val="18"/>
        </w:rPr>
        <w:t> </w:t>
      </w:r>
      <w:r>
        <w:rPr>
          <w:color w:val="4D4D4F"/>
          <w:w w:val="110"/>
          <w:sz w:val="18"/>
        </w:rPr>
        <w:t>withdrawal</w:t>
      </w:r>
      <w:r>
        <w:rPr>
          <w:color w:val="4D4D4F"/>
          <w:spacing w:val="-4"/>
          <w:w w:val="110"/>
          <w:sz w:val="18"/>
        </w:rPr>
        <w:t> </w:t>
      </w:r>
      <w:r>
        <w:rPr>
          <w:color w:val="4D4D4F"/>
          <w:w w:val="110"/>
          <w:sz w:val="18"/>
        </w:rPr>
        <w:t>2</w:t>
      </w:r>
      <w:r>
        <w:rPr>
          <w:color w:val="4D4D4F"/>
          <w:spacing w:val="-3"/>
          <w:w w:val="110"/>
          <w:sz w:val="18"/>
        </w:rPr>
        <w:t> </w:t>
      </w:r>
      <w:r>
        <w:rPr>
          <w:color w:val="4D4D4F"/>
          <w:w w:val="110"/>
          <w:sz w:val="18"/>
        </w:rPr>
        <w:t>hours</w:t>
      </w:r>
      <w:r>
        <w:rPr>
          <w:color w:val="4D4D4F"/>
          <w:spacing w:val="-4"/>
          <w:w w:val="110"/>
          <w:sz w:val="18"/>
        </w:rPr>
        <w:t> </w:t>
      </w:r>
      <w:r>
        <w:rPr>
          <w:color w:val="4D4D4F"/>
          <w:spacing w:val="-3"/>
          <w:w w:val="110"/>
          <w:sz w:val="18"/>
        </w:rPr>
        <w:t>later, </w:t>
      </w:r>
      <w:r>
        <w:rPr>
          <w:color w:val="4D4D4F"/>
          <w:w w:val="110"/>
          <w:sz w:val="18"/>
        </w:rPr>
        <w:t>you</w:t>
      </w:r>
      <w:r>
        <w:rPr>
          <w:color w:val="4D4D4F"/>
          <w:spacing w:val="-4"/>
          <w:w w:val="110"/>
          <w:sz w:val="18"/>
        </w:rPr>
        <w:t> </w:t>
      </w:r>
      <w:r>
        <w:rPr>
          <w:color w:val="4D4D4F"/>
          <w:w w:val="110"/>
          <w:sz w:val="18"/>
        </w:rPr>
        <w:t>may</w:t>
      </w:r>
      <w:r>
        <w:rPr>
          <w:color w:val="4D4D4F"/>
          <w:spacing w:val="-3"/>
          <w:w w:val="110"/>
          <w:sz w:val="18"/>
        </w:rPr>
        <w:t> </w:t>
      </w:r>
      <w:r>
        <w:rPr>
          <w:color w:val="4D4D4F"/>
          <w:w w:val="110"/>
          <w:sz w:val="18"/>
        </w:rPr>
        <w:t>take</w:t>
      </w:r>
      <w:r>
        <w:rPr>
          <w:color w:val="4D4D4F"/>
          <w:spacing w:val="-4"/>
          <w:w w:val="110"/>
          <w:sz w:val="18"/>
        </w:rPr>
        <w:t> </w:t>
      </w:r>
      <w:r>
        <w:rPr>
          <w:color w:val="4D4D4F"/>
          <w:w w:val="110"/>
          <w:sz w:val="18"/>
        </w:rPr>
        <w:t>one</w:t>
      </w:r>
      <w:r>
        <w:rPr>
          <w:color w:val="4D4D4F"/>
          <w:spacing w:val="-3"/>
          <w:w w:val="110"/>
          <w:sz w:val="18"/>
        </w:rPr>
        <w:t> </w:t>
      </w:r>
      <w:r>
        <w:rPr>
          <w:color w:val="4D4D4F"/>
          <w:w w:val="110"/>
          <w:sz w:val="18"/>
        </w:rPr>
        <w:t>2</w:t>
      </w:r>
      <w:r>
        <w:rPr>
          <w:color w:val="4D4D4F"/>
          <w:spacing w:val="-4"/>
          <w:w w:val="110"/>
          <w:sz w:val="18"/>
        </w:rPr>
        <w:t> </w:t>
      </w:r>
      <w:r>
        <w:rPr>
          <w:color w:val="4D4D4F"/>
          <w:w w:val="110"/>
          <w:sz w:val="18"/>
        </w:rPr>
        <w:t>mg/0.5</w:t>
      </w:r>
      <w:r>
        <w:rPr>
          <w:color w:val="4D4D4F"/>
          <w:spacing w:val="-3"/>
          <w:w w:val="110"/>
          <w:sz w:val="18"/>
        </w:rPr>
        <w:t> </w:t>
      </w:r>
      <w:r>
        <w:rPr>
          <w:color w:val="4D4D4F"/>
          <w:w w:val="110"/>
          <w:sz w:val="18"/>
        </w:rPr>
        <w:t>mg</w:t>
      </w:r>
      <w:r>
        <w:rPr>
          <w:color w:val="4D4D4F"/>
          <w:spacing w:val="-4"/>
          <w:w w:val="110"/>
          <w:sz w:val="18"/>
        </w:rPr>
        <w:t> </w:t>
      </w:r>
      <w:r>
        <w:rPr>
          <w:color w:val="4D4D4F"/>
          <w:w w:val="110"/>
          <w:sz w:val="18"/>
        </w:rPr>
        <w:t>ﬁlm</w:t>
      </w:r>
      <w:r>
        <w:rPr>
          <w:color w:val="4D4D4F"/>
          <w:spacing w:val="-3"/>
          <w:w w:val="110"/>
          <w:sz w:val="18"/>
        </w:rPr>
        <w:t> </w:t>
      </w:r>
      <w:r>
        <w:rPr>
          <w:color w:val="4D4D4F"/>
          <w:w w:val="110"/>
          <w:sz w:val="18"/>
        </w:rPr>
        <w:t>or</w:t>
      </w:r>
      <w:r>
        <w:rPr>
          <w:color w:val="4D4D4F"/>
          <w:spacing w:val="-4"/>
          <w:w w:val="110"/>
          <w:sz w:val="18"/>
        </w:rPr>
        <w:t> </w:t>
      </w:r>
      <w:r>
        <w:rPr>
          <w:color w:val="4D4D4F"/>
          <w:w w:val="110"/>
          <w:sz w:val="18"/>
        </w:rPr>
        <w:t>tablet.</w:t>
      </w:r>
    </w:p>
    <w:p>
      <w:pPr>
        <w:pStyle w:val="ListParagraph"/>
        <w:numPr>
          <w:ilvl w:val="0"/>
          <w:numId w:val="40"/>
        </w:numPr>
        <w:tabs>
          <w:tab w:pos="868" w:val="left" w:leader="none"/>
          <w:tab w:pos="6812" w:val="left" w:leader="none"/>
        </w:tabs>
        <w:spacing w:line="216" w:lineRule="exact" w:before="0" w:after="0"/>
        <w:ind w:left="867" w:right="0" w:hanging="181"/>
        <w:jc w:val="left"/>
        <w:rPr>
          <w:sz w:val="18"/>
        </w:rPr>
      </w:pPr>
      <w:r>
        <w:rPr>
          <w:color w:val="4D4D4F"/>
          <w:w w:val="110"/>
          <w:sz w:val="18"/>
        </w:rPr>
        <w:t>Record your</w:t>
      </w:r>
      <w:r>
        <w:rPr>
          <w:color w:val="4D4D4F"/>
          <w:spacing w:val="-21"/>
          <w:w w:val="110"/>
          <w:sz w:val="18"/>
        </w:rPr>
        <w:t> </w:t>
      </w:r>
      <w:r>
        <w:rPr>
          <w:color w:val="4D4D4F"/>
          <w:w w:val="110"/>
          <w:sz w:val="18"/>
        </w:rPr>
        <w:t>withdrawal</w:t>
      </w:r>
      <w:r>
        <w:rPr>
          <w:color w:val="4D4D4F"/>
          <w:spacing w:val="-10"/>
          <w:w w:val="110"/>
          <w:sz w:val="18"/>
        </w:rPr>
        <w:t> </w:t>
      </w:r>
      <w:r>
        <w:rPr>
          <w:color w:val="4D4D4F"/>
          <w:w w:val="110"/>
          <w:sz w:val="18"/>
        </w:rPr>
        <w:t>symptoms:</w:t>
      </w:r>
      <w:r>
        <w:rPr>
          <w:color w:val="4D4D4F"/>
          <w:w w:val="110"/>
          <w:sz w:val="18"/>
          <w:u w:val="single" w:color="7F8184"/>
        </w:rPr>
        <w:t> </w:t>
        <w:tab/>
      </w:r>
      <w:r>
        <w:rPr>
          <w:color w:val="4D4D4F"/>
          <w:w w:val="110"/>
          <w:sz w:val="18"/>
        </w:rPr>
        <w:t>.</w:t>
      </w:r>
    </w:p>
    <w:p>
      <w:pPr>
        <w:pStyle w:val="ListParagraph"/>
        <w:numPr>
          <w:ilvl w:val="0"/>
          <w:numId w:val="40"/>
        </w:numPr>
        <w:tabs>
          <w:tab w:pos="868" w:val="left" w:leader="none"/>
        </w:tabs>
        <w:spacing w:line="216" w:lineRule="exact" w:before="0" w:after="0"/>
        <w:ind w:left="867" w:right="0" w:hanging="181"/>
        <w:jc w:val="left"/>
        <w:rPr>
          <w:sz w:val="18"/>
        </w:rPr>
      </w:pPr>
      <w:r>
        <w:rPr>
          <w:color w:val="4D4D4F"/>
          <w:w w:val="110"/>
          <w:sz w:val="18"/>
        </w:rPr>
        <w:t>If</w:t>
      </w:r>
      <w:r>
        <w:rPr>
          <w:color w:val="4D4D4F"/>
          <w:spacing w:val="-3"/>
          <w:w w:val="110"/>
          <w:sz w:val="18"/>
        </w:rPr>
        <w:t> </w:t>
      </w:r>
      <w:r>
        <w:rPr>
          <w:color w:val="4D4D4F"/>
          <w:w w:val="110"/>
          <w:sz w:val="18"/>
        </w:rPr>
        <w:t>you</w:t>
      </w:r>
      <w:r>
        <w:rPr>
          <w:color w:val="4D4D4F"/>
          <w:spacing w:val="-3"/>
          <w:w w:val="110"/>
          <w:sz w:val="18"/>
        </w:rPr>
        <w:t> </w:t>
      </w:r>
      <w:r>
        <w:rPr>
          <w:color w:val="4D4D4F"/>
          <w:w w:val="110"/>
          <w:sz w:val="18"/>
        </w:rPr>
        <w:t>continue</w:t>
      </w:r>
      <w:r>
        <w:rPr>
          <w:color w:val="4D4D4F"/>
          <w:spacing w:val="-3"/>
          <w:w w:val="110"/>
          <w:sz w:val="18"/>
        </w:rPr>
        <w:t> </w:t>
      </w:r>
      <w:r>
        <w:rPr>
          <w:color w:val="4D4D4F"/>
          <w:w w:val="110"/>
          <w:sz w:val="18"/>
        </w:rPr>
        <w:t>to</w:t>
      </w:r>
      <w:r>
        <w:rPr>
          <w:color w:val="4D4D4F"/>
          <w:spacing w:val="-3"/>
          <w:w w:val="110"/>
          <w:sz w:val="18"/>
        </w:rPr>
        <w:t> </w:t>
      </w:r>
      <w:r>
        <w:rPr>
          <w:color w:val="4D4D4F"/>
          <w:w w:val="110"/>
          <w:sz w:val="18"/>
        </w:rPr>
        <w:t>experience</w:t>
      </w:r>
      <w:r>
        <w:rPr>
          <w:color w:val="4D4D4F"/>
          <w:spacing w:val="-3"/>
          <w:w w:val="110"/>
          <w:sz w:val="18"/>
        </w:rPr>
        <w:t> </w:t>
      </w:r>
      <w:r>
        <w:rPr>
          <w:color w:val="4D4D4F"/>
          <w:w w:val="110"/>
          <w:sz w:val="18"/>
        </w:rPr>
        <w:t>withdrawal</w:t>
      </w:r>
      <w:r>
        <w:rPr>
          <w:color w:val="4D4D4F"/>
          <w:spacing w:val="-3"/>
          <w:w w:val="110"/>
          <w:sz w:val="18"/>
        </w:rPr>
        <w:t> </w:t>
      </w:r>
      <w:r>
        <w:rPr>
          <w:color w:val="4D4D4F"/>
          <w:w w:val="110"/>
          <w:sz w:val="18"/>
        </w:rPr>
        <w:t>2</w:t>
      </w:r>
      <w:r>
        <w:rPr>
          <w:color w:val="4D4D4F"/>
          <w:spacing w:val="-3"/>
          <w:w w:val="110"/>
          <w:sz w:val="18"/>
        </w:rPr>
        <w:t> </w:t>
      </w:r>
      <w:r>
        <w:rPr>
          <w:color w:val="4D4D4F"/>
          <w:w w:val="110"/>
          <w:sz w:val="18"/>
        </w:rPr>
        <w:t>hours</w:t>
      </w:r>
      <w:r>
        <w:rPr>
          <w:color w:val="4D4D4F"/>
          <w:spacing w:val="-3"/>
          <w:w w:val="110"/>
          <w:sz w:val="18"/>
        </w:rPr>
        <w:t> later, </w:t>
      </w:r>
      <w:r>
        <w:rPr>
          <w:color w:val="4D4D4F"/>
          <w:w w:val="110"/>
          <w:sz w:val="18"/>
        </w:rPr>
        <w:t>you</w:t>
      </w:r>
      <w:r>
        <w:rPr>
          <w:color w:val="4D4D4F"/>
          <w:spacing w:val="-3"/>
          <w:w w:val="110"/>
          <w:sz w:val="18"/>
        </w:rPr>
        <w:t> </w:t>
      </w:r>
      <w:r>
        <w:rPr>
          <w:color w:val="4D4D4F"/>
          <w:w w:val="110"/>
          <w:sz w:val="18"/>
        </w:rPr>
        <w:t>may</w:t>
      </w:r>
      <w:r>
        <w:rPr>
          <w:color w:val="4D4D4F"/>
          <w:spacing w:val="-3"/>
          <w:w w:val="110"/>
          <w:sz w:val="18"/>
        </w:rPr>
        <w:t> </w:t>
      </w:r>
      <w:r>
        <w:rPr>
          <w:color w:val="4D4D4F"/>
          <w:w w:val="110"/>
          <w:sz w:val="18"/>
        </w:rPr>
        <w:t>take</w:t>
      </w:r>
      <w:r>
        <w:rPr>
          <w:color w:val="4D4D4F"/>
          <w:spacing w:val="-3"/>
          <w:w w:val="110"/>
          <w:sz w:val="18"/>
        </w:rPr>
        <w:t> </w:t>
      </w:r>
      <w:r>
        <w:rPr>
          <w:color w:val="4D4D4F"/>
          <w:w w:val="110"/>
          <w:sz w:val="18"/>
        </w:rPr>
        <w:t>one</w:t>
      </w:r>
      <w:r>
        <w:rPr>
          <w:color w:val="4D4D4F"/>
          <w:spacing w:val="-3"/>
          <w:w w:val="110"/>
          <w:sz w:val="18"/>
        </w:rPr>
        <w:t> </w:t>
      </w:r>
      <w:r>
        <w:rPr>
          <w:color w:val="4D4D4F"/>
          <w:w w:val="110"/>
          <w:sz w:val="18"/>
        </w:rPr>
        <w:t>more</w:t>
      </w:r>
      <w:r>
        <w:rPr>
          <w:color w:val="4D4D4F"/>
          <w:spacing w:val="-3"/>
          <w:w w:val="110"/>
          <w:sz w:val="18"/>
        </w:rPr>
        <w:t> </w:t>
      </w:r>
      <w:r>
        <w:rPr>
          <w:color w:val="4D4D4F"/>
          <w:w w:val="110"/>
          <w:sz w:val="18"/>
        </w:rPr>
        <w:t>2</w:t>
      </w:r>
      <w:r>
        <w:rPr>
          <w:color w:val="4D4D4F"/>
          <w:spacing w:val="-3"/>
          <w:w w:val="110"/>
          <w:sz w:val="18"/>
        </w:rPr>
        <w:t> </w:t>
      </w:r>
      <w:r>
        <w:rPr>
          <w:color w:val="4D4D4F"/>
          <w:w w:val="110"/>
          <w:sz w:val="18"/>
        </w:rPr>
        <w:t>mg/0.5</w:t>
      </w:r>
      <w:r>
        <w:rPr>
          <w:color w:val="4D4D4F"/>
          <w:spacing w:val="-3"/>
          <w:w w:val="110"/>
          <w:sz w:val="18"/>
        </w:rPr>
        <w:t> </w:t>
      </w:r>
      <w:r>
        <w:rPr>
          <w:color w:val="4D4D4F"/>
          <w:w w:val="110"/>
          <w:sz w:val="18"/>
        </w:rPr>
        <w:t>mg</w:t>
      </w:r>
      <w:r>
        <w:rPr>
          <w:color w:val="4D4D4F"/>
          <w:spacing w:val="-3"/>
          <w:w w:val="110"/>
          <w:sz w:val="18"/>
        </w:rPr>
        <w:t> </w:t>
      </w:r>
      <w:r>
        <w:rPr>
          <w:color w:val="4D4D4F"/>
          <w:w w:val="110"/>
          <w:sz w:val="18"/>
        </w:rPr>
        <w:t>ﬁlm</w:t>
      </w:r>
      <w:r>
        <w:rPr>
          <w:color w:val="4D4D4F"/>
          <w:spacing w:val="-3"/>
          <w:w w:val="110"/>
          <w:sz w:val="18"/>
        </w:rPr>
        <w:t> </w:t>
      </w:r>
      <w:r>
        <w:rPr>
          <w:color w:val="4D4D4F"/>
          <w:w w:val="110"/>
          <w:sz w:val="18"/>
        </w:rPr>
        <w:t>or</w:t>
      </w:r>
      <w:r>
        <w:rPr>
          <w:color w:val="4D4D4F"/>
          <w:spacing w:val="-3"/>
          <w:w w:val="110"/>
          <w:sz w:val="18"/>
        </w:rPr>
        <w:t> </w:t>
      </w:r>
      <w:r>
        <w:rPr>
          <w:color w:val="4D4D4F"/>
          <w:w w:val="110"/>
          <w:sz w:val="18"/>
        </w:rPr>
        <w:t>tablet.</w:t>
      </w:r>
    </w:p>
    <w:p>
      <w:pPr>
        <w:pStyle w:val="ListParagraph"/>
        <w:numPr>
          <w:ilvl w:val="0"/>
          <w:numId w:val="40"/>
        </w:numPr>
        <w:tabs>
          <w:tab w:pos="868" w:val="left" w:leader="none"/>
          <w:tab w:pos="6812" w:val="left" w:leader="none"/>
        </w:tabs>
        <w:spacing w:line="223" w:lineRule="exact" w:before="0" w:after="0"/>
        <w:ind w:left="867" w:right="0" w:hanging="181"/>
        <w:jc w:val="left"/>
        <w:rPr>
          <w:sz w:val="18"/>
        </w:rPr>
      </w:pPr>
      <w:r>
        <w:rPr>
          <w:color w:val="4D4D4F"/>
          <w:w w:val="110"/>
          <w:sz w:val="18"/>
        </w:rPr>
        <w:t>Record your</w:t>
      </w:r>
      <w:r>
        <w:rPr>
          <w:color w:val="4D4D4F"/>
          <w:spacing w:val="-21"/>
          <w:w w:val="110"/>
          <w:sz w:val="18"/>
        </w:rPr>
        <w:t> </w:t>
      </w:r>
      <w:r>
        <w:rPr>
          <w:color w:val="4D4D4F"/>
          <w:w w:val="110"/>
          <w:sz w:val="18"/>
        </w:rPr>
        <w:t>withdrawal</w:t>
      </w:r>
      <w:r>
        <w:rPr>
          <w:color w:val="4D4D4F"/>
          <w:spacing w:val="-10"/>
          <w:w w:val="110"/>
          <w:sz w:val="18"/>
        </w:rPr>
        <w:t> </w:t>
      </w:r>
      <w:r>
        <w:rPr>
          <w:color w:val="4D4D4F"/>
          <w:w w:val="110"/>
          <w:sz w:val="18"/>
        </w:rPr>
        <w:t>symptoms:</w:t>
      </w:r>
      <w:r>
        <w:rPr>
          <w:color w:val="4D4D4F"/>
          <w:w w:val="110"/>
          <w:sz w:val="18"/>
          <w:u w:val="single" w:color="7F8184"/>
        </w:rPr>
        <w:t> </w:t>
        <w:tab/>
      </w:r>
      <w:r>
        <w:rPr>
          <w:color w:val="4D4D4F"/>
          <w:w w:val="110"/>
          <w:sz w:val="18"/>
        </w:rPr>
        <w:t>.</w:t>
      </w:r>
    </w:p>
    <w:p>
      <w:pPr>
        <w:tabs>
          <w:tab w:pos="4682" w:val="left" w:leader="none"/>
          <w:tab w:pos="8384" w:val="left" w:leader="none"/>
        </w:tabs>
        <w:spacing w:before="92"/>
        <w:ind w:left="687" w:right="0" w:firstLine="0"/>
        <w:jc w:val="left"/>
        <w:rPr>
          <w:sz w:val="18"/>
        </w:rPr>
      </w:pPr>
      <w:r>
        <w:rPr>
          <w:color w:val="137692"/>
          <w:spacing w:val="-5"/>
          <w:w w:val="110"/>
          <w:sz w:val="18"/>
        </w:rPr>
        <w:t>Your </w:t>
      </w:r>
      <w:r>
        <w:rPr>
          <w:color w:val="137692"/>
          <w:w w:val="110"/>
          <w:sz w:val="18"/>
        </w:rPr>
        <w:t>total dose on </w:t>
      </w:r>
      <w:r>
        <w:rPr>
          <w:rFonts w:ascii="Calibri"/>
          <w:b/>
          <w:color w:val="137692"/>
          <w:w w:val="110"/>
          <w:sz w:val="18"/>
        </w:rPr>
        <w:t>Day 2</w:t>
      </w:r>
      <w:r>
        <w:rPr>
          <w:rFonts w:ascii="Calibri"/>
          <w:b/>
          <w:color w:val="137692"/>
          <w:spacing w:val="28"/>
          <w:w w:val="110"/>
          <w:sz w:val="18"/>
        </w:rPr>
        <w:t> </w:t>
      </w:r>
      <w:r>
        <w:rPr>
          <w:rFonts w:ascii="Calibri"/>
          <w:b/>
          <w:color w:val="137692"/>
          <w:w w:val="110"/>
          <w:sz w:val="18"/>
        </w:rPr>
        <w:t>cannot</w:t>
      </w:r>
      <w:r>
        <w:rPr>
          <w:rFonts w:ascii="Calibri"/>
          <w:b/>
          <w:color w:val="137692"/>
          <w:spacing w:val="13"/>
          <w:w w:val="110"/>
          <w:sz w:val="18"/>
        </w:rPr>
        <w:t> </w:t>
      </w:r>
      <w:r>
        <w:rPr>
          <w:rFonts w:ascii="Calibri"/>
          <w:b/>
          <w:color w:val="137692"/>
          <w:w w:val="110"/>
          <w:sz w:val="18"/>
        </w:rPr>
        <w:t>exceed</w:t>
      </w:r>
      <w:r>
        <w:rPr>
          <w:rFonts w:ascii="Calibri"/>
          <w:b/>
          <w:color w:val="137692"/>
          <w:w w:val="110"/>
          <w:sz w:val="18"/>
          <w:u w:val="single" w:color="127591"/>
        </w:rPr>
        <w:t> </w:t>
        <w:tab/>
      </w:r>
      <w:r>
        <w:rPr>
          <w:color w:val="137692"/>
          <w:w w:val="110"/>
          <w:sz w:val="18"/>
        </w:rPr>
        <w:t>mg. Record your total dose on</w:t>
      </w:r>
      <w:r>
        <w:rPr>
          <w:color w:val="137692"/>
          <w:spacing w:val="-9"/>
          <w:w w:val="110"/>
          <w:sz w:val="18"/>
        </w:rPr>
        <w:t> </w:t>
      </w:r>
      <w:r>
        <w:rPr>
          <w:rFonts w:ascii="Calibri"/>
          <w:b/>
          <w:color w:val="137692"/>
          <w:w w:val="110"/>
          <w:sz w:val="18"/>
        </w:rPr>
        <w:t>Day</w:t>
      </w:r>
      <w:r>
        <w:rPr>
          <w:rFonts w:ascii="Calibri"/>
          <w:b/>
          <w:color w:val="137692"/>
          <w:spacing w:val="12"/>
          <w:w w:val="110"/>
          <w:sz w:val="18"/>
        </w:rPr>
        <w:t> </w:t>
      </w:r>
      <w:r>
        <w:rPr>
          <w:rFonts w:ascii="Calibri"/>
          <w:b/>
          <w:color w:val="137692"/>
          <w:w w:val="110"/>
          <w:sz w:val="18"/>
        </w:rPr>
        <w:t>2:</w:t>
      </w:r>
      <w:r>
        <w:rPr>
          <w:rFonts w:ascii="Calibri"/>
          <w:b/>
          <w:color w:val="137692"/>
          <w:w w:val="110"/>
          <w:sz w:val="18"/>
          <w:u w:val="single" w:color="127591"/>
        </w:rPr>
        <w:t> </w:t>
        <w:tab/>
      </w:r>
      <w:r>
        <w:rPr>
          <w:color w:val="137692"/>
          <w:w w:val="110"/>
          <w:sz w:val="18"/>
        </w:rPr>
        <w:t>mg.</w:t>
      </w:r>
    </w:p>
    <w:p>
      <w:pPr>
        <w:tabs>
          <w:tab w:pos="6282" w:val="left" w:leader="none"/>
        </w:tabs>
        <w:spacing w:before="176"/>
        <w:ind w:left="417" w:right="0" w:firstLine="0"/>
        <w:jc w:val="left"/>
        <w:rPr>
          <w:sz w:val="18"/>
        </w:rPr>
      </w:pPr>
      <w:r>
        <w:rPr>
          <w:rFonts w:ascii="Calibri"/>
          <w:b/>
          <w:color w:val="4D4D4F"/>
          <w:w w:val="110"/>
          <w:sz w:val="18"/>
        </w:rPr>
        <w:t>Day 3 in the Morning: </w:t>
      </w:r>
      <w:r>
        <w:rPr>
          <w:color w:val="4D4D4F"/>
          <w:spacing w:val="-5"/>
          <w:w w:val="110"/>
          <w:sz w:val="18"/>
        </w:rPr>
        <w:t>Take </w:t>
      </w:r>
      <w:r>
        <w:rPr>
          <w:color w:val="4D4D4F"/>
          <w:w w:val="110"/>
          <w:sz w:val="18"/>
        </w:rPr>
        <w:t>the total dose you took on </w:t>
      </w:r>
      <w:r>
        <w:rPr>
          <w:rFonts w:ascii="Calibri"/>
          <w:b/>
          <w:color w:val="4D4D4F"/>
          <w:w w:val="110"/>
          <w:sz w:val="18"/>
        </w:rPr>
        <w:t>Day </w:t>
      </w:r>
      <w:r>
        <w:rPr>
          <w:rFonts w:ascii="Calibri"/>
          <w:b/>
          <w:color w:val="4D4D4F"/>
          <w:spacing w:val="21"/>
          <w:w w:val="110"/>
          <w:sz w:val="18"/>
        </w:rPr>
        <w:t> </w:t>
      </w:r>
      <w:r>
        <w:rPr>
          <w:rFonts w:ascii="Calibri"/>
          <w:b/>
          <w:color w:val="4D4D4F"/>
          <w:w w:val="110"/>
          <w:sz w:val="18"/>
        </w:rPr>
        <w:t>2</w:t>
      </w:r>
      <w:r>
        <w:rPr>
          <w:rFonts w:ascii="Calibri"/>
          <w:b/>
          <w:color w:val="4D4D4F"/>
          <w:spacing w:val="9"/>
          <w:w w:val="110"/>
          <w:sz w:val="18"/>
        </w:rPr>
        <w:t> </w:t>
      </w:r>
      <w:r>
        <w:rPr>
          <w:color w:val="4D4D4F"/>
          <w:w w:val="110"/>
          <w:sz w:val="18"/>
        </w:rPr>
        <w:t>=</w:t>
      </w:r>
      <w:r>
        <w:rPr>
          <w:color w:val="4D4D4F"/>
          <w:w w:val="110"/>
          <w:sz w:val="18"/>
          <w:u w:val="single" w:color="7F8184"/>
        </w:rPr>
        <w:t> </w:t>
        <w:tab/>
      </w:r>
      <w:r>
        <w:rPr>
          <w:color w:val="4D4D4F"/>
          <w:w w:val="110"/>
          <w:sz w:val="18"/>
        </w:rPr>
        <w:t>mg.</w:t>
      </w:r>
    </w:p>
    <w:p>
      <w:pPr>
        <w:pStyle w:val="ListParagraph"/>
        <w:numPr>
          <w:ilvl w:val="0"/>
          <w:numId w:val="40"/>
        </w:numPr>
        <w:tabs>
          <w:tab w:pos="868" w:val="left" w:leader="none"/>
        </w:tabs>
        <w:spacing w:line="223" w:lineRule="exact" w:before="70" w:after="0"/>
        <w:ind w:left="867" w:right="0" w:hanging="181"/>
        <w:jc w:val="left"/>
        <w:rPr>
          <w:sz w:val="18"/>
        </w:rPr>
      </w:pPr>
      <w:r>
        <w:rPr>
          <w:color w:val="4D4D4F"/>
          <w:w w:val="110"/>
          <w:sz w:val="18"/>
        </w:rPr>
        <w:t>If</w:t>
      </w:r>
      <w:r>
        <w:rPr>
          <w:color w:val="4D4D4F"/>
          <w:spacing w:val="-4"/>
          <w:w w:val="110"/>
          <w:sz w:val="18"/>
        </w:rPr>
        <w:t> </w:t>
      </w:r>
      <w:r>
        <w:rPr>
          <w:color w:val="4D4D4F"/>
          <w:w w:val="110"/>
          <w:sz w:val="18"/>
        </w:rPr>
        <w:t>you</w:t>
      </w:r>
      <w:r>
        <w:rPr>
          <w:color w:val="4D4D4F"/>
          <w:spacing w:val="-4"/>
          <w:w w:val="110"/>
          <w:sz w:val="18"/>
        </w:rPr>
        <w:t> </w:t>
      </w:r>
      <w:r>
        <w:rPr>
          <w:color w:val="4D4D4F"/>
          <w:w w:val="110"/>
          <w:sz w:val="18"/>
        </w:rPr>
        <w:t>experience</w:t>
      </w:r>
      <w:r>
        <w:rPr>
          <w:color w:val="4D4D4F"/>
          <w:spacing w:val="-3"/>
          <w:w w:val="110"/>
          <w:sz w:val="18"/>
        </w:rPr>
        <w:t> </w:t>
      </w:r>
      <w:r>
        <w:rPr>
          <w:color w:val="4D4D4F"/>
          <w:w w:val="110"/>
          <w:sz w:val="18"/>
        </w:rPr>
        <w:t>withdrawal</w:t>
      </w:r>
      <w:r>
        <w:rPr>
          <w:color w:val="4D4D4F"/>
          <w:spacing w:val="-4"/>
          <w:w w:val="110"/>
          <w:sz w:val="18"/>
        </w:rPr>
        <w:t> </w:t>
      </w:r>
      <w:r>
        <w:rPr>
          <w:color w:val="4D4D4F"/>
          <w:w w:val="110"/>
          <w:sz w:val="18"/>
        </w:rPr>
        <w:t>2</w:t>
      </w:r>
      <w:r>
        <w:rPr>
          <w:color w:val="4D4D4F"/>
          <w:spacing w:val="-3"/>
          <w:w w:val="110"/>
          <w:sz w:val="18"/>
        </w:rPr>
        <w:t> </w:t>
      </w:r>
      <w:r>
        <w:rPr>
          <w:color w:val="4D4D4F"/>
          <w:w w:val="110"/>
          <w:sz w:val="18"/>
        </w:rPr>
        <w:t>hours</w:t>
      </w:r>
      <w:r>
        <w:rPr>
          <w:color w:val="4D4D4F"/>
          <w:spacing w:val="-4"/>
          <w:w w:val="110"/>
          <w:sz w:val="18"/>
        </w:rPr>
        <w:t> </w:t>
      </w:r>
      <w:r>
        <w:rPr>
          <w:color w:val="4D4D4F"/>
          <w:spacing w:val="-3"/>
          <w:w w:val="110"/>
          <w:sz w:val="18"/>
        </w:rPr>
        <w:t>later,</w:t>
      </w:r>
      <w:r>
        <w:rPr>
          <w:color w:val="4D4D4F"/>
          <w:spacing w:val="-4"/>
          <w:w w:val="110"/>
          <w:sz w:val="18"/>
        </w:rPr>
        <w:t> </w:t>
      </w:r>
      <w:r>
        <w:rPr>
          <w:color w:val="4D4D4F"/>
          <w:w w:val="110"/>
          <w:sz w:val="18"/>
        </w:rPr>
        <w:t>you</w:t>
      </w:r>
      <w:r>
        <w:rPr>
          <w:color w:val="4D4D4F"/>
          <w:spacing w:val="-3"/>
          <w:w w:val="110"/>
          <w:sz w:val="18"/>
        </w:rPr>
        <w:t> </w:t>
      </w:r>
      <w:r>
        <w:rPr>
          <w:color w:val="4D4D4F"/>
          <w:w w:val="110"/>
          <w:sz w:val="18"/>
        </w:rPr>
        <w:t>may</w:t>
      </w:r>
      <w:r>
        <w:rPr>
          <w:color w:val="4D4D4F"/>
          <w:spacing w:val="-4"/>
          <w:w w:val="110"/>
          <w:sz w:val="18"/>
        </w:rPr>
        <w:t> </w:t>
      </w:r>
      <w:r>
        <w:rPr>
          <w:color w:val="4D4D4F"/>
          <w:w w:val="110"/>
          <w:sz w:val="18"/>
        </w:rPr>
        <w:t>take</w:t>
      </w:r>
      <w:r>
        <w:rPr>
          <w:color w:val="4D4D4F"/>
          <w:spacing w:val="-3"/>
          <w:w w:val="110"/>
          <w:sz w:val="18"/>
        </w:rPr>
        <w:t> </w:t>
      </w:r>
      <w:r>
        <w:rPr>
          <w:color w:val="4D4D4F"/>
          <w:w w:val="110"/>
          <w:sz w:val="18"/>
        </w:rPr>
        <w:t>one</w:t>
      </w:r>
      <w:r>
        <w:rPr>
          <w:color w:val="4D4D4F"/>
          <w:spacing w:val="-4"/>
          <w:w w:val="110"/>
          <w:sz w:val="18"/>
        </w:rPr>
        <w:t> </w:t>
      </w:r>
      <w:r>
        <w:rPr>
          <w:color w:val="4D4D4F"/>
          <w:w w:val="110"/>
          <w:sz w:val="18"/>
        </w:rPr>
        <w:t>more</w:t>
      </w:r>
      <w:r>
        <w:rPr>
          <w:color w:val="4D4D4F"/>
          <w:spacing w:val="-4"/>
          <w:w w:val="110"/>
          <w:sz w:val="18"/>
        </w:rPr>
        <w:t> </w:t>
      </w:r>
      <w:r>
        <w:rPr>
          <w:color w:val="4D4D4F"/>
          <w:w w:val="110"/>
          <w:sz w:val="18"/>
        </w:rPr>
        <w:t>2</w:t>
      </w:r>
      <w:r>
        <w:rPr>
          <w:color w:val="4D4D4F"/>
          <w:spacing w:val="-3"/>
          <w:w w:val="110"/>
          <w:sz w:val="18"/>
        </w:rPr>
        <w:t> </w:t>
      </w:r>
      <w:r>
        <w:rPr>
          <w:color w:val="4D4D4F"/>
          <w:w w:val="110"/>
          <w:sz w:val="18"/>
        </w:rPr>
        <w:t>mg/0.5</w:t>
      </w:r>
      <w:r>
        <w:rPr>
          <w:color w:val="4D4D4F"/>
          <w:spacing w:val="-4"/>
          <w:w w:val="110"/>
          <w:sz w:val="18"/>
        </w:rPr>
        <w:t> </w:t>
      </w:r>
      <w:r>
        <w:rPr>
          <w:color w:val="4D4D4F"/>
          <w:w w:val="110"/>
          <w:sz w:val="18"/>
        </w:rPr>
        <w:t>mg</w:t>
      </w:r>
      <w:r>
        <w:rPr>
          <w:color w:val="4D4D4F"/>
          <w:spacing w:val="-3"/>
          <w:w w:val="110"/>
          <w:sz w:val="18"/>
        </w:rPr>
        <w:t> </w:t>
      </w:r>
      <w:r>
        <w:rPr>
          <w:color w:val="4D4D4F"/>
          <w:w w:val="110"/>
          <w:sz w:val="18"/>
        </w:rPr>
        <w:t>ﬁlm</w:t>
      </w:r>
      <w:r>
        <w:rPr>
          <w:color w:val="4D4D4F"/>
          <w:spacing w:val="-4"/>
          <w:w w:val="110"/>
          <w:sz w:val="18"/>
        </w:rPr>
        <w:t> </w:t>
      </w:r>
      <w:r>
        <w:rPr>
          <w:color w:val="4D4D4F"/>
          <w:w w:val="110"/>
          <w:sz w:val="18"/>
        </w:rPr>
        <w:t>or</w:t>
      </w:r>
      <w:r>
        <w:rPr>
          <w:color w:val="4D4D4F"/>
          <w:spacing w:val="-3"/>
          <w:w w:val="110"/>
          <w:sz w:val="18"/>
        </w:rPr>
        <w:t> </w:t>
      </w:r>
      <w:r>
        <w:rPr>
          <w:color w:val="4D4D4F"/>
          <w:w w:val="110"/>
          <w:sz w:val="18"/>
        </w:rPr>
        <w:t>tablet.</w:t>
      </w:r>
    </w:p>
    <w:p>
      <w:pPr>
        <w:pStyle w:val="ListParagraph"/>
        <w:numPr>
          <w:ilvl w:val="0"/>
          <w:numId w:val="40"/>
        </w:numPr>
        <w:tabs>
          <w:tab w:pos="868" w:val="left" w:leader="none"/>
          <w:tab w:pos="6902" w:val="left" w:leader="none"/>
        </w:tabs>
        <w:spacing w:line="216" w:lineRule="exact" w:before="0" w:after="0"/>
        <w:ind w:left="867" w:right="0" w:hanging="181"/>
        <w:jc w:val="left"/>
        <w:rPr>
          <w:sz w:val="18"/>
        </w:rPr>
      </w:pPr>
      <w:r>
        <w:rPr>
          <w:color w:val="4D4D4F"/>
          <w:w w:val="110"/>
          <w:sz w:val="18"/>
        </w:rPr>
        <w:t>Record your</w:t>
      </w:r>
      <w:r>
        <w:rPr>
          <w:color w:val="4D4D4F"/>
          <w:spacing w:val="-21"/>
          <w:w w:val="110"/>
          <w:sz w:val="18"/>
        </w:rPr>
        <w:t> </w:t>
      </w:r>
      <w:r>
        <w:rPr>
          <w:color w:val="4D4D4F"/>
          <w:w w:val="110"/>
          <w:sz w:val="18"/>
        </w:rPr>
        <w:t>withdrawal</w:t>
      </w:r>
      <w:r>
        <w:rPr>
          <w:color w:val="4D4D4F"/>
          <w:spacing w:val="-10"/>
          <w:w w:val="110"/>
          <w:sz w:val="18"/>
        </w:rPr>
        <w:t> </w:t>
      </w:r>
      <w:r>
        <w:rPr>
          <w:color w:val="4D4D4F"/>
          <w:w w:val="110"/>
          <w:sz w:val="18"/>
        </w:rPr>
        <w:t>symptoms:</w:t>
      </w:r>
      <w:r>
        <w:rPr>
          <w:color w:val="4D4D4F"/>
          <w:w w:val="110"/>
          <w:sz w:val="18"/>
          <w:u w:val="single" w:color="7F8184"/>
        </w:rPr>
        <w:t> </w:t>
        <w:tab/>
      </w:r>
      <w:r>
        <w:rPr>
          <w:color w:val="4D4D4F"/>
          <w:w w:val="110"/>
          <w:sz w:val="18"/>
        </w:rPr>
        <w:t>.</w:t>
      </w:r>
    </w:p>
    <w:p>
      <w:pPr>
        <w:pStyle w:val="ListParagraph"/>
        <w:numPr>
          <w:ilvl w:val="0"/>
          <w:numId w:val="40"/>
        </w:numPr>
        <w:tabs>
          <w:tab w:pos="868" w:val="left" w:leader="none"/>
        </w:tabs>
        <w:spacing w:line="216" w:lineRule="exact" w:before="0" w:after="0"/>
        <w:ind w:left="867" w:right="0" w:hanging="181"/>
        <w:jc w:val="left"/>
        <w:rPr>
          <w:sz w:val="18"/>
        </w:rPr>
      </w:pPr>
      <w:r>
        <w:rPr>
          <w:color w:val="4D4D4F"/>
          <w:w w:val="110"/>
          <w:sz w:val="18"/>
        </w:rPr>
        <w:t>If</w:t>
      </w:r>
      <w:r>
        <w:rPr>
          <w:color w:val="4D4D4F"/>
          <w:spacing w:val="-3"/>
          <w:w w:val="110"/>
          <w:sz w:val="18"/>
        </w:rPr>
        <w:t> </w:t>
      </w:r>
      <w:r>
        <w:rPr>
          <w:color w:val="4D4D4F"/>
          <w:w w:val="110"/>
          <w:sz w:val="18"/>
        </w:rPr>
        <w:t>you</w:t>
      </w:r>
      <w:r>
        <w:rPr>
          <w:color w:val="4D4D4F"/>
          <w:spacing w:val="-3"/>
          <w:w w:val="110"/>
          <w:sz w:val="18"/>
        </w:rPr>
        <w:t> </w:t>
      </w:r>
      <w:r>
        <w:rPr>
          <w:color w:val="4D4D4F"/>
          <w:w w:val="110"/>
          <w:sz w:val="18"/>
        </w:rPr>
        <w:t>continue</w:t>
      </w:r>
      <w:r>
        <w:rPr>
          <w:color w:val="4D4D4F"/>
          <w:spacing w:val="-3"/>
          <w:w w:val="110"/>
          <w:sz w:val="18"/>
        </w:rPr>
        <w:t> </w:t>
      </w:r>
      <w:r>
        <w:rPr>
          <w:color w:val="4D4D4F"/>
          <w:w w:val="110"/>
          <w:sz w:val="18"/>
        </w:rPr>
        <w:t>to</w:t>
      </w:r>
      <w:r>
        <w:rPr>
          <w:color w:val="4D4D4F"/>
          <w:spacing w:val="-3"/>
          <w:w w:val="110"/>
          <w:sz w:val="18"/>
        </w:rPr>
        <w:t> </w:t>
      </w:r>
      <w:r>
        <w:rPr>
          <w:color w:val="4D4D4F"/>
          <w:w w:val="110"/>
          <w:sz w:val="18"/>
        </w:rPr>
        <w:t>experience</w:t>
      </w:r>
      <w:r>
        <w:rPr>
          <w:color w:val="4D4D4F"/>
          <w:spacing w:val="-3"/>
          <w:w w:val="110"/>
          <w:sz w:val="18"/>
        </w:rPr>
        <w:t> </w:t>
      </w:r>
      <w:r>
        <w:rPr>
          <w:color w:val="4D4D4F"/>
          <w:w w:val="110"/>
          <w:sz w:val="18"/>
        </w:rPr>
        <w:t>withdrawal</w:t>
      </w:r>
      <w:r>
        <w:rPr>
          <w:color w:val="4D4D4F"/>
          <w:spacing w:val="-3"/>
          <w:w w:val="110"/>
          <w:sz w:val="18"/>
        </w:rPr>
        <w:t> </w:t>
      </w:r>
      <w:r>
        <w:rPr>
          <w:color w:val="4D4D4F"/>
          <w:w w:val="110"/>
          <w:sz w:val="18"/>
        </w:rPr>
        <w:t>2</w:t>
      </w:r>
      <w:r>
        <w:rPr>
          <w:color w:val="4D4D4F"/>
          <w:spacing w:val="-3"/>
          <w:w w:val="110"/>
          <w:sz w:val="18"/>
        </w:rPr>
        <w:t> </w:t>
      </w:r>
      <w:r>
        <w:rPr>
          <w:color w:val="4D4D4F"/>
          <w:w w:val="110"/>
          <w:sz w:val="18"/>
        </w:rPr>
        <w:t>hours</w:t>
      </w:r>
      <w:r>
        <w:rPr>
          <w:color w:val="4D4D4F"/>
          <w:spacing w:val="-3"/>
          <w:w w:val="110"/>
          <w:sz w:val="18"/>
        </w:rPr>
        <w:t> later, </w:t>
      </w:r>
      <w:r>
        <w:rPr>
          <w:color w:val="4D4D4F"/>
          <w:w w:val="110"/>
          <w:sz w:val="18"/>
        </w:rPr>
        <w:t>you</w:t>
      </w:r>
      <w:r>
        <w:rPr>
          <w:color w:val="4D4D4F"/>
          <w:spacing w:val="-3"/>
          <w:w w:val="110"/>
          <w:sz w:val="18"/>
        </w:rPr>
        <w:t> </w:t>
      </w:r>
      <w:r>
        <w:rPr>
          <w:color w:val="4D4D4F"/>
          <w:w w:val="110"/>
          <w:sz w:val="18"/>
        </w:rPr>
        <w:t>may</w:t>
      </w:r>
      <w:r>
        <w:rPr>
          <w:color w:val="4D4D4F"/>
          <w:spacing w:val="-3"/>
          <w:w w:val="110"/>
          <w:sz w:val="18"/>
        </w:rPr>
        <w:t> </w:t>
      </w:r>
      <w:r>
        <w:rPr>
          <w:color w:val="4D4D4F"/>
          <w:w w:val="110"/>
          <w:sz w:val="18"/>
        </w:rPr>
        <w:t>take</w:t>
      </w:r>
      <w:r>
        <w:rPr>
          <w:color w:val="4D4D4F"/>
          <w:spacing w:val="-3"/>
          <w:w w:val="110"/>
          <w:sz w:val="18"/>
        </w:rPr>
        <w:t> </w:t>
      </w:r>
      <w:r>
        <w:rPr>
          <w:color w:val="4D4D4F"/>
          <w:w w:val="110"/>
          <w:sz w:val="18"/>
        </w:rPr>
        <w:t>one</w:t>
      </w:r>
      <w:r>
        <w:rPr>
          <w:color w:val="4D4D4F"/>
          <w:spacing w:val="-3"/>
          <w:w w:val="110"/>
          <w:sz w:val="18"/>
        </w:rPr>
        <w:t> </w:t>
      </w:r>
      <w:r>
        <w:rPr>
          <w:color w:val="4D4D4F"/>
          <w:w w:val="110"/>
          <w:sz w:val="18"/>
        </w:rPr>
        <w:t>more</w:t>
      </w:r>
      <w:r>
        <w:rPr>
          <w:color w:val="4D4D4F"/>
          <w:spacing w:val="-3"/>
          <w:w w:val="110"/>
          <w:sz w:val="18"/>
        </w:rPr>
        <w:t> </w:t>
      </w:r>
      <w:r>
        <w:rPr>
          <w:color w:val="4D4D4F"/>
          <w:w w:val="110"/>
          <w:sz w:val="18"/>
        </w:rPr>
        <w:t>2</w:t>
      </w:r>
      <w:r>
        <w:rPr>
          <w:color w:val="4D4D4F"/>
          <w:spacing w:val="-3"/>
          <w:w w:val="110"/>
          <w:sz w:val="18"/>
        </w:rPr>
        <w:t> </w:t>
      </w:r>
      <w:r>
        <w:rPr>
          <w:color w:val="4D4D4F"/>
          <w:w w:val="110"/>
          <w:sz w:val="18"/>
        </w:rPr>
        <w:t>mg/0.5</w:t>
      </w:r>
      <w:r>
        <w:rPr>
          <w:color w:val="4D4D4F"/>
          <w:spacing w:val="-3"/>
          <w:w w:val="110"/>
          <w:sz w:val="18"/>
        </w:rPr>
        <w:t> </w:t>
      </w:r>
      <w:r>
        <w:rPr>
          <w:color w:val="4D4D4F"/>
          <w:w w:val="110"/>
          <w:sz w:val="18"/>
        </w:rPr>
        <w:t>mg</w:t>
      </w:r>
      <w:r>
        <w:rPr>
          <w:color w:val="4D4D4F"/>
          <w:spacing w:val="-3"/>
          <w:w w:val="110"/>
          <w:sz w:val="18"/>
        </w:rPr>
        <w:t> </w:t>
      </w:r>
      <w:r>
        <w:rPr>
          <w:color w:val="4D4D4F"/>
          <w:w w:val="110"/>
          <w:sz w:val="18"/>
        </w:rPr>
        <w:t>ﬁlm</w:t>
      </w:r>
      <w:r>
        <w:rPr>
          <w:color w:val="4D4D4F"/>
          <w:spacing w:val="-3"/>
          <w:w w:val="110"/>
          <w:sz w:val="18"/>
        </w:rPr>
        <w:t> </w:t>
      </w:r>
      <w:r>
        <w:rPr>
          <w:color w:val="4D4D4F"/>
          <w:w w:val="110"/>
          <w:sz w:val="18"/>
        </w:rPr>
        <w:t>or</w:t>
      </w:r>
      <w:r>
        <w:rPr>
          <w:color w:val="4D4D4F"/>
          <w:spacing w:val="-3"/>
          <w:w w:val="110"/>
          <w:sz w:val="18"/>
        </w:rPr>
        <w:t> </w:t>
      </w:r>
      <w:r>
        <w:rPr>
          <w:color w:val="4D4D4F"/>
          <w:w w:val="110"/>
          <w:sz w:val="18"/>
        </w:rPr>
        <w:t>tablet.</w:t>
      </w:r>
    </w:p>
    <w:p>
      <w:pPr>
        <w:pStyle w:val="ListParagraph"/>
        <w:numPr>
          <w:ilvl w:val="0"/>
          <w:numId w:val="40"/>
        </w:numPr>
        <w:tabs>
          <w:tab w:pos="868" w:val="left" w:leader="none"/>
          <w:tab w:pos="7082" w:val="left" w:leader="none"/>
        </w:tabs>
        <w:spacing w:line="223" w:lineRule="exact" w:before="0" w:after="0"/>
        <w:ind w:left="867" w:right="0" w:hanging="181"/>
        <w:jc w:val="left"/>
        <w:rPr>
          <w:sz w:val="18"/>
        </w:rPr>
      </w:pPr>
      <w:r>
        <w:rPr>
          <w:color w:val="4D4D4F"/>
          <w:w w:val="110"/>
          <w:sz w:val="18"/>
        </w:rPr>
        <w:t>Record your</w:t>
      </w:r>
      <w:r>
        <w:rPr>
          <w:color w:val="4D4D4F"/>
          <w:spacing w:val="-21"/>
          <w:w w:val="110"/>
          <w:sz w:val="18"/>
        </w:rPr>
        <w:t> </w:t>
      </w:r>
      <w:r>
        <w:rPr>
          <w:color w:val="4D4D4F"/>
          <w:w w:val="110"/>
          <w:sz w:val="18"/>
        </w:rPr>
        <w:t>withdrawal</w:t>
      </w:r>
      <w:r>
        <w:rPr>
          <w:color w:val="4D4D4F"/>
          <w:spacing w:val="-10"/>
          <w:w w:val="110"/>
          <w:sz w:val="18"/>
        </w:rPr>
        <w:t> </w:t>
      </w:r>
      <w:r>
        <w:rPr>
          <w:color w:val="4D4D4F"/>
          <w:w w:val="110"/>
          <w:sz w:val="18"/>
        </w:rPr>
        <w:t>symptoms:</w:t>
      </w:r>
      <w:r>
        <w:rPr>
          <w:color w:val="4D4D4F"/>
          <w:w w:val="110"/>
          <w:sz w:val="18"/>
          <w:u w:val="single" w:color="7F8184"/>
        </w:rPr>
        <w:t> </w:t>
        <w:tab/>
      </w:r>
      <w:r>
        <w:rPr>
          <w:color w:val="4D4D4F"/>
          <w:w w:val="110"/>
          <w:sz w:val="18"/>
        </w:rPr>
        <w:t>.</w:t>
      </w:r>
    </w:p>
    <w:p>
      <w:pPr>
        <w:tabs>
          <w:tab w:pos="4678" w:val="left" w:leader="none"/>
          <w:tab w:pos="8380" w:val="left" w:leader="none"/>
        </w:tabs>
        <w:spacing w:before="92"/>
        <w:ind w:left="687" w:right="0" w:firstLine="0"/>
        <w:jc w:val="left"/>
        <w:rPr>
          <w:sz w:val="18"/>
        </w:rPr>
      </w:pPr>
      <w:r>
        <w:rPr>
          <w:color w:val="137692"/>
          <w:spacing w:val="-5"/>
          <w:w w:val="110"/>
          <w:sz w:val="18"/>
        </w:rPr>
        <w:t>Your </w:t>
      </w:r>
      <w:r>
        <w:rPr>
          <w:color w:val="137692"/>
          <w:w w:val="110"/>
          <w:sz w:val="18"/>
        </w:rPr>
        <w:t>total dose on </w:t>
      </w:r>
      <w:r>
        <w:rPr>
          <w:rFonts w:ascii="Calibri"/>
          <w:b/>
          <w:color w:val="137692"/>
          <w:w w:val="110"/>
          <w:sz w:val="18"/>
        </w:rPr>
        <w:t>Day 3</w:t>
      </w:r>
      <w:r>
        <w:rPr>
          <w:rFonts w:ascii="Calibri"/>
          <w:b/>
          <w:color w:val="137692"/>
          <w:spacing w:val="28"/>
          <w:w w:val="110"/>
          <w:sz w:val="18"/>
        </w:rPr>
        <w:t> </w:t>
      </w:r>
      <w:r>
        <w:rPr>
          <w:rFonts w:ascii="Calibri"/>
          <w:b/>
          <w:color w:val="137692"/>
          <w:w w:val="110"/>
          <w:sz w:val="18"/>
        </w:rPr>
        <w:t>cannot</w:t>
      </w:r>
      <w:r>
        <w:rPr>
          <w:rFonts w:ascii="Calibri"/>
          <w:b/>
          <w:color w:val="137692"/>
          <w:spacing w:val="13"/>
          <w:w w:val="110"/>
          <w:sz w:val="18"/>
        </w:rPr>
        <w:t> </w:t>
      </w:r>
      <w:r>
        <w:rPr>
          <w:rFonts w:ascii="Calibri"/>
          <w:b/>
          <w:color w:val="137692"/>
          <w:w w:val="110"/>
          <w:sz w:val="18"/>
        </w:rPr>
        <w:t>exceed</w:t>
      </w:r>
      <w:r>
        <w:rPr>
          <w:rFonts w:ascii="Calibri"/>
          <w:b/>
          <w:color w:val="137692"/>
          <w:w w:val="110"/>
          <w:sz w:val="18"/>
          <w:u w:val="single" w:color="127591"/>
        </w:rPr>
        <w:t> </w:t>
        <w:tab/>
      </w:r>
      <w:r>
        <w:rPr>
          <w:color w:val="137692"/>
          <w:w w:val="110"/>
          <w:sz w:val="18"/>
        </w:rPr>
        <w:t>mg. Record your total dose on</w:t>
      </w:r>
      <w:r>
        <w:rPr>
          <w:color w:val="137692"/>
          <w:spacing w:val="-9"/>
          <w:w w:val="110"/>
          <w:sz w:val="18"/>
        </w:rPr>
        <w:t> </w:t>
      </w:r>
      <w:r>
        <w:rPr>
          <w:rFonts w:ascii="Calibri"/>
          <w:b/>
          <w:color w:val="137692"/>
          <w:w w:val="110"/>
          <w:sz w:val="18"/>
        </w:rPr>
        <w:t>Day</w:t>
      </w:r>
      <w:r>
        <w:rPr>
          <w:rFonts w:ascii="Calibri"/>
          <w:b/>
          <w:color w:val="137692"/>
          <w:spacing w:val="12"/>
          <w:w w:val="110"/>
          <w:sz w:val="18"/>
        </w:rPr>
        <w:t> </w:t>
      </w:r>
      <w:r>
        <w:rPr>
          <w:rFonts w:ascii="Calibri"/>
          <w:b/>
          <w:color w:val="137692"/>
          <w:w w:val="110"/>
          <w:sz w:val="18"/>
        </w:rPr>
        <w:t>3:</w:t>
      </w:r>
      <w:r>
        <w:rPr>
          <w:rFonts w:ascii="Calibri"/>
          <w:b/>
          <w:color w:val="137692"/>
          <w:w w:val="110"/>
          <w:sz w:val="18"/>
          <w:u w:val="single" w:color="127591"/>
        </w:rPr>
        <w:t> </w:t>
        <w:tab/>
      </w:r>
      <w:r>
        <w:rPr>
          <w:color w:val="137692"/>
          <w:w w:val="110"/>
          <w:sz w:val="18"/>
        </w:rPr>
        <w:t>mg.</w:t>
      </w:r>
    </w:p>
    <w:p>
      <w:pPr>
        <w:tabs>
          <w:tab w:pos="6282" w:val="left" w:leader="none"/>
        </w:tabs>
        <w:spacing w:before="177"/>
        <w:ind w:left="417" w:right="0" w:firstLine="0"/>
        <w:jc w:val="left"/>
        <w:rPr>
          <w:sz w:val="18"/>
        </w:rPr>
      </w:pPr>
      <w:r>
        <w:rPr>
          <w:rFonts w:ascii="Calibri"/>
          <w:b/>
          <w:color w:val="4D4D4F"/>
          <w:w w:val="110"/>
          <w:sz w:val="18"/>
        </w:rPr>
        <w:t>Day 4 in the Morning: </w:t>
      </w:r>
      <w:r>
        <w:rPr>
          <w:color w:val="4D4D4F"/>
          <w:spacing w:val="-5"/>
          <w:w w:val="110"/>
          <w:sz w:val="18"/>
        </w:rPr>
        <w:t>Take </w:t>
      </w:r>
      <w:r>
        <w:rPr>
          <w:color w:val="4D4D4F"/>
          <w:w w:val="110"/>
          <w:sz w:val="18"/>
        </w:rPr>
        <w:t>the total dose you took on </w:t>
      </w:r>
      <w:r>
        <w:rPr>
          <w:rFonts w:ascii="Calibri"/>
          <w:b/>
          <w:color w:val="4D4D4F"/>
          <w:w w:val="110"/>
          <w:sz w:val="18"/>
        </w:rPr>
        <w:t>Day </w:t>
      </w:r>
      <w:r>
        <w:rPr>
          <w:rFonts w:ascii="Calibri"/>
          <w:b/>
          <w:color w:val="4D4D4F"/>
          <w:spacing w:val="21"/>
          <w:w w:val="110"/>
          <w:sz w:val="18"/>
        </w:rPr>
        <w:t> </w:t>
      </w:r>
      <w:r>
        <w:rPr>
          <w:rFonts w:ascii="Calibri"/>
          <w:b/>
          <w:color w:val="4D4D4F"/>
          <w:w w:val="110"/>
          <w:sz w:val="18"/>
        </w:rPr>
        <w:t>3</w:t>
      </w:r>
      <w:r>
        <w:rPr>
          <w:rFonts w:ascii="Calibri"/>
          <w:b/>
          <w:color w:val="4D4D4F"/>
          <w:spacing w:val="9"/>
          <w:w w:val="110"/>
          <w:sz w:val="18"/>
        </w:rPr>
        <w:t> </w:t>
      </w:r>
      <w:r>
        <w:rPr>
          <w:color w:val="4D4D4F"/>
          <w:w w:val="110"/>
          <w:sz w:val="18"/>
        </w:rPr>
        <w:t>=</w:t>
      </w:r>
      <w:r>
        <w:rPr>
          <w:color w:val="4D4D4F"/>
          <w:w w:val="110"/>
          <w:sz w:val="18"/>
          <w:u w:val="single" w:color="7F8184"/>
        </w:rPr>
        <w:t> </w:t>
        <w:tab/>
      </w:r>
      <w:r>
        <w:rPr>
          <w:color w:val="4D4D4F"/>
          <w:w w:val="110"/>
          <w:sz w:val="18"/>
        </w:rPr>
        <w:t>mg.</w:t>
      </w:r>
    </w:p>
    <w:p>
      <w:pPr>
        <w:pStyle w:val="ListParagraph"/>
        <w:numPr>
          <w:ilvl w:val="0"/>
          <w:numId w:val="40"/>
        </w:numPr>
        <w:tabs>
          <w:tab w:pos="868" w:val="left" w:leader="none"/>
        </w:tabs>
        <w:spacing w:line="223" w:lineRule="exact" w:before="70" w:after="0"/>
        <w:ind w:left="867" w:right="0" w:hanging="181"/>
        <w:jc w:val="left"/>
        <w:rPr>
          <w:sz w:val="18"/>
        </w:rPr>
      </w:pPr>
      <w:r>
        <w:rPr>
          <w:color w:val="4D4D4F"/>
          <w:w w:val="110"/>
          <w:sz w:val="18"/>
        </w:rPr>
        <w:t>If</w:t>
      </w:r>
      <w:r>
        <w:rPr>
          <w:color w:val="4D4D4F"/>
          <w:spacing w:val="-4"/>
          <w:w w:val="110"/>
          <w:sz w:val="18"/>
        </w:rPr>
        <w:t> </w:t>
      </w:r>
      <w:r>
        <w:rPr>
          <w:color w:val="4D4D4F"/>
          <w:w w:val="110"/>
          <w:sz w:val="18"/>
        </w:rPr>
        <w:t>you</w:t>
      </w:r>
      <w:r>
        <w:rPr>
          <w:color w:val="4D4D4F"/>
          <w:spacing w:val="-4"/>
          <w:w w:val="110"/>
          <w:sz w:val="18"/>
        </w:rPr>
        <w:t> </w:t>
      </w:r>
      <w:r>
        <w:rPr>
          <w:color w:val="4D4D4F"/>
          <w:w w:val="110"/>
          <w:sz w:val="18"/>
        </w:rPr>
        <w:t>experience</w:t>
      </w:r>
      <w:r>
        <w:rPr>
          <w:color w:val="4D4D4F"/>
          <w:spacing w:val="-3"/>
          <w:w w:val="110"/>
          <w:sz w:val="18"/>
        </w:rPr>
        <w:t> </w:t>
      </w:r>
      <w:r>
        <w:rPr>
          <w:color w:val="4D4D4F"/>
          <w:w w:val="110"/>
          <w:sz w:val="18"/>
        </w:rPr>
        <w:t>withdrawal</w:t>
      </w:r>
      <w:r>
        <w:rPr>
          <w:color w:val="4D4D4F"/>
          <w:spacing w:val="-4"/>
          <w:w w:val="110"/>
          <w:sz w:val="18"/>
        </w:rPr>
        <w:t> </w:t>
      </w:r>
      <w:r>
        <w:rPr>
          <w:color w:val="4D4D4F"/>
          <w:w w:val="110"/>
          <w:sz w:val="18"/>
        </w:rPr>
        <w:t>2</w:t>
      </w:r>
      <w:r>
        <w:rPr>
          <w:color w:val="4D4D4F"/>
          <w:spacing w:val="-3"/>
          <w:w w:val="110"/>
          <w:sz w:val="18"/>
        </w:rPr>
        <w:t> </w:t>
      </w:r>
      <w:r>
        <w:rPr>
          <w:color w:val="4D4D4F"/>
          <w:w w:val="110"/>
          <w:sz w:val="18"/>
        </w:rPr>
        <w:t>hours</w:t>
      </w:r>
      <w:r>
        <w:rPr>
          <w:color w:val="4D4D4F"/>
          <w:spacing w:val="-4"/>
          <w:w w:val="110"/>
          <w:sz w:val="18"/>
        </w:rPr>
        <w:t> </w:t>
      </w:r>
      <w:r>
        <w:rPr>
          <w:color w:val="4D4D4F"/>
          <w:spacing w:val="-3"/>
          <w:w w:val="110"/>
          <w:sz w:val="18"/>
        </w:rPr>
        <w:t>later,</w:t>
      </w:r>
      <w:r>
        <w:rPr>
          <w:color w:val="4D4D4F"/>
          <w:spacing w:val="-4"/>
          <w:w w:val="110"/>
          <w:sz w:val="18"/>
        </w:rPr>
        <w:t> </w:t>
      </w:r>
      <w:r>
        <w:rPr>
          <w:color w:val="4D4D4F"/>
          <w:w w:val="110"/>
          <w:sz w:val="18"/>
        </w:rPr>
        <w:t>you</w:t>
      </w:r>
      <w:r>
        <w:rPr>
          <w:color w:val="4D4D4F"/>
          <w:spacing w:val="-3"/>
          <w:w w:val="110"/>
          <w:sz w:val="18"/>
        </w:rPr>
        <w:t> </w:t>
      </w:r>
      <w:r>
        <w:rPr>
          <w:color w:val="4D4D4F"/>
          <w:w w:val="110"/>
          <w:sz w:val="18"/>
        </w:rPr>
        <w:t>may</w:t>
      </w:r>
      <w:r>
        <w:rPr>
          <w:color w:val="4D4D4F"/>
          <w:spacing w:val="-4"/>
          <w:w w:val="110"/>
          <w:sz w:val="18"/>
        </w:rPr>
        <w:t> </w:t>
      </w:r>
      <w:r>
        <w:rPr>
          <w:color w:val="4D4D4F"/>
          <w:w w:val="110"/>
          <w:sz w:val="18"/>
        </w:rPr>
        <w:t>take</w:t>
      </w:r>
      <w:r>
        <w:rPr>
          <w:color w:val="4D4D4F"/>
          <w:spacing w:val="-3"/>
          <w:w w:val="110"/>
          <w:sz w:val="18"/>
        </w:rPr>
        <w:t> </w:t>
      </w:r>
      <w:r>
        <w:rPr>
          <w:color w:val="4D4D4F"/>
          <w:w w:val="110"/>
          <w:sz w:val="18"/>
        </w:rPr>
        <w:t>one</w:t>
      </w:r>
      <w:r>
        <w:rPr>
          <w:color w:val="4D4D4F"/>
          <w:spacing w:val="-4"/>
          <w:w w:val="110"/>
          <w:sz w:val="18"/>
        </w:rPr>
        <w:t> </w:t>
      </w:r>
      <w:r>
        <w:rPr>
          <w:color w:val="4D4D4F"/>
          <w:w w:val="110"/>
          <w:sz w:val="18"/>
        </w:rPr>
        <w:t>more</w:t>
      </w:r>
      <w:r>
        <w:rPr>
          <w:color w:val="4D4D4F"/>
          <w:spacing w:val="-4"/>
          <w:w w:val="110"/>
          <w:sz w:val="18"/>
        </w:rPr>
        <w:t> </w:t>
      </w:r>
      <w:r>
        <w:rPr>
          <w:color w:val="4D4D4F"/>
          <w:w w:val="110"/>
          <w:sz w:val="18"/>
        </w:rPr>
        <w:t>2</w:t>
      </w:r>
      <w:r>
        <w:rPr>
          <w:color w:val="4D4D4F"/>
          <w:spacing w:val="-3"/>
          <w:w w:val="110"/>
          <w:sz w:val="18"/>
        </w:rPr>
        <w:t> </w:t>
      </w:r>
      <w:r>
        <w:rPr>
          <w:color w:val="4D4D4F"/>
          <w:w w:val="110"/>
          <w:sz w:val="18"/>
        </w:rPr>
        <w:t>mg/0.5</w:t>
      </w:r>
      <w:r>
        <w:rPr>
          <w:color w:val="4D4D4F"/>
          <w:spacing w:val="-4"/>
          <w:w w:val="110"/>
          <w:sz w:val="18"/>
        </w:rPr>
        <w:t> </w:t>
      </w:r>
      <w:r>
        <w:rPr>
          <w:color w:val="4D4D4F"/>
          <w:w w:val="110"/>
          <w:sz w:val="18"/>
        </w:rPr>
        <w:t>mg</w:t>
      </w:r>
      <w:r>
        <w:rPr>
          <w:color w:val="4D4D4F"/>
          <w:spacing w:val="-3"/>
          <w:w w:val="110"/>
          <w:sz w:val="18"/>
        </w:rPr>
        <w:t> </w:t>
      </w:r>
      <w:r>
        <w:rPr>
          <w:color w:val="4D4D4F"/>
          <w:w w:val="110"/>
          <w:sz w:val="18"/>
        </w:rPr>
        <w:t>ﬁlm</w:t>
      </w:r>
      <w:r>
        <w:rPr>
          <w:color w:val="4D4D4F"/>
          <w:spacing w:val="-4"/>
          <w:w w:val="110"/>
          <w:sz w:val="18"/>
        </w:rPr>
        <w:t> </w:t>
      </w:r>
      <w:r>
        <w:rPr>
          <w:color w:val="4D4D4F"/>
          <w:w w:val="110"/>
          <w:sz w:val="18"/>
        </w:rPr>
        <w:t>or</w:t>
      </w:r>
      <w:r>
        <w:rPr>
          <w:color w:val="4D4D4F"/>
          <w:spacing w:val="-3"/>
          <w:w w:val="110"/>
          <w:sz w:val="18"/>
        </w:rPr>
        <w:t> </w:t>
      </w:r>
      <w:r>
        <w:rPr>
          <w:color w:val="4D4D4F"/>
          <w:w w:val="110"/>
          <w:sz w:val="18"/>
        </w:rPr>
        <w:t>tablet.</w:t>
      </w:r>
    </w:p>
    <w:p>
      <w:pPr>
        <w:pStyle w:val="ListParagraph"/>
        <w:numPr>
          <w:ilvl w:val="0"/>
          <w:numId w:val="40"/>
        </w:numPr>
        <w:tabs>
          <w:tab w:pos="868" w:val="left" w:leader="none"/>
          <w:tab w:pos="6902" w:val="left" w:leader="none"/>
        </w:tabs>
        <w:spacing w:line="216" w:lineRule="exact" w:before="0" w:after="0"/>
        <w:ind w:left="867" w:right="0" w:hanging="181"/>
        <w:jc w:val="left"/>
        <w:rPr>
          <w:sz w:val="18"/>
        </w:rPr>
      </w:pPr>
      <w:r>
        <w:rPr>
          <w:color w:val="4D4D4F"/>
          <w:w w:val="110"/>
          <w:sz w:val="18"/>
        </w:rPr>
        <w:t>Record your</w:t>
      </w:r>
      <w:r>
        <w:rPr>
          <w:color w:val="4D4D4F"/>
          <w:spacing w:val="-21"/>
          <w:w w:val="110"/>
          <w:sz w:val="18"/>
        </w:rPr>
        <w:t> </w:t>
      </w:r>
      <w:r>
        <w:rPr>
          <w:color w:val="4D4D4F"/>
          <w:w w:val="110"/>
          <w:sz w:val="18"/>
        </w:rPr>
        <w:t>withdrawal</w:t>
      </w:r>
      <w:r>
        <w:rPr>
          <w:color w:val="4D4D4F"/>
          <w:spacing w:val="-10"/>
          <w:w w:val="110"/>
          <w:sz w:val="18"/>
        </w:rPr>
        <w:t> </w:t>
      </w:r>
      <w:r>
        <w:rPr>
          <w:color w:val="4D4D4F"/>
          <w:w w:val="110"/>
          <w:sz w:val="18"/>
        </w:rPr>
        <w:t>symptoms:</w:t>
      </w:r>
      <w:r>
        <w:rPr>
          <w:color w:val="4D4D4F"/>
          <w:w w:val="110"/>
          <w:sz w:val="18"/>
          <w:u w:val="single" w:color="7F8184"/>
        </w:rPr>
        <w:t> </w:t>
        <w:tab/>
      </w:r>
      <w:r>
        <w:rPr>
          <w:color w:val="4D4D4F"/>
          <w:w w:val="110"/>
          <w:sz w:val="18"/>
        </w:rPr>
        <w:t>.</w:t>
      </w:r>
    </w:p>
    <w:p>
      <w:pPr>
        <w:pStyle w:val="ListParagraph"/>
        <w:numPr>
          <w:ilvl w:val="0"/>
          <w:numId w:val="40"/>
        </w:numPr>
        <w:tabs>
          <w:tab w:pos="868" w:val="left" w:leader="none"/>
        </w:tabs>
        <w:spacing w:line="216" w:lineRule="exact" w:before="0" w:after="0"/>
        <w:ind w:left="867" w:right="0" w:hanging="181"/>
        <w:jc w:val="left"/>
        <w:rPr>
          <w:sz w:val="18"/>
        </w:rPr>
      </w:pPr>
      <w:r>
        <w:rPr>
          <w:color w:val="4D4D4F"/>
          <w:w w:val="110"/>
          <w:sz w:val="18"/>
        </w:rPr>
        <w:t>If</w:t>
      </w:r>
      <w:r>
        <w:rPr>
          <w:color w:val="4D4D4F"/>
          <w:spacing w:val="-3"/>
          <w:w w:val="110"/>
          <w:sz w:val="18"/>
        </w:rPr>
        <w:t> </w:t>
      </w:r>
      <w:r>
        <w:rPr>
          <w:color w:val="4D4D4F"/>
          <w:w w:val="110"/>
          <w:sz w:val="18"/>
        </w:rPr>
        <w:t>you</w:t>
      </w:r>
      <w:r>
        <w:rPr>
          <w:color w:val="4D4D4F"/>
          <w:spacing w:val="-3"/>
          <w:w w:val="110"/>
          <w:sz w:val="18"/>
        </w:rPr>
        <w:t> </w:t>
      </w:r>
      <w:r>
        <w:rPr>
          <w:color w:val="4D4D4F"/>
          <w:w w:val="110"/>
          <w:sz w:val="18"/>
        </w:rPr>
        <w:t>continue</w:t>
      </w:r>
      <w:r>
        <w:rPr>
          <w:color w:val="4D4D4F"/>
          <w:spacing w:val="-3"/>
          <w:w w:val="110"/>
          <w:sz w:val="18"/>
        </w:rPr>
        <w:t> </w:t>
      </w:r>
      <w:r>
        <w:rPr>
          <w:color w:val="4D4D4F"/>
          <w:w w:val="110"/>
          <w:sz w:val="18"/>
        </w:rPr>
        <w:t>to</w:t>
      </w:r>
      <w:r>
        <w:rPr>
          <w:color w:val="4D4D4F"/>
          <w:spacing w:val="-3"/>
          <w:w w:val="110"/>
          <w:sz w:val="18"/>
        </w:rPr>
        <w:t> </w:t>
      </w:r>
      <w:r>
        <w:rPr>
          <w:color w:val="4D4D4F"/>
          <w:w w:val="110"/>
          <w:sz w:val="18"/>
        </w:rPr>
        <w:t>experience</w:t>
      </w:r>
      <w:r>
        <w:rPr>
          <w:color w:val="4D4D4F"/>
          <w:spacing w:val="-3"/>
          <w:w w:val="110"/>
          <w:sz w:val="18"/>
        </w:rPr>
        <w:t> </w:t>
      </w:r>
      <w:r>
        <w:rPr>
          <w:color w:val="4D4D4F"/>
          <w:w w:val="110"/>
          <w:sz w:val="18"/>
        </w:rPr>
        <w:t>withdrawal</w:t>
      </w:r>
      <w:r>
        <w:rPr>
          <w:color w:val="4D4D4F"/>
          <w:spacing w:val="-3"/>
          <w:w w:val="110"/>
          <w:sz w:val="18"/>
        </w:rPr>
        <w:t> </w:t>
      </w:r>
      <w:r>
        <w:rPr>
          <w:color w:val="4D4D4F"/>
          <w:w w:val="110"/>
          <w:sz w:val="18"/>
        </w:rPr>
        <w:t>2</w:t>
      </w:r>
      <w:r>
        <w:rPr>
          <w:color w:val="4D4D4F"/>
          <w:spacing w:val="-3"/>
          <w:w w:val="110"/>
          <w:sz w:val="18"/>
        </w:rPr>
        <w:t> </w:t>
      </w:r>
      <w:r>
        <w:rPr>
          <w:color w:val="4D4D4F"/>
          <w:w w:val="110"/>
          <w:sz w:val="18"/>
        </w:rPr>
        <w:t>hours</w:t>
      </w:r>
      <w:r>
        <w:rPr>
          <w:color w:val="4D4D4F"/>
          <w:spacing w:val="-3"/>
          <w:w w:val="110"/>
          <w:sz w:val="18"/>
        </w:rPr>
        <w:t> later, </w:t>
      </w:r>
      <w:r>
        <w:rPr>
          <w:color w:val="4D4D4F"/>
          <w:w w:val="110"/>
          <w:sz w:val="18"/>
        </w:rPr>
        <w:t>you</w:t>
      </w:r>
      <w:r>
        <w:rPr>
          <w:color w:val="4D4D4F"/>
          <w:spacing w:val="-3"/>
          <w:w w:val="110"/>
          <w:sz w:val="18"/>
        </w:rPr>
        <w:t> </w:t>
      </w:r>
      <w:r>
        <w:rPr>
          <w:color w:val="4D4D4F"/>
          <w:w w:val="110"/>
          <w:sz w:val="18"/>
        </w:rPr>
        <w:t>may</w:t>
      </w:r>
      <w:r>
        <w:rPr>
          <w:color w:val="4D4D4F"/>
          <w:spacing w:val="-3"/>
          <w:w w:val="110"/>
          <w:sz w:val="18"/>
        </w:rPr>
        <w:t> </w:t>
      </w:r>
      <w:r>
        <w:rPr>
          <w:color w:val="4D4D4F"/>
          <w:w w:val="110"/>
          <w:sz w:val="18"/>
        </w:rPr>
        <w:t>take</w:t>
      </w:r>
      <w:r>
        <w:rPr>
          <w:color w:val="4D4D4F"/>
          <w:spacing w:val="-3"/>
          <w:w w:val="110"/>
          <w:sz w:val="18"/>
        </w:rPr>
        <w:t> </w:t>
      </w:r>
      <w:r>
        <w:rPr>
          <w:color w:val="4D4D4F"/>
          <w:w w:val="110"/>
          <w:sz w:val="18"/>
        </w:rPr>
        <w:t>one</w:t>
      </w:r>
      <w:r>
        <w:rPr>
          <w:color w:val="4D4D4F"/>
          <w:spacing w:val="-3"/>
          <w:w w:val="110"/>
          <w:sz w:val="18"/>
        </w:rPr>
        <w:t> </w:t>
      </w:r>
      <w:r>
        <w:rPr>
          <w:color w:val="4D4D4F"/>
          <w:w w:val="110"/>
          <w:sz w:val="18"/>
        </w:rPr>
        <w:t>more</w:t>
      </w:r>
      <w:r>
        <w:rPr>
          <w:color w:val="4D4D4F"/>
          <w:spacing w:val="-3"/>
          <w:w w:val="110"/>
          <w:sz w:val="18"/>
        </w:rPr>
        <w:t> </w:t>
      </w:r>
      <w:r>
        <w:rPr>
          <w:color w:val="4D4D4F"/>
          <w:w w:val="110"/>
          <w:sz w:val="18"/>
        </w:rPr>
        <w:t>2</w:t>
      </w:r>
      <w:r>
        <w:rPr>
          <w:color w:val="4D4D4F"/>
          <w:spacing w:val="-3"/>
          <w:w w:val="110"/>
          <w:sz w:val="18"/>
        </w:rPr>
        <w:t> </w:t>
      </w:r>
      <w:r>
        <w:rPr>
          <w:color w:val="4D4D4F"/>
          <w:w w:val="110"/>
          <w:sz w:val="18"/>
        </w:rPr>
        <w:t>mg/0.5</w:t>
      </w:r>
      <w:r>
        <w:rPr>
          <w:color w:val="4D4D4F"/>
          <w:spacing w:val="-3"/>
          <w:w w:val="110"/>
          <w:sz w:val="18"/>
        </w:rPr>
        <w:t> </w:t>
      </w:r>
      <w:r>
        <w:rPr>
          <w:color w:val="4D4D4F"/>
          <w:w w:val="110"/>
          <w:sz w:val="18"/>
        </w:rPr>
        <w:t>mg</w:t>
      </w:r>
      <w:r>
        <w:rPr>
          <w:color w:val="4D4D4F"/>
          <w:spacing w:val="-3"/>
          <w:w w:val="110"/>
          <w:sz w:val="18"/>
        </w:rPr>
        <w:t> </w:t>
      </w:r>
      <w:r>
        <w:rPr>
          <w:color w:val="4D4D4F"/>
          <w:w w:val="110"/>
          <w:sz w:val="18"/>
        </w:rPr>
        <w:t>ﬁlm</w:t>
      </w:r>
      <w:r>
        <w:rPr>
          <w:color w:val="4D4D4F"/>
          <w:spacing w:val="-3"/>
          <w:w w:val="110"/>
          <w:sz w:val="18"/>
        </w:rPr>
        <w:t> </w:t>
      </w:r>
      <w:r>
        <w:rPr>
          <w:color w:val="4D4D4F"/>
          <w:w w:val="110"/>
          <w:sz w:val="18"/>
        </w:rPr>
        <w:t>or</w:t>
      </w:r>
      <w:r>
        <w:rPr>
          <w:color w:val="4D4D4F"/>
          <w:spacing w:val="-3"/>
          <w:w w:val="110"/>
          <w:sz w:val="18"/>
        </w:rPr>
        <w:t> </w:t>
      </w:r>
      <w:r>
        <w:rPr>
          <w:color w:val="4D4D4F"/>
          <w:w w:val="110"/>
          <w:sz w:val="18"/>
        </w:rPr>
        <w:t>tablet.</w:t>
      </w:r>
    </w:p>
    <w:p>
      <w:pPr>
        <w:pStyle w:val="ListParagraph"/>
        <w:numPr>
          <w:ilvl w:val="0"/>
          <w:numId w:val="40"/>
        </w:numPr>
        <w:tabs>
          <w:tab w:pos="868" w:val="left" w:leader="none"/>
          <w:tab w:pos="7082" w:val="left" w:leader="none"/>
        </w:tabs>
        <w:spacing w:line="223" w:lineRule="exact" w:before="0" w:after="0"/>
        <w:ind w:left="867" w:right="0" w:hanging="181"/>
        <w:jc w:val="left"/>
        <w:rPr>
          <w:sz w:val="18"/>
        </w:rPr>
      </w:pPr>
      <w:r>
        <w:rPr>
          <w:color w:val="4D4D4F"/>
          <w:w w:val="110"/>
          <w:sz w:val="18"/>
        </w:rPr>
        <w:t>Record your</w:t>
      </w:r>
      <w:r>
        <w:rPr>
          <w:color w:val="4D4D4F"/>
          <w:spacing w:val="-21"/>
          <w:w w:val="110"/>
          <w:sz w:val="18"/>
        </w:rPr>
        <w:t> </w:t>
      </w:r>
      <w:r>
        <w:rPr>
          <w:color w:val="4D4D4F"/>
          <w:w w:val="110"/>
          <w:sz w:val="18"/>
        </w:rPr>
        <w:t>withdrawal</w:t>
      </w:r>
      <w:r>
        <w:rPr>
          <w:color w:val="4D4D4F"/>
          <w:spacing w:val="-10"/>
          <w:w w:val="110"/>
          <w:sz w:val="18"/>
        </w:rPr>
        <w:t> </w:t>
      </w:r>
      <w:r>
        <w:rPr>
          <w:color w:val="4D4D4F"/>
          <w:w w:val="110"/>
          <w:sz w:val="18"/>
        </w:rPr>
        <w:t>symptoms:</w:t>
      </w:r>
      <w:r>
        <w:rPr>
          <w:color w:val="4D4D4F"/>
          <w:w w:val="110"/>
          <w:sz w:val="18"/>
          <w:u w:val="single" w:color="7F8184"/>
        </w:rPr>
        <w:t> </w:t>
        <w:tab/>
      </w:r>
      <w:r>
        <w:rPr>
          <w:color w:val="4D4D4F"/>
          <w:w w:val="110"/>
          <w:sz w:val="18"/>
        </w:rPr>
        <w:t>.</w:t>
      </w:r>
    </w:p>
    <w:p>
      <w:pPr>
        <w:tabs>
          <w:tab w:pos="4678" w:val="left" w:leader="none"/>
          <w:tab w:pos="8384" w:val="left" w:leader="none"/>
        </w:tabs>
        <w:spacing w:before="92"/>
        <w:ind w:left="687" w:right="0" w:firstLine="0"/>
        <w:jc w:val="left"/>
        <w:rPr>
          <w:sz w:val="18"/>
        </w:rPr>
      </w:pPr>
      <w:r>
        <w:rPr>
          <w:color w:val="137692"/>
          <w:spacing w:val="-5"/>
          <w:w w:val="110"/>
          <w:sz w:val="18"/>
        </w:rPr>
        <w:t>Your </w:t>
      </w:r>
      <w:r>
        <w:rPr>
          <w:color w:val="137692"/>
          <w:w w:val="110"/>
          <w:sz w:val="18"/>
        </w:rPr>
        <w:t>total dose on </w:t>
      </w:r>
      <w:r>
        <w:rPr>
          <w:rFonts w:ascii="Calibri"/>
          <w:b/>
          <w:color w:val="137692"/>
          <w:w w:val="110"/>
          <w:sz w:val="18"/>
        </w:rPr>
        <w:t>Day 4</w:t>
      </w:r>
      <w:r>
        <w:rPr>
          <w:rFonts w:ascii="Calibri"/>
          <w:b/>
          <w:color w:val="137692"/>
          <w:spacing w:val="28"/>
          <w:w w:val="110"/>
          <w:sz w:val="18"/>
        </w:rPr>
        <w:t> </w:t>
      </w:r>
      <w:r>
        <w:rPr>
          <w:rFonts w:ascii="Calibri"/>
          <w:b/>
          <w:color w:val="137692"/>
          <w:w w:val="110"/>
          <w:sz w:val="18"/>
        </w:rPr>
        <w:t>cannot</w:t>
      </w:r>
      <w:r>
        <w:rPr>
          <w:rFonts w:ascii="Calibri"/>
          <w:b/>
          <w:color w:val="137692"/>
          <w:spacing w:val="13"/>
          <w:w w:val="110"/>
          <w:sz w:val="18"/>
        </w:rPr>
        <w:t> </w:t>
      </w:r>
      <w:r>
        <w:rPr>
          <w:rFonts w:ascii="Calibri"/>
          <w:b/>
          <w:color w:val="137692"/>
          <w:w w:val="110"/>
          <w:sz w:val="18"/>
        </w:rPr>
        <w:t>exceed</w:t>
      </w:r>
      <w:r>
        <w:rPr>
          <w:rFonts w:ascii="Calibri"/>
          <w:b/>
          <w:color w:val="137692"/>
          <w:w w:val="110"/>
          <w:sz w:val="18"/>
          <w:u w:val="single" w:color="127591"/>
        </w:rPr>
        <w:t> </w:t>
        <w:tab/>
      </w:r>
      <w:r>
        <w:rPr>
          <w:color w:val="137692"/>
          <w:w w:val="110"/>
          <w:sz w:val="18"/>
        </w:rPr>
        <w:t>mg. Record your total dose on</w:t>
      </w:r>
      <w:r>
        <w:rPr>
          <w:color w:val="137692"/>
          <w:spacing w:val="-9"/>
          <w:w w:val="110"/>
          <w:sz w:val="18"/>
        </w:rPr>
        <w:t> </w:t>
      </w:r>
      <w:r>
        <w:rPr>
          <w:rFonts w:ascii="Calibri"/>
          <w:b/>
          <w:color w:val="137692"/>
          <w:w w:val="110"/>
          <w:sz w:val="18"/>
        </w:rPr>
        <w:t>Day</w:t>
      </w:r>
      <w:r>
        <w:rPr>
          <w:rFonts w:ascii="Calibri"/>
          <w:b/>
          <w:color w:val="137692"/>
          <w:spacing w:val="12"/>
          <w:w w:val="110"/>
          <w:sz w:val="18"/>
        </w:rPr>
        <w:t> </w:t>
      </w:r>
      <w:r>
        <w:rPr>
          <w:rFonts w:ascii="Calibri"/>
          <w:b/>
          <w:color w:val="137692"/>
          <w:w w:val="110"/>
          <w:sz w:val="18"/>
        </w:rPr>
        <w:t>4:</w:t>
      </w:r>
      <w:r>
        <w:rPr>
          <w:rFonts w:ascii="Calibri"/>
          <w:b/>
          <w:color w:val="137692"/>
          <w:w w:val="110"/>
          <w:sz w:val="18"/>
          <w:u w:val="single" w:color="127591"/>
        </w:rPr>
        <w:t> </w:t>
        <w:tab/>
      </w:r>
      <w:r>
        <w:rPr>
          <w:color w:val="137692"/>
          <w:w w:val="110"/>
          <w:sz w:val="18"/>
        </w:rPr>
        <w:t>mg.</w:t>
      </w:r>
    </w:p>
    <w:p>
      <w:pPr>
        <w:tabs>
          <w:tab w:pos="7313" w:val="left" w:leader="none"/>
        </w:tabs>
        <w:spacing w:before="176"/>
        <w:ind w:left="417" w:right="0" w:firstLine="0"/>
        <w:jc w:val="left"/>
        <w:rPr>
          <w:sz w:val="18"/>
        </w:rPr>
      </w:pPr>
      <w:r>
        <w:rPr>
          <w:rFonts w:ascii="Calibri"/>
          <w:b/>
          <w:color w:val="4D4D4F"/>
          <w:w w:val="115"/>
          <w:sz w:val="18"/>
        </w:rPr>
        <w:t>Day</w:t>
      </w:r>
      <w:r>
        <w:rPr>
          <w:rFonts w:ascii="Calibri"/>
          <w:b/>
          <w:color w:val="4D4D4F"/>
          <w:spacing w:val="-1"/>
          <w:w w:val="115"/>
          <w:sz w:val="18"/>
        </w:rPr>
        <w:t> </w:t>
      </w:r>
      <w:r>
        <w:rPr>
          <w:rFonts w:ascii="Calibri"/>
          <w:b/>
          <w:color w:val="4D4D4F"/>
          <w:w w:val="115"/>
          <w:sz w:val="18"/>
        </w:rPr>
        <w:t>5</w:t>
      </w:r>
      <w:r>
        <w:rPr>
          <w:rFonts w:ascii="Calibri"/>
          <w:b/>
          <w:color w:val="4D4D4F"/>
          <w:spacing w:val="-1"/>
          <w:w w:val="115"/>
          <w:sz w:val="18"/>
        </w:rPr>
        <w:t> </w:t>
      </w:r>
      <w:r>
        <w:rPr>
          <w:rFonts w:ascii="Calibri"/>
          <w:b/>
          <w:color w:val="4D4D4F"/>
          <w:w w:val="115"/>
          <w:sz w:val="18"/>
        </w:rPr>
        <w:t>to</w:t>
      </w:r>
      <w:r>
        <w:rPr>
          <w:rFonts w:ascii="Calibri"/>
          <w:b/>
          <w:color w:val="4D4D4F"/>
          <w:spacing w:val="-1"/>
          <w:w w:val="115"/>
          <w:sz w:val="18"/>
        </w:rPr>
        <w:t> </w:t>
      </w:r>
      <w:r>
        <w:rPr>
          <w:rFonts w:ascii="Calibri"/>
          <w:b/>
          <w:color w:val="4D4D4F"/>
          <w:w w:val="115"/>
          <w:sz w:val="18"/>
        </w:rPr>
        <w:t>next</w:t>
      </w:r>
      <w:r>
        <w:rPr>
          <w:rFonts w:ascii="Calibri"/>
          <w:b/>
          <w:color w:val="4D4D4F"/>
          <w:spacing w:val="-1"/>
          <w:w w:val="115"/>
          <w:sz w:val="18"/>
        </w:rPr>
        <w:t> </w:t>
      </w:r>
      <w:r>
        <w:rPr>
          <w:rFonts w:ascii="Calibri"/>
          <w:b/>
          <w:color w:val="4D4D4F"/>
          <w:w w:val="115"/>
          <w:sz w:val="18"/>
        </w:rPr>
        <w:t>visit:</w:t>
      </w:r>
      <w:r>
        <w:rPr>
          <w:rFonts w:ascii="Calibri"/>
          <w:b/>
          <w:color w:val="4D4D4F"/>
          <w:spacing w:val="-1"/>
          <w:w w:val="115"/>
          <w:sz w:val="18"/>
        </w:rPr>
        <w:t> </w:t>
      </w:r>
      <w:r>
        <w:rPr>
          <w:color w:val="4D4D4F"/>
          <w:w w:val="115"/>
          <w:sz w:val="18"/>
        </w:rPr>
        <w:t>In</w:t>
      </w:r>
      <w:r>
        <w:rPr>
          <w:color w:val="4D4D4F"/>
          <w:spacing w:val="-14"/>
          <w:w w:val="115"/>
          <w:sz w:val="18"/>
        </w:rPr>
        <w:t> </w:t>
      </w:r>
      <w:r>
        <w:rPr>
          <w:color w:val="4D4D4F"/>
          <w:w w:val="115"/>
          <w:sz w:val="18"/>
        </w:rPr>
        <w:t>the</w:t>
      </w:r>
      <w:r>
        <w:rPr>
          <w:color w:val="4D4D4F"/>
          <w:spacing w:val="-14"/>
          <w:w w:val="115"/>
          <w:sz w:val="18"/>
        </w:rPr>
        <w:t> </w:t>
      </w:r>
      <w:r>
        <w:rPr>
          <w:color w:val="4D4D4F"/>
          <w:w w:val="115"/>
          <w:sz w:val="18"/>
        </w:rPr>
        <w:t>morning,</w:t>
      </w:r>
      <w:r>
        <w:rPr>
          <w:color w:val="4D4D4F"/>
          <w:spacing w:val="-14"/>
          <w:w w:val="115"/>
          <w:sz w:val="18"/>
        </w:rPr>
        <w:t> </w:t>
      </w:r>
      <w:r>
        <w:rPr>
          <w:color w:val="4D4D4F"/>
          <w:w w:val="115"/>
          <w:sz w:val="18"/>
        </w:rPr>
        <w:t>take</w:t>
      </w:r>
      <w:r>
        <w:rPr>
          <w:color w:val="4D4D4F"/>
          <w:spacing w:val="-14"/>
          <w:w w:val="115"/>
          <w:sz w:val="18"/>
        </w:rPr>
        <w:t> </w:t>
      </w:r>
      <w:r>
        <w:rPr>
          <w:color w:val="4D4D4F"/>
          <w:w w:val="115"/>
          <w:sz w:val="18"/>
        </w:rPr>
        <w:t>the</w:t>
      </w:r>
      <w:r>
        <w:rPr>
          <w:color w:val="4D4D4F"/>
          <w:spacing w:val="-13"/>
          <w:w w:val="115"/>
          <w:sz w:val="18"/>
        </w:rPr>
        <w:t> </w:t>
      </w:r>
      <w:r>
        <w:rPr>
          <w:color w:val="4D4D4F"/>
          <w:w w:val="115"/>
          <w:sz w:val="18"/>
        </w:rPr>
        <w:t>total</w:t>
      </w:r>
      <w:r>
        <w:rPr>
          <w:color w:val="4D4D4F"/>
          <w:spacing w:val="-14"/>
          <w:w w:val="115"/>
          <w:sz w:val="18"/>
        </w:rPr>
        <w:t> </w:t>
      </w:r>
      <w:r>
        <w:rPr>
          <w:color w:val="4D4D4F"/>
          <w:w w:val="115"/>
          <w:sz w:val="18"/>
        </w:rPr>
        <w:t>dose</w:t>
      </w:r>
      <w:r>
        <w:rPr>
          <w:color w:val="4D4D4F"/>
          <w:spacing w:val="-14"/>
          <w:w w:val="115"/>
          <w:sz w:val="18"/>
        </w:rPr>
        <w:t> </w:t>
      </w:r>
      <w:r>
        <w:rPr>
          <w:color w:val="4D4D4F"/>
          <w:w w:val="115"/>
          <w:sz w:val="18"/>
        </w:rPr>
        <w:t>you</w:t>
      </w:r>
      <w:r>
        <w:rPr>
          <w:color w:val="4D4D4F"/>
          <w:spacing w:val="-14"/>
          <w:w w:val="115"/>
          <w:sz w:val="18"/>
        </w:rPr>
        <w:t> </w:t>
      </w:r>
      <w:r>
        <w:rPr>
          <w:color w:val="4D4D4F"/>
          <w:w w:val="115"/>
          <w:sz w:val="18"/>
        </w:rPr>
        <w:t>took</w:t>
      </w:r>
      <w:r>
        <w:rPr>
          <w:color w:val="4D4D4F"/>
          <w:spacing w:val="-14"/>
          <w:w w:val="115"/>
          <w:sz w:val="18"/>
        </w:rPr>
        <w:t> </w:t>
      </w:r>
      <w:r>
        <w:rPr>
          <w:color w:val="4D4D4F"/>
          <w:w w:val="115"/>
          <w:sz w:val="18"/>
        </w:rPr>
        <w:t>on</w:t>
      </w:r>
      <w:r>
        <w:rPr>
          <w:color w:val="4D4D4F"/>
          <w:spacing w:val="-14"/>
          <w:w w:val="115"/>
          <w:sz w:val="18"/>
        </w:rPr>
        <w:t> </w:t>
      </w:r>
      <w:r>
        <w:rPr>
          <w:rFonts w:ascii="Calibri"/>
          <w:b/>
          <w:color w:val="4D4D4F"/>
          <w:w w:val="115"/>
          <w:sz w:val="18"/>
        </w:rPr>
        <w:t>Day</w:t>
      </w:r>
      <w:r>
        <w:rPr>
          <w:rFonts w:ascii="Calibri"/>
          <w:b/>
          <w:color w:val="4D4D4F"/>
          <w:spacing w:val="-1"/>
          <w:w w:val="115"/>
          <w:sz w:val="18"/>
        </w:rPr>
        <w:t> </w:t>
      </w:r>
      <w:r>
        <w:rPr>
          <w:rFonts w:ascii="Calibri"/>
          <w:b/>
          <w:color w:val="4D4D4F"/>
          <w:w w:val="115"/>
          <w:sz w:val="18"/>
        </w:rPr>
        <w:t>4</w:t>
      </w:r>
      <w:r>
        <w:rPr>
          <w:rFonts w:ascii="Calibri"/>
          <w:b/>
          <w:color w:val="4D4D4F"/>
          <w:spacing w:val="-3"/>
          <w:w w:val="115"/>
          <w:sz w:val="18"/>
        </w:rPr>
        <w:t> </w:t>
      </w:r>
      <w:r>
        <w:rPr>
          <w:color w:val="4D4D4F"/>
          <w:w w:val="115"/>
          <w:sz w:val="18"/>
        </w:rPr>
        <w:t>=</w:t>
      </w:r>
      <w:r>
        <w:rPr>
          <w:color w:val="4D4D4F"/>
          <w:w w:val="115"/>
          <w:sz w:val="18"/>
          <w:u w:val="single" w:color="7F8184"/>
        </w:rPr>
        <w:t> </w:t>
        <w:tab/>
      </w:r>
      <w:r>
        <w:rPr>
          <w:color w:val="4D4D4F"/>
          <w:w w:val="115"/>
          <w:sz w:val="18"/>
        </w:rPr>
        <w:t>mg.</w:t>
      </w:r>
    </w:p>
    <w:p>
      <w:pPr>
        <w:pStyle w:val="BodyText"/>
      </w:pPr>
    </w:p>
    <w:p>
      <w:pPr>
        <w:pStyle w:val="BodyText"/>
      </w:pPr>
    </w:p>
    <w:p>
      <w:pPr>
        <w:pStyle w:val="BodyText"/>
        <w:rPr>
          <w:sz w:val="23"/>
        </w:rPr>
      </w:pPr>
    </w:p>
    <w:p>
      <w:pPr>
        <w:spacing w:before="1"/>
        <w:ind w:left="139" w:right="0" w:firstLine="0"/>
        <w:jc w:val="left"/>
        <w:rPr>
          <w:rFonts w:ascii="Calibri"/>
          <w:b/>
          <w:sz w:val="18"/>
        </w:rPr>
      </w:pPr>
      <w:r>
        <w:rPr>
          <w:rFonts w:ascii="Calibri"/>
          <w:b/>
          <w:color w:val="4D4D4F"/>
          <w:w w:val="115"/>
          <w:sz w:val="18"/>
        </w:rPr>
        <w:t>General Rules</w:t>
      </w:r>
    </w:p>
    <w:p>
      <w:pPr>
        <w:pStyle w:val="ListParagraph"/>
        <w:numPr>
          <w:ilvl w:val="0"/>
          <w:numId w:val="41"/>
        </w:numPr>
        <w:tabs>
          <w:tab w:pos="590" w:val="left" w:leader="none"/>
          <w:tab w:pos="5641" w:val="left" w:leader="none"/>
        </w:tabs>
        <w:spacing w:line="247" w:lineRule="auto" w:before="23" w:after="0"/>
        <w:ind w:left="590" w:right="435" w:hanging="180"/>
        <w:jc w:val="left"/>
        <w:rPr>
          <w:sz w:val="18"/>
        </w:rPr>
      </w:pPr>
      <w:r>
        <w:rPr>
          <w:color w:val="4D4D4F"/>
          <w:w w:val="110"/>
          <w:sz w:val="18"/>
        </w:rPr>
        <w:t>The maximum dose is 16 mg/4 mg. If you reach this dose, you cannot increase further without calling the ofﬁce </w:t>
      </w:r>
      <w:r>
        <w:rPr>
          <w:color w:val="4D4D4F"/>
          <w:spacing w:val="-3"/>
          <w:w w:val="110"/>
          <w:sz w:val="18"/>
        </w:rPr>
        <w:t>ﬁrst. </w:t>
      </w:r>
      <w:r>
        <w:rPr>
          <w:color w:val="4D4D4F"/>
          <w:w w:val="110"/>
          <w:sz w:val="18"/>
        </w:rPr>
        <w:t>The ofﬁce phone</w:t>
      </w:r>
      <w:r>
        <w:rPr>
          <w:color w:val="4D4D4F"/>
          <w:spacing w:val="-8"/>
          <w:w w:val="110"/>
          <w:sz w:val="18"/>
        </w:rPr>
        <w:t> </w:t>
      </w:r>
      <w:r>
        <w:rPr>
          <w:color w:val="4D4D4F"/>
          <w:w w:val="110"/>
          <w:sz w:val="18"/>
        </w:rPr>
        <w:t>number</w:t>
      </w:r>
      <w:r>
        <w:rPr>
          <w:color w:val="4D4D4F"/>
          <w:spacing w:val="-3"/>
          <w:w w:val="110"/>
          <w:sz w:val="18"/>
        </w:rPr>
        <w:t> </w:t>
      </w:r>
      <w:r>
        <w:rPr>
          <w:color w:val="4D4D4F"/>
          <w:w w:val="110"/>
          <w:sz w:val="18"/>
        </w:rPr>
        <w:t>is</w:t>
      </w:r>
      <w:r>
        <w:rPr>
          <w:color w:val="4D4D4F"/>
          <w:w w:val="110"/>
          <w:sz w:val="18"/>
          <w:u w:val="single" w:color="7F8184"/>
        </w:rPr>
        <w:t> </w:t>
        <w:tab/>
      </w:r>
      <w:r>
        <w:rPr>
          <w:color w:val="4D4D4F"/>
          <w:w w:val="110"/>
          <w:sz w:val="18"/>
        </w:rPr>
        <w:t>[insert phone</w:t>
      </w:r>
      <w:r>
        <w:rPr>
          <w:color w:val="4D4D4F"/>
          <w:spacing w:val="-11"/>
          <w:w w:val="110"/>
          <w:sz w:val="18"/>
        </w:rPr>
        <w:t> </w:t>
      </w:r>
      <w:r>
        <w:rPr>
          <w:color w:val="4D4D4F"/>
          <w:w w:val="110"/>
          <w:sz w:val="18"/>
        </w:rPr>
        <w:t>number].</w:t>
      </w:r>
    </w:p>
    <w:p>
      <w:pPr>
        <w:pStyle w:val="ListParagraph"/>
        <w:numPr>
          <w:ilvl w:val="0"/>
          <w:numId w:val="41"/>
        </w:numPr>
        <w:tabs>
          <w:tab w:pos="590" w:val="left" w:leader="none"/>
        </w:tabs>
        <w:spacing w:line="203" w:lineRule="exact" w:before="0" w:after="0"/>
        <w:ind w:left="590" w:right="0" w:hanging="180"/>
        <w:jc w:val="left"/>
        <w:rPr>
          <w:sz w:val="18"/>
        </w:rPr>
      </w:pPr>
      <w:r>
        <w:rPr>
          <w:color w:val="4D4D4F"/>
          <w:w w:val="115"/>
          <w:sz w:val="18"/>
        </w:rPr>
        <w:t>Please</w:t>
      </w:r>
      <w:r>
        <w:rPr>
          <w:color w:val="4D4D4F"/>
          <w:spacing w:val="-9"/>
          <w:w w:val="115"/>
          <w:sz w:val="18"/>
        </w:rPr>
        <w:t> </w:t>
      </w:r>
      <w:r>
        <w:rPr>
          <w:color w:val="4D4D4F"/>
          <w:w w:val="115"/>
          <w:sz w:val="18"/>
        </w:rPr>
        <w:t>call</w:t>
      </w:r>
      <w:r>
        <w:rPr>
          <w:color w:val="4D4D4F"/>
          <w:spacing w:val="-9"/>
          <w:w w:val="115"/>
          <w:sz w:val="18"/>
        </w:rPr>
        <w:t> </w:t>
      </w:r>
      <w:r>
        <w:rPr>
          <w:color w:val="4D4D4F"/>
          <w:w w:val="115"/>
          <w:sz w:val="18"/>
        </w:rPr>
        <w:t>if</w:t>
      </w:r>
      <w:r>
        <w:rPr>
          <w:color w:val="4D4D4F"/>
          <w:spacing w:val="-9"/>
          <w:w w:val="115"/>
          <w:sz w:val="18"/>
        </w:rPr>
        <w:t> </w:t>
      </w:r>
      <w:r>
        <w:rPr>
          <w:color w:val="4D4D4F"/>
          <w:w w:val="115"/>
          <w:sz w:val="18"/>
        </w:rPr>
        <w:t>you</w:t>
      </w:r>
      <w:r>
        <w:rPr>
          <w:color w:val="4D4D4F"/>
          <w:spacing w:val="-8"/>
          <w:w w:val="115"/>
          <w:sz w:val="18"/>
        </w:rPr>
        <w:t> </w:t>
      </w:r>
      <w:r>
        <w:rPr>
          <w:color w:val="4D4D4F"/>
          <w:w w:val="115"/>
          <w:sz w:val="18"/>
        </w:rPr>
        <w:t>have</w:t>
      </w:r>
      <w:r>
        <w:rPr>
          <w:color w:val="4D4D4F"/>
          <w:spacing w:val="-9"/>
          <w:w w:val="115"/>
          <w:sz w:val="18"/>
        </w:rPr>
        <w:t> </w:t>
      </w:r>
      <w:r>
        <w:rPr>
          <w:color w:val="4D4D4F"/>
          <w:w w:val="115"/>
          <w:sz w:val="18"/>
        </w:rPr>
        <w:t>any</w:t>
      </w:r>
      <w:r>
        <w:rPr>
          <w:color w:val="4D4D4F"/>
          <w:spacing w:val="-9"/>
          <w:w w:val="115"/>
          <w:sz w:val="18"/>
        </w:rPr>
        <w:t> </w:t>
      </w:r>
      <w:r>
        <w:rPr>
          <w:color w:val="4D4D4F"/>
          <w:w w:val="115"/>
          <w:sz w:val="18"/>
        </w:rPr>
        <w:t>questions.</w:t>
      </w:r>
      <w:r>
        <w:rPr>
          <w:color w:val="4D4D4F"/>
          <w:spacing w:val="-8"/>
          <w:w w:val="115"/>
          <w:sz w:val="18"/>
        </w:rPr>
        <w:t> </w:t>
      </w:r>
      <w:r>
        <w:rPr>
          <w:color w:val="4D4D4F"/>
          <w:w w:val="115"/>
          <w:sz w:val="18"/>
        </w:rPr>
        <w:t>There</w:t>
      </w:r>
      <w:r>
        <w:rPr>
          <w:color w:val="4D4D4F"/>
          <w:spacing w:val="-9"/>
          <w:w w:val="115"/>
          <w:sz w:val="18"/>
        </w:rPr>
        <w:t> </w:t>
      </w:r>
      <w:r>
        <w:rPr>
          <w:color w:val="4D4D4F"/>
          <w:w w:val="115"/>
          <w:sz w:val="18"/>
        </w:rPr>
        <w:t>are</w:t>
      </w:r>
      <w:r>
        <w:rPr>
          <w:color w:val="4D4D4F"/>
          <w:spacing w:val="-9"/>
          <w:w w:val="115"/>
          <w:sz w:val="18"/>
        </w:rPr>
        <w:t> </w:t>
      </w:r>
      <w:r>
        <w:rPr>
          <w:color w:val="4D4D4F"/>
          <w:w w:val="115"/>
          <w:sz w:val="18"/>
        </w:rPr>
        <w:t>no</w:t>
      </w:r>
      <w:r>
        <w:rPr>
          <w:color w:val="4D4D4F"/>
          <w:spacing w:val="-9"/>
          <w:w w:val="115"/>
          <w:sz w:val="18"/>
        </w:rPr>
        <w:t> </w:t>
      </w:r>
      <w:r>
        <w:rPr>
          <w:color w:val="4D4D4F"/>
          <w:w w:val="115"/>
          <w:sz w:val="18"/>
        </w:rPr>
        <w:t>“stupid”</w:t>
      </w:r>
      <w:r>
        <w:rPr>
          <w:color w:val="4D4D4F"/>
          <w:spacing w:val="-8"/>
          <w:w w:val="115"/>
          <w:sz w:val="18"/>
        </w:rPr>
        <w:t> </w:t>
      </w:r>
      <w:r>
        <w:rPr>
          <w:color w:val="4D4D4F"/>
          <w:w w:val="115"/>
          <w:sz w:val="18"/>
        </w:rPr>
        <w:t>questions.</w:t>
      </w:r>
    </w:p>
    <w:p>
      <w:pPr>
        <w:pStyle w:val="ListParagraph"/>
        <w:numPr>
          <w:ilvl w:val="0"/>
          <w:numId w:val="41"/>
        </w:numPr>
        <w:tabs>
          <w:tab w:pos="590" w:val="left" w:leader="none"/>
        </w:tabs>
        <w:spacing w:line="216" w:lineRule="exact" w:before="0" w:after="0"/>
        <w:ind w:left="590" w:right="0" w:hanging="180"/>
        <w:jc w:val="left"/>
        <w:rPr>
          <w:sz w:val="18"/>
        </w:rPr>
      </w:pPr>
      <w:r>
        <w:rPr>
          <w:color w:val="4D4D4F"/>
          <w:w w:val="115"/>
          <w:sz w:val="18"/>
        </w:rPr>
        <w:t>Call</w:t>
      </w:r>
      <w:r>
        <w:rPr>
          <w:color w:val="4D4D4F"/>
          <w:spacing w:val="-9"/>
          <w:w w:val="115"/>
          <w:sz w:val="18"/>
        </w:rPr>
        <w:t> </w:t>
      </w:r>
      <w:r>
        <w:rPr>
          <w:color w:val="4D4D4F"/>
          <w:w w:val="115"/>
          <w:sz w:val="18"/>
        </w:rPr>
        <w:t>us</w:t>
      </w:r>
      <w:r>
        <w:rPr>
          <w:color w:val="4D4D4F"/>
          <w:spacing w:val="-8"/>
          <w:w w:val="115"/>
          <w:sz w:val="18"/>
        </w:rPr>
        <w:t> </w:t>
      </w:r>
      <w:r>
        <w:rPr>
          <w:color w:val="4D4D4F"/>
          <w:w w:val="115"/>
          <w:sz w:val="18"/>
        </w:rPr>
        <w:t>if</w:t>
      </w:r>
      <w:r>
        <w:rPr>
          <w:color w:val="4D4D4F"/>
          <w:spacing w:val="-8"/>
          <w:w w:val="115"/>
          <w:sz w:val="18"/>
        </w:rPr>
        <w:t> </w:t>
      </w:r>
      <w:r>
        <w:rPr>
          <w:color w:val="4D4D4F"/>
          <w:w w:val="115"/>
          <w:sz w:val="18"/>
        </w:rPr>
        <w:t>you</w:t>
      </w:r>
      <w:r>
        <w:rPr>
          <w:color w:val="4D4D4F"/>
          <w:spacing w:val="-8"/>
          <w:w w:val="115"/>
          <w:sz w:val="18"/>
        </w:rPr>
        <w:t> </w:t>
      </w:r>
      <w:r>
        <w:rPr>
          <w:color w:val="4D4D4F"/>
          <w:w w:val="115"/>
          <w:sz w:val="18"/>
        </w:rPr>
        <w:t>feel</w:t>
      </w:r>
      <w:r>
        <w:rPr>
          <w:color w:val="4D4D4F"/>
          <w:spacing w:val="-8"/>
          <w:w w:val="115"/>
          <w:sz w:val="18"/>
        </w:rPr>
        <w:t> </w:t>
      </w:r>
      <w:r>
        <w:rPr>
          <w:color w:val="4D4D4F"/>
          <w:w w:val="115"/>
          <w:sz w:val="18"/>
        </w:rPr>
        <w:t>sleepy</w:t>
      </w:r>
      <w:r>
        <w:rPr>
          <w:color w:val="4D4D4F"/>
          <w:spacing w:val="-8"/>
          <w:w w:val="115"/>
          <w:sz w:val="18"/>
        </w:rPr>
        <w:t> </w:t>
      </w:r>
      <w:r>
        <w:rPr>
          <w:color w:val="4D4D4F"/>
          <w:w w:val="115"/>
          <w:sz w:val="18"/>
        </w:rPr>
        <w:t>after</w:t>
      </w:r>
      <w:r>
        <w:rPr>
          <w:color w:val="4D4D4F"/>
          <w:spacing w:val="-8"/>
          <w:w w:val="115"/>
          <w:sz w:val="18"/>
        </w:rPr>
        <w:t> </w:t>
      </w:r>
      <w:r>
        <w:rPr>
          <w:color w:val="4D4D4F"/>
          <w:w w:val="115"/>
          <w:sz w:val="18"/>
        </w:rPr>
        <w:t>your</w:t>
      </w:r>
      <w:r>
        <w:rPr>
          <w:color w:val="4D4D4F"/>
          <w:spacing w:val="-8"/>
          <w:w w:val="115"/>
          <w:sz w:val="18"/>
        </w:rPr>
        <w:t> </w:t>
      </w:r>
      <w:r>
        <w:rPr>
          <w:color w:val="4D4D4F"/>
          <w:w w:val="115"/>
          <w:sz w:val="18"/>
        </w:rPr>
        <w:t>dose.</w:t>
      </w:r>
    </w:p>
    <w:p>
      <w:pPr>
        <w:pStyle w:val="ListParagraph"/>
        <w:numPr>
          <w:ilvl w:val="0"/>
          <w:numId w:val="41"/>
        </w:numPr>
        <w:tabs>
          <w:tab w:pos="590" w:val="left" w:leader="none"/>
        </w:tabs>
        <w:spacing w:line="216" w:lineRule="exact" w:before="0" w:after="0"/>
        <w:ind w:left="590" w:right="0" w:hanging="180"/>
        <w:jc w:val="left"/>
        <w:rPr>
          <w:sz w:val="18"/>
        </w:rPr>
      </w:pPr>
      <w:r>
        <w:rPr>
          <w:color w:val="4D4D4F"/>
          <w:w w:val="110"/>
          <w:sz w:val="18"/>
        </w:rPr>
        <w:t>Please bring this record to your next</w:t>
      </w:r>
      <w:r>
        <w:rPr>
          <w:color w:val="4D4D4F"/>
          <w:spacing w:val="-36"/>
          <w:w w:val="110"/>
          <w:sz w:val="18"/>
        </w:rPr>
        <w:t> </w:t>
      </w:r>
      <w:r>
        <w:rPr>
          <w:color w:val="4D4D4F"/>
          <w:w w:val="110"/>
          <w:sz w:val="18"/>
        </w:rPr>
        <w:t>visit.</w:t>
      </w:r>
    </w:p>
    <w:p>
      <w:pPr>
        <w:pStyle w:val="ListParagraph"/>
        <w:numPr>
          <w:ilvl w:val="0"/>
          <w:numId w:val="41"/>
        </w:numPr>
        <w:tabs>
          <w:tab w:pos="590" w:val="left" w:leader="none"/>
        </w:tabs>
        <w:spacing w:line="223" w:lineRule="exact" w:before="0" w:after="0"/>
        <w:ind w:left="590" w:right="0" w:hanging="180"/>
        <w:jc w:val="left"/>
        <w:rPr>
          <w:sz w:val="18"/>
        </w:rPr>
      </w:pPr>
      <w:r>
        <w:rPr>
          <w:color w:val="4D4D4F"/>
          <w:spacing w:val="-4"/>
          <w:w w:val="110"/>
          <w:sz w:val="18"/>
        </w:rPr>
        <w:t>It’s</w:t>
      </w:r>
      <w:r>
        <w:rPr>
          <w:color w:val="4D4D4F"/>
          <w:spacing w:val="-5"/>
          <w:w w:val="110"/>
          <w:sz w:val="18"/>
        </w:rPr>
        <w:t> </w:t>
      </w:r>
      <w:r>
        <w:rPr>
          <w:color w:val="4D4D4F"/>
          <w:w w:val="110"/>
          <w:sz w:val="18"/>
        </w:rPr>
        <w:t>okay</w:t>
      </w:r>
      <w:r>
        <w:rPr>
          <w:color w:val="4D4D4F"/>
          <w:spacing w:val="-5"/>
          <w:w w:val="110"/>
          <w:sz w:val="18"/>
        </w:rPr>
        <w:t> </w:t>
      </w:r>
      <w:r>
        <w:rPr>
          <w:color w:val="4D4D4F"/>
          <w:w w:val="110"/>
          <w:sz w:val="18"/>
        </w:rPr>
        <w:t>to</w:t>
      </w:r>
      <w:r>
        <w:rPr>
          <w:color w:val="4D4D4F"/>
          <w:spacing w:val="-5"/>
          <w:w w:val="110"/>
          <w:sz w:val="18"/>
        </w:rPr>
        <w:t> </w:t>
      </w:r>
      <w:r>
        <w:rPr>
          <w:color w:val="4D4D4F"/>
          <w:w w:val="110"/>
          <w:sz w:val="18"/>
        </w:rPr>
        <w:t>take</w:t>
      </w:r>
      <w:r>
        <w:rPr>
          <w:color w:val="4D4D4F"/>
          <w:spacing w:val="-5"/>
          <w:w w:val="110"/>
          <w:sz w:val="18"/>
        </w:rPr>
        <w:t> </w:t>
      </w:r>
      <w:r>
        <w:rPr>
          <w:color w:val="4D4D4F"/>
          <w:spacing w:val="-3"/>
          <w:w w:val="110"/>
          <w:sz w:val="18"/>
        </w:rPr>
        <w:t>Tylenol</w:t>
      </w:r>
      <w:r>
        <w:rPr>
          <w:color w:val="4D4D4F"/>
          <w:spacing w:val="-5"/>
          <w:w w:val="110"/>
          <w:sz w:val="18"/>
        </w:rPr>
        <w:t> </w:t>
      </w:r>
      <w:r>
        <w:rPr>
          <w:color w:val="4D4D4F"/>
          <w:w w:val="110"/>
          <w:sz w:val="18"/>
        </w:rPr>
        <w:t>(acetaminophen)</w:t>
      </w:r>
      <w:r>
        <w:rPr>
          <w:color w:val="4D4D4F"/>
          <w:spacing w:val="-5"/>
          <w:w w:val="110"/>
          <w:sz w:val="18"/>
        </w:rPr>
        <w:t> </w:t>
      </w:r>
      <w:r>
        <w:rPr>
          <w:color w:val="4D4D4F"/>
          <w:w w:val="110"/>
          <w:sz w:val="18"/>
        </w:rPr>
        <w:t>or</w:t>
      </w:r>
      <w:r>
        <w:rPr>
          <w:color w:val="4D4D4F"/>
          <w:spacing w:val="-5"/>
          <w:w w:val="110"/>
          <w:sz w:val="18"/>
        </w:rPr>
        <w:t> </w:t>
      </w:r>
      <w:r>
        <w:rPr>
          <w:color w:val="4D4D4F"/>
          <w:w w:val="110"/>
          <w:sz w:val="18"/>
        </w:rPr>
        <w:t>Motrin</w:t>
      </w:r>
      <w:r>
        <w:rPr>
          <w:color w:val="4D4D4F"/>
          <w:spacing w:val="-5"/>
          <w:w w:val="110"/>
          <w:sz w:val="18"/>
        </w:rPr>
        <w:t> </w:t>
      </w:r>
      <w:r>
        <w:rPr>
          <w:color w:val="4D4D4F"/>
          <w:w w:val="110"/>
          <w:sz w:val="18"/>
        </w:rPr>
        <w:t>(ibuprofen)</w:t>
      </w:r>
      <w:r>
        <w:rPr>
          <w:color w:val="4D4D4F"/>
          <w:spacing w:val="-4"/>
          <w:w w:val="110"/>
          <w:sz w:val="18"/>
        </w:rPr>
        <w:t> </w:t>
      </w:r>
      <w:r>
        <w:rPr>
          <w:color w:val="4D4D4F"/>
          <w:w w:val="110"/>
          <w:sz w:val="18"/>
        </w:rPr>
        <w:t>for</w:t>
      </w:r>
      <w:r>
        <w:rPr>
          <w:color w:val="4D4D4F"/>
          <w:spacing w:val="-5"/>
          <w:w w:val="110"/>
          <w:sz w:val="18"/>
        </w:rPr>
        <w:t> </w:t>
      </w:r>
      <w:r>
        <w:rPr>
          <w:color w:val="4D4D4F"/>
          <w:w w:val="110"/>
          <w:sz w:val="18"/>
        </w:rPr>
        <w:t>aches/pains.</w:t>
      </w:r>
    </w:p>
    <w:p>
      <w:pPr>
        <w:tabs>
          <w:tab w:pos="8245" w:val="left" w:leader="none"/>
        </w:tabs>
        <w:spacing w:before="146"/>
        <w:ind w:left="140" w:right="0" w:firstLine="0"/>
        <w:jc w:val="left"/>
        <w:rPr>
          <w:sz w:val="18"/>
        </w:rPr>
      </w:pPr>
      <w:r>
        <w:rPr>
          <w:rFonts w:ascii="Calibri"/>
          <w:b/>
          <w:color w:val="4D4D4F"/>
          <w:w w:val="120"/>
          <w:sz w:val="18"/>
        </w:rPr>
        <w:t>BRING</w:t>
      </w:r>
      <w:r>
        <w:rPr>
          <w:rFonts w:ascii="Calibri"/>
          <w:b/>
          <w:color w:val="4D4D4F"/>
          <w:spacing w:val="-7"/>
          <w:w w:val="120"/>
          <w:sz w:val="18"/>
        </w:rPr>
        <w:t> </w:t>
      </w:r>
      <w:r>
        <w:rPr>
          <w:rFonts w:ascii="Calibri"/>
          <w:b/>
          <w:color w:val="4D4D4F"/>
          <w:w w:val="120"/>
          <w:sz w:val="18"/>
        </w:rPr>
        <w:t>THIS</w:t>
      </w:r>
      <w:r>
        <w:rPr>
          <w:rFonts w:ascii="Calibri"/>
          <w:b/>
          <w:color w:val="4D4D4F"/>
          <w:spacing w:val="-7"/>
          <w:w w:val="120"/>
          <w:sz w:val="18"/>
        </w:rPr>
        <w:t> </w:t>
      </w:r>
      <w:r>
        <w:rPr>
          <w:rFonts w:ascii="Calibri"/>
          <w:b/>
          <w:color w:val="4D4D4F"/>
          <w:w w:val="120"/>
          <w:sz w:val="18"/>
        </w:rPr>
        <w:t>WITH</w:t>
      </w:r>
      <w:r>
        <w:rPr>
          <w:rFonts w:ascii="Calibri"/>
          <w:b/>
          <w:color w:val="4D4D4F"/>
          <w:spacing w:val="-7"/>
          <w:w w:val="120"/>
          <w:sz w:val="18"/>
        </w:rPr>
        <w:t> </w:t>
      </w:r>
      <w:r>
        <w:rPr>
          <w:rFonts w:ascii="Calibri"/>
          <w:b/>
          <w:color w:val="4D4D4F"/>
          <w:w w:val="120"/>
          <w:sz w:val="18"/>
        </w:rPr>
        <w:t>YOU</w:t>
      </w:r>
      <w:r>
        <w:rPr>
          <w:rFonts w:ascii="Calibri"/>
          <w:b/>
          <w:color w:val="4D4D4F"/>
          <w:spacing w:val="-7"/>
          <w:w w:val="120"/>
          <w:sz w:val="18"/>
        </w:rPr>
        <w:t> </w:t>
      </w:r>
      <w:r>
        <w:rPr>
          <w:rFonts w:ascii="Calibri"/>
          <w:b/>
          <w:color w:val="4D4D4F"/>
          <w:w w:val="120"/>
          <w:sz w:val="18"/>
        </w:rPr>
        <w:t>TO</w:t>
      </w:r>
      <w:r>
        <w:rPr>
          <w:rFonts w:ascii="Calibri"/>
          <w:b/>
          <w:color w:val="4D4D4F"/>
          <w:spacing w:val="-7"/>
          <w:w w:val="120"/>
          <w:sz w:val="18"/>
        </w:rPr>
        <w:t> </w:t>
      </w:r>
      <w:r>
        <w:rPr>
          <w:rFonts w:ascii="Calibri"/>
          <w:b/>
          <w:color w:val="4D4D4F"/>
          <w:w w:val="120"/>
          <w:sz w:val="18"/>
        </w:rPr>
        <w:t>YOUR</w:t>
      </w:r>
      <w:r>
        <w:rPr>
          <w:rFonts w:ascii="Calibri"/>
          <w:b/>
          <w:color w:val="4D4D4F"/>
          <w:spacing w:val="-7"/>
          <w:w w:val="120"/>
          <w:sz w:val="18"/>
        </w:rPr>
        <w:t> </w:t>
      </w:r>
      <w:r>
        <w:rPr>
          <w:rFonts w:ascii="Calibri"/>
          <w:b/>
          <w:color w:val="4D4D4F"/>
          <w:w w:val="120"/>
          <w:sz w:val="18"/>
        </w:rPr>
        <w:t>NEXT</w:t>
      </w:r>
      <w:r>
        <w:rPr>
          <w:rFonts w:ascii="Calibri"/>
          <w:b/>
          <w:color w:val="4D4D4F"/>
          <w:spacing w:val="-7"/>
          <w:w w:val="120"/>
          <w:sz w:val="18"/>
        </w:rPr>
        <w:t> </w:t>
      </w:r>
      <w:r>
        <w:rPr>
          <w:rFonts w:ascii="Calibri"/>
          <w:b/>
          <w:color w:val="4D4D4F"/>
          <w:w w:val="120"/>
          <w:sz w:val="18"/>
        </w:rPr>
        <w:t>APPOINTMENT,</w:t>
      </w:r>
      <w:r>
        <w:rPr>
          <w:rFonts w:ascii="Calibri"/>
          <w:b/>
          <w:color w:val="4D4D4F"/>
          <w:spacing w:val="-6"/>
          <w:w w:val="120"/>
          <w:sz w:val="18"/>
        </w:rPr>
        <w:t> </w:t>
      </w:r>
      <w:r>
        <w:rPr>
          <w:rFonts w:ascii="Calibri"/>
          <w:b/>
          <w:color w:val="4D4D4F"/>
          <w:w w:val="120"/>
          <w:sz w:val="18"/>
        </w:rPr>
        <w:t>scheduled</w:t>
      </w:r>
      <w:r>
        <w:rPr>
          <w:rFonts w:ascii="Calibri"/>
          <w:b/>
          <w:color w:val="4D4D4F"/>
          <w:spacing w:val="-7"/>
          <w:w w:val="120"/>
          <w:sz w:val="18"/>
        </w:rPr>
        <w:t> </w:t>
      </w:r>
      <w:r>
        <w:rPr>
          <w:rFonts w:ascii="Calibri"/>
          <w:b/>
          <w:color w:val="4D4D4F"/>
          <w:w w:val="120"/>
          <w:sz w:val="18"/>
        </w:rPr>
        <w:t>for</w:t>
      </w:r>
      <w:r>
        <w:rPr>
          <w:rFonts w:ascii="Calibri"/>
          <w:b/>
          <w:color w:val="4D4D4F"/>
          <w:w w:val="120"/>
          <w:sz w:val="18"/>
          <w:u w:val="single" w:color="4C4C4E"/>
        </w:rPr>
        <w:t> </w:t>
        <w:tab/>
      </w:r>
      <w:r>
        <w:rPr>
          <w:color w:val="4D4D4F"/>
          <w:w w:val="120"/>
          <w:sz w:val="18"/>
        </w:rPr>
        <w:t>[insert</w:t>
      </w:r>
      <w:r>
        <w:rPr>
          <w:color w:val="4D4D4F"/>
          <w:spacing w:val="-26"/>
          <w:w w:val="120"/>
          <w:sz w:val="18"/>
        </w:rPr>
        <w:t> </w:t>
      </w:r>
      <w:r>
        <w:rPr>
          <w:color w:val="4D4D4F"/>
          <w:w w:val="120"/>
          <w:sz w:val="18"/>
        </w:rPr>
        <w:t>date</w:t>
      </w:r>
      <w:r>
        <w:rPr>
          <w:color w:val="4D4D4F"/>
          <w:spacing w:val="-26"/>
          <w:w w:val="120"/>
          <w:sz w:val="18"/>
        </w:rPr>
        <w:t> </w:t>
      </w:r>
      <w:r>
        <w:rPr>
          <w:color w:val="4D4D4F"/>
          <w:w w:val="120"/>
          <w:sz w:val="18"/>
        </w:rPr>
        <w:t>and</w:t>
      </w:r>
      <w:r>
        <w:rPr>
          <w:color w:val="4D4D4F"/>
          <w:spacing w:val="-26"/>
          <w:w w:val="120"/>
          <w:sz w:val="18"/>
        </w:rPr>
        <w:t> </w:t>
      </w:r>
      <w:r>
        <w:rPr>
          <w:color w:val="4D4D4F"/>
          <w:w w:val="120"/>
          <w:sz w:val="18"/>
        </w:rPr>
        <w:t>time].</w:t>
      </w:r>
    </w:p>
    <w:p>
      <w:pPr>
        <w:spacing w:before="86"/>
        <w:ind w:left="140" w:right="0" w:firstLine="0"/>
        <w:jc w:val="left"/>
        <w:rPr>
          <w:rFonts w:ascii="Calibri"/>
          <w:b/>
          <w:sz w:val="18"/>
        </w:rPr>
      </w:pPr>
      <w:r>
        <w:rPr>
          <w:rFonts w:ascii="Calibri"/>
          <w:b/>
          <w:color w:val="4D4D4F"/>
          <w:w w:val="115"/>
          <w:sz w:val="18"/>
        </w:rPr>
        <w:t>Notes:</w:t>
      </w:r>
    </w:p>
    <w:p>
      <w:pPr>
        <w:pStyle w:val="BodyText"/>
        <w:rPr>
          <w:rFonts w:ascii="Calibri"/>
          <w:b/>
          <w:sz w:val="20"/>
        </w:rPr>
      </w:pPr>
    </w:p>
    <w:p>
      <w:pPr>
        <w:pStyle w:val="BodyText"/>
        <w:spacing w:before="9"/>
        <w:rPr>
          <w:rFonts w:ascii="Calibri"/>
          <w:b/>
          <w:sz w:val="28"/>
        </w:rPr>
      </w:pPr>
      <w:r>
        <w:rPr/>
        <w:pict>
          <v:shape style="position:absolute;margin-left:54pt;margin-top:19.782373pt;width:94.35pt;height:.1pt;mso-position-horizontal-relative:page;mso-position-vertical-relative:paragraph;z-index:-15677440;mso-wrap-distance-left:0;mso-wrap-distance-right:0" coordorigin="1080,396" coordsize="1887,0" path="m1080,396l2966,396e" filled="false" stroked="true" strokeweight=".5pt" strokecolor="#a7aaac">
            <v:path arrowok="t"/>
            <v:stroke dashstyle="solid"/>
            <w10:wrap type="topAndBottom"/>
          </v:shape>
        </w:pict>
      </w:r>
    </w:p>
    <w:p>
      <w:pPr>
        <w:spacing w:line="235" w:lineRule="auto" w:before="56"/>
        <w:ind w:left="140" w:right="597" w:firstLine="0"/>
        <w:jc w:val="left"/>
        <w:rPr>
          <w:rFonts w:ascii="Calibri" w:hAnsi="Calibri"/>
          <w:sz w:val="16"/>
        </w:rPr>
      </w:pPr>
      <w:r>
        <w:rPr>
          <w:rFonts w:ascii="Calibri" w:hAnsi="Calibri"/>
          <w:color w:val="4D4D4F"/>
          <w:w w:val="125"/>
          <w:sz w:val="16"/>
        </w:rPr>
        <w:t>*If prescribing the buccal ﬁlm, ensure the patient understands that the buccal ﬁlm is placed on the inner cheek (buccal mucosa) rather than sublingually (under the tongue).</w:t>
      </w:r>
    </w:p>
    <w:p>
      <w:pPr>
        <w:pStyle w:val="BodyText"/>
        <w:spacing w:before="4"/>
        <w:rPr>
          <w:rFonts w:ascii="Calibri"/>
          <w:sz w:val="15"/>
        </w:rPr>
      </w:pPr>
    </w:p>
    <w:p>
      <w:pPr>
        <w:spacing w:before="0"/>
        <w:ind w:left="140" w:right="0" w:firstLine="0"/>
        <w:jc w:val="left"/>
        <w:rPr>
          <w:rFonts w:ascii="Arial"/>
          <w:i/>
          <w:sz w:val="16"/>
        </w:rPr>
      </w:pPr>
      <w:r>
        <w:rPr>
          <w:rFonts w:ascii="Arial"/>
          <w:i/>
          <w:color w:val="4D4D4F"/>
          <w:sz w:val="16"/>
        </w:rPr>
        <w:t>M. Lofwall, February 27, 2017 (personal communication). Adapted with permission.</w:t>
      </w:r>
    </w:p>
    <w:p>
      <w:pPr>
        <w:spacing w:after="0"/>
        <w:jc w:val="left"/>
        <w:rPr>
          <w:rFonts w:ascii="Arial"/>
          <w:sz w:val="16"/>
        </w:rPr>
        <w:sectPr>
          <w:type w:val="continuous"/>
          <w:pgSz w:w="12240" w:h="15840"/>
          <w:pgMar w:top="540" w:bottom="280" w:left="940" w:right="920"/>
        </w:sectPr>
      </w:pPr>
    </w:p>
    <w:p>
      <w:pPr>
        <w:pStyle w:val="BodyText"/>
        <w:spacing w:before="5"/>
        <w:rPr>
          <w:rFonts w:ascii="Arial"/>
          <w:i/>
          <w:sz w:val="27"/>
        </w:rPr>
      </w:pPr>
    </w:p>
    <w:p>
      <w:pPr>
        <w:pStyle w:val="Heading3"/>
        <w:spacing w:before="89"/>
      </w:pPr>
      <w:bookmarkStart w:name="_TOC_250032" w:id="83"/>
      <w:bookmarkEnd w:id="83"/>
      <w:r>
        <w:rPr>
          <w:color w:val="137692"/>
          <w:w w:val="110"/>
        </w:rPr>
        <w:t>Buprenorphine Treatment Agreement</w:t>
      </w:r>
    </w:p>
    <w:p>
      <w:pPr>
        <w:spacing w:line="247" w:lineRule="auto" w:before="255"/>
        <w:ind w:left="140" w:right="157" w:firstLine="0"/>
        <w:jc w:val="left"/>
        <w:rPr>
          <w:sz w:val="20"/>
        </w:rPr>
      </w:pPr>
      <w:r>
        <w:rPr>
          <w:color w:val="4D4D4F"/>
          <w:w w:val="110"/>
          <w:sz w:val="20"/>
        </w:rPr>
        <w:t>This form is for educational/informational purposes only. It doesn’t establish a legal or medical standard of care. Healthcare professionals should use their judgment in interpreting this form and applying it in the circumstances of their individual patients and practice arrangements. The information provided in this form is provided “as is” with no guarantee as to its accuracy or completeness.</w:t>
      </w:r>
    </w:p>
    <w:p>
      <w:pPr>
        <w:pStyle w:val="BodyText"/>
        <w:rPr>
          <w:sz w:val="24"/>
        </w:rPr>
      </w:pPr>
    </w:p>
    <w:p>
      <w:pPr>
        <w:pStyle w:val="BodyText"/>
        <w:spacing w:before="2"/>
        <w:rPr>
          <w:sz w:val="30"/>
        </w:rPr>
      </w:pPr>
    </w:p>
    <w:p>
      <w:pPr>
        <w:spacing w:before="0"/>
        <w:ind w:left="415" w:right="0" w:firstLine="0"/>
        <w:jc w:val="left"/>
        <w:rPr>
          <w:rFonts w:ascii="Calibri"/>
          <w:b/>
          <w:sz w:val="18"/>
        </w:rPr>
      </w:pPr>
      <w:r>
        <w:rPr/>
        <w:pict>
          <v:rect style="position:absolute;margin-left:54.125pt;margin-top:-11.861067pt;width:504.001pt;height:522.5750pt;mso-position-horizontal-relative:page;mso-position-vertical-relative:paragraph;z-index:-19535360" filled="false" stroked="true" strokeweight=".25pt" strokecolor="#88aabd">
            <v:stroke dashstyle="solid"/>
            <w10:wrap type="none"/>
          </v:rect>
        </w:pict>
      </w:r>
      <w:r>
        <w:rPr>
          <w:rFonts w:ascii="Calibri"/>
          <w:b/>
          <w:color w:val="4D4D4F"/>
          <w:w w:val="120"/>
          <w:sz w:val="18"/>
        </w:rPr>
        <w:t>TREATMENT AGREEMENT</w:t>
      </w:r>
    </w:p>
    <w:p>
      <w:pPr>
        <w:spacing w:before="91"/>
        <w:ind w:left="415" w:right="0" w:firstLine="0"/>
        <w:jc w:val="left"/>
        <w:rPr>
          <w:sz w:val="18"/>
        </w:rPr>
      </w:pPr>
      <w:r>
        <w:rPr>
          <w:color w:val="4D4D4F"/>
          <w:w w:val="110"/>
          <w:sz w:val="18"/>
        </w:rPr>
        <w:t>I agree to accept the following treatment contract for buprenorphine ofﬁce-based opioid addiction treatment:</w:t>
      </w:r>
    </w:p>
    <w:p>
      <w:pPr>
        <w:pStyle w:val="ListParagraph"/>
        <w:numPr>
          <w:ilvl w:val="0"/>
          <w:numId w:val="42"/>
        </w:numPr>
        <w:tabs>
          <w:tab w:pos="774" w:val="left" w:leader="none"/>
          <w:tab w:pos="776" w:val="left" w:leader="none"/>
        </w:tabs>
        <w:spacing w:line="240" w:lineRule="auto" w:before="95" w:after="0"/>
        <w:ind w:left="775" w:right="0" w:hanging="361"/>
        <w:jc w:val="left"/>
        <w:rPr>
          <w:sz w:val="18"/>
        </w:rPr>
      </w:pPr>
      <w:r>
        <w:rPr>
          <w:color w:val="4D4D4F"/>
          <w:w w:val="110"/>
          <w:sz w:val="18"/>
        </w:rPr>
        <w:t>The</w:t>
      </w:r>
      <w:r>
        <w:rPr>
          <w:color w:val="4D4D4F"/>
          <w:spacing w:val="-4"/>
          <w:w w:val="110"/>
          <w:sz w:val="18"/>
        </w:rPr>
        <w:t> </w:t>
      </w:r>
      <w:r>
        <w:rPr>
          <w:color w:val="4D4D4F"/>
          <w:w w:val="110"/>
          <w:sz w:val="18"/>
        </w:rPr>
        <w:t>risks</w:t>
      </w:r>
      <w:r>
        <w:rPr>
          <w:color w:val="4D4D4F"/>
          <w:spacing w:val="-4"/>
          <w:w w:val="110"/>
          <w:sz w:val="18"/>
        </w:rPr>
        <w:t> </w:t>
      </w:r>
      <w:r>
        <w:rPr>
          <w:color w:val="4D4D4F"/>
          <w:w w:val="110"/>
          <w:sz w:val="18"/>
        </w:rPr>
        <w:t>and</w:t>
      </w:r>
      <w:r>
        <w:rPr>
          <w:color w:val="4D4D4F"/>
          <w:spacing w:val="-4"/>
          <w:w w:val="110"/>
          <w:sz w:val="18"/>
        </w:rPr>
        <w:t> </w:t>
      </w:r>
      <w:r>
        <w:rPr>
          <w:color w:val="4D4D4F"/>
          <w:w w:val="110"/>
          <w:sz w:val="18"/>
        </w:rPr>
        <w:t>beneﬁts</w:t>
      </w:r>
      <w:r>
        <w:rPr>
          <w:color w:val="4D4D4F"/>
          <w:spacing w:val="-3"/>
          <w:w w:val="110"/>
          <w:sz w:val="18"/>
        </w:rPr>
        <w:t> </w:t>
      </w:r>
      <w:r>
        <w:rPr>
          <w:color w:val="4D4D4F"/>
          <w:w w:val="110"/>
          <w:sz w:val="18"/>
        </w:rPr>
        <w:t>of</w:t>
      </w:r>
      <w:r>
        <w:rPr>
          <w:color w:val="4D4D4F"/>
          <w:spacing w:val="-4"/>
          <w:w w:val="110"/>
          <w:sz w:val="18"/>
        </w:rPr>
        <w:t> </w:t>
      </w:r>
      <w:r>
        <w:rPr>
          <w:color w:val="4D4D4F"/>
          <w:w w:val="110"/>
          <w:sz w:val="18"/>
        </w:rPr>
        <w:t>buprenorphine</w:t>
      </w:r>
      <w:r>
        <w:rPr>
          <w:color w:val="4D4D4F"/>
          <w:spacing w:val="-4"/>
          <w:w w:val="110"/>
          <w:sz w:val="18"/>
        </w:rPr>
        <w:t> </w:t>
      </w:r>
      <w:r>
        <w:rPr>
          <w:color w:val="4D4D4F"/>
          <w:w w:val="110"/>
          <w:sz w:val="18"/>
        </w:rPr>
        <w:t>treatment</w:t>
      </w:r>
      <w:r>
        <w:rPr>
          <w:color w:val="4D4D4F"/>
          <w:spacing w:val="-4"/>
          <w:w w:val="110"/>
          <w:sz w:val="18"/>
        </w:rPr>
        <w:t> </w:t>
      </w:r>
      <w:r>
        <w:rPr>
          <w:color w:val="4D4D4F"/>
          <w:w w:val="110"/>
          <w:sz w:val="18"/>
        </w:rPr>
        <w:t>have</w:t>
      </w:r>
      <w:r>
        <w:rPr>
          <w:color w:val="4D4D4F"/>
          <w:spacing w:val="-3"/>
          <w:w w:val="110"/>
          <w:sz w:val="18"/>
        </w:rPr>
        <w:t> </w:t>
      </w:r>
      <w:r>
        <w:rPr>
          <w:color w:val="4D4D4F"/>
          <w:w w:val="110"/>
          <w:sz w:val="18"/>
        </w:rPr>
        <w:t>been</w:t>
      </w:r>
      <w:r>
        <w:rPr>
          <w:color w:val="4D4D4F"/>
          <w:spacing w:val="-4"/>
          <w:w w:val="110"/>
          <w:sz w:val="18"/>
        </w:rPr>
        <w:t> </w:t>
      </w:r>
      <w:r>
        <w:rPr>
          <w:color w:val="4D4D4F"/>
          <w:w w:val="110"/>
          <w:sz w:val="18"/>
        </w:rPr>
        <w:t>explained</w:t>
      </w:r>
      <w:r>
        <w:rPr>
          <w:color w:val="4D4D4F"/>
          <w:spacing w:val="-4"/>
          <w:w w:val="110"/>
          <w:sz w:val="18"/>
        </w:rPr>
        <w:t> </w:t>
      </w:r>
      <w:r>
        <w:rPr>
          <w:color w:val="4D4D4F"/>
          <w:w w:val="110"/>
          <w:sz w:val="18"/>
        </w:rPr>
        <w:t>to</w:t>
      </w:r>
      <w:r>
        <w:rPr>
          <w:color w:val="4D4D4F"/>
          <w:spacing w:val="-4"/>
          <w:w w:val="110"/>
          <w:sz w:val="18"/>
        </w:rPr>
        <w:t> </w:t>
      </w:r>
      <w:r>
        <w:rPr>
          <w:color w:val="4D4D4F"/>
          <w:w w:val="110"/>
          <w:sz w:val="18"/>
        </w:rPr>
        <w:t>me.</w:t>
      </w:r>
    </w:p>
    <w:p>
      <w:pPr>
        <w:pStyle w:val="ListParagraph"/>
        <w:numPr>
          <w:ilvl w:val="0"/>
          <w:numId w:val="42"/>
        </w:numPr>
        <w:tabs>
          <w:tab w:pos="774" w:val="left" w:leader="none"/>
          <w:tab w:pos="776" w:val="left" w:leader="none"/>
        </w:tabs>
        <w:spacing w:line="247" w:lineRule="auto" w:before="35" w:after="0"/>
        <w:ind w:left="775" w:right="1234" w:hanging="360"/>
        <w:jc w:val="left"/>
        <w:rPr>
          <w:sz w:val="18"/>
        </w:rPr>
      </w:pPr>
      <w:r>
        <w:rPr>
          <w:color w:val="4D4D4F"/>
          <w:w w:val="110"/>
          <w:sz w:val="18"/>
        </w:rPr>
        <w:t>The risks and beneﬁts of other treatment for opioid use disorder (including methadone, naltrexone, </w:t>
      </w:r>
      <w:r>
        <w:rPr>
          <w:color w:val="4D4D4F"/>
          <w:spacing w:val="-5"/>
          <w:w w:val="110"/>
          <w:sz w:val="18"/>
        </w:rPr>
        <w:t>and </w:t>
      </w:r>
      <w:r>
        <w:rPr>
          <w:color w:val="4D4D4F"/>
          <w:w w:val="110"/>
          <w:sz w:val="18"/>
        </w:rPr>
        <w:t>nonmedication treatments) have been explained to</w:t>
      </w:r>
      <w:r>
        <w:rPr>
          <w:color w:val="4D4D4F"/>
          <w:spacing w:val="-25"/>
          <w:w w:val="110"/>
          <w:sz w:val="18"/>
        </w:rPr>
        <w:t> </w:t>
      </w:r>
      <w:r>
        <w:rPr>
          <w:color w:val="4D4D4F"/>
          <w:w w:val="110"/>
          <w:sz w:val="18"/>
        </w:rPr>
        <w:t>me.</w:t>
      </w:r>
    </w:p>
    <w:p>
      <w:pPr>
        <w:pStyle w:val="ListParagraph"/>
        <w:numPr>
          <w:ilvl w:val="0"/>
          <w:numId w:val="42"/>
        </w:numPr>
        <w:tabs>
          <w:tab w:pos="774" w:val="left" w:leader="none"/>
          <w:tab w:pos="776" w:val="left" w:leader="none"/>
          <w:tab w:pos="9673" w:val="left" w:leader="none"/>
        </w:tabs>
        <w:spacing w:line="247" w:lineRule="auto" w:before="29" w:after="0"/>
        <w:ind w:left="775" w:right="607" w:hanging="360"/>
        <w:jc w:val="left"/>
        <w:rPr>
          <w:sz w:val="18"/>
        </w:rPr>
      </w:pPr>
      <w:r>
        <w:rPr>
          <w:color w:val="4D4D4F"/>
          <w:w w:val="110"/>
          <w:sz w:val="18"/>
        </w:rPr>
        <w:t>I will keep my medication in a safe, secure place away from children (for example, in a lockbox). My plan is to store it [describe where</w:t>
      </w:r>
      <w:r>
        <w:rPr>
          <w:color w:val="4D4D4F"/>
          <w:spacing w:val="-39"/>
          <w:w w:val="110"/>
          <w:sz w:val="18"/>
        </w:rPr>
        <w:t> </w:t>
      </w:r>
      <w:r>
        <w:rPr>
          <w:color w:val="4D4D4F"/>
          <w:w w:val="110"/>
          <w:sz w:val="18"/>
        </w:rPr>
        <w:t>and</w:t>
      </w:r>
      <w:r>
        <w:rPr>
          <w:color w:val="4D4D4F"/>
          <w:spacing w:val="-9"/>
          <w:w w:val="110"/>
          <w:sz w:val="18"/>
        </w:rPr>
        <w:t> </w:t>
      </w:r>
      <w:r>
        <w:rPr>
          <w:color w:val="4D4D4F"/>
          <w:w w:val="110"/>
          <w:sz w:val="18"/>
        </w:rPr>
        <w:t>how</w:t>
      </w:r>
      <w:r>
        <w:rPr>
          <w:color w:val="4D4D4F"/>
          <w:w w:val="110"/>
          <w:sz w:val="18"/>
          <w:u w:val="single" w:color="4C4C4E"/>
        </w:rPr>
        <w:t> </w:t>
        <w:tab/>
      </w:r>
      <w:r>
        <w:rPr>
          <w:color w:val="4D4D4F"/>
          <w:spacing w:val="-9"/>
          <w:w w:val="110"/>
          <w:sz w:val="18"/>
        </w:rPr>
        <w:t>].</w:t>
      </w:r>
    </w:p>
    <w:p>
      <w:pPr>
        <w:pStyle w:val="ListParagraph"/>
        <w:numPr>
          <w:ilvl w:val="0"/>
          <w:numId w:val="42"/>
        </w:numPr>
        <w:tabs>
          <w:tab w:pos="776" w:val="left" w:leader="none"/>
        </w:tabs>
        <w:spacing w:line="247" w:lineRule="auto" w:before="29" w:after="0"/>
        <w:ind w:left="775" w:right="624" w:hanging="360"/>
        <w:jc w:val="left"/>
        <w:rPr>
          <w:sz w:val="18"/>
        </w:rPr>
      </w:pPr>
      <w:r>
        <w:rPr>
          <w:color w:val="4D4D4F"/>
          <w:w w:val="110"/>
          <w:sz w:val="18"/>
        </w:rPr>
        <w:t>I will take the medication exactly as my healthcare provider prescribes. If I want to change my medication </w:t>
      </w:r>
      <w:r>
        <w:rPr>
          <w:color w:val="4D4D4F"/>
          <w:spacing w:val="-3"/>
          <w:w w:val="110"/>
          <w:sz w:val="18"/>
        </w:rPr>
        <w:t>dose, </w:t>
      </w:r>
      <w:r>
        <w:rPr>
          <w:color w:val="4D4D4F"/>
          <w:w w:val="110"/>
          <w:sz w:val="18"/>
        </w:rPr>
        <w:t>I will speak with my healthcare provider ﬁrst. </w:t>
      </w:r>
      <w:r>
        <w:rPr>
          <w:color w:val="4D4D4F"/>
          <w:spacing w:val="-4"/>
          <w:w w:val="110"/>
          <w:sz w:val="18"/>
        </w:rPr>
        <w:t>Taking </w:t>
      </w:r>
      <w:r>
        <w:rPr>
          <w:color w:val="4D4D4F"/>
          <w:w w:val="110"/>
          <w:sz w:val="18"/>
        </w:rPr>
        <w:t>more medication than my healthcare provider prescribes or taking it more than once daily as my healthcare provider prescribes is medication misuse and may result in supervised</w:t>
      </w:r>
      <w:r>
        <w:rPr>
          <w:color w:val="4D4D4F"/>
          <w:spacing w:val="4"/>
          <w:w w:val="110"/>
          <w:sz w:val="18"/>
        </w:rPr>
        <w:t> </w:t>
      </w:r>
      <w:r>
        <w:rPr>
          <w:color w:val="4D4D4F"/>
          <w:w w:val="110"/>
          <w:sz w:val="18"/>
        </w:rPr>
        <w:t>dosing</w:t>
      </w:r>
      <w:r>
        <w:rPr>
          <w:color w:val="4D4D4F"/>
          <w:spacing w:val="5"/>
          <w:w w:val="110"/>
          <w:sz w:val="18"/>
        </w:rPr>
        <w:t> </w:t>
      </w:r>
      <w:r>
        <w:rPr>
          <w:color w:val="4D4D4F"/>
          <w:w w:val="110"/>
          <w:sz w:val="18"/>
        </w:rPr>
        <w:t>at</w:t>
      </w:r>
      <w:r>
        <w:rPr>
          <w:color w:val="4D4D4F"/>
          <w:spacing w:val="5"/>
          <w:w w:val="110"/>
          <w:sz w:val="18"/>
        </w:rPr>
        <w:t> </w:t>
      </w:r>
      <w:r>
        <w:rPr>
          <w:color w:val="4D4D4F"/>
          <w:w w:val="110"/>
          <w:sz w:val="18"/>
        </w:rPr>
        <w:t>the</w:t>
      </w:r>
      <w:r>
        <w:rPr>
          <w:color w:val="4D4D4F"/>
          <w:spacing w:val="5"/>
          <w:w w:val="110"/>
          <w:sz w:val="18"/>
        </w:rPr>
        <w:t> </w:t>
      </w:r>
      <w:r>
        <w:rPr>
          <w:color w:val="4D4D4F"/>
          <w:w w:val="110"/>
          <w:sz w:val="18"/>
        </w:rPr>
        <w:t>clinic.</w:t>
      </w:r>
      <w:r>
        <w:rPr>
          <w:color w:val="4D4D4F"/>
          <w:spacing w:val="5"/>
          <w:w w:val="110"/>
          <w:sz w:val="18"/>
        </w:rPr>
        <w:t> </w:t>
      </w:r>
      <w:r>
        <w:rPr>
          <w:color w:val="4D4D4F"/>
          <w:spacing w:val="-4"/>
          <w:w w:val="110"/>
          <w:sz w:val="18"/>
        </w:rPr>
        <w:t>Taking</w:t>
      </w:r>
      <w:r>
        <w:rPr>
          <w:color w:val="4D4D4F"/>
          <w:spacing w:val="5"/>
          <w:w w:val="110"/>
          <w:sz w:val="18"/>
        </w:rPr>
        <w:t> </w:t>
      </w:r>
      <w:r>
        <w:rPr>
          <w:color w:val="4D4D4F"/>
          <w:w w:val="110"/>
          <w:sz w:val="18"/>
        </w:rPr>
        <w:t>the</w:t>
      </w:r>
      <w:r>
        <w:rPr>
          <w:color w:val="4D4D4F"/>
          <w:spacing w:val="5"/>
          <w:w w:val="110"/>
          <w:sz w:val="18"/>
        </w:rPr>
        <w:t> </w:t>
      </w:r>
      <w:r>
        <w:rPr>
          <w:color w:val="4D4D4F"/>
          <w:w w:val="110"/>
          <w:sz w:val="18"/>
        </w:rPr>
        <w:t>medication</w:t>
      </w:r>
      <w:r>
        <w:rPr>
          <w:color w:val="4D4D4F"/>
          <w:spacing w:val="5"/>
          <w:w w:val="110"/>
          <w:sz w:val="18"/>
        </w:rPr>
        <w:t> </w:t>
      </w:r>
      <w:r>
        <w:rPr>
          <w:color w:val="4D4D4F"/>
          <w:w w:val="110"/>
          <w:sz w:val="18"/>
        </w:rPr>
        <w:t>by</w:t>
      </w:r>
      <w:r>
        <w:rPr>
          <w:color w:val="4D4D4F"/>
          <w:spacing w:val="4"/>
          <w:w w:val="110"/>
          <w:sz w:val="18"/>
        </w:rPr>
        <w:t> </w:t>
      </w:r>
      <w:r>
        <w:rPr>
          <w:color w:val="4D4D4F"/>
          <w:w w:val="110"/>
          <w:sz w:val="18"/>
        </w:rPr>
        <w:t>snorting</w:t>
      </w:r>
      <w:r>
        <w:rPr>
          <w:color w:val="4D4D4F"/>
          <w:spacing w:val="5"/>
          <w:w w:val="110"/>
          <w:sz w:val="18"/>
        </w:rPr>
        <w:t> </w:t>
      </w:r>
      <w:r>
        <w:rPr>
          <w:color w:val="4D4D4F"/>
          <w:w w:val="110"/>
          <w:sz w:val="18"/>
        </w:rPr>
        <w:t>or</w:t>
      </w:r>
      <w:r>
        <w:rPr>
          <w:color w:val="4D4D4F"/>
          <w:spacing w:val="5"/>
          <w:w w:val="110"/>
          <w:sz w:val="18"/>
        </w:rPr>
        <w:t> </w:t>
      </w:r>
      <w:r>
        <w:rPr>
          <w:color w:val="4D4D4F"/>
          <w:w w:val="110"/>
          <w:sz w:val="18"/>
        </w:rPr>
        <w:t>by</w:t>
      </w:r>
      <w:r>
        <w:rPr>
          <w:color w:val="4D4D4F"/>
          <w:spacing w:val="5"/>
          <w:w w:val="110"/>
          <w:sz w:val="18"/>
        </w:rPr>
        <w:t> </w:t>
      </w:r>
      <w:r>
        <w:rPr>
          <w:color w:val="4D4D4F"/>
          <w:w w:val="110"/>
          <w:sz w:val="18"/>
        </w:rPr>
        <w:t>injection</w:t>
      </w:r>
      <w:r>
        <w:rPr>
          <w:color w:val="4D4D4F"/>
          <w:spacing w:val="5"/>
          <w:w w:val="110"/>
          <w:sz w:val="18"/>
        </w:rPr>
        <w:t> </w:t>
      </w:r>
      <w:r>
        <w:rPr>
          <w:color w:val="4D4D4F"/>
          <w:w w:val="110"/>
          <w:sz w:val="18"/>
        </w:rPr>
        <w:t>is</w:t>
      </w:r>
      <w:r>
        <w:rPr>
          <w:color w:val="4D4D4F"/>
          <w:spacing w:val="5"/>
          <w:w w:val="110"/>
          <w:sz w:val="18"/>
        </w:rPr>
        <w:t> </w:t>
      </w:r>
      <w:r>
        <w:rPr>
          <w:color w:val="4D4D4F"/>
          <w:w w:val="110"/>
          <w:sz w:val="18"/>
        </w:rPr>
        <w:t>also</w:t>
      </w:r>
      <w:r>
        <w:rPr>
          <w:color w:val="4D4D4F"/>
          <w:spacing w:val="5"/>
          <w:w w:val="110"/>
          <w:sz w:val="18"/>
        </w:rPr>
        <w:t> </w:t>
      </w:r>
      <w:r>
        <w:rPr>
          <w:color w:val="4D4D4F"/>
          <w:w w:val="110"/>
          <w:sz w:val="18"/>
        </w:rPr>
        <w:t>medication</w:t>
      </w:r>
      <w:r>
        <w:rPr>
          <w:color w:val="4D4D4F"/>
          <w:spacing w:val="5"/>
          <w:w w:val="110"/>
          <w:sz w:val="18"/>
        </w:rPr>
        <w:t> </w:t>
      </w:r>
      <w:r>
        <w:rPr>
          <w:color w:val="4D4D4F"/>
          <w:w w:val="110"/>
          <w:sz w:val="18"/>
        </w:rPr>
        <w:t>misuse</w:t>
      </w:r>
      <w:r>
        <w:rPr>
          <w:color w:val="4D4D4F"/>
          <w:spacing w:val="4"/>
          <w:w w:val="110"/>
          <w:sz w:val="18"/>
        </w:rPr>
        <w:t> </w:t>
      </w:r>
      <w:r>
        <w:rPr>
          <w:color w:val="4D4D4F"/>
          <w:w w:val="110"/>
          <w:sz w:val="18"/>
        </w:rPr>
        <w:t>and</w:t>
      </w:r>
    </w:p>
    <w:p>
      <w:pPr>
        <w:spacing w:line="247" w:lineRule="auto" w:before="4"/>
        <w:ind w:left="775" w:right="595" w:firstLine="0"/>
        <w:jc w:val="left"/>
        <w:rPr>
          <w:sz w:val="18"/>
        </w:rPr>
      </w:pPr>
      <w:r>
        <w:rPr>
          <w:color w:val="4D4D4F"/>
          <w:w w:val="110"/>
          <w:sz w:val="18"/>
        </w:rPr>
        <w:t>may result in supervised dosing at the clinic, referral to a higher level of care, or change in medication based on my healthcare provider’s evaluation.</w:t>
      </w:r>
    </w:p>
    <w:p>
      <w:pPr>
        <w:pStyle w:val="ListParagraph"/>
        <w:numPr>
          <w:ilvl w:val="0"/>
          <w:numId w:val="42"/>
        </w:numPr>
        <w:tabs>
          <w:tab w:pos="774" w:val="left" w:leader="none"/>
          <w:tab w:pos="776" w:val="left" w:leader="none"/>
        </w:tabs>
        <w:spacing w:line="240" w:lineRule="auto" w:before="29" w:after="0"/>
        <w:ind w:left="775" w:right="0" w:hanging="361"/>
        <w:jc w:val="left"/>
        <w:rPr>
          <w:sz w:val="18"/>
        </w:rPr>
      </w:pPr>
      <w:r>
        <w:rPr>
          <w:color w:val="4D4D4F"/>
          <w:w w:val="110"/>
          <w:sz w:val="18"/>
        </w:rPr>
        <w:t>I</w:t>
      </w:r>
      <w:r>
        <w:rPr>
          <w:color w:val="4D4D4F"/>
          <w:spacing w:val="-4"/>
          <w:w w:val="110"/>
          <w:sz w:val="18"/>
        </w:rPr>
        <w:t> </w:t>
      </w:r>
      <w:r>
        <w:rPr>
          <w:color w:val="4D4D4F"/>
          <w:w w:val="110"/>
          <w:sz w:val="18"/>
        </w:rPr>
        <w:t>will</w:t>
      </w:r>
      <w:r>
        <w:rPr>
          <w:color w:val="4D4D4F"/>
          <w:spacing w:val="-3"/>
          <w:w w:val="110"/>
          <w:sz w:val="18"/>
        </w:rPr>
        <w:t> </w:t>
      </w:r>
      <w:r>
        <w:rPr>
          <w:color w:val="4D4D4F"/>
          <w:w w:val="110"/>
          <w:sz w:val="18"/>
        </w:rPr>
        <w:t>be</w:t>
      </w:r>
      <w:r>
        <w:rPr>
          <w:color w:val="4D4D4F"/>
          <w:spacing w:val="-3"/>
          <w:w w:val="110"/>
          <w:sz w:val="18"/>
        </w:rPr>
        <w:t> </w:t>
      </w:r>
      <w:r>
        <w:rPr>
          <w:color w:val="4D4D4F"/>
          <w:w w:val="110"/>
          <w:sz w:val="18"/>
        </w:rPr>
        <w:t>on</w:t>
      </w:r>
      <w:r>
        <w:rPr>
          <w:color w:val="4D4D4F"/>
          <w:spacing w:val="-3"/>
          <w:w w:val="110"/>
          <w:sz w:val="18"/>
        </w:rPr>
        <w:t> </w:t>
      </w:r>
      <w:r>
        <w:rPr>
          <w:color w:val="4D4D4F"/>
          <w:w w:val="110"/>
          <w:sz w:val="18"/>
        </w:rPr>
        <w:t>time</w:t>
      </w:r>
      <w:r>
        <w:rPr>
          <w:color w:val="4D4D4F"/>
          <w:spacing w:val="-4"/>
          <w:w w:val="110"/>
          <w:sz w:val="18"/>
        </w:rPr>
        <w:t> </w:t>
      </w:r>
      <w:r>
        <w:rPr>
          <w:color w:val="4D4D4F"/>
          <w:w w:val="110"/>
          <w:sz w:val="18"/>
        </w:rPr>
        <w:t>to</w:t>
      </w:r>
      <w:r>
        <w:rPr>
          <w:color w:val="4D4D4F"/>
          <w:spacing w:val="-3"/>
          <w:w w:val="110"/>
          <w:sz w:val="18"/>
        </w:rPr>
        <w:t> </w:t>
      </w:r>
      <w:r>
        <w:rPr>
          <w:color w:val="4D4D4F"/>
          <w:w w:val="110"/>
          <w:sz w:val="18"/>
        </w:rPr>
        <w:t>my</w:t>
      </w:r>
      <w:r>
        <w:rPr>
          <w:color w:val="4D4D4F"/>
          <w:spacing w:val="-3"/>
          <w:w w:val="110"/>
          <w:sz w:val="18"/>
        </w:rPr>
        <w:t> </w:t>
      </w:r>
      <w:r>
        <w:rPr>
          <w:color w:val="4D4D4F"/>
          <w:w w:val="110"/>
          <w:sz w:val="18"/>
        </w:rPr>
        <w:t>appointments</w:t>
      </w:r>
      <w:r>
        <w:rPr>
          <w:color w:val="4D4D4F"/>
          <w:spacing w:val="-3"/>
          <w:w w:val="110"/>
          <w:sz w:val="18"/>
        </w:rPr>
        <w:t> </w:t>
      </w:r>
      <w:r>
        <w:rPr>
          <w:color w:val="4D4D4F"/>
          <w:w w:val="110"/>
          <w:sz w:val="18"/>
        </w:rPr>
        <w:t>and</w:t>
      </w:r>
      <w:r>
        <w:rPr>
          <w:color w:val="4D4D4F"/>
          <w:spacing w:val="-4"/>
          <w:w w:val="110"/>
          <w:sz w:val="18"/>
        </w:rPr>
        <w:t> </w:t>
      </w:r>
      <w:r>
        <w:rPr>
          <w:color w:val="4D4D4F"/>
          <w:w w:val="110"/>
          <w:sz w:val="18"/>
        </w:rPr>
        <w:t>respectful</w:t>
      </w:r>
      <w:r>
        <w:rPr>
          <w:color w:val="4D4D4F"/>
          <w:spacing w:val="-3"/>
          <w:w w:val="110"/>
          <w:sz w:val="18"/>
        </w:rPr>
        <w:t> </w:t>
      </w:r>
      <w:r>
        <w:rPr>
          <w:color w:val="4D4D4F"/>
          <w:w w:val="110"/>
          <w:sz w:val="18"/>
        </w:rPr>
        <w:t>to</w:t>
      </w:r>
      <w:r>
        <w:rPr>
          <w:color w:val="4D4D4F"/>
          <w:spacing w:val="-3"/>
          <w:w w:val="110"/>
          <w:sz w:val="18"/>
        </w:rPr>
        <w:t> </w:t>
      </w:r>
      <w:r>
        <w:rPr>
          <w:color w:val="4D4D4F"/>
          <w:w w:val="110"/>
          <w:sz w:val="18"/>
        </w:rPr>
        <w:t>the</w:t>
      </w:r>
      <w:r>
        <w:rPr>
          <w:color w:val="4D4D4F"/>
          <w:spacing w:val="-3"/>
          <w:w w:val="110"/>
          <w:sz w:val="18"/>
        </w:rPr>
        <w:t> </w:t>
      </w:r>
      <w:r>
        <w:rPr>
          <w:color w:val="4D4D4F"/>
          <w:w w:val="110"/>
          <w:sz w:val="18"/>
        </w:rPr>
        <w:t>ofﬁce</w:t>
      </w:r>
      <w:r>
        <w:rPr>
          <w:color w:val="4D4D4F"/>
          <w:spacing w:val="-4"/>
          <w:w w:val="110"/>
          <w:sz w:val="18"/>
        </w:rPr>
        <w:t> </w:t>
      </w:r>
      <w:r>
        <w:rPr>
          <w:color w:val="4D4D4F"/>
          <w:w w:val="110"/>
          <w:sz w:val="18"/>
        </w:rPr>
        <w:t>staff</w:t>
      </w:r>
      <w:r>
        <w:rPr>
          <w:color w:val="4D4D4F"/>
          <w:spacing w:val="-3"/>
          <w:w w:val="110"/>
          <w:sz w:val="18"/>
        </w:rPr>
        <w:t> </w:t>
      </w:r>
      <w:r>
        <w:rPr>
          <w:color w:val="4D4D4F"/>
          <w:w w:val="110"/>
          <w:sz w:val="18"/>
        </w:rPr>
        <w:t>and</w:t>
      </w:r>
      <w:r>
        <w:rPr>
          <w:color w:val="4D4D4F"/>
          <w:spacing w:val="-3"/>
          <w:w w:val="110"/>
          <w:sz w:val="18"/>
        </w:rPr>
        <w:t> </w:t>
      </w:r>
      <w:r>
        <w:rPr>
          <w:color w:val="4D4D4F"/>
          <w:w w:val="110"/>
          <w:sz w:val="18"/>
        </w:rPr>
        <w:t>other</w:t>
      </w:r>
      <w:r>
        <w:rPr>
          <w:color w:val="4D4D4F"/>
          <w:spacing w:val="-3"/>
          <w:w w:val="110"/>
          <w:sz w:val="18"/>
        </w:rPr>
        <w:t> </w:t>
      </w:r>
      <w:r>
        <w:rPr>
          <w:color w:val="4D4D4F"/>
          <w:w w:val="110"/>
          <w:sz w:val="18"/>
        </w:rPr>
        <w:t>patients.</w:t>
      </w:r>
    </w:p>
    <w:p>
      <w:pPr>
        <w:pStyle w:val="ListParagraph"/>
        <w:numPr>
          <w:ilvl w:val="0"/>
          <w:numId w:val="42"/>
        </w:numPr>
        <w:tabs>
          <w:tab w:pos="774" w:val="left" w:leader="none"/>
          <w:tab w:pos="776" w:val="left" w:leader="none"/>
        </w:tabs>
        <w:spacing w:line="247" w:lineRule="auto" w:before="35" w:after="0"/>
        <w:ind w:left="775" w:right="853" w:hanging="360"/>
        <w:jc w:val="left"/>
        <w:rPr>
          <w:sz w:val="18"/>
        </w:rPr>
      </w:pPr>
      <w:r>
        <w:rPr>
          <w:color w:val="4D4D4F"/>
          <w:w w:val="110"/>
          <w:sz w:val="18"/>
        </w:rPr>
        <w:t>I will keep my healthcare provider informed of all my medications (including herbs and vitamins) and </w:t>
      </w:r>
      <w:r>
        <w:rPr>
          <w:color w:val="4D4D4F"/>
          <w:spacing w:val="-3"/>
          <w:w w:val="110"/>
          <w:sz w:val="18"/>
        </w:rPr>
        <w:t>medical </w:t>
      </w:r>
      <w:r>
        <w:rPr>
          <w:color w:val="4D4D4F"/>
          <w:w w:val="110"/>
          <w:sz w:val="18"/>
        </w:rPr>
        <w:t>problems.</w:t>
      </w:r>
    </w:p>
    <w:p>
      <w:pPr>
        <w:pStyle w:val="ListParagraph"/>
        <w:numPr>
          <w:ilvl w:val="0"/>
          <w:numId w:val="42"/>
        </w:numPr>
        <w:tabs>
          <w:tab w:pos="774" w:val="left" w:leader="none"/>
          <w:tab w:pos="776" w:val="left" w:leader="none"/>
        </w:tabs>
        <w:spacing w:line="247" w:lineRule="auto" w:before="29" w:after="0"/>
        <w:ind w:left="775" w:right="453" w:hanging="360"/>
        <w:jc w:val="left"/>
        <w:rPr>
          <w:sz w:val="18"/>
        </w:rPr>
      </w:pPr>
      <w:r>
        <w:rPr>
          <w:color w:val="4D4D4F"/>
          <w:w w:val="110"/>
          <w:sz w:val="18"/>
        </w:rPr>
        <w:t>I</w:t>
      </w:r>
      <w:r>
        <w:rPr>
          <w:color w:val="4D4D4F"/>
          <w:spacing w:val="-4"/>
          <w:w w:val="110"/>
          <w:sz w:val="18"/>
        </w:rPr>
        <w:t> </w:t>
      </w:r>
      <w:r>
        <w:rPr>
          <w:color w:val="4D4D4F"/>
          <w:w w:val="110"/>
          <w:sz w:val="18"/>
        </w:rPr>
        <w:t>agree</w:t>
      </w:r>
      <w:r>
        <w:rPr>
          <w:color w:val="4D4D4F"/>
          <w:spacing w:val="-3"/>
          <w:w w:val="110"/>
          <w:sz w:val="18"/>
        </w:rPr>
        <w:t> </w:t>
      </w:r>
      <w:r>
        <w:rPr>
          <w:color w:val="4D4D4F"/>
          <w:w w:val="110"/>
          <w:sz w:val="18"/>
        </w:rPr>
        <w:t>not</w:t>
      </w:r>
      <w:r>
        <w:rPr>
          <w:color w:val="4D4D4F"/>
          <w:spacing w:val="-3"/>
          <w:w w:val="110"/>
          <w:sz w:val="18"/>
        </w:rPr>
        <w:t> </w:t>
      </w:r>
      <w:r>
        <w:rPr>
          <w:color w:val="4D4D4F"/>
          <w:w w:val="110"/>
          <w:sz w:val="18"/>
        </w:rPr>
        <w:t>to</w:t>
      </w:r>
      <w:r>
        <w:rPr>
          <w:color w:val="4D4D4F"/>
          <w:spacing w:val="-3"/>
          <w:w w:val="110"/>
          <w:sz w:val="18"/>
        </w:rPr>
        <w:t> </w:t>
      </w:r>
      <w:r>
        <w:rPr>
          <w:color w:val="4D4D4F"/>
          <w:w w:val="110"/>
          <w:sz w:val="18"/>
        </w:rPr>
        <w:t>obtain</w:t>
      </w:r>
      <w:r>
        <w:rPr>
          <w:color w:val="4D4D4F"/>
          <w:spacing w:val="-3"/>
          <w:w w:val="110"/>
          <w:sz w:val="18"/>
        </w:rPr>
        <w:t> </w:t>
      </w:r>
      <w:r>
        <w:rPr>
          <w:color w:val="4D4D4F"/>
          <w:w w:val="110"/>
          <w:sz w:val="18"/>
        </w:rPr>
        <w:t>or</w:t>
      </w:r>
      <w:r>
        <w:rPr>
          <w:color w:val="4D4D4F"/>
          <w:spacing w:val="-3"/>
          <w:w w:val="110"/>
          <w:sz w:val="18"/>
        </w:rPr>
        <w:t> </w:t>
      </w:r>
      <w:r>
        <w:rPr>
          <w:color w:val="4D4D4F"/>
          <w:w w:val="110"/>
          <w:sz w:val="18"/>
        </w:rPr>
        <w:t>take</w:t>
      </w:r>
      <w:r>
        <w:rPr>
          <w:color w:val="4D4D4F"/>
          <w:spacing w:val="-4"/>
          <w:w w:val="110"/>
          <w:sz w:val="18"/>
        </w:rPr>
        <w:t> </w:t>
      </w:r>
      <w:r>
        <w:rPr>
          <w:color w:val="4D4D4F"/>
          <w:w w:val="110"/>
          <w:sz w:val="18"/>
        </w:rPr>
        <w:t>prescription</w:t>
      </w:r>
      <w:r>
        <w:rPr>
          <w:color w:val="4D4D4F"/>
          <w:spacing w:val="-3"/>
          <w:w w:val="110"/>
          <w:sz w:val="18"/>
        </w:rPr>
        <w:t> </w:t>
      </w:r>
      <w:r>
        <w:rPr>
          <w:color w:val="4D4D4F"/>
          <w:w w:val="110"/>
          <w:sz w:val="18"/>
        </w:rPr>
        <w:t>opioid</w:t>
      </w:r>
      <w:r>
        <w:rPr>
          <w:color w:val="4D4D4F"/>
          <w:spacing w:val="-3"/>
          <w:w w:val="110"/>
          <w:sz w:val="18"/>
        </w:rPr>
        <w:t> </w:t>
      </w:r>
      <w:r>
        <w:rPr>
          <w:color w:val="4D4D4F"/>
          <w:w w:val="110"/>
          <w:sz w:val="18"/>
        </w:rPr>
        <w:t>medications</w:t>
      </w:r>
      <w:r>
        <w:rPr>
          <w:color w:val="4D4D4F"/>
          <w:spacing w:val="-3"/>
          <w:w w:val="110"/>
          <w:sz w:val="18"/>
        </w:rPr>
        <w:t> </w:t>
      </w:r>
      <w:r>
        <w:rPr>
          <w:color w:val="4D4D4F"/>
          <w:w w:val="110"/>
          <w:sz w:val="18"/>
        </w:rPr>
        <w:t>prescribed</w:t>
      </w:r>
      <w:r>
        <w:rPr>
          <w:color w:val="4D4D4F"/>
          <w:spacing w:val="-3"/>
          <w:w w:val="110"/>
          <w:sz w:val="18"/>
        </w:rPr>
        <w:t> </w:t>
      </w:r>
      <w:r>
        <w:rPr>
          <w:color w:val="4D4D4F"/>
          <w:w w:val="110"/>
          <w:sz w:val="18"/>
        </w:rPr>
        <w:t>by</w:t>
      </w:r>
      <w:r>
        <w:rPr>
          <w:color w:val="4D4D4F"/>
          <w:spacing w:val="-3"/>
          <w:w w:val="110"/>
          <w:sz w:val="18"/>
        </w:rPr>
        <w:t> </w:t>
      </w:r>
      <w:r>
        <w:rPr>
          <w:color w:val="4D4D4F"/>
          <w:w w:val="110"/>
          <w:sz w:val="18"/>
        </w:rPr>
        <w:t>any</w:t>
      </w:r>
      <w:r>
        <w:rPr>
          <w:color w:val="4D4D4F"/>
          <w:spacing w:val="-4"/>
          <w:w w:val="110"/>
          <w:sz w:val="18"/>
        </w:rPr>
        <w:t> </w:t>
      </w:r>
      <w:r>
        <w:rPr>
          <w:color w:val="4D4D4F"/>
          <w:w w:val="110"/>
          <w:sz w:val="18"/>
        </w:rPr>
        <w:t>other</w:t>
      </w:r>
      <w:r>
        <w:rPr>
          <w:color w:val="4D4D4F"/>
          <w:spacing w:val="-3"/>
          <w:w w:val="110"/>
          <w:sz w:val="18"/>
        </w:rPr>
        <w:t> </w:t>
      </w:r>
      <w:r>
        <w:rPr>
          <w:color w:val="4D4D4F"/>
          <w:w w:val="110"/>
          <w:sz w:val="18"/>
        </w:rPr>
        <w:t>healthcare</w:t>
      </w:r>
      <w:r>
        <w:rPr>
          <w:color w:val="4D4D4F"/>
          <w:spacing w:val="-3"/>
          <w:w w:val="110"/>
          <w:sz w:val="18"/>
        </w:rPr>
        <w:t> </w:t>
      </w:r>
      <w:r>
        <w:rPr>
          <w:color w:val="4D4D4F"/>
          <w:w w:val="110"/>
          <w:sz w:val="18"/>
        </w:rPr>
        <w:t>provider</w:t>
      </w:r>
      <w:r>
        <w:rPr>
          <w:color w:val="4D4D4F"/>
          <w:spacing w:val="-3"/>
          <w:w w:val="110"/>
          <w:sz w:val="18"/>
        </w:rPr>
        <w:t> </w:t>
      </w:r>
      <w:r>
        <w:rPr>
          <w:color w:val="4D4D4F"/>
          <w:w w:val="110"/>
          <w:sz w:val="18"/>
        </w:rPr>
        <w:t>without consulting my buprenorphine</w:t>
      </w:r>
      <w:r>
        <w:rPr>
          <w:color w:val="4D4D4F"/>
          <w:spacing w:val="-15"/>
          <w:w w:val="110"/>
          <w:sz w:val="18"/>
        </w:rPr>
        <w:t> </w:t>
      </w:r>
      <w:r>
        <w:rPr>
          <w:color w:val="4D4D4F"/>
          <w:w w:val="110"/>
          <w:sz w:val="18"/>
        </w:rPr>
        <w:t>prescriber.</w:t>
      </w:r>
    </w:p>
    <w:p>
      <w:pPr>
        <w:pStyle w:val="ListParagraph"/>
        <w:numPr>
          <w:ilvl w:val="0"/>
          <w:numId w:val="42"/>
        </w:numPr>
        <w:tabs>
          <w:tab w:pos="776" w:val="left" w:leader="none"/>
        </w:tabs>
        <w:spacing w:line="247" w:lineRule="auto" w:before="29" w:after="0"/>
        <w:ind w:left="775" w:right="617" w:hanging="360"/>
        <w:jc w:val="left"/>
        <w:rPr>
          <w:sz w:val="18"/>
        </w:rPr>
      </w:pPr>
      <w:r>
        <w:rPr>
          <w:color w:val="4D4D4F"/>
          <w:w w:val="110"/>
          <w:sz w:val="18"/>
        </w:rPr>
        <w:t>If I am going to have a medical procedure that will cause pain, I will let my healthcare provider know in advance so that my pain will be adequately</w:t>
      </w:r>
      <w:r>
        <w:rPr>
          <w:color w:val="4D4D4F"/>
          <w:spacing w:val="-30"/>
          <w:w w:val="110"/>
          <w:sz w:val="18"/>
        </w:rPr>
        <w:t> </w:t>
      </w:r>
      <w:r>
        <w:rPr>
          <w:color w:val="4D4D4F"/>
          <w:w w:val="110"/>
          <w:sz w:val="18"/>
        </w:rPr>
        <w:t>treated.</w:t>
      </w:r>
    </w:p>
    <w:p>
      <w:pPr>
        <w:pStyle w:val="ListParagraph"/>
        <w:numPr>
          <w:ilvl w:val="0"/>
          <w:numId w:val="42"/>
        </w:numPr>
        <w:tabs>
          <w:tab w:pos="774" w:val="left" w:leader="none"/>
          <w:tab w:pos="776" w:val="left" w:leader="none"/>
        </w:tabs>
        <w:spacing w:line="247" w:lineRule="auto" w:before="30" w:after="0"/>
        <w:ind w:left="775" w:right="774" w:hanging="360"/>
        <w:jc w:val="left"/>
        <w:rPr>
          <w:sz w:val="18"/>
        </w:rPr>
      </w:pPr>
      <w:r>
        <w:rPr>
          <w:color w:val="4D4D4F"/>
          <w:w w:val="110"/>
          <w:sz w:val="18"/>
        </w:rPr>
        <w:t>If I miss an appointment or lose my medication, I understand that I will not get more medication until my </w:t>
      </w:r>
      <w:r>
        <w:rPr>
          <w:color w:val="4D4D4F"/>
          <w:spacing w:val="-4"/>
          <w:w w:val="110"/>
          <w:sz w:val="18"/>
        </w:rPr>
        <w:t>next </w:t>
      </w:r>
      <w:r>
        <w:rPr>
          <w:color w:val="4D4D4F"/>
          <w:w w:val="110"/>
          <w:sz w:val="18"/>
        </w:rPr>
        <w:t>ofﬁce visit. I may also have to start having supervised buprenorphine</w:t>
      </w:r>
      <w:r>
        <w:rPr>
          <w:color w:val="4D4D4F"/>
          <w:spacing w:val="-34"/>
          <w:w w:val="110"/>
          <w:sz w:val="18"/>
        </w:rPr>
        <w:t> </w:t>
      </w:r>
      <w:r>
        <w:rPr>
          <w:color w:val="4D4D4F"/>
          <w:w w:val="110"/>
          <w:sz w:val="18"/>
        </w:rPr>
        <w:t>dosing.</w:t>
      </w:r>
    </w:p>
    <w:p>
      <w:pPr>
        <w:pStyle w:val="ListParagraph"/>
        <w:numPr>
          <w:ilvl w:val="0"/>
          <w:numId w:val="42"/>
        </w:numPr>
        <w:tabs>
          <w:tab w:pos="776" w:val="left" w:leader="none"/>
        </w:tabs>
        <w:spacing w:line="247" w:lineRule="auto" w:before="29" w:after="0"/>
        <w:ind w:left="775" w:right="506" w:hanging="360"/>
        <w:jc w:val="left"/>
        <w:rPr>
          <w:sz w:val="18"/>
        </w:rPr>
      </w:pPr>
      <w:r>
        <w:rPr>
          <w:color w:val="4D4D4F"/>
          <w:w w:val="110"/>
          <w:sz w:val="18"/>
        </w:rPr>
        <w:t>If</w:t>
      </w:r>
      <w:r>
        <w:rPr>
          <w:color w:val="4D4D4F"/>
          <w:spacing w:val="-3"/>
          <w:w w:val="110"/>
          <w:sz w:val="18"/>
        </w:rPr>
        <w:t> </w:t>
      </w:r>
      <w:r>
        <w:rPr>
          <w:color w:val="4D4D4F"/>
          <w:w w:val="110"/>
          <w:sz w:val="18"/>
        </w:rPr>
        <w:t>I</w:t>
      </w:r>
      <w:r>
        <w:rPr>
          <w:color w:val="4D4D4F"/>
          <w:spacing w:val="-2"/>
          <w:w w:val="110"/>
          <w:sz w:val="18"/>
        </w:rPr>
        <w:t> </w:t>
      </w:r>
      <w:r>
        <w:rPr>
          <w:color w:val="4D4D4F"/>
          <w:w w:val="110"/>
          <w:sz w:val="18"/>
        </w:rPr>
        <w:t>come</w:t>
      </w:r>
      <w:r>
        <w:rPr>
          <w:color w:val="4D4D4F"/>
          <w:spacing w:val="-2"/>
          <w:w w:val="110"/>
          <w:sz w:val="18"/>
        </w:rPr>
        <w:t> </w:t>
      </w:r>
      <w:r>
        <w:rPr>
          <w:color w:val="4D4D4F"/>
          <w:w w:val="110"/>
          <w:sz w:val="18"/>
        </w:rPr>
        <w:t>to</w:t>
      </w:r>
      <w:r>
        <w:rPr>
          <w:color w:val="4D4D4F"/>
          <w:spacing w:val="-2"/>
          <w:w w:val="110"/>
          <w:sz w:val="18"/>
        </w:rPr>
        <w:t> </w:t>
      </w:r>
      <w:r>
        <w:rPr>
          <w:color w:val="4D4D4F"/>
          <w:w w:val="110"/>
          <w:sz w:val="18"/>
        </w:rPr>
        <w:t>the</w:t>
      </w:r>
      <w:r>
        <w:rPr>
          <w:color w:val="4D4D4F"/>
          <w:spacing w:val="-3"/>
          <w:w w:val="110"/>
          <w:sz w:val="18"/>
        </w:rPr>
        <w:t> </w:t>
      </w:r>
      <w:r>
        <w:rPr>
          <w:color w:val="4D4D4F"/>
          <w:w w:val="110"/>
          <w:sz w:val="18"/>
        </w:rPr>
        <w:t>ofﬁce</w:t>
      </w:r>
      <w:r>
        <w:rPr>
          <w:color w:val="4D4D4F"/>
          <w:spacing w:val="-2"/>
          <w:w w:val="110"/>
          <w:sz w:val="18"/>
        </w:rPr>
        <w:t> </w:t>
      </w:r>
      <w:r>
        <w:rPr>
          <w:color w:val="4D4D4F"/>
          <w:w w:val="110"/>
          <w:sz w:val="18"/>
        </w:rPr>
        <w:t>intoxicated,</w:t>
      </w:r>
      <w:r>
        <w:rPr>
          <w:color w:val="4D4D4F"/>
          <w:spacing w:val="-2"/>
          <w:w w:val="110"/>
          <w:sz w:val="18"/>
        </w:rPr>
        <w:t> </w:t>
      </w:r>
      <w:r>
        <w:rPr>
          <w:color w:val="4D4D4F"/>
          <w:w w:val="110"/>
          <w:sz w:val="18"/>
        </w:rPr>
        <w:t>I</w:t>
      </w:r>
      <w:r>
        <w:rPr>
          <w:color w:val="4D4D4F"/>
          <w:spacing w:val="-2"/>
          <w:w w:val="110"/>
          <w:sz w:val="18"/>
        </w:rPr>
        <w:t> </w:t>
      </w:r>
      <w:r>
        <w:rPr>
          <w:color w:val="4D4D4F"/>
          <w:w w:val="110"/>
          <w:sz w:val="18"/>
        </w:rPr>
        <w:t>understand</w:t>
      </w:r>
      <w:r>
        <w:rPr>
          <w:color w:val="4D4D4F"/>
          <w:spacing w:val="-3"/>
          <w:w w:val="110"/>
          <w:sz w:val="18"/>
        </w:rPr>
        <w:t> </w:t>
      </w:r>
      <w:r>
        <w:rPr>
          <w:color w:val="4D4D4F"/>
          <w:w w:val="110"/>
          <w:sz w:val="18"/>
        </w:rPr>
        <w:t>that</w:t>
      </w:r>
      <w:r>
        <w:rPr>
          <w:color w:val="4D4D4F"/>
          <w:spacing w:val="-2"/>
          <w:w w:val="110"/>
          <w:sz w:val="18"/>
        </w:rPr>
        <w:t> </w:t>
      </w:r>
      <w:r>
        <w:rPr>
          <w:color w:val="4D4D4F"/>
          <w:w w:val="110"/>
          <w:sz w:val="18"/>
        </w:rPr>
        <w:t>my</w:t>
      </w:r>
      <w:r>
        <w:rPr>
          <w:color w:val="4D4D4F"/>
          <w:spacing w:val="-2"/>
          <w:w w:val="110"/>
          <w:sz w:val="18"/>
        </w:rPr>
        <w:t> </w:t>
      </w:r>
      <w:r>
        <w:rPr>
          <w:color w:val="4D4D4F"/>
          <w:w w:val="110"/>
          <w:sz w:val="18"/>
        </w:rPr>
        <w:t>healthcare</w:t>
      </w:r>
      <w:r>
        <w:rPr>
          <w:color w:val="4D4D4F"/>
          <w:spacing w:val="-2"/>
          <w:w w:val="110"/>
          <w:sz w:val="18"/>
        </w:rPr>
        <w:t> </w:t>
      </w:r>
      <w:r>
        <w:rPr>
          <w:color w:val="4D4D4F"/>
          <w:w w:val="110"/>
          <w:sz w:val="18"/>
        </w:rPr>
        <w:t>provider</w:t>
      </w:r>
      <w:r>
        <w:rPr>
          <w:color w:val="4D4D4F"/>
          <w:spacing w:val="-2"/>
          <w:w w:val="110"/>
          <w:sz w:val="18"/>
        </w:rPr>
        <w:t> </w:t>
      </w:r>
      <w:r>
        <w:rPr>
          <w:color w:val="4D4D4F"/>
          <w:w w:val="110"/>
          <w:sz w:val="18"/>
        </w:rPr>
        <w:t>will</w:t>
      </w:r>
      <w:r>
        <w:rPr>
          <w:color w:val="4D4D4F"/>
          <w:spacing w:val="-3"/>
          <w:w w:val="110"/>
          <w:sz w:val="18"/>
        </w:rPr>
        <w:t> </w:t>
      </w:r>
      <w:r>
        <w:rPr>
          <w:color w:val="4D4D4F"/>
          <w:w w:val="110"/>
          <w:sz w:val="18"/>
        </w:rPr>
        <w:t>not</w:t>
      </w:r>
      <w:r>
        <w:rPr>
          <w:color w:val="4D4D4F"/>
          <w:spacing w:val="-2"/>
          <w:w w:val="110"/>
          <w:sz w:val="18"/>
        </w:rPr>
        <w:t> </w:t>
      </w:r>
      <w:r>
        <w:rPr>
          <w:color w:val="4D4D4F"/>
          <w:w w:val="110"/>
          <w:sz w:val="18"/>
        </w:rPr>
        <w:t>see</w:t>
      </w:r>
      <w:r>
        <w:rPr>
          <w:color w:val="4D4D4F"/>
          <w:spacing w:val="-2"/>
          <w:w w:val="110"/>
          <w:sz w:val="18"/>
        </w:rPr>
        <w:t> </w:t>
      </w:r>
      <w:r>
        <w:rPr>
          <w:color w:val="4D4D4F"/>
          <w:w w:val="110"/>
          <w:sz w:val="18"/>
        </w:rPr>
        <w:t>me,</w:t>
      </w:r>
      <w:r>
        <w:rPr>
          <w:color w:val="4D4D4F"/>
          <w:spacing w:val="-2"/>
          <w:w w:val="110"/>
          <w:sz w:val="18"/>
        </w:rPr>
        <w:t> </w:t>
      </w:r>
      <w:r>
        <w:rPr>
          <w:color w:val="4D4D4F"/>
          <w:w w:val="110"/>
          <w:sz w:val="18"/>
        </w:rPr>
        <w:t>and</w:t>
      </w:r>
      <w:r>
        <w:rPr>
          <w:color w:val="4D4D4F"/>
          <w:spacing w:val="-3"/>
          <w:w w:val="110"/>
          <w:sz w:val="18"/>
        </w:rPr>
        <w:t> </w:t>
      </w:r>
      <w:r>
        <w:rPr>
          <w:color w:val="4D4D4F"/>
          <w:w w:val="110"/>
          <w:sz w:val="18"/>
        </w:rPr>
        <w:t>I</w:t>
      </w:r>
      <w:r>
        <w:rPr>
          <w:color w:val="4D4D4F"/>
          <w:spacing w:val="-2"/>
          <w:w w:val="110"/>
          <w:sz w:val="18"/>
        </w:rPr>
        <w:t> </w:t>
      </w:r>
      <w:r>
        <w:rPr>
          <w:color w:val="4D4D4F"/>
          <w:w w:val="110"/>
          <w:sz w:val="18"/>
        </w:rPr>
        <w:t>will</w:t>
      </w:r>
      <w:r>
        <w:rPr>
          <w:color w:val="4D4D4F"/>
          <w:spacing w:val="-2"/>
          <w:w w:val="110"/>
          <w:sz w:val="18"/>
        </w:rPr>
        <w:t> </w:t>
      </w:r>
      <w:r>
        <w:rPr>
          <w:color w:val="4D4D4F"/>
          <w:w w:val="110"/>
          <w:sz w:val="18"/>
        </w:rPr>
        <w:t>not</w:t>
      </w:r>
      <w:r>
        <w:rPr>
          <w:color w:val="4D4D4F"/>
          <w:spacing w:val="-2"/>
          <w:w w:val="110"/>
          <w:sz w:val="18"/>
        </w:rPr>
        <w:t> </w:t>
      </w:r>
      <w:r>
        <w:rPr>
          <w:color w:val="4D4D4F"/>
          <w:spacing w:val="-3"/>
          <w:w w:val="110"/>
          <w:sz w:val="18"/>
        </w:rPr>
        <w:t>receive </w:t>
      </w:r>
      <w:r>
        <w:rPr>
          <w:color w:val="4D4D4F"/>
          <w:w w:val="110"/>
          <w:sz w:val="18"/>
        </w:rPr>
        <w:t>more medication until the next ofﬁce visit. I may also have to start having supervised buprenorphine</w:t>
      </w:r>
      <w:r>
        <w:rPr>
          <w:color w:val="4D4D4F"/>
          <w:spacing w:val="6"/>
          <w:w w:val="110"/>
          <w:sz w:val="18"/>
        </w:rPr>
        <w:t> </w:t>
      </w:r>
      <w:r>
        <w:rPr>
          <w:color w:val="4D4D4F"/>
          <w:w w:val="110"/>
          <w:sz w:val="18"/>
        </w:rPr>
        <w:t>dosing.</w:t>
      </w:r>
    </w:p>
    <w:p>
      <w:pPr>
        <w:pStyle w:val="ListParagraph"/>
        <w:numPr>
          <w:ilvl w:val="0"/>
          <w:numId w:val="42"/>
        </w:numPr>
        <w:tabs>
          <w:tab w:pos="776" w:val="left" w:leader="none"/>
        </w:tabs>
        <w:spacing w:line="247" w:lineRule="auto" w:before="29" w:after="0"/>
        <w:ind w:left="775" w:right="561" w:hanging="360"/>
        <w:jc w:val="both"/>
        <w:rPr>
          <w:sz w:val="18"/>
        </w:rPr>
      </w:pPr>
      <w:r>
        <w:rPr>
          <w:color w:val="4D4D4F"/>
          <w:w w:val="110"/>
          <w:sz w:val="18"/>
        </w:rPr>
        <w:t>I understand that </w:t>
      </w:r>
      <w:r>
        <w:rPr>
          <w:color w:val="4D4D4F"/>
          <w:spacing w:val="-4"/>
          <w:w w:val="110"/>
          <w:sz w:val="18"/>
        </w:rPr>
        <w:t>it’s </w:t>
      </w:r>
      <w:r>
        <w:rPr>
          <w:color w:val="4D4D4F"/>
          <w:w w:val="110"/>
          <w:sz w:val="18"/>
        </w:rPr>
        <w:t>illegal to give away or sell my medication; this is diversion. If I do this, my treatment will no longer include unsupervised buprenorphine dosing and may require referral to a higher level of care, supervised dosing at the clinic, and/or a change in medication based on my healthcare provider’s</w:t>
      </w:r>
      <w:r>
        <w:rPr>
          <w:color w:val="4D4D4F"/>
          <w:spacing w:val="-2"/>
          <w:w w:val="110"/>
          <w:sz w:val="18"/>
        </w:rPr>
        <w:t> </w:t>
      </w:r>
      <w:r>
        <w:rPr>
          <w:color w:val="4D4D4F"/>
          <w:w w:val="110"/>
          <w:sz w:val="18"/>
        </w:rPr>
        <w:t>evaluation.</w:t>
      </w:r>
    </w:p>
    <w:p>
      <w:pPr>
        <w:pStyle w:val="ListParagraph"/>
        <w:numPr>
          <w:ilvl w:val="0"/>
          <w:numId w:val="42"/>
        </w:numPr>
        <w:tabs>
          <w:tab w:pos="776" w:val="left" w:leader="none"/>
        </w:tabs>
        <w:spacing w:line="247" w:lineRule="auto" w:before="30" w:after="0"/>
        <w:ind w:left="775" w:right="1098" w:hanging="360"/>
        <w:jc w:val="left"/>
        <w:rPr>
          <w:sz w:val="18"/>
        </w:rPr>
      </w:pPr>
      <w:r>
        <w:rPr>
          <w:color w:val="4D4D4F"/>
          <w:w w:val="110"/>
          <w:sz w:val="18"/>
        </w:rPr>
        <w:t>Violence, threatening language or behavior, or participation in any illegal activity at the ofﬁce will result </w:t>
      </w:r>
      <w:r>
        <w:rPr>
          <w:color w:val="4D4D4F"/>
          <w:spacing w:val="-6"/>
          <w:w w:val="110"/>
          <w:sz w:val="18"/>
        </w:rPr>
        <w:t>in </w:t>
      </w:r>
      <w:r>
        <w:rPr>
          <w:color w:val="4D4D4F"/>
          <w:w w:val="110"/>
          <w:sz w:val="18"/>
        </w:rPr>
        <w:t>treatment termination from the</w:t>
      </w:r>
      <w:r>
        <w:rPr>
          <w:color w:val="4D4D4F"/>
          <w:spacing w:val="-21"/>
          <w:w w:val="110"/>
          <w:sz w:val="18"/>
        </w:rPr>
        <w:t> </w:t>
      </w:r>
      <w:r>
        <w:rPr>
          <w:color w:val="4D4D4F"/>
          <w:w w:val="110"/>
          <w:sz w:val="18"/>
        </w:rPr>
        <w:t>clinic.</w:t>
      </w:r>
    </w:p>
    <w:p>
      <w:pPr>
        <w:pStyle w:val="ListParagraph"/>
        <w:numPr>
          <w:ilvl w:val="0"/>
          <w:numId w:val="42"/>
        </w:numPr>
        <w:tabs>
          <w:tab w:pos="776" w:val="left" w:leader="none"/>
        </w:tabs>
        <w:spacing w:line="247" w:lineRule="auto" w:before="29" w:after="0"/>
        <w:ind w:left="775" w:right="541" w:hanging="360"/>
        <w:jc w:val="left"/>
        <w:rPr>
          <w:sz w:val="18"/>
        </w:rPr>
      </w:pPr>
      <w:r>
        <w:rPr>
          <w:color w:val="4D4D4F"/>
          <w:w w:val="110"/>
          <w:sz w:val="18"/>
        </w:rPr>
        <w:t>I understand that random urine drug testing is a treatment requirement. If I do not provide a urine sample, it </w:t>
      </w:r>
      <w:r>
        <w:rPr>
          <w:color w:val="4D4D4F"/>
          <w:spacing w:val="-4"/>
          <w:w w:val="110"/>
          <w:sz w:val="18"/>
        </w:rPr>
        <w:t>will </w:t>
      </w:r>
      <w:r>
        <w:rPr>
          <w:color w:val="4D4D4F"/>
          <w:w w:val="110"/>
          <w:sz w:val="18"/>
        </w:rPr>
        <w:t>count as a positive drug</w:t>
      </w:r>
      <w:r>
        <w:rPr>
          <w:color w:val="4D4D4F"/>
          <w:spacing w:val="-24"/>
          <w:w w:val="110"/>
          <w:sz w:val="18"/>
        </w:rPr>
        <w:t> </w:t>
      </w:r>
      <w:r>
        <w:rPr>
          <w:color w:val="4D4D4F"/>
          <w:w w:val="110"/>
          <w:sz w:val="18"/>
        </w:rPr>
        <w:t>test.</w:t>
      </w:r>
    </w:p>
    <w:p>
      <w:pPr>
        <w:pStyle w:val="ListParagraph"/>
        <w:numPr>
          <w:ilvl w:val="0"/>
          <w:numId w:val="42"/>
        </w:numPr>
        <w:tabs>
          <w:tab w:pos="776" w:val="left" w:leader="none"/>
        </w:tabs>
        <w:spacing w:line="247" w:lineRule="auto" w:before="30" w:after="0"/>
        <w:ind w:left="775" w:right="461" w:hanging="360"/>
        <w:jc w:val="both"/>
        <w:rPr>
          <w:sz w:val="18"/>
        </w:rPr>
      </w:pPr>
      <w:r>
        <w:rPr>
          <w:color w:val="4D4D4F"/>
          <w:w w:val="115"/>
          <w:sz w:val="18"/>
        </w:rPr>
        <w:t>I</w:t>
      </w:r>
      <w:r>
        <w:rPr>
          <w:color w:val="4D4D4F"/>
          <w:spacing w:val="-20"/>
          <w:w w:val="115"/>
          <w:sz w:val="18"/>
        </w:rPr>
        <w:t> </w:t>
      </w:r>
      <w:r>
        <w:rPr>
          <w:color w:val="4D4D4F"/>
          <w:w w:val="115"/>
          <w:sz w:val="18"/>
        </w:rPr>
        <w:t>understand</w:t>
      </w:r>
      <w:r>
        <w:rPr>
          <w:color w:val="4D4D4F"/>
          <w:spacing w:val="-20"/>
          <w:w w:val="115"/>
          <w:sz w:val="18"/>
        </w:rPr>
        <w:t> </w:t>
      </w:r>
      <w:r>
        <w:rPr>
          <w:color w:val="4D4D4F"/>
          <w:w w:val="115"/>
          <w:sz w:val="18"/>
        </w:rPr>
        <w:t>that</w:t>
      </w:r>
      <w:r>
        <w:rPr>
          <w:color w:val="4D4D4F"/>
          <w:spacing w:val="-19"/>
          <w:w w:val="115"/>
          <w:sz w:val="18"/>
        </w:rPr>
        <w:t> </w:t>
      </w:r>
      <w:r>
        <w:rPr>
          <w:color w:val="4D4D4F"/>
          <w:w w:val="115"/>
          <w:sz w:val="18"/>
        </w:rPr>
        <w:t>I</w:t>
      </w:r>
      <w:r>
        <w:rPr>
          <w:color w:val="4D4D4F"/>
          <w:spacing w:val="-20"/>
          <w:w w:val="115"/>
          <w:sz w:val="18"/>
        </w:rPr>
        <w:t> </w:t>
      </w:r>
      <w:r>
        <w:rPr>
          <w:color w:val="4D4D4F"/>
          <w:w w:val="115"/>
          <w:sz w:val="18"/>
        </w:rPr>
        <w:t>will</w:t>
      </w:r>
      <w:r>
        <w:rPr>
          <w:color w:val="4D4D4F"/>
          <w:spacing w:val="-20"/>
          <w:w w:val="115"/>
          <w:sz w:val="18"/>
        </w:rPr>
        <w:t> </w:t>
      </w:r>
      <w:r>
        <w:rPr>
          <w:color w:val="4D4D4F"/>
          <w:w w:val="115"/>
          <w:sz w:val="18"/>
        </w:rPr>
        <w:t>be</w:t>
      </w:r>
      <w:r>
        <w:rPr>
          <w:color w:val="4D4D4F"/>
          <w:spacing w:val="-19"/>
          <w:w w:val="115"/>
          <w:sz w:val="18"/>
        </w:rPr>
        <w:t> </w:t>
      </w:r>
      <w:r>
        <w:rPr>
          <w:color w:val="4D4D4F"/>
          <w:w w:val="115"/>
          <w:sz w:val="18"/>
        </w:rPr>
        <w:t>called</w:t>
      </w:r>
      <w:r>
        <w:rPr>
          <w:color w:val="4D4D4F"/>
          <w:spacing w:val="-20"/>
          <w:w w:val="115"/>
          <w:sz w:val="18"/>
        </w:rPr>
        <w:t> </w:t>
      </w:r>
      <w:r>
        <w:rPr>
          <w:color w:val="4D4D4F"/>
          <w:w w:val="115"/>
          <w:sz w:val="18"/>
        </w:rPr>
        <w:t>at</w:t>
      </w:r>
      <w:r>
        <w:rPr>
          <w:color w:val="4D4D4F"/>
          <w:spacing w:val="-19"/>
          <w:w w:val="115"/>
          <w:sz w:val="18"/>
        </w:rPr>
        <w:t> </w:t>
      </w:r>
      <w:r>
        <w:rPr>
          <w:color w:val="4D4D4F"/>
          <w:w w:val="115"/>
          <w:sz w:val="18"/>
        </w:rPr>
        <w:t>random</w:t>
      </w:r>
      <w:r>
        <w:rPr>
          <w:color w:val="4D4D4F"/>
          <w:spacing w:val="-20"/>
          <w:w w:val="115"/>
          <w:sz w:val="18"/>
        </w:rPr>
        <w:t> </w:t>
      </w:r>
      <w:r>
        <w:rPr>
          <w:color w:val="4D4D4F"/>
          <w:w w:val="115"/>
          <w:sz w:val="18"/>
        </w:rPr>
        <w:t>times</w:t>
      </w:r>
      <w:r>
        <w:rPr>
          <w:color w:val="4D4D4F"/>
          <w:spacing w:val="-20"/>
          <w:w w:val="115"/>
          <w:sz w:val="18"/>
        </w:rPr>
        <w:t> </w:t>
      </w:r>
      <w:r>
        <w:rPr>
          <w:color w:val="4D4D4F"/>
          <w:w w:val="115"/>
          <w:sz w:val="18"/>
        </w:rPr>
        <w:t>to</w:t>
      </w:r>
      <w:r>
        <w:rPr>
          <w:color w:val="4D4D4F"/>
          <w:spacing w:val="-19"/>
          <w:w w:val="115"/>
          <w:sz w:val="18"/>
        </w:rPr>
        <w:t> </w:t>
      </w:r>
      <w:r>
        <w:rPr>
          <w:color w:val="4D4D4F"/>
          <w:w w:val="115"/>
          <w:sz w:val="18"/>
        </w:rPr>
        <w:t>bring</w:t>
      </w:r>
      <w:r>
        <w:rPr>
          <w:color w:val="4D4D4F"/>
          <w:spacing w:val="-20"/>
          <w:w w:val="115"/>
          <w:sz w:val="18"/>
        </w:rPr>
        <w:t> </w:t>
      </w:r>
      <w:r>
        <w:rPr>
          <w:color w:val="4D4D4F"/>
          <w:w w:val="115"/>
          <w:sz w:val="18"/>
        </w:rPr>
        <w:t>my</w:t>
      </w:r>
      <w:r>
        <w:rPr>
          <w:color w:val="4D4D4F"/>
          <w:spacing w:val="-19"/>
          <w:w w:val="115"/>
          <w:sz w:val="18"/>
        </w:rPr>
        <w:t> </w:t>
      </w:r>
      <w:r>
        <w:rPr>
          <w:color w:val="4D4D4F"/>
          <w:w w:val="115"/>
          <w:sz w:val="18"/>
        </w:rPr>
        <w:t>medication</w:t>
      </w:r>
      <w:r>
        <w:rPr>
          <w:color w:val="4D4D4F"/>
          <w:spacing w:val="-20"/>
          <w:w w:val="115"/>
          <w:sz w:val="18"/>
        </w:rPr>
        <w:t> </w:t>
      </w:r>
      <w:r>
        <w:rPr>
          <w:color w:val="4D4D4F"/>
          <w:w w:val="115"/>
          <w:sz w:val="18"/>
        </w:rPr>
        <w:t>container</w:t>
      </w:r>
      <w:r>
        <w:rPr>
          <w:color w:val="4D4D4F"/>
          <w:spacing w:val="-20"/>
          <w:w w:val="115"/>
          <w:sz w:val="18"/>
        </w:rPr>
        <w:t> </w:t>
      </w:r>
      <w:r>
        <w:rPr>
          <w:color w:val="4D4D4F"/>
          <w:w w:val="115"/>
          <w:sz w:val="18"/>
        </w:rPr>
        <w:t>into</w:t>
      </w:r>
      <w:r>
        <w:rPr>
          <w:color w:val="4D4D4F"/>
          <w:spacing w:val="-19"/>
          <w:w w:val="115"/>
          <w:sz w:val="18"/>
        </w:rPr>
        <w:t> </w:t>
      </w:r>
      <w:r>
        <w:rPr>
          <w:color w:val="4D4D4F"/>
          <w:w w:val="115"/>
          <w:sz w:val="18"/>
        </w:rPr>
        <w:t>the</w:t>
      </w:r>
      <w:r>
        <w:rPr>
          <w:color w:val="4D4D4F"/>
          <w:spacing w:val="-20"/>
          <w:w w:val="115"/>
          <w:sz w:val="18"/>
        </w:rPr>
        <w:t> </w:t>
      </w:r>
      <w:r>
        <w:rPr>
          <w:color w:val="4D4D4F"/>
          <w:w w:val="115"/>
          <w:sz w:val="18"/>
        </w:rPr>
        <w:t>ofﬁce</w:t>
      </w:r>
      <w:r>
        <w:rPr>
          <w:color w:val="4D4D4F"/>
          <w:spacing w:val="-19"/>
          <w:w w:val="115"/>
          <w:sz w:val="18"/>
        </w:rPr>
        <w:t> </w:t>
      </w:r>
      <w:r>
        <w:rPr>
          <w:color w:val="4D4D4F"/>
          <w:w w:val="115"/>
          <w:sz w:val="18"/>
        </w:rPr>
        <w:t>for</w:t>
      </w:r>
      <w:r>
        <w:rPr>
          <w:color w:val="4D4D4F"/>
          <w:spacing w:val="-20"/>
          <w:w w:val="115"/>
          <w:sz w:val="18"/>
        </w:rPr>
        <w:t> </w:t>
      </w:r>
      <w:r>
        <w:rPr>
          <w:color w:val="4D4D4F"/>
          <w:w w:val="115"/>
          <w:sz w:val="18"/>
        </w:rPr>
        <w:t>a</w:t>
      </w:r>
      <w:r>
        <w:rPr>
          <w:color w:val="4D4D4F"/>
          <w:spacing w:val="-20"/>
          <w:w w:val="115"/>
          <w:sz w:val="18"/>
        </w:rPr>
        <w:t> </w:t>
      </w:r>
      <w:r>
        <w:rPr>
          <w:color w:val="4D4D4F"/>
          <w:w w:val="115"/>
          <w:sz w:val="18"/>
        </w:rPr>
        <w:t>pill</w:t>
      </w:r>
      <w:r>
        <w:rPr>
          <w:color w:val="4D4D4F"/>
          <w:spacing w:val="-19"/>
          <w:w w:val="115"/>
          <w:sz w:val="18"/>
        </w:rPr>
        <w:t> </w:t>
      </w:r>
      <w:r>
        <w:rPr>
          <w:color w:val="4D4D4F"/>
          <w:w w:val="115"/>
          <w:sz w:val="18"/>
        </w:rPr>
        <w:t>or</w:t>
      </w:r>
      <w:r>
        <w:rPr>
          <w:color w:val="4D4D4F"/>
          <w:spacing w:val="-20"/>
          <w:w w:val="115"/>
          <w:sz w:val="18"/>
        </w:rPr>
        <w:t> </w:t>
      </w:r>
      <w:r>
        <w:rPr>
          <w:color w:val="4D4D4F"/>
          <w:spacing w:val="-6"/>
          <w:w w:val="115"/>
          <w:sz w:val="18"/>
        </w:rPr>
        <w:t>ﬁlm </w:t>
      </w:r>
      <w:r>
        <w:rPr>
          <w:color w:val="4D4D4F"/>
          <w:w w:val="115"/>
          <w:sz w:val="18"/>
        </w:rPr>
        <w:t>count.</w:t>
      </w:r>
      <w:r>
        <w:rPr>
          <w:color w:val="4D4D4F"/>
          <w:spacing w:val="-21"/>
          <w:w w:val="115"/>
          <w:sz w:val="18"/>
        </w:rPr>
        <w:t> </w:t>
      </w:r>
      <w:r>
        <w:rPr>
          <w:color w:val="4D4D4F"/>
          <w:w w:val="115"/>
          <w:sz w:val="18"/>
        </w:rPr>
        <w:t>Missing</w:t>
      </w:r>
      <w:r>
        <w:rPr>
          <w:color w:val="4D4D4F"/>
          <w:spacing w:val="-20"/>
          <w:w w:val="115"/>
          <w:sz w:val="18"/>
        </w:rPr>
        <w:t> </w:t>
      </w:r>
      <w:r>
        <w:rPr>
          <w:color w:val="4D4D4F"/>
          <w:w w:val="115"/>
          <w:sz w:val="18"/>
        </w:rPr>
        <w:t>medication</w:t>
      </w:r>
      <w:r>
        <w:rPr>
          <w:color w:val="4D4D4F"/>
          <w:spacing w:val="-20"/>
          <w:w w:val="115"/>
          <w:sz w:val="18"/>
        </w:rPr>
        <w:t> </w:t>
      </w:r>
      <w:r>
        <w:rPr>
          <w:color w:val="4D4D4F"/>
          <w:w w:val="115"/>
          <w:sz w:val="18"/>
        </w:rPr>
        <w:t>doses</w:t>
      </w:r>
      <w:r>
        <w:rPr>
          <w:color w:val="4D4D4F"/>
          <w:spacing w:val="-21"/>
          <w:w w:val="115"/>
          <w:sz w:val="18"/>
        </w:rPr>
        <w:t> </w:t>
      </w:r>
      <w:r>
        <w:rPr>
          <w:color w:val="4D4D4F"/>
          <w:w w:val="115"/>
          <w:sz w:val="18"/>
        </w:rPr>
        <w:t>could</w:t>
      </w:r>
      <w:r>
        <w:rPr>
          <w:color w:val="4D4D4F"/>
          <w:spacing w:val="-20"/>
          <w:w w:val="115"/>
          <w:sz w:val="18"/>
        </w:rPr>
        <w:t> </w:t>
      </w:r>
      <w:r>
        <w:rPr>
          <w:color w:val="4D4D4F"/>
          <w:w w:val="115"/>
          <w:sz w:val="18"/>
        </w:rPr>
        <w:t>result</w:t>
      </w:r>
      <w:r>
        <w:rPr>
          <w:color w:val="4D4D4F"/>
          <w:spacing w:val="-20"/>
          <w:w w:val="115"/>
          <w:sz w:val="18"/>
        </w:rPr>
        <w:t> </w:t>
      </w:r>
      <w:r>
        <w:rPr>
          <w:color w:val="4D4D4F"/>
          <w:w w:val="115"/>
          <w:sz w:val="18"/>
        </w:rPr>
        <w:t>in</w:t>
      </w:r>
      <w:r>
        <w:rPr>
          <w:color w:val="4D4D4F"/>
          <w:spacing w:val="-21"/>
          <w:w w:val="115"/>
          <w:sz w:val="18"/>
        </w:rPr>
        <w:t> </w:t>
      </w:r>
      <w:r>
        <w:rPr>
          <w:color w:val="4D4D4F"/>
          <w:w w:val="115"/>
          <w:sz w:val="18"/>
        </w:rPr>
        <w:t>supervised</w:t>
      </w:r>
      <w:r>
        <w:rPr>
          <w:color w:val="4D4D4F"/>
          <w:spacing w:val="-20"/>
          <w:w w:val="115"/>
          <w:sz w:val="18"/>
        </w:rPr>
        <w:t> </w:t>
      </w:r>
      <w:r>
        <w:rPr>
          <w:color w:val="4D4D4F"/>
          <w:w w:val="115"/>
          <w:sz w:val="18"/>
        </w:rPr>
        <w:t>dosing</w:t>
      </w:r>
      <w:r>
        <w:rPr>
          <w:color w:val="4D4D4F"/>
          <w:spacing w:val="-20"/>
          <w:w w:val="115"/>
          <w:sz w:val="18"/>
        </w:rPr>
        <w:t> </w:t>
      </w:r>
      <w:r>
        <w:rPr>
          <w:color w:val="4D4D4F"/>
          <w:w w:val="115"/>
          <w:sz w:val="18"/>
        </w:rPr>
        <w:t>or</w:t>
      </w:r>
      <w:r>
        <w:rPr>
          <w:color w:val="4D4D4F"/>
          <w:spacing w:val="-21"/>
          <w:w w:val="115"/>
          <w:sz w:val="18"/>
        </w:rPr>
        <w:t> </w:t>
      </w:r>
      <w:r>
        <w:rPr>
          <w:color w:val="4D4D4F"/>
          <w:w w:val="115"/>
          <w:sz w:val="18"/>
        </w:rPr>
        <w:t>referral</w:t>
      </w:r>
      <w:r>
        <w:rPr>
          <w:color w:val="4D4D4F"/>
          <w:spacing w:val="-20"/>
          <w:w w:val="115"/>
          <w:sz w:val="18"/>
        </w:rPr>
        <w:t> </w:t>
      </w:r>
      <w:r>
        <w:rPr>
          <w:color w:val="4D4D4F"/>
          <w:w w:val="115"/>
          <w:sz w:val="18"/>
        </w:rPr>
        <w:t>to</w:t>
      </w:r>
      <w:r>
        <w:rPr>
          <w:color w:val="4D4D4F"/>
          <w:spacing w:val="-21"/>
          <w:w w:val="115"/>
          <w:sz w:val="18"/>
        </w:rPr>
        <w:t> </w:t>
      </w:r>
      <w:r>
        <w:rPr>
          <w:color w:val="4D4D4F"/>
          <w:w w:val="115"/>
          <w:sz w:val="18"/>
        </w:rPr>
        <w:t>a</w:t>
      </w:r>
      <w:r>
        <w:rPr>
          <w:color w:val="4D4D4F"/>
          <w:spacing w:val="-20"/>
          <w:w w:val="115"/>
          <w:sz w:val="18"/>
        </w:rPr>
        <w:t> </w:t>
      </w:r>
      <w:r>
        <w:rPr>
          <w:color w:val="4D4D4F"/>
          <w:w w:val="115"/>
          <w:sz w:val="18"/>
        </w:rPr>
        <w:t>higher</w:t>
      </w:r>
      <w:r>
        <w:rPr>
          <w:color w:val="4D4D4F"/>
          <w:spacing w:val="-20"/>
          <w:w w:val="115"/>
          <w:sz w:val="18"/>
        </w:rPr>
        <w:t> </w:t>
      </w:r>
      <w:r>
        <w:rPr>
          <w:color w:val="4D4D4F"/>
          <w:w w:val="115"/>
          <w:sz w:val="18"/>
        </w:rPr>
        <w:t>level</w:t>
      </w:r>
      <w:r>
        <w:rPr>
          <w:color w:val="4D4D4F"/>
          <w:spacing w:val="-21"/>
          <w:w w:val="115"/>
          <w:sz w:val="18"/>
        </w:rPr>
        <w:t> </w:t>
      </w:r>
      <w:r>
        <w:rPr>
          <w:color w:val="4D4D4F"/>
          <w:w w:val="115"/>
          <w:sz w:val="18"/>
        </w:rPr>
        <w:t>of</w:t>
      </w:r>
      <w:r>
        <w:rPr>
          <w:color w:val="4D4D4F"/>
          <w:spacing w:val="-20"/>
          <w:w w:val="115"/>
          <w:sz w:val="18"/>
        </w:rPr>
        <w:t> </w:t>
      </w:r>
      <w:r>
        <w:rPr>
          <w:color w:val="4D4D4F"/>
          <w:w w:val="115"/>
          <w:sz w:val="18"/>
        </w:rPr>
        <w:t>care</w:t>
      </w:r>
      <w:r>
        <w:rPr>
          <w:color w:val="4D4D4F"/>
          <w:spacing w:val="-20"/>
          <w:w w:val="115"/>
          <w:sz w:val="18"/>
        </w:rPr>
        <w:t> </w:t>
      </w:r>
      <w:r>
        <w:rPr>
          <w:color w:val="4D4D4F"/>
          <w:w w:val="115"/>
          <w:sz w:val="18"/>
        </w:rPr>
        <w:t>at</w:t>
      </w:r>
      <w:r>
        <w:rPr>
          <w:color w:val="4D4D4F"/>
          <w:spacing w:val="-21"/>
          <w:w w:val="115"/>
          <w:sz w:val="18"/>
        </w:rPr>
        <w:t> </w:t>
      </w:r>
      <w:r>
        <w:rPr>
          <w:color w:val="4D4D4F"/>
          <w:w w:val="115"/>
          <w:sz w:val="18"/>
        </w:rPr>
        <w:t>this</w:t>
      </w:r>
      <w:r>
        <w:rPr>
          <w:color w:val="4D4D4F"/>
          <w:spacing w:val="-20"/>
          <w:w w:val="115"/>
          <w:sz w:val="18"/>
        </w:rPr>
        <w:t> </w:t>
      </w:r>
      <w:r>
        <w:rPr>
          <w:color w:val="4D4D4F"/>
          <w:spacing w:val="-3"/>
          <w:w w:val="115"/>
          <w:sz w:val="18"/>
        </w:rPr>
        <w:t>clinic </w:t>
      </w:r>
      <w:r>
        <w:rPr>
          <w:color w:val="4D4D4F"/>
          <w:w w:val="115"/>
          <w:sz w:val="18"/>
        </w:rPr>
        <w:t>or</w:t>
      </w:r>
      <w:r>
        <w:rPr>
          <w:color w:val="4D4D4F"/>
          <w:spacing w:val="-10"/>
          <w:w w:val="115"/>
          <w:sz w:val="18"/>
        </w:rPr>
        <w:t> </w:t>
      </w:r>
      <w:r>
        <w:rPr>
          <w:color w:val="4D4D4F"/>
          <w:w w:val="115"/>
          <w:sz w:val="18"/>
        </w:rPr>
        <w:t>potentially</w:t>
      </w:r>
      <w:r>
        <w:rPr>
          <w:color w:val="4D4D4F"/>
          <w:spacing w:val="-10"/>
          <w:w w:val="115"/>
          <w:sz w:val="18"/>
        </w:rPr>
        <w:t> </w:t>
      </w:r>
      <w:r>
        <w:rPr>
          <w:color w:val="4D4D4F"/>
          <w:w w:val="115"/>
          <w:sz w:val="18"/>
        </w:rPr>
        <w:t>at</w:t>
      </w:r>
      <w:r>
        <w:rPr>
          <w:color w:val="4D4D4F"/>
          <w:spacing w:val="-10"/>
          <w:w w:val="115"/>
          <w:sz w:val="18"/>
        </w:rPr>
        <w:t> </w:t>
      </w:r>
      <w:r>
        <w:rPr>
          <w:color w:val="4D4D4F"/>
          <w:w w:val="115"/>
          <w:sz w:val="18"/>
        </w:rPr>
        <w:t>another</w:t>
      </w:r>
      <w:r>
        <w:rPr>
          <w:color w:val="4D4D4F"/>
          <w:spacing w:val="-10"/>
          <w:w w:val="115"/>
          <w:sz w:val="18"/>
        </w:rPr>
        <w:t> </w:t>
      </w:r>
      <w:r>
        <w:rPr>
          <w:color w:val="4D4D4F"/>
          <w:w w:val="115"/>
          <w:sz w:val="18"/>
        </w:rPr>
        <w:t>treatment</w:t>
      </w:r>
      <w:r>
        <w:rPr>
          <w:color w:val="4D4D4F"/>
          <w:spacing w:val="-10"/>
          <w:w w:val="115"/>
          <w:sz w:val="18"/>
        </w:rPr>
        <w:t> </w:t>
      </w:r>
      <w:r>
        <w:rPr>
          <w:color w:val="4D4D4F"/>
          <w:w w:val="115"/>
          <w:sz w:val="18"/>
        </w:rPr>
        <w:t>provider</w:t>
      </w:r>
      <w:r>
        <w:rPr>
          <w:color w:val="4D4D4F"/>
          <w:spacing w:val="-10"/>
          <w:w w:val="115"/>
          <w:sz w:val="18"/>
        </w:rPr>
        <w:t> </w:t>
      </w:r>
      <w:r>
        <w:rPr>
          <w:color w:val="4D4D4F"/>
          <w:w w:val="115"/>
          <w:sz w:val="18"/>
        </w:rPr>
        <w:t>based</w:t>
      </w:r>
      <w:r>
        <w:rPr>
          <w:color w:val="4D4D4F"/>
          <w:spacing w:val="-10"/>
          <w:w w:val="115"/>
          <w:sz w:val="18"/>
        </w:rPr>
        <w:t> </w:t>
      </w:r>
      <w:r>
        <w:rPr>
          <w:color w:val="4D4D4F"/>
          <w:w w:val="115"/>
          <w:sz w:val="18"/>
        </w:rPr>
        <w:t>on</w:t>
      </w:r>
      <w:r>
        <w:rPr>
          <w:color w:val="4D4D4F"/>
          <w:spacing w:val="-9"/>
          <w:w w:val="115"/>
          <w:sz w:val="18"/>
        </w:rPr>
        <w:t> </w:t>
      </w:r>
      <w:r>
        <w:rPr>
          <w:color w:val="4D4D4F"/>
          <w:w w:val="115"/>
          <w:sz w:val="18"/>
        </w:rPr>
        <w:t>my</w:t>
      </w:r>
      <w:r>
        <w:rPr>
          <w:color w:val="4D4D4F"/>
          <w:spacing w:val="-10"/>
          <w:w w:val="115"/>
          <w:sz w:val="18"/>
        </w:rPr>
        <w:t> </w:t>
      </w:r>
      <w:r>
        <w:rPr>
          <w:color w:val="4D4D4F"/>
          <w:w w:val="115"/>
          <w:sz w:val="18"/>
        </w:rPr>
        <w:t>individual</w:t>
      </w:r>
      <w:r>
        <w:rPr>
          <w:color w:val="4D4D4F"/>
          <w:spacing w:val="-10"/>
          <w:w w:val="115"/>
          <w:sz w:val="18"/>
        </w:rPr>
        <w:t> </w:t>
      </w:r>
      <w:r>
        <w:rPr>
          <w:color w:val="4D4D4F"/>
          <w:w w:val="115"/>
          <w:sz w:val="18"/>
        </w:rPr>
        <w:t>needs.</w:t>
      </w:r>
    </w:p>
    <w:p>
      <w:pPr>
        <w:pStyle w:val="ListParagraph"/>
        <w:numPr>
          <w:ilvl w:val="0"/>
          <w:numId w:val="42"/>
        </w:numPr>
        <w:tabs>
          <w:tab w:pos="776" w:val="left" w:leader="none"/>
        </w:tabs>
        <w:spacing w:line="247" w:lineRule="auto" w:before="30" w:after="0"/>
        <w:ind w:left="775" w:right="902" w:hanging="360"/>
        <w:jc w:val="left"/>
        <w:rPr>
          <w:sz w:val="18"/>
        </w:rPr>
      </w:pPr>
      <w:r>
        <w:rPr>
          <w:color w:val="4D4D4F"/>
          <w:w w:val="110"/>
          <w:sz w:val="18"/>
        </w:rPr>
        <w:t>I understand that initially I will have weekly ofﬁce visits until I am stable. I will get a prescription for 7 days </w:t>
      </w:r>
      <w:r>
        <w:rPr>
          <w:color w:val="4D4D4F"/>
          <w:spacing w:val="-8"/>
          <w:w w:val="110"/>
          <w:sz w:val="18"/>
        </w:rPr>
        <w:t>of </w:t>
      </w:r>
      <w:r>
        <w:rPr>
          <w:color w:val="4D4D4F"/>
          <w:w w:val="110"/>
          <w:sz w:val="18"/>
        </w:rPr>
        <w:t>medication at each</w:t>
      </w:r>
      <w:r>
        <w:rPr>
          <w:color w:val="4D4D4F"/>
          <w:spacing w:val="-15"/>
          <w:w w:val="110"/>
          <w:sz w:val="18"/>
        </w:rPr>
        <w:t> </w:t>
      </w:r>
      <w:r>
        <w:rPr>
          <w:color w:val="4D4D4F"/>
          <w:w w:val="110"/>
          <w:sz w:val="18"/>
        </w:rPr>
        <w:t>visit.</w:t>
      </w:r>
    </w:p>
    <w:p>
      <w:pPr>
        <w:pStyle w:val="ListParagraph"/>
        <w:numPr>
          <w:ilvl w:val="0"/>
          <w:numId w:val="42"/>
        </w:numPr>
        <w:tabs>
          <w:tab w:pos="776" w:val="left" w:leader="none"/>
        </w:tabs>
        <w:spacing w:line="247" w:lineRule="auto" w:before="29" w:after="0"/>
        <w:ind w:left="775" w:right="439" w:hanging="360"/>
        <w:jc w:val="left"/>
        <w:rPr>
          <w:sz w:val="18"/>
        </w:rPr>
      </w:pPr>
      <w:r>
        <w:rPr>
          <w:color w:val="4D4D4F"/>
          <w:w w:val="110"/>
          <w:sz w:val="18"/>
        </w:rPr>
        <w:t>I can be seen every 2 weeks in the ofﬁce starting the second month of treatment if I have two negative urine </w:t>
      </w:r>
      <w:r>
        <w:rPr>
          <w:color w:val="4D4D4F"/>
          <w:spacing w:val="-4"/>
          <w:w w:val="110"/>
          <w:sz w:val="18"/>
        </w:rPr>
        <w:t>drug </w:t>
      </w:r>
      <w:r>
        <w:rPr>
          <w:color w:val="4D4D4F"/>
          <w:w w:val="110"/>
          <w:sz w:val="18"/>
        </w:rPr>
        <w:t>tests</w:t>
      </w:r>
      <w:r>
        <w:rPr>
          <w:color w:val="4D4D4F"/>
          <w:spacing w:val="-4"/>
          <w:w w:val="110"/>
          <w:sz w:val="18"/>
        </w:rPr>
        <w:t> </w:t>
      </w:r>
      <w:r>
        <w:rPr>
          <w:color w:val="4D4D4F"/>
          <w:w w:val="110"/>
          <w:sz w:val="18"/>
        </w:rPr>
        <w:t>in</w:t>
      </w:r>
      <w:r>
        <w:rPr>
          <w:color w:val="4D4D4F"/>
          <w:spacing w:val="-4"/>
          <w:w w:val="110"/>
          <w:sz w:val="18"/>
        </w:rPr>
        <w:t> </w:t>
      </w:r>
      <w:r>
        <w:rPr>
          <w:color w:val="4D4D4F"/>
          <w:w w:val="110"/>
          <w:sz w:val="18"/>
        </w:rPr>
        <w:t>a</w:t>
      </w:r>
      <w:r>
        <w:rPr>
          <w:color w:val="4D4D4F"/>
          <w:spacing w:val="-4"/>
          <w:w w:val="110"/>
          <w:sz w:val="18"/>
        </w:rPr>
        <w:t> row. </w:t>
      </w:r>
      <w:r>
        <w:rPr>
          <w:color w:val="4D4D4F"/>
          <w:w w:val="110"/>
          <w:sz w:val="18"/>
        </w:rPr>
        <w:t>I</w:t>
      </w:r>
      <w:r>
        <w:rPr>
          <w:color w:val="4D4D4F"/>
          <w:spacing w:val="-4"/>
          <w:w w:val="110"/>
          <w:sz w:val="18"/>
        </w:rPr>
        <w:t> </w:t>
      </w:r>
      <w:r>
        <w:rPr>
          <w:color w:val="4D4D4F"/>
          <w:w w:val="110"/>
          <w:sz w:val="18"/>
        </w:rPr>
        <w:t>will</w:t>
      </w:r>
      <w:r>
        <w:rPr>
          <w:color w:val="4D4D4F"/>
          <w:spacing w:val="-4"/>
          <w:w w:val="110"/>
          <w:sz w:val="18"/>
        </w:rPr>
        <w:t> </w:t>
      </w:r>
      <w:r>
        <w:rPr>
          <w:color w:val="4D4D4F"/>
          <w:w w:val="110"/>
          <w:sz w:val="18"/>
        </w:rPr>
        <w:t>then</w:t>
      </w:r>
      <w:r>
        <w:rPr>
          <w:color w:val="4D4D4F"/>
          <w:spacing w:val="-4"/>
          <w:w w:val="110"/>
          <w:sz w:val="18"/>
        </w:rPr>
        <w:t> </w:t>
      </w:r>
      <w:r>
        <w:rPr>
          <w:color w:val="4D4D4F"/>
          <w:w w:val="110"/>
          <w:sz w:val="18"/>
        </w:rPr>
        <w:t>get</w:t>
      </w:r>
      <w:r>
        <w:rPr>
          <w:color w:val="4D4D4F"/>
          <w:spacing w:val="-4"/>
          <w:w w:val="110"/>
          <w:sz w:val="18"/>
        </w:rPr>
        <w:t> </w:t>
      </w:r>
      <w:r>
        <w:rPr>
          <w:color w:val="4D4D4F"/>
          <w:w w:val="110"/>
          <w:sz w:val="18"/>
        </w:rPr>
        <w:t>a</w:t>
      </w:r>
      <w:r>
        <w:rPr>
          <w:color w:val="4D4D4F"/>
          <w:spacing w:val="-4"/>
          <w:w w:val="110"/>
          <w:sz w:val="18"/>
        </w:rPr>
        <w:t> </w:t>
      </w:r>
      <w:r>
        <w:rPr>
          <w:color w:val="4D4D4F"/>
          <w:w w:val="110"/>
          <w:sz w:val="18"/>
        </w:rPr>
        <w:t>prescription</w:t>
      </w:r>
      <w:r>
        <w:rPr>
          <w:color w:val="4D4D4F"/>
          <w:spacing w:val="-4"/>
          <w:w w:val="110"/>
          <w:sz w:val="18"/>
        </w:rPr>
        <w:t> </w:t>
      </w:r>
      <w:r>
        <w:rPr>
          <w:color w:val="4D4D4F"/>
          <w:w w:val="110"/>
          <w:sz w:val="18"/>
        </w:rPr>
        <w:t>for</w:t>
      </w:r>
      <w:r>
        <w:rPr>
          <w:color w:val="4D4D4F"/>
          <w:spacing w:val="-4"/>
          <w:w w:val="110"/>
          <w:sz w:val="18"/>
        </w:rPr>
        <w:t> </w:t>
      </w:r>
      <w:r>
        <w:rPr>
          <w:color w:val="4D4D4F"/>
          <w:w w:val="110"/>
          <w:sz w:val="18"/>
        </w:rPr>
        <w:t>14</w:t>
      </w:r>
      <w:r>
        <w:rPr>
          <w:color w:val="4D4D4F"/>
          <w:spacing w:val="-4"/>
          <w:w w:val="110"/>
          <w:sz w:val="18"/>
        </w:rPr>
        <w:t> </w:t>
      </w:r>
      <w:r>
        <w:rPr>
          <w:color w:val="4D4D4F"/>
          <w:w w:val="110"/>
          <w:sz w:val="18"/>
        </w:rPr>
        <w:t>days</w:t>
      </w:r>
      <w:r>
        <w:rPr>
          <w:color w:val="4D4D4F"/>
          <w:spacing w:val="-4"/>
          <w:w w:val="110"/>
          <w:sz w:val="18"/>
        </w:rPr>
        <w:t> </w:t>
      </w:r>
      <w:r>
        <w:rPr>
          <w:color w:val="4D4D4F"/>
          <w:w w:val="110"/>
          <w:sz w:val="18"/>
        </w:rPr>
        <w:t>of</w:t>
      </w:r>
      <w:r>
        <w:rPr>
          <w:color w:val="4D4D4F"/>
          <w:spacing w:val="-4"/>
          <w:w w:val="110"/>
          <w:sz w:val="18"/>
        </w:rPr>
        <w:t> </w:t>
      </w:r>
      <w:r>
        <w:rPr>
          <w:color w:val="4D4D4F"/>
          <w:w w:val="110"/>
          <w:sz w:val="18"/>
        </w:rPr>
        <w:t>medication</w:t>
      </w:r>
      <w:r>
        <w:rPr>
          <w:color w:val="4D4D4F"/>
          <w:spacing w:val="-4"/>
          <w:w w:val="110"/>
          <w:sz w:val="18"/>
        </w:rPr>
        <w:t> </w:t>
      </w:r>
      <w:r>
        <w:rPr>
          <w:color w:val="4D4D4F"/>
          <w:w w:val="110"/>
          <w:sz w:val="18"/>
        </w:rPr>
        <w:t>at</w:t>
      </w:r>
      <w:r>
        <w:rPr>
          <w:color w:val="4D4D4F"/>
          <w:spacing w:val="-4"/>
          <w:w w:val="110"/>
          <w:sz w:val="18"/>
        </w:rPr>
        <w:t> </w:t>
      </w:r>
      <w:r>
        <w:rPr>
          <w:color w:val="4D4D4F"/>
          <w:w w:val="110"/>
          <w:sz w:val="18"/>
        </w:rPr>
        <w:t>each</w:t>
      </w:r>
      <w:r>
        <w:rPr>
          <w:color w:val="4D4D4F"/>
          <w:spacing w:val="-4"/>
          <w:w w:val="110"/>
          <w:sz w:val="18"/>
        </w:rPr>
        <w:t> </w:t>
      </w:r>
      <w:r>
        <w:rPr>
          <w:color w:val="4D4D4F"/>
          <w:w w:val="110"/>
          <w:sz w:val="18"/>
        </w:rPr>
        <w:t>visit.</w:t>
      </w:r>
    </w:p>
    <w:p>
      <w:pPr>
        <w:pStyle w:val="ListParagraph"/>
        <w:numPr>
          <w:ilvl w:val="0"/>
          <w:numId w:val="42"/>
        </w:numPr>
        <w:tabs>
          <w:tab w:pos="776" w:val="left" w:leader="none"/>
        </w:tabs>
        <w:spacing w:line="247" w:lineRule="auto" w:before="29" w:after="0"/>
        <w:ind w:left="775" w:right="607" w:hanging="360"/>
        <w:jc w:val="left"/>
        <w:rPr>
          <w:sz w:val="18"/>
        </w:rPr>
      </w:pPr>
      <w:r>
        <w:rPr>
          <w:color w:val="4D4D4F"/>
          <w:w w:val="110"/>
          <w:sz w:val="18"/>
        </w:rPr>
        <w:t>I will go back to weekly visits if I have a positive drug test. I can go back to visits every 2 weeks when I have </w:t>
      </w:r>
      <w:r>
        <w:rPr>
          <w:color w:val="4D4D4F"/>
          <w:spacing w:val="-6"/>
          <w:w w:val="110"/>
          <w:sz w:val="18"/>
        </w:rPr>
        <w:t>two </w:t>
      </w:r>
      <w:r>
        <w:rPr>
          <w:color w:val="4D4D4F"/>
          <w:w w:val="110"/>
          <w:sz w:val="18"/>
        </w:rPr>
        <w:t>negative drug tests in a row</w:t>
      </w:r>
      <w:r>
        <w:rPr>
          <w:color w:val="4D4D4F"/>
          <w:spacing w:val="-26"/>
          <w:w w:val="110"/>
          <w:sz w:val="18"/>
        </w:rPr>
        <w:t> </w:t>
      </w:r>
      <w:r>
        <w:rPr>
          <w:color w:val="4D4D4F"/>
          <w:w w:val="110"/>
          <w:sz w:val="18"/>
        </w:rPr>
        <w:t>again.</w:t>
      </w:r>
    </w:p>
    <w:p>
      <w:pPr>
        <w:pStyle w:val="ListParagraph"/>
        <w:numPr>
          <w:ilvl w:val="0"/>
          <w:numId w:val="42"/>
        </w:numPr>
        <w:tabs>
          <w:tab w:pos="776" w:val="left" w:leader="none"/>
        </w:tabs>
        <w:spacing w:line="240" w:lineRule="auto" w:before="29" w:after="0"/>
        <w:ind w:left="775" w:right="0" w:hanging="361"/>
        <w:jc w:val="left"/>
        <w:rPr>
          <w:sz w:val="18"/>
        </w:rPr>
      </w:pPr>
      <w:r>
        <w:rPr>
          <w:color w:val="4D4D4F"/>
          <w:w w:val="110"/>
          <w:sz w:val="18"/>
        </w:rPr>
        <w:t>I may be seen less than every 2 weeks based on goals made by my healthcare provider and</w:t>
      </w:r>
      <w:r>
        <w:rPr>
          <w:color w:val="4D4D4F"/>
          <w:spacing w:val="-34"/>
          <w:w w:val="110"/>
          <w:sz w:val="18"/>
        </w:rPr>
        <w:t> </w:t>
      </w:r>
      <w:r>
        <w:rPr>
          <w:color w:val="4D4D4F"/>
          <w:w w:val="110"/>
          <w:sz w:val="18"/>
        </w:rPr>
        <w:t>me.</w:t>
      </w:r>
    </w:p>
    <w:p>
      <w:pPr>
        <w:pStyle w:val="ListParagraph"/>
        <w:numPr>
          <w:ilvl w:val="0"/>
          <w:numId w:val="42"/>
        </w:numPr>
        <w:tabs>
          <w:tab w:pos="776" w:val="left" w:leader="none"/>
        </w:tabs>
        <w:spacing w:line="247" w:lineRule="auto" w:before="35" w:after="0"/>
        <w:ind w:left="775" w:right="565" w:hanging="360"/>
        <w:jc w:val="left"/>
        <w:rPr>
          <w:sz w:val="18"/>
        </w:rPr>
      </w:pPr>
      <w:r>
        <w:rPr>
          <w:color w:val="4D4D4F"/>
          <w:w w:val="115"/>
          <w:sz w:val="18"/>
        </w:rPr>
        <w:t>I</w:t>
      </w:r>
      <w:r>
        <w:rPr>
          <w:color w:val="4D4D4F"/>
          <w:spacing w:val="-20"/>
          <w:w w:val="115"/>
          <w:sz w:val="18"/>
        </w:rPr>
        <w:t> </w:t>
      </w:r>
      <w:r>
        <w:rPr>
          <w:color w:val="4D4D4F"/>
          <w:w w:val="115"/>
          <w:sz w:val="18"/>
        </w:rPr>
        <w:t>understand</w:t>
      </w:r>
      <w:r>
        <w:rPr>
          <w:color w:val="4D4D4F"/>
          <w:spacing w:val="-19"/>
          <w:w w:val="115"/>
          <w:sz w:val="18"/>
        </w:rPr>
        <w:t> </w:t>
      </w:r>
      <w:r>
        <w:rPr>
          <w:color w:val="4D4D4F"/>
          <w:w w:val="115"/>
          <w:sz w:val="18"/>
        </w:rPr>
        <w:t>that</w:t>
      </w:r>
      <w:r>
        <w:rPr>
          <w:color w:val="4D4D4F"/>
          <w:spacing w:val="-20"/>
          <w:w w:val="115"/>
          <w:sz w:val="18"/>
        </w:rPr>
        <w:t> </w:t>
      </w:r>
      <w:r>
        <w:rPr>
          <w:color w:val="4D4D4F"/>
          <w:w w:val="115"/>
          <w:sz w:val="18"/>
        </w:rPr>
        <w:t>people</w:t>
      </w:r>
      <w:r>
        <w:rPr>
          <w:color w:val="4D4D4F"/>
          <w:spacing w:val="-19"/>
          <w:w w:val="115"/>
          <w:sz w:val="18"/>
        </w:rPr>
        <w:t> </w:t>
      </w:r>
      <w:r>
        <w:rPr>
          <w:color w:val="4D4D4F"/>
          <w:w w:val="115"/>
          <w:sz w:val="18"/>
        </w:rPr>
        <w:t>have</w:t>
      </w:r>
      <w:r>
        <w:rPr>
          <w:color w:val="4D4D4F"/>
          <w:spacing w:val="-19"/>
          <w:w w:val="115"/>
          <w:sz w:val="18"/>
        </w:rPr>
        <w:t> </w:t>
      </w:r>
      <w:r>
        <w:rPr>
          <w:color w:val="4D4D4F"/>
          <w:w w:val="115"/>
          <w:sz w:val="18"/>
        </w:rPr>
        <w:t>died</w:t>
      </w:r>
      <w:r>
        <w:rPr>
          <w:color w:val="4D4D4F"/>
          <w:spacing w:val="-20"/>
          <w:w w:val="115"/>
          <w:sz w:val="18"/>
        </w:rPr>
        <w:t> </w:t>
      </w:r>
      <w:r>
        <w:rPr>
          <w:color w:val="4D4D4F"/>
          <w:w w:val="115"/>
          <w:sz w:val="18"/>
        </w:rPr>
        <w:t>by</w:t>
      </w:r>
      <w:r>
        <w:rPr>
          <w:color w:val="4D4D4F"/>
          <w:spacing w:val="-19"/>
          <w:w w:val="115"/>
          <w:sz w:val="18"/>
        </w:rPr>
        <w:t> </w:t>
      </w:r>
      <w:r>
        <w:rPr>
          <w:color w:val="4D4D4F"/>
          <w:w w:val="115"/>
          <w:sz w:val="18"/>
        </w:rPr>
        <w:t>mixing</w:t>
      </w:r>
      <w:r>
        <w:rPr>
          <w:color w:val="4D4D4F"/>
          <w:spacing w:val="-19"/>
          <w:w w:val="115"/>
          <w:sz w:val="18"/>
        </w:rPr>
        <w:t> </w:t>
      </w:r>
      <w:r>
        <w:rPr>
          <w:color w:val="4D4D4F"/>
          <w:w w:val="115"/>
          <w:sz w:val="18"/>
        </w:rPr>
        <w:t>buprenorphine</w:t>
      </w:r>
      <w:r>
        <w:rPr>
          <w:color w:val="4D4D4F"/>
          <w:spacing w:val="-20"/>
          <w:w w:val="115"/>
          <w:sz w:val="18"/>
        </w:rPr>
        <w:t> </w:t>
      </w:r>
      <w:r>
        <w:rPr>
          <w:color w:val="4D4D4F"/>
          <w:w w:val="115"/>
          <w:sz w:val="18"/>
        </w:rPr>
        <w:t>with</w:t>
      </w:r>
      <w:r>
        <w:rPr>
          <w:color w:val="4D4D4F"/>
          <w:spacing w:val="-19"/>
          <w:w w:val="115"/>
          <w:sz w:val="18"/>
        </w:rPr>
        <w:t> </w:t>
      </w:r>
      <w:r>
        <w:rPr>
          <w:color w:val="4D4D4F"/>
          <w:w w:val="115"/>
          <w:sz w:val="18"/>
        </w:rPr>
        <w:t>alcohol</w:t>
      </w:r>
      <w:r>
        <w:rPr>
          <w:color w:val="4D4D4F"/>
          <w:spacing w:val="-19"/>
          <w:w w:val="115"/>
          <w:sz w:val="18"/>
        </w:rPr>
        <w:t> </w:t>
      </w:r>
      <w:r>
        <w:rPr>
          <w:color w:val="4D4D4F"/>
          <w:w w:val="115"/>
          <w:sz w:val="18"/>
        </w:rPr>
        <w:t>and</w:t>
      </w:r>
      <w:r>
        <w:rPr>
          <w:color w:val="4D4D4F"/>
          <w:spacing w:val="-20"/>
          <w:w w:val="115"/>
          <w:sz w:val="18"/>
        </w:rPr>
        <w:t> </w:t>
      </w:r>
      <w:r>
        <w:rPr>
          <w:color w:val="4D4D4F"/>
          <w:w w:val="115"/>
          <w:sz w:val="18"/>
        </w:rPr>
        <w:t>other</w:t>
      </w:r>
      <w:r>
        <w:rPr>
          <w:color w:val="4D4D4F"/>
          <w:spacing w:val="-19"/>
          <w:w w:val="115"/>
          <w:sz w:val="18"/>
        </w:rPr>
        <w:t> </w:t>
      </w:r>
      <w:r>
        <w:rPr>
          <w:color w:val="4D4D4F"/>
          <w:w w:val="115"/>
          <w:sz w:val="18"/>
        </w:rPr>
        <w:t>drugs</w:t>
      </w:r>
      <w:r>
        <w:rPr>
          <w:color w:val="4D4D4F"/>
          <w:spacing w:val="-19"/>
          <w:w w:val="115"/>
          <w:sz w:val="18"/>
        </w:rPr>
        <w:t> </w:t>
      </w:r>
      <w:r>
        <w:rPr>
          <w:color w:val="4D4D4F"/>
          <w:w w:val="115"/>
          <w:sz w:val="18"/>
        </w:rPr>
        <w:t>like</w:t>
      </w:r>
      <w:r>
        <w:rPr>
          <w:color w:val="4D4D4F"/>
          <w:spacing w:val="-20"/>
          <w:w w:val="115"/>
          <w:sz w:val="18"/>
        </w:rPr>
        <w:t> </w:t>
      </w:r>
      <w:r>
        <w:rPr>
          <w:color w:val="4D4D4F"/>
          <w:w w:val="115"/>
          <w:sz w:val="18"/>
        </w:rPr>
        <w:t>benzodiazepines (drugs</w:t>
      </w:r>
      <w:r>
        <w:rPr>
          <w:color w:val="4D4D4F"/>
          <w:spacing w:val="-9"/>
          <w:w w:val="115"/>
          <w:sz w:val="18"/>
        </w:rPr>
        <w:t> </w:t>
      </w:r>
      <w:r>
        <w:rPr>
          <w:color w:val="4D4D4F"/>
          <w:w w:val="115"/>
          <w:sz w:val="18"/>
        </w:rPr>
        <w:t>like</w:t>
      </w:r>
      <w:r>
        <w:rPr>
          <w:color w:val="4D4D4F"/>
          <w:spacing w:val="-9"/>
          <w:w w:val="115"/>
          <w:sz w:val="18"/>
        </w:rPr>
        <w:t> </w:t>
      </w:r>
      <w:r>
        <w:rPr>
          <w:color w:val="4D4D4F"/>
          <w:w w:val="115"/>
          <w:sz w:val="18"/>
        </w:rPr>
        <w:t>Valium,</w:t>
      </w:r>
      <w:r>
        <w:rPr>
          <w:color w:val="4D4D4F"/>
          <w:spacing w:val="-9"/>
          <w:w w:val="115"/>
          <w:sz w:val="18"/>
        </w:rPr>
        <w:t> </w:t>
      </w:r>
      <w:r>
        <w:rPr>
          <w:color w:val="4D4D4F"/>
          <w:w w:val="115"/>
          <w:sz w:val="18"/>
        </w:rPr>
        <w:t>Klonopin,</w:t>
      </w:r>
      <w:r>
        <w:rPr>
          <w:color w:val="4D4D4F"/>
          <w:spacing w:val="-8"/>
          <w:w w:val="115"/>
          <w:sz w:val="18"/>
        </w:rPr>
        <w:t> </w:t>
      </w:r>
      <w:r>
        <w:rPr>
          <w:color w:val="4D4D4F"/>
          <w:w w:val="115"/>
          <w:sz w:val="18"/>
        </w:rPr>
        <w:t>and</w:t>
      </w:r>
      <w:r>
        <w:rPr>
          <w:color w:val="4D4D4F"/>
          <w:spacing w:val="-9"/>
          <w:w w:val="115"/>
          <w:sz w:val="18"/>
        </w:rPr>
        <w:t> </w:t>
      </w:r>
      <w:r>
        <w:rPr>
          <w:color w:val="4D4D4F"/>
          <w:w w:val="115"/>
          <w:sz w:val="18"/>
        </w:rPr>
        <w:t>Xanax).</w:t>
      </w:r>
    </w:p>
    <w:p>
      <w:pPr>
        <w:pStyle w:val="BodyText"/>
        <w:spacing w:before="10"/>
        <w:rPr>
          <w:sz w:val="29"/>
        </w:rPr>
      </w:pPr>
    </w:p>
    <w:p>
      <w:pPr>
        <w:spacing w:before="1"/>
        <w:ind w:left="140" w:right="0" w:firstLine="0"/>
        <w:jc w:val="left"/>
        <w:rPr>
          <w:rFonts w:ascii="Arial"/>
          <w:i/>
          <w:sz w:val="18"/>
        </w:rPr>
      </w:pPr>
      <w:r>
        <w:rPr>
          <w:rFonts w:ascii="Arial"/>
          <w:i/>
          <w:color w:val="4D4D4F"/>
          <w:w w:val="105"/>
          <w:sz w:val="18"/>
        </w:rPr>
        <w:t>Continued on next page</w:t>
      </w:r>
    </w:p>
    <w:p>
      <w:pPr>
        <w:spacing w:after="0"/>
        <w:jc w:val="left"/>
        <w:rPr>
          <w:rFonts w:ascii="Arial"/>
          <w:sz w:val="18"/>
        </w:rPr>
        <w:sectPr>
          <w:pgSz w:w="12240" w:h="15840"/>
          <w:pgMar w:header="576" w:footer="677" w:top="1340" w:bottom="860" w:left="940" w:right="920"/>
        </w:sectPr>
      </w:pPr>
    </w:p>
    <w:p>
      <w:pPr>
        <w:pStyle w:val="BodyText"/>
        <w:rPr>
          <w:rFonts w:ascii="Arial"/>
          <w:i/>
          <w:sz w:val="20"/>
        </w:rPr>
      </w:pPr>
    </w:p>
    <w:p>
      <w:pPr>
        <w:pStyle w:val="BodyText"/>
        <w:rPr>
          <w:rFonts w:ascii="Arial"/>
          <w:i/>
          <w:sz w:val="20"/>
        </w:rPr>
      </w:pPr>
    </w:p>
    <w:p>
      <w:pPr>
        <w:pStyle w:val="BodyText"/>
        <w:spacing w:before="7"/>
        <w:rPr>
          <w:rFonts w:ascii="Arial"/>
          <w:i/>
          <w:sz w:val="20"/>
        </w:rPr>
      </w:pPr>
    </w:p>
    <w:p>
      <w:pPr>
        <w:pStyle w:val="ListParagraph"/>
        <w:numPr>
          <w:ilvl w:val="0"/>
          <w:numId w:val="42"/>
        </w:numPr>
        <w:tabs>
          <w:tab w:pos="775" w:val="left" w:leader="none"/>
        </w:tabs>
        <w:spacing w:line="247" w:lineRule="auto" w:before="1" w:after="0"/>
        <w:ind w:left="775" w:right="617" w:hanging="360"/>
        <w:jc w:val="left"/>
        <w:rPr>
          <w:sz w:val="18"/>
        </w:rPr>
      </w:pPr>
      <w:r>
        <w:rPr/>
        <w:pict>
          <v:rect style="position:absolute;margin-left:54.125pt;margin-top:-11.937304pt;width:504.001pt;height:304.295pt;mso-position-horizontal-relative:page;mso-position-vertical-relative:paragraph;z-index:-19534848" filled="false" stroked="true" strokeweight=".25pt" strokecolor="#88aabd">
            <v:stroke dashstyle="solid"/>
            <w10:wrap type="none"/>
          </v:rect>
        </w:pict>
      </w:r>
      <w:r>
        <w:rPr>
          <w:color w:val="4D4D4F"/>
          <w:w w:val="110"/>
          <w:sz w:val="18"/>
        </w:rPr>
        <w:t>I understand that treatment of opioid use disorder involves more than just taking medication. I agree to comply with my healthcare provider’s recommendations for additional counseling and/or for help with other</w:t>
      </w:r>
      <w:r>
        <w:rPr>
          <w:color w:val="4D4D4F"/>
          <w:spacing w:val="-21"/>
          <w:w w:val="110"/>
          <w:sz w:val="18"/>
        </w:rPr>
        <w:t> </w:t>
      </w:r>
      <w:r>
        <w:rPr>
          <w:color w:val="4D4D4F"/>
          <w:w w:val="110"/>
          <w:sz w:val="18"/>
        </w:rPr>
        <w:t>problems.</w:t>
      </w:r>
    </w:p>
    <w:p>
      <w:pPr>
        <w:pStyle w:val="ListParagraph"/>
        <w:numPr>
          <w:ilvl w:val="0"/>
          <w:numId w:val="42"/>
        </w:numPr>
        <w:tabs>
          <w:tab w:pos="775" w:val="left" w:leader="none"/>
        </w:tabs>
        <w:spacing w:line="247" w:lineRule="auto" w:before="29" w:after="0"/>
        <w:ind w:left="775" w:right="686" w:hanging="360"/>
        <w:jc w:val="left"/>
        <w:rPr>
          <w:sz w:val="18"/>
        </w:rPr>
      </w:pPr>
      <w:r>
        <w:rPr>
          <w:color w:val="4D4D4F"/>
          <w:w w:val="110"/>
          <w:sz w:val="18"/>
        </w:rPr>
        <w:t>I understand that there is no ﬁxed time for being on buprenorphine and that the goal of treatment is for me </w:t>
      </w:r>
      <w:r>
        <w:rPr>
          <w:color w:val="4D4D4F"/>
          <w:spacing w:val="-7"/>
          <w:w w:val="110"/>
          <w:sz w:val="18"/>
        </w:rPr>
        <w:t>to </w:t>
      </w:r>
      <w:r>
        <w:rPr>
          <w:color w:val="4D4D4F"/>
          <w:w w:val="110"/>
          <w:sz w:val="18"/>
        </w:rPr>
        <w:t>stop using all illicit drugs and become successful in all aspects of my</w:t>
      </w:r>
      <w:r>
        <w:rPr>
          <w:color w:val="4D4D4F"/>
          <w:spacing w:val="-35"/>
          <w:w w:val="110"/>
          <w:sz w:val="18"/>
        </w:rPr>
        <w:t> </w:t>
      </w:r>
      <w:r>
        <w:rPr>
          <w:color w:val="4D4D4F"/>
          <w:w w:val="110"/>
          <w:sz w:val="18"/>
        </w:rPr>
        <w:t>life.</w:t>
      </w:r>
    </w:p>
    <w:p>
      <w:pPr>
        <w:pStyle w:val="ListParagraph"/>
        <w:numPr>
          <w:ilvl w:val="0"/>
          <w:numId w:val="42"/>
        </w:numPr>
        <w:tabs>
          <w:tab w:pos="775" w:val="left" w:leader="none"/>
        </w:tabs>
        <w:spacing w:line="240" w:lineRule="auto" w:before="29" w:after="0"/>
        <w:ind w:left="775" w:right="0" w:hanging="360"/>
        <w:jc w:val="left"/>
        <w:rPr>
          <w:sz w:val="18"/>
        </w:rPr>
      </w:pPr>
      <w:r>
        <w:rPr>
          <w:color w:val="4D4D4F"/>
          <w:w w:val="110"/>
          <w:sz w:val="18"/>
        </w:rPr>
        <w:t>I understand that I may experience opioid withdrawal symptoms when I stop taking</w:t>
      </w:r>
      <w:r>
        <w:rPr>
          <w:color w:val="4D4D4F"/>
          <w:spacing w:val="-36"/>
          <w:w w:val="110"/>
          <w:sz w:val="18"/>
        </w:rPr>
        <w:t> </w:t>
      </w:r>
      <w:r>
        <w:rPr>
          <w:color w:val="4D4D4F"/>
          <w:w w:val="110"/>
          <w:sz w:val="18"/>
        </w:rPr>
        <w:t>buprenorphine.</w:t>
      </w:r>
    </w:p>
    <w:p>
      <w:pPr>
        <w:pStyle w:val="ListParagraph"/>
        <w:numPr>
          <w:ilvl w:val="0"/>
          <w:numId w:val="42"/>
        </w:numPr>
        <w:tabs>
          <w:tab w:pos="775" w:val="left" w:leader="none"/>
        </w:tabs>
        <w:spacing w:line="247" w:lineRule="auto" w:before="34" w:after="0"/>
        <w:ind w:left="775" w:right="653" w:hanging="360"/>
        <w:jc w:val="left"/>
        <w:rPr>
          <w:sz w:val="18"/>
        </w:rPr>
      </w:pPr>
      <w:r>
        <w:rPr>
          <w:color w:val="4D4D4F"/>
          <w:w w:val="110"/>
          <w:sz w:val="18"/>
        </w:rPr>
        <w:t>I have been educated about the other two FDA-approved medications used for opioid dependence </w:t>
      </w:r>
      <w:r>
        <w:rPr>
          <w:color w:val="4D4D4F"/>
          <w:spacing w:val="-3"/>
          <w:w w:val="110"/>
          <w:sz w:val="18"/>
        </w:rPr>
        <w:t>treatment, </w:t>
      </w:r>
      <w:r>
        <w:rPr>
          <w:color w:val="4D4D4F"/>
          <w:w w:val="110"/>
          <w:sz w:val="18"/>
        </w:rPr>
        <w:t>methadone and</w:t>
      </w:r>
      <w:r>
        <w:rPr>
          <w:color w:val="4D4D4F"/>
          <w:spacing w:val="-10"/>
          <w:w w:val="110"/>
          <w:sz w:val="18"/>
        </w:rPr>
        <w:t> </w:t>
      </w:r>
      <w:r>
        <w:rPr>
          <w:color w:val="4D4D4F"/>
          <w:w w:val="110"/>
          <w:sz w:val="18"/>
        </w:rPr>
        <w:t>naltrexone.</w:t>
      </w:r>
    </w:p>
    <w:p>
      <w:pPr>
        <w:pStyle w:val="ListParagraph"/>
        <w:numPr>
          <w:ilvl w:val="0"/>
          <w:numId w:val="42"/>
        </w:numPr>
        <w:tabs>
          <w:tab w:pos="775" w:val="left" w:leader="none"/>
        </w:tabs>
        <w:spacing w:line="247" w:lineRule="auto" w:before="30" w:after="0"/>
        <w:ind w:left="775" w:right="881" w:hanging="360"/>
        <w:jc w:val="left"/>
        <w:rPr>
          <w:sz w:val="18"/>
        </w:rPr>
      </w:pPr>
      <w:r>
        <w:rPr>
          <w:color w:val="4D4D4F"/>
          <w:w w:val="110"/>
          <w:sz w:val="18"/>
        </w:rPr>
        <w:t>I have been educated about the increased chance of pregnancy when stopping illicit opioid use and starting buprenorphine treatment and been informed about methods for preventing</w:t>
      </w:r>
      <w:r>
        <w:rPr>
          <w:color w:val="4D4D4F"/>
          <w:spacing w:val="-19"/>
          <w:w w:val="110"/>
          <w:sz w:val="18"/>
        </w:rPr>
        <w:t> </w:t>
      </w:r>
      <w:r>
        <w:rPr>
          <w:color w:val="4D4D4F"/>
          <w:w w:val="110"/>
          <w:sz w:val="18"/>
        </w:rPr>
        <w:t>pregnancy.</w:t>
      </w:r>
    </w:p>
    <w:p>
      <w:pPr>
        <w:pStyle w:val="BodyText"/>
        <w:spacing w:before="7"/>
        <w:rPr>
          <w:sz w:val="15"/>
        </w:rPr>
      </w:pPr>
    </w:p>
    <w:p>
      <w:pPr>
        <w:spacing w:before="1"/>
        <w:ind w:left="415" w:right="0" w:firstLine="0"/>
        <w:jc w:val="left"/>
        <w:rPr>
          <w:sz w:val="18"/>
        </w:rPr>
      </w:pPr>
      <w:r>
        <w:rPr>
          <w:color w:val="4D4D4F"/>
          <w:w w:val="110"/>
          <w:sz w:val="18"/>
        </w:rPr>
        <w:t>Other speciﬁc items unique to my treatment include:</w:t>
      </w:r>
    </w:p>
    <w:p>
      <w:pPr>
        <w:pStyle w:val="BodyText"/>
        <w:rPr>
          <w:sz w:val="20"/>
        </w:rPr>
      </w:pPr>
    </w:p>
    <w:p>
      <w:pPr>
        <w:pStyle w:val="BodyText"/>
        <w:rPr>
          <w:sz w:val="20"/>
        </w:rPr>
      </w:pPr>
    </w:p>
    <w:p>
      <w:pPr>
        <w:pStyle w:val="BodyText"/>
        <w:rPr>
          <w:sz w:val="20"/>
        </w:rPr>
      </w:pPr>
    </w:p>
    <w:p>
      <w:pPr>
        <w:pStyle w:val="BodyText"/>
        <w:spacing w:before="11"/>
        <w:rPr>
          <w:sz w:val="25"/>
        </w:rPr>
      </w:pPr>
    </w:p>
    <w:p>
      <w:pPr>
        <w:tabs>
          <w:tab w:pos="7035" w:val="left" w:leader="none"/>
        </w:tabs>
        <w:spacing w:before="0"/>
        <w:ind w:left="415" w:right="0" w:firstLine="0"/>
        <w:jc w:val="left"/>
        <w:rPr>
          <w:sz w:val="18"/>
        </w:rPr>
      </w:pPr>
      <w:r>
        <w:rPr>
          <w:color w:val="4D4D4F"/>
          <w:w w:val="110"/>
          <w:sz w:val="18"/>
        </w:rPr>
        <w:t>Patient’s Name</w:t>
      </w:r>
      <w:r>
        <w:rPr>
          <w:color w:val="4D4D4F"/>
          <w:spacing w:val="-28"/>
          <w:w w:val="110"/>
          <w:sz w:val="18"/>
        </w:rPr>
        <w:t> </w:t>
      </w:r>
      <w:r>
        <w:rPr>
          <w:color w:val="4D4D4F"/>
          <w:w w:val="110"/>
          <w:sz w:val="18"/>
        </w:rPr>
        <w:t>(print):</w:t>
      </w:r>
      <w:r>
        <w:rPr>
          <w:color w:val="4D4D4F"/>
          <w:sz w:val="18"/>
        </w:rPr>
        <w:t> </w:t>
      </w:r>
      <w:r>
        <w:rPr>
          <w:color w:val="4D4D4F"/>
          <w:w w:val="100"/>
          <w:sz w:val="18"/>
          <w:u w:val="single" w:color="7F8184"/>
        </w:rPr>
        <w:t> </w:t>
      </w:r>
      <w:r>
        <w:rPr>
          <w:color w:val="4D4D4F"/>
          <w:sz w:val="18"/>
          <w:u w:val="single" w:color="7F8184"/>
        </w:rPr>
        <w:tab/>
      </w:r>
    </w:p>
    <w:p>
      <w:pPr>
        <w:pStyle w:val="BodyText"/>
        <w:spacing w:before="4"/>
        <w:rPr>
          <w:sz w:val="15"/>
        </w:rPr>
      </w:pPr>
    </w:p>
    <w:p>
      <w:pPr>
        <w:tabs>
          <w:tab w:pos="7059" w:val="left" w:leader="none"/>
          <w:tab w:pos="9499" w:val="left" w:leader="none"/>
        </w:tabs>
        <w:spacing w:before="100"/>
        <w:ind w:left="415" w:right="0" w:firstLine="0"/>
        <w:jc w:val="left"/>
        <w:rPr>
          <w:sz w:val="18"/>
        </w:rPr>
      </w:pPr>
      <w:r>
        <w:rPr>
          <w:color w:val="4D4D4F"/>
          <w:w w:val="115"/>
          <w:sz w:val="18"/>
        </w:rPr>
        <w:t>Patient’s</w:t>
      </w:r>
      <w:r>
        <w:rPr>
          <w:color w:val="4D4D4F"/>
          <w:spacing w:val="-15"/>
          <w:w w:val="115"/>
          <w:sz w:val="18"/>
        </w:rPr>
        <w:t> </w:t>
      </w:r>
      <w:r>
        <w:rPr>
          <w:color w:val="4D4D4F"/>
          <w:w w:val="115"/>
          <w:sz w:val="18"/>
        </w:rPr>
        <w:t>Signature:</w:t>
      </w:r>
      <w:r>
        <w:rPr>
          <w:color w:val="4D4D4F"/>
          <w:w w:val="115"/>
          <w:sz w:val="18"/>
          <w:u w:val="single" w:color="7F8184"/>
        </w:rPr>
        <w:t> </w:t>
        <w:tab/>
      </w:r>
      <w:r>
        <w:rPr>
          <w:color w:val="4D4D4F"/>
          <w:w w:val="115"/>
          <w:sz w:val="18"/>
        </w:rPr>
        <w:t>Date:</w:t>
      </w:r>
      <w:r>
        <w:rPr>
          <w:color w:val="4D4D4F"/>
          <w:spacing w:val="-1"/>
          <w:sz w:val="18"/>
        </w:rPr>
        <w:t> </w:t>
      </w:r>
      <w:r>
        <w:rPr>
          <w:color w:val="4D4D4F"/>
          <w:w w:val="100"/>
          <w:sz w:val="18"/>
          <w:u w:val="single" w:color="7F8184"/>
        </w:rPr>
        <w:t> </w:t>
      </w:r>
      <w:r>
        <w:rPr>
          <w:color w:val="4D4D4F"/>
          <w:sz w:val="18"/>
          <w:u w:val="single" w:color="7F8184"/>
        </w:rPr>
        <w:tab/>
      </w:r>
    </w:p>
    <w:p>
      <w:pPr>
        <w:pStyle w:val="BodyText"/>
        <w:rPr>
          <w:sz w:val="23"/>
        </w:rPr>
      </w:pPr>
    </w:p>
    <w:p>
      <w:pPr>
        <w:spacing w:line="247" w:lineRule="auto" w:before="100"/>
        <w:ind w:left="415" w:right="913" w:firstLine="0"/>
        <w:jc w:val="left"/>
        <w:rPr>
          <w:sz w:val="18"/>
        </w:rPr>
      </w:pPr>
      <w:r>
        <w:rPr>
          <w:color w:val="4D4D4F"/>
          <w:w w:val="110"/>
          <w:sz w:val="18"/>
        </w:rPr>
        <w:t>This form is adapted from the American Society of Addiction Medicine’s Sample Treatment Agreement, which is updated periodically; the most current version of the agreement is available online (</w:t>
      </w:r>
      <w:hyperlink r:id="rId68">
        <w:r>
          <w:rPr>
            <w:color w:val="205E9F"/>
            <w:w w:val="110"/>
            <w:sz w:val="18"/>
            <w:u w:val="single" w:color="205E9F"/>
          </w:rPr>
          <w:t>https://www</w:t>
        </w:r>
      </w:hyperlink>
      <w:r>
        <w:rPr>
          <w:color w:val="205E9F"/>
          <w:w w:val="110"/>
          <w:sz w:val="18"/>
          <w:u w:val="single" w:color="205E9F"/>
        </w:rPr>
        <w:t>.asam.or</w:t>
      </w:r>
      <w:hyperlink r:id="rId68">
        <w:r>
          <w:rPr>
            <w:color w:val="205E9F"/>
            <w:w w:val="110"/>
            <w:sz w:val="18"/>
            <w:u w:val="single" w:color="205E9F"/>
          </w:rPr>
          <w:t>g/docs</w:t>
        </w:r>
      </w:hyperlink>
    </w:p>
    <w:p>
      <w:pPr>
        <w:spacing w:before="2"/>
        <w:ind w:left="415" w:right="0" w:firstLine="0"/>
        <w:jc w:val="left"/>
        <w:rPr>
          <w:sz w:val="18"/>
        </w:rPr>
      </w:pPr>
      <w:r>
        <w:rPr>
          <w:color w:val="205E9F"/>
          <w:w w:val="115"/>
          <w:sz w:val="18"/>
          <w:u w:val="single" w:color="205E9F"/>
        </w:rPr>
        <w:t>/default-source/advocacy/sample-treatment-agreement30fa159472bc604ca5b7ff000030b21a.pdf?sfvrsn</w:t>
      </w:r>
    </w:p>
    <w:p>
      <w:pPr>
        <w:spacing w:before="7"/>
        <w:ind w:left="415" w:right="0" w:firstLine="0"/>
        <w:jc w:val="left"/>
        <w:rPr>
          <w:sz w:val="18"/>
        </w:rPr>
      </w:pPr>
      <w:r>
        <w:rPr>
          <w:color w:val="205E9F"/>
          <w:w w:val="110"/>
          <w:sz w:val="18"/>
          <w:u w:val="single" w:color="205E9F"/>
        </w:rPr>
        <w:t>=bd4675c2_0</w:t>
      </w:r>
      <w:r>
        <w:rPr>
          <w:color w:val="4D4D4F"/>
          <w:w w:val="110"/>
          <w:sz w:val="18"/>
        </w:rPr>
        <w:t>).</w:t>
      </w:r>
    </w:p>
    <w:p>
      <w:pPr>
        <w:spacing w:before="58"/>
        <w:ind w:left="415" w:right="0" w:firstLine="0"/>
        <w:jc w:val="left"/>
        <w:rPr>
          <w:rFonts w:ascii="Arial"/>
          <w:i/>
          <w:sz w:val="9"/>
        </w:rPr>
      </w:pPr>
      <w:r>
        <w:rPr>
          <w:rFonts w:ascii="Arial"/>
          <w:i/>
          <w:color w:val="4D4D4F"/>
          <w:w w:val="105"/>
          <w:sz w:val="16"/>
        </w:rPr>
        <w:t>Adapted with permission.</w:t>
      </w:r>
      <w:r>
        <w:rPr>
          <w:rFonts w:ascii="Arial"/>
          <w:i/>
          <w:color w:val="4D4D4F"/>
          <w:w w:val="105"/>
          <w:position w:val="5"/>
          <w:sz w:val="9"/>
        </w:rPr>
        <w:t>352</w:t>
      </w:r>
    </w:p>
    <w:p>
      <w:pPr>
        <w:spacing w:after="0"/>
        <w:jc w:val="left"/>
        <w:rPr>
          <w:rFonts w:ascii="Arial"/>
          <w:sz w:val="9"/>
        </w:rPr>
        <w:sectPr>
          <w:pgSz w:w="12240" w:h="15840"/>
          <w:pgMar w:header="576" w:footer="677" w:top="1340" w:bottom="860" w:left="940" w:right="920"/>
        </w:sectPr>
      </w:pPr>
    </w:p>
    <w:p>
      <w:pPr>
        <w:pStyle w:val="BodyText"/>
        <w:spacing w:before="5"/>
        <w:rPr>
          <w:rFonts w:ascii="Arial"/>
          <w:i/>
          <w:sz w:val="27"/>
        </w:rPr>
      </w:pPr>
    </w:p>
    <w:p>
      <w:pPr>
        <w:pStyle w:val="Heading3"/>
        <w:spacing w:before="89"/>
      </w:pPr>
      <w:bookmarkStart w:name="_TOC_250031" w:id="84"/>
      <w:bookmarkEnd w:id="84"/>
      <w:r>
        <w:rPr>
          <w:color w:val="137692"/>
          <w:w w:val="110"/>
        </w:rPr>
        <w:t>Patient Urine Drug Screen and Medication Count Monitoring Form</w:t>
      </w:r>
    </w:p>
    <w:p>
      <w:pPr>
        <w:pStyle w:val="BodyText"/>
        <w:spacing w:before="7"/>
        <w:rPr>
          <w:rFonts w:ascii="Calibri"/>
          <w:b/>
          <w:sz w:val="26"/>
        </w:rPr>
      </w:pPr>
    </w:p>
    <w:p>
      <w:pPr>
        <w:tabs>
          <w:tab w:pos="6393" w:val="left" w:leader="none"/>
          <w:tab w:pos="6643" w:val="left" w:leader="none"/>
          <w:tab w:pos="10189" w:val="left" w:leader="none"/>
        </w:tabs>
        <w:spacing w:before="101"/>
        <w:ind w:left="140" w:right="0" w:firstLine="0"/>
        <w:jc w:val="left"/>
        <w:rPr>
          <w:rFonts w:ascii="Calibri" w:hAnsi="Calibri"/>
          <w:b/>
          <w:sz w:val="18"/>
        </w:rPr>
      </w:pPr>
      <w:r>
        <w:rPr>
          <w:rFonts w:ascii="Calibri" w:hAnsi="Calibri"/>
          <w:b/>
          <w:color w:val="4D4D4F"/>
          <w:w w:val="115"/>
          <w:sz w:val="18"/>
        </w:rPr>
        <w:t>Patient’s</w:t>
      </w:r>
      <w:r>
        <w:rPr>
          <w:rFonts w:ascii="Calibri" w:hAnsi="Calibri"/>
          <w:b/>
          <w:color w:val="4D4D4F"/>
          <w:spacing w:val="-7"/>
          <w:w w:val="115"/>
          <w:sz w:val="18"/>
        </w:rPr>
        <w:t> </w:t>
      </w:r>
      <w:r>
        <w:rPr>
          <w:rFonts w:ascii="Calibri" w:hAnsi="Calibri"/>
          <w:b/>
          <w:color w:val="4D4D4F"/>
          <w:w w:val="115"/>
          <w:sz w:val="18"/>
        </w:rPr>
        <w:t>Name:</w:t>
      </w:r>
      <w:r>
        <w:rPr>
          <w:rFonts w:ascii="Calibri" w:hAnsi="Calibri"/>
          <w:b/>
          <w:color w:val="4D4D4F"/>
          <w:w w:val="115"/>
          <w:sz w:val="18"/>
          <w:u w:val="single" w:color="7F8184"/>
        </w:rPr>
        <w:t> </w:t>
        <w:tab/>
      </w:r>
      <w:r>
        <w:rPr>
          <w:rFonts w:ascii="Calibri" w:hAnsi="Calibri"/>
          <w:b/>
          <w:color w:val="4D4D4F"/>
          <w:w w:val="115"/>
          <w:sz w:val="18"/>
        </w:rPr>
        <w:tab/>
        <w:t>Date </w:t>
      </w:r>
      <w:r>
        <w:rPr>
          <w:rFonts w:ascii="Calibri" w:hAnsi="Calibri"/>
          <w:b/>
          <w:color w:val="4D4D4F"/>
          <w:spacing w:val="-10"/>
          <w:w w:val="115"/>
          <w:sz w:val="18"/>
        </w:rPr>
        <w:t>To  </w:t>
      </w:r>
      <w:r>
        <w:rPr>
          <w:rFonts w:ascii="Calibri" w:hAnsi="Calibri"/>
          <w:b/>
          <w:color w:val="4D4D4F"/>
          <w:w w:val="115"/>
          <w:sz w:val="18"/>
        </w:rPr>
        <w:t>Be</w:t>
      </w:r>
      <w:r>
        <w:rPr>
          <w:rFonts w:ascii="Calibri" w:hAnsi="Calibri"/>
          <w:b/>
          <w:color w:val="4D4D4F"/>
          <w:spacing w:val="-12"/>
          <w:w w:val="115"/>
          <w:sz w:val="18"/>
        </w:rPr>
        <w:t> </w:t>
      </w:r>
      <w:r>
        <w:rPr>
          <w:rFonts w:ascii="Calibri" w:hAnsi="Calibri"/>
          <w:b/>
          <w:color w:val="4D4D4F"/>
          <w:w w:val="115"/>
          <w:sz w:val="18"/>
        </w:rPr>
        <w:t>Called:</w:t>
      </w:r>
      <w:r>
        <w:rPr>
          <w:rFonts w:ascii="Calibri" w:hAnsi="Calibri"/>
          <w:b/>
          <w:color w:val="4D4D4F"/>
          <w:w w:val="130"/>
          <w:sz w:val="18"/>
          <w:u w:val="single" w:color="7F8184"/>
        </w:rPr>
        <w:t> </w:t>
      </w:r>
      <w:r>
        <w:rPr>
          <w:rFonts w:ascii="Calibri" w:hAnsi="Calibri"/>
          <w:b/>
          <w:color w:val="4D4D4F"/>
          <w:sz w:val="18"/>
          <w:u w:val="single" w:color="7F8184"/>
        </w:rPr>
        <w:tab/>
      </w:r>
    </w:p>
    <w:p>
      <w:pPr>
        <w:pStyle w:val="BodyText"/>
        <w:spacing w:before="11"/>
        <w:rPr>
          <w:rFonts w:ascii="Calibri"/>
          <w:b/>
          <w:sz w:val="23"/>
        </w:rPr>
      </w:pPr>
    </w:p>
    <w:p>
      <w:pPr>
        <w:spacing w:line="199" w:lineRule="exact" w:before="100"/>
        <w:ind w:left="140" w:right="0" w:firstLine="0"/>
        <w:jc w:val="left"/>
        <w:rPr>
          <w:rFonts w:ascii="Calibri"/>
          <w:b/>
          <w:sz w:val="18"/>
        </w:rPr>
      </w:pPr>
      <w:r>
        <w:rPr>
          <w:rFonts w:ascii="Calibri"/>
          <w:b/>
          <w:color w:val="4D4D4F"/>
          <w:w w:val="115"/>
          <w:sz w:val="18"/>
        </w:rPr>
        <w:t>Called for:</w:t>
      </w:r>
    </w:p>
    <w:p>
      <w:pPr>
        <w:pStyle w:val="ListParagraph"/>
        <w:numPr>
          <w:ilvl w:val="0"/>
          <w:numId w:val="43"/>
        </w:numPr>
        <w:tabs>
          <w:tab w:pos="410" w:val="left" w:leader="none"/>
        </w:tabs>
        <w:spacing w:line="316" w:lineRule="exact" w:before="0" w:after="0"/>
        <w:ind w:left="410" w:right="0" w:hanging="270"/>
        <w:jc w:val="left"/>
        <w:rPr>
          <w:sz w:val="18"/>
        </w:rPr>
      </w:pPr>
      <w:r>
        <w:rPr>
          <w:color w:val="4D4D4F"/>
          <w:w w:val="110"/>
          <w:sz w:val="18"/>
        </w:rPr>
        <w:t>Urine Drug</w:t>
      </w:r>
      <w:r>
        <w:rPr>
          <w:color w:val="4D4D4F"/>
          <w:spacing w:val="-11"/>
          <w:w w:val="110"/>
          <w:sz w:val="18"/>
        </w:rPr>
        <w:t> </w:t>
      </w:r>
      <w:r>
        <w:rPr>
          <w:color w:val="4D4D4F"/>
          <w:w w:val="110"/>
          <w:sz w:val="18"/>
        </w:rPr>
        <w:t>Screen</w:t>
      </w:r>
    </w:p>
    <w:p>
      <w:pPr>
        <w:pStyle w:val="ListParagraph"/>
        <w:numPr>
          <w:ilvl w:val="0"/>
          <w:numId w:val="43"/>
        </w:numPr>
        <w:tabs>
          <w:tab w:pos="410" w:val="left" w:leader="none"/>
          <w:tab w:pos="10100" w:val="left" w:leader="none"/>
        </w:tabs>
        <w:spacing w:line="307" w:lineRule="exact" w:before="0" w:after="0"/>
        <w:ind w:left="410" w:right="0" w:hanging="270"/>
        <w:jc w:val="left"/>
        <w:rPr>
          <w:sz w:val="18"/>
        </w:rPr>
      </w:pPr>
      <w:r>
        <w:rPr>
          <w:color w:val="4D4D4F"/>
          <w:w w:val="110"/>
          <w:sz w:val="18"/>
        </w:rPr>
        <w:t>Medication</w:t>
      </w:r>
      <w:r>
        <w:rPr>
          <w:color w:val="4D4D4F"/>
          <w:spacing w:val="-11"/>
          <w:w w:val="110"/>
          <w:sz w:val="18"/>
        </w:rPr>
        <w:t> </w:t>
      </w:r>
      <w:r>
        <w:rPr>
          <w:color w:val="4D4D4F"/>
          <w:w w:val="110"/>
          <w:sz w:val="18"/>
        </w:rPr>
        <w:t>Count</w:t>
      </w:r>
      <w:r>
        <w:rPr>
          <w:color w:val="4D4D4F"/>
          <w:spacing w:val="-11"/>
          <w:w w:val="110"/>
          <w:sz w:val="18"/>
        </w:rPr>
        <w:t> </w:t>
      </w:r>
      <w:r>
        <w:rPr>
          <w:color w:val="4D4D4F"/>
          <w:w w:val="110"/>
          <w:sz w:val="18"/>
        </w:rPr>
        <w:t>at</w:t>
      </w:r>
      <w:r>
        <w:rPr>
          <w:color w:val="4D4D4F"/>
          <w:spacing w:val="-11"/>
          <w:w w:val="110"/>
          <w:sz w:val="18"/>
        </w:rPr>
        <w:t> </w:t>
      </w:r>
      <w:r>
        <w:rPr>
          <w:rFonts w:ascii="Arial" w:hAnsi="Arial"/>
          <w:b/>
          <w:color w:val="4D4D4F"/>
          <w:spacing w:val="2"/>
          <w:w w:val="110"/>
          <w:sz w:val="32"/>
        </w:rPr>
        <w:t>□</w:t>
      </w:r>
      <w:r>
        <w:rPr>
          <w:color w:val="4D4D4F"/>
          <w:spacing w:val="2"/>
          <w:w w:val="110"/>
          <w:sz w:val="18"/>
        </w:rPr>
        <w:t>Ofﬁce</w:t>
      </w:r>
      <w:r>
        <w:rPr>
          <w:color w:val="4D4D4F"/>
          <w:spacing w:val="-11"/>
          <w:w w:val="110"/>
          <w:sz w:val="18"/>
        </w:rPr>
        <w:t> </w:t>
      </w:r>
      <w:r>
        <w:rPr>
          <w:color w:val="4D4D4F"/>
          <w:w w:val="110"/>
          <w:sz w:val="18"/>
        </w:rPr>
        <w:t>or</w:t>
      </w:r>
      <w:r>
        <w:rPr>
          <w:color w:val="4D4D4F"/>
          <w:spacing w:val="-11"/>
          <w:w w:val="110"/>
          <w:sz w:val="18"/>
        </w:rPr>
        <w:t> </w:t>
      </w:r>
      <w:r>
        <w:rPr>
          <w:rFonts w:ascii="Arial" w:hAnsi="Arial"/>
          <w:b/>
          <w:color w:val="4D4D4F"/>
          <w:w w:val="110"/>
          <w:sz w:val="32"/>
        </w:rPr>
        <w:t>□</w:t>
      </w:r>
      <w:r>
        <w:rPr>
          <w:rFonts w:ascii="Arial" w:hAnsi="Arial"/>
          <w:b/>
          <w:color w:val="4D4D4F"/>
          <w:spacing w:val="-70"/>
          <w:w w:val="110"/>
          <w:sz w:val="32"/>
        </w:rPr>
        <w:t> </w:t>
      </w:r>
      <w:r>
        <w:rPr>
          <w:color w:val="4D4D4F"/>
          <w:w w:val="110"/>
          <w:sz w:val="18"/>
        </w:rPr>
        <w:t>Pharmacy</w:t>
      </w:r>
      <w:r>
        <w:rPr>
          <w:color w:val="4D4D4F"/>
          <w:spacing w:val="-11"/>
          <w:w w:val="110"/>
          <w:sz w:val="18"/>
        </w:rPr>
        <w:t> </w:t>
      </w:r>
      <w:r>
        <w:rPr>
          <w:color w:val="4D4D4F"/>
          <w:w w:val="110"/>
          <w:sz w:val="18"/>
        </w:rPr>
        <w:t>FOR:</w:t>
      </w:r>
      <w:r>
        <w:rPr>
          <w:color w:val="4D4D4F"/>
          <w:sz w:val="18"/>
        </w:rPr>
        <w:t> </w:t>
      </w:r>
      <w:r>
        <w:rPr>
          <w:color w:val="4D4D4F"/>
          <w:w w:val="100"/>
          <w:sz w:val="18"/>
          <w:u w:val="single" w:color="7F8184"/>
        </w:rPr>
        <w:t> </w:t>
      </w:r>
      <w:r>
        <w:rPr>
          <w:color w:val="4D4D4F"/>
          <w:sz w:val="18"/>
          <w:u w:val="single" w:color="7F8184"/>
        </w:rPr>
        <w:tab/>
      </w:r>
    </w:p>
    <w:p>
      <w:pPr>
        <w:pStyle w:val="ListParagraph"/>
        <w:numPr>
          <w:ilvl w:val="0"/>
          <w:numId w:val="43"/>
        </w:numPr>
        <w:tabs>
          <w:tab w:pos="410" w:val="left" w:leader="none"/>
        </w:tabs>
        <w:spacing w:line="306" w:lineRule="exact" w:before="0" w:after="0"/>
        <w:ind w:left="410" w:right="0" w:hanging="270"/>
        <w:jc w:val="left"/>
        <w:rPr>
          <w:sz w:val="18"/>
        </w:rPr>
      </w:pPr>
      <w:r>
        <w:rPr>
          <w:color w:val="4D4D4F"/>
          <w:w w:val="110"/>
          <w:sz w:val="18"/>
        </w:rPr>
        <w:t>Buprenorphine/Naloxone</w:t>
      </w:r>
    </w:p>
    <w:p>
      <w:pPr>
        <w:pStyle w:val="ListParagraph"/>
        <w:numPr>
          <w:ilvl w:val="0"/>
          <w:numId w:val="43"/>
        </w:numPr>
        <w:tabs>
          <w:tab w:pos="410" w:val="left" w:leader="none"/>
          <w:tab w:pos="4176" w:val="left" w:leader="none"/>
          <w:tab w:pos="6707" w:val="left" w:leader="none"/>
          <w:tab w:pos="9237" w:val="left" w:leader="none"/>
        </w:tabs>
        <w:spacing w:line="337" w:lineRule="exact" w:before="0" w:after="0"/>
        <w:ind w:left="410" w:right="0" w:hanging="270"/>
        <w:jc w:val="left"/>
        <w:rPr>
          <w:sz w:val="18"/>
        </w:rPr>
      </w:pPr>
      <w:r>
        <w:rPr>
          <w:color w:val="4D4D4F"/>
          <w:w w:val="110"/>
          <w:sz w:val="18"/>
        </w:rPr>
        <w:t>Other</w:t>
      </w:r>
      <w:r>
        <w:rPr>
          <w:color w:val="4D4D4F"/>
          <w:spacing w:val="-9"/>
          <w:w w:val="110"/>
          <w:sz w:val="18"/>
        </w:rPr>
        <w:t> </w:t>
      </w:r>
      <w:r>
        <w:rPr>
          <w:color w:val="4D4D4F"/>
          <w:w w:val="110"/>
          <w:sz w:val="18"/>
        </w:rPr>
        <w:t>(list</w:t>
      </w:r>
      <w:r>
        <w:rPr>
          <w:color w:val="4D4D4F"/>
          <w:spacing w:val="-8"/>
          <w:w w:val="110"/>
          <w:sz w:val="18"/>
        </w:rPr>
        <w:t> </w:t>
      </w:r>
      <w:r>
        <w:rPr>
          <w:color w:val="4D4D4F"/>
          <w:w w:val="110"/>
          <w:sz w:val="18"/>
        </w:rPr>
        <w:t>drug:</w:t>
      </w:r>
      <w:r>
        <w:rPr>
          <w:color w:val="4D4D4F"/>
          <w:w w:val="110"/>
          <w:sz w:val="18"/>
          <w:u w:val="single" w:color="7F8184"/>
        </w:rPr>
        <w:t> </w:t>
        <w:tab/>
      </w:r>
      <w:r>
        <w:rPr>
          <w:color w:val="808285"/>
          <w:w w:val="110"/>
          <w:sz w:val="18"/>
        </w:rPr>
        <w:t>,</w:t>
      </w:r>
      <w:r>
        <w:rPr>
          <w:color w:val="808285"/>
          <w:w w:val="110"/>
          <w:sz w:val="18"/>
          <w:u w:val="single" w:color="7F8184"/>
        </w:rPr>
        <w:t> </w:t>
        <w:tab/>
      </w:r>
      <w:r>
        <w:rPr>
          <w:color w:val="808285"/>
          <w:w w:val="110"/>
          <w:sz w:val="18"/>
        </w:rPr>
        <w:t>,</w:t>
      </w:r>
      <w:r>
        <w:rPr>
          <w:color w:val="808285"/>
          <w:w w:val="110"/>
          <w:sz w:val="18"/>
          <w:u w:val="single" w:color="7F8184"/>
        </w:rPr>
        <w:t> </w:t>
        <w:tab/>
      </w:r>
      <w:r>
        <w:rPr>
          <w:color w:val="4D4D4F"/>
          <w:w w:val="110"/>
          <w:sz w:val="18"/>
        </w:rPr>
        <w:t>)</w:t>
      </w:r>
    </w:p>
    <w:p>
      <w:pPr>
        <w:pStyle w:val="BodyText"/>
        <w:rPr>
          <w:sz w:val="20"/>
        </w:rPr>
      </w:pPr>
    </w:p>
    <w:p>
      <w:pPr>
        <w:pStyle w:val="BodyText"/>
        <w:spacing w:before="10"/>
        <w:rPr>
          <w:sz w:val="23"/>
        </w:rPr>
      </w:pPr>
      <w:r>
        <w:rPr/>
        <w:pict>
          <v:shape style="position:absolute;margin-left:54pt;margin-top:15.075536pt;width:504.05pt;height:197.1pt;mso-position-horizontal-relative:page;mso-position-vertical-relative:paragraph;z-index:-15675392;mso-wrap-distance-left:0;mso-wrap-distance-right:0" type="#_x0000_t202" filled="true" fillcolor="#f2f5f7" stroked="false">
            <v:textbox inset="0,0,0,0">
              <w:txbxContent>
                <w:p>
                  <w:pPr>
                    <w:pStyle w:val="BodyText"/>
                    <w:spacing w:before="2"/>
                    <w:rPr>
                      <w:sz w:val="20"/>
                    </w:rPr>
                  </w:pPr>
                </w:p>
                <w:p>
                  <w:pPr>
                    <w:spacing w:before="0"/>
                    <w:ind w:left="270" w:right="0" w:firstLine="0"/>
                    <w:jc w:val="left"/>
                    <w:rPr>
                      <w:rFonts w:ascii="Calibri"/>
                      <w:b/>
                      <w:sz w:val="18"/>
                    </w:rPr>
                  </w:pPr>
                  <w:r>
                    <w:rPr>
                      <w:rFonts w:ascii="Calibri"/>
                      <w:b/>
                      <w:color w:val="4D4D4F"/>
                      <w:w w:val="115"/>
                      <w:sz w:val="18"/>
                    </w:rPr>
                    <w:t>Documentation of Phone Call to Patient</w:t>
                  </w:r>
                </w:p>
                <w:p>
                  <w:pPr>
                    <w:tabs>
                      <w:tab w:pos="4587" w:val="left" w:leader="none"/>
                      <w:tab w:pos="8008" w:val="left" w:leader="none"/>
                    </w:tabs>
                    <w:spacing w:before="175"/>
                    <w:ind w:left="270" w:right="0" w:firstLine="0"/>
                    <w:jc w:val="left"/>
                    <w:rPr>
                      <w:sz w:val="18"/>
                    </w:rPr>
                  </w:pPr>
                  <w:r>
                    <w:rPr>
                      <w:color w:val="4D4D4F"/>
                      <w:w w:val="110"/>
                      <w:sz w:val="18"/>
                    </w:rPr>
                    <w:t>Patient was</w:t>
                  </w:r>
                  <w:r>
                    <w:rPr>
                      <w:color w:val="4D4D4F"/>
                      <w:spacing w:val="7"/>
                      <w:w w:val="110"/>
                      <w:sz w:val="18"/>
                    </w:rPr>
                    <w:t> </w:t>
                  </w:r>
                  <w:r>
                    <w:rPr>
                      <w:color w:val="4D4D4F"/>
                      <w:w w:val="110"/>
                      <w:sz w:val="18"/>
                    </w:rPr>
                    <w:t>called</w:t>
                  </w:r>
                  <w:r>
                    <w:rPr>
                      <w:color w:val="4D4D4F"/>
                      <w:spacing w:val="4"/>
                      <w:w w:val="110"/>
                      <w:sz w:val="18"/>
                    </w:rPr>
                    <w:t> </w:t>
                  </w:r>
                  <w:r>
                    <w:rPr>
                      <w:color w:val="4D4D4F"/>
                      <w:w w:val="110"/>
                      <w:sz w:val="18"/>
                    </w:rPr>
                    <w:t>at</w:t>
                  </w:r>
                  <w:r>
                    <w:rPr>
                      <w:color w:val="4D4D4F"/>
                      <w:w w:val="110"/>
                      <w:sz w:val="18"/>
                      <w:u w:val="single" w:color="7F8184"/>
                    </w:rPr>
                    <w:t> </w:t>
                    <w:tab/>
                  </w:r>
                  <w:r>
                    <w:rPr>
                      <w:color w:val="4D4D4F"/>
                      <w:w w:val="110"/>
                      <w:sz w:val="18"/>
                    </w:rPr>
                    <w:t>(insert phone</w:t>
                  </w:r>
                  <w:r>
                    <w:rPr>
                      <w:color w:val="4D4D4F"/>
                      <w:spacing w:val="-25"/>
                      <w:w w:val="110"/>
                      <w:sz w:val="18"/>
                    </w:rPr>
                    <w:t> </w:t>
                  </w:r>
                  <w:r>
                    <w:rPr>
                      <w:color w:val="4D4D4F"/>
                      <w:w w:val="110"/>
                      <w:sz w:val="18"/>
                    </w:rPr>
                    <w:t>#)</w:t>
                  </w:r>
                  <w:r>
                    <w:rPr>
                      <w:color w:val="4D4D4F"/>
                      <w:spacing w:val="-13"/>
                      <w:w w:val="110"/>
                      <w:sz w:val="18"/>
                    </w:rPr>
                    <w:t> </w:t>
                  </w:r>
                  <w:r>
                    <w:rPr>
                      <w:color w:val="4D4D4F"/>
                      <w:w w:val="110"/>
                      <w:sz w:val="18"/>
                    </w:rPr>
                    <w:t>on</w:t>
                  </w:r>
                  <w:r>
                    <w:rPr>
                      <w:color w:val="4D4D4F"/>
                      <w:w w:val="110"/>
                      <w:sz w:val="18"/>
                      <w:u w:val="single" w:color="7F8184"/>
                    </w:rPr>
                    <w:t> </w:t>
                    <w:tab/>
                  </w:r>
                  <w:r>
                    <w:rPr>
                      <w:color w:val="4D4D4F"/>
                      <w:w w:val="110"/>
                      <w:sz w:val="18"/>
                    </w:rPr>
                    <w:t>(date)</w:t>
                  </w:r>
                  <w:r>
                    <w:rPr>
                      <w:color w:val="4D4D4F"/>
                      <w:spacing w:val="-6"/>
                      <w:w w:val="110"/>
                      <w:sz w:val="18"/>
                    </w:rPr>
                    <w:t> </w:t>
                  </w:r>
                  <w:r>
                    <w:rPr>
                      <w:color w:val="4D4D4F"/>
                      <w:w w:val="110"/>
                      <w:sz w:val="18"/>
                    </w:rPr>
                    <w:t>at</w:t>
                  </w:r>
                </w:p>
                <w:p>
                  <w:pPr>
                    <w:tabs>
                      <w:tab w:pos="719" w:val="left" w:leader="none"/>
                      <w:tab w:pos="1219" w:val="left" w:leader="none"/>
                      <w:tab w:pos="8183" w:val="left" w:leader="none"/>
                    </w:tabs>
                    <w:spacing w:before="91"/>
                    <w:ind w:left="270" w:right="0" w:firstLine="0"/>
                    <w:jc w:val="left"/>
                    <w:rPr>
                      <w:sz w:val="18"/>
                    </w:rPr>
                  </w:pPr>
                  <w:r>
                    <w:rPr>
                      <w:color w:val="4D4D4F"/>
                      <w:w w:val="100"/>
                      <w:sz w:val="18"/>
                      <w:u w:val="single" w:color="7F8184"/>
                    </w:rPr>
                    <w:t> </w:t>
                  </w:r>
                  <w:r>
                    <w:rPr>
                      <w:color w:val="4D4D4F"/>
                      <w:sz w:val="18"/>
                      <w:u w:val="single" w:color="7F8184"/>
                    </w:rPr>
                    <w:tab/>
                  </w:r>
                  <w:r>
                    <w:rPr>
                      <w:color w:val="4D4D4F"/>
                      <w:w w:val="110"/>
                      <w:sz w:val="18"/>
                      <w:u w:val="single" w:color="7F8184"/>
                    </w:rPr>
                    <w:t>:</w:t>
                    <w:tab/>
                  </w:r>
                  <w:r>
                    <w:rPr>
                      <w:color w:val="4D4D4F"/>
                      <w:w w:val="110"/>
                      <w:sz w:val="18"/>
                    </w:rPr>
                    <w:t>(time) and informed of monitoring required (described above) within</w:t>
                  </w:r>
                  <w:r>
                    <w:rPr>
                      <w:color w:val="4D4D4F"/>
                      <w:spacing w:val="-36"/>
                      <w:w w:val="110"/>
                      <w:sz w:val="18"/>
                    </w:rPr>
                    <w:t> </w:t>
                  </w:r>
                  <w:r>
                    <w:rPr>
                      <w:color w:val="4D4D4F"/>
                      <w:w w:val="110"/>
                      <w:sz w:val="18"/>
                    </w:rPr>
                    <w:t>the</w:t>
                  </w:r>
                  <w:r>
                    <w:rPr>
                      <w:color w:val="4D4D4F"/>
                      <w:spacing w:val="-4"/>
                      <w:w w:val="110"/>
                      <w:sz w:val="18"/>
                    </w:rPr>
                    <w:t> </w:t>
                  </w:r>
                  <w:r>
                    <w:rPr>
                      <w:color w:val="4D4D4F"/>
                      <w:w w:val="110"/>
                      <w:sz w:val="18"/>
                    </w:rPr>
                    <w:t>next</w:t>
                  </w:r>
                  <w:r>
                    <w:rPr>
                      <w:color w:val="4D4D4F"/>
                      <w:w w:val="110"/>
                      <w:sz w:val="18"/>
                      <w:u w:val="single" w:color="4C4C4E"/>
                    </w:rPr>
                    <w:t> </w:t>
                    <w:tab/>
                  </w:r>
                  <w:r>
                    <w:rPr>
                      <w:color w:val="4D4D4F"/>
                      <w:w w:val="110"/>
                      <w:sz w:val="18"/>
                    </w:rPr>
                    <w:t>hours.</w:t>
                  </w:r>
                </w:p>
                <w:p>
                  <w:pPr>
                    <w:pStyle w:val="BodyText"/>
                    <w:rPr>
                      <w:sz w:val="20"/>
                    </w:rPr>
                  </w:pPr>
                </w:p>
                <w:p>
                  <w:pPr>
                    <w:spacing w:line="193" w:lineRule="exact" w:before="170"/>
                    <w:ind w:left="270" w:right="0" w:firstLine="0"/>
                    <w:jc w:val="left"/>
                    <w:rPr>
                      <w:rFonts w:ascii="Trebuchet MS"/>
                      <w:b/>
                      <w:i/>
                      <w:sz w:val="18"/>
                    </w:rPr>
                  </w:pPr>
                  <w:r>
                    <w:rPr>
                      <w:rFonts w:ascii="Trebuchet MS"/>
                      <w:b/>
                      <w:i/>
                      <w:color w:val="4D4D4F"/>
                      <w:w w:val="105"/>
                      <w:sz w:val="18"/>
                    </w:rPr>
                    <w:t>Check One:</w:t>
                  </w:r>
                </w:p>
                <w:p>
                  <w:pPr>
                    <w:numPr>
                      <w:ilvl w:val="0"/>
                      <w:numId w:val="44"/>
                    </w:numPr>
                    <w:tabs>
                      <w:tab w:pos="540" w:val="left" w:leader="none"/>
                    </w:tabs>
                    <w:spacing w:line="321" w:lineRule="exact" w:before="0"/>
                    <w:ind w:left="540" w:right="0" w:hanging="270"/>
                    <w:jc w:val="left"/>
                    <w:rPr>
                      <w:sz w:val="18"/>
                    </w:rPr>
                  </w:pPr>
                  <w:r>
                    <w:rPr>
                      <w:color w:val="4D4D4F"/>
                      <w:w w:val="110"/>
                      <w:sz w:val="18"/>
                    </w:rPr>
                    <w:t>I spoke with</w:t>
                  </w:r>
                  <w:r>
                    <w:rPr>
                      <w:color w:val="4D4D4F"/>
                      <w:spacing w:val="-15"/>
                      <w:w w:val="110"/>
                      <w:sz w:val="18"/>
                    </w:rPr>
                    <w:t> </w:t>
                  </w:r>
                  <w:r>
                    <w:rPr>
                      <w:color w:val="4D4D4F"/>
                      <w:w w:val="110"/>
                      <w:sz w:val="18"/>
                    </w:rPr>
                    <w:t>patient</w:t>
                  </w:r>
                </w:p>
                <w:p>
                  <w:pPr>
                    <w:numPr>
                      <w:ilvl w:val="0"/>
                      <w:numId w:val="44"/>
                    </w:numPr>
                    <w:tabs>
                      <w:tab w:pos="540" w:val="left" w:leader="none"/>
                    </w:tabs>
                    <w:spacing w:line="306" w:lineRule="exact" w:before="0"/>
                    <w:ind w:left="540" w:right="0" w:hanging="270"/>
                    <w:jc w:val="left"/>
                    <w:rPr>
                      <w:sz w:val="18"/>
                    </w:rPr>
                  </w:pPr>
                  <w:r>
                    <w:rPr>
                      <w:color w:val="4D4D4F"/>
                      <w:w w:val="115"/>
                      <w:sz w:val="18"/>
                    </w:rPr>
                    <w:t>Message left on answering</w:t>
                  </w:r>
                  <w:r>
                    <w:rPr>
                      <w:color w:val="4D4D4F"/>
                      <w:spacing w:val="-32"/>
                      <w:w w:val="115"/>
                      <w:sz w:val="18"/>
                    </w:rPr>
                    <w:t> </w:t>
                  </w:r>
                  <w:r>
                    <w:rPr>
                      <w:color w:val="4D4D4F"/>
                      <w:w w:val="115"/>
                      <w:sz w:val="18"/>
                    </w:rPr>
                    <w:t>machine/voicemail</w:t>
                  </w:r>
                </w:p>
                <w:p>
                  <w:pPr>
                    <w:numPr>
                      <w:ilvl w:val="0"/>
                      <w:numId w:val="44"/>
                    </w:numPr>
                    <w:tabs>
                      <w:tab w:pos="540" w:val="left" w:leader="none"/>
                      <w:tab w:pos="6333" w:val="left" w:leader="none"/>
                    </w:tabs>
                    <w:spacing w:line="306" w:lineRule="exact" w:before="0"/>
                    <w:ind w:left="540" w:right="0" w:hanging="270"/>
                    <w:jc w:val="left"/>
                    <w:rPr>
                      <w:sz w:val="18"/>
                    </w:rPr>
                  </w:pPr>
                  <w:r>
                    <w:rPr>
                      <w:color w:val="4D4D4F"/>
                      <w:w w:val="115"/>
                      <w:sz w:val="18"/>
                    </w:rPr>
                    <w:t>Message left</w:t>
                  </w:r>
                  <w:r>
                    <w:rPr>
                      <w:color w:val="4D4D4F"/>
                      <w:spacing w:val="-20"/>
                      <w:w w:val="115"/>
                      <w:sz w:val="18"/>
                    </w:rPr>
                    <w:t> </w:t>
                  </w:r>
                  <w:r>
                    <w:rPr>
                      <w:color w:val="4D4D4F"/>
                      <w:w w:val="115"/>
                      <w:sz w:val="18"/>
                    </w:rPr>
                    <w:t>with</w:t>
                  </w:r>
                  <w:r>
                    <w:rPr>
                      <w:color w:val="4D4D4F"/>
                      <w:sz w:val="18"/>
                    </w:rPr>
                    <w:t> </w:t>
                  </w:r>
                  <w:r>
                    <w:rPr>
                      <w:color w:val="4D4D4F"/>
                      <w:w w:val="100"/>
                      <w:sz w:val="18"/>
                      <w:u w:val="single" w:color="7F8184"/>
                    </w:rPr>
                    <w:t> </w:t>
                  </w:r>
                  <w:r>
                    <w:rPr>
                      <w:color w:val="4D4D4F"/>
                      <w:sz w:val="18"/>
                      <w:u w:val="single" w:color="7F8184"/>
                    </w:rPr>
                    <w:tab/>
                  </w:r>
                </w:p>
                <w:p>
                  <w:pPr>
                    <w:numPr>
                      <w:ilvl w:val="0"/>
                      <w:numId w:val="44"/>
                    </w:numPr>
                    <w:tabs>
                      <w:tab w:pos="540" w:val="left" w:leader="none"/>
                      <w:tab w:pos="6286" w:val="left" w:leader="none"/>
                    </w:tabs>
                    <w:spacing w:line="337" w:lineRule="exact" w:before="0"/>
                    <w:ind w:left="540" w:right="0" w:hanging="270"/>
                    <w:jc w:val="left"/>
                    <w:rPr>
                      <w:sz w:val="18"/>
                    </w:rPr>
                  </w:pPr>
                  <w:r>
                    <w:rPr>
                      <w:color w:val="4D4D4F"/>
                      <w:w w:val="105"/>
                      <w:sz w:val="18"/>
                    </w:rPr>
                    <w:t>Other</w:t>
                  </w:r>
                  <w:r>
                    <w:rPr>
                      <w:color w:val="4D4D4F"/>
                      <w:sz w:val="18"/>
                    </w:rPr>
                    <w:t> </w:t>
                  </w:r>
                  <w:r>
                    <w:rPr>
                      <w:color w:val="4D4D4F"/>
                      <w:w w:val="100"/>
                      <w:sz w:val="18"/>
                      <w:u w:val="single" w:color="7F8184"/>
                    </w:rPr>
                    <w:t> </w:t>
                  </w:r>
                  <w:r>
                    <w:rPr>
                      <w:color w:val="4D4D4F"/>
                      <w:sz w:val="18"/>
                      <w:u w:val="single" w:color="7F8184"/>
                    </w:rPr>
                    <w:tab/>
                  </w:r>
                </w:p>
                <w:p>
                  <w:pPr>
                    <w:pStyle w:val="BodyText"/>
                    <w:rPr>
                      <w:sz w:val="32"/>
                    </w:rPr>
                  </w:pPr>
                </w:p>
                <w:p>
                  <w:pPr>
                    <w:tabs>
                      <w:tab w:pos="9196" w:val="left" w:leader="none"/>
                    </w:tabs>
                    <w:spacing w:before="0"/>
                    <w:ind w:left="270" w:right="0" w:firstLine="0"/>
                    <w:jc w:val="left"/>
                    <w:rPr>
                      <w:rFonts w:ascii="Calibri"/>
                      <w:b/>
                      <w:sz w:val="18"/>
                    </w:rPr>
                  </w:pPr>
                  <w:r>
                    <w:rPr>
                      <w:rFonts w:ascii="Calibri"/>
                      <w:b/>
                      <w:color w:val="4D4D4F"/>
                      <w:w w:val="110"/>
                      <w:sz w:val="18"/>
                    </w:rPr>
                    <w:t>Signature</w:t>
                  </w:r>
                  <w:r>
                    <w:rPr>
                      <w:rFonts w:ascii="Calibri"/>
                      <w:b/>
                      <w:color w:val="4D4D4F"/>
                      <w:spacing w:val="18"/>
                      <w:w w:val="110"/>
                      <w:sz w:val="18"/>
                    </w:rPr>
                    <w:t> </w:t>
                  </w:r>
                  <w:r>
                    <w:rPr>
                      <w:rFonts w:ascii="Calibri"/>
                      <w:b/>
                      <w:color w:val="4D4D4F"/>
                      <w:w w:val="110"/>
                      <w:sz w:val="18"/>
                    </w:rPr>
                    <w:t>of</w:t>
                  </w:r>
                  <w:r>
                    <w:rPr>
                      <w:rFonts w:ascii="Calibri"/>
                      <w:b/>
                      <w:color w:val="4D4D4F"/>
                      <w:spacing w:val="18"/>
                      <w:w w:val="110"/>
                      <w:sz w:val="18"/>
                    </w:rPr>
                    <w:t> </w:t>
                  </w:r>
                  <w:r>
                    <w:rPr>
                      <w:rFonts w:ascii="Calibri"/>
                      <w:b/>
                      <w:color w:val="4D4D4F"/>
                      <w:w w:val="110"/>
                      <w:sz w:val="18"/>
                    </w:rPr>
                    <w:t>Staff</w:t>
                  </w:r>
                  <w:r>
                    <w:rPr>
                      <w:rFonts w:ascii="Calibri"/>
                      <w:b/>
                      <w:color w:val="4D4D4F"/>
                      <w:spacing w:val="19"/>
                      <w:w w:val="110"/>
                      <w:sz w:val="18"/>
                    </w:rPr>
                    <w:t> </w:t>
                  </w:r>
                  <w:r>
                    <w:rPr>
                      <w:rFonts w:ascii="Calibri"/>
                      <w:b/>
                      <w:color w:val="4D4D4F"/>
                      <w:w w:val="110"/>
                      <w:sz w:val="18"/>
                    </w:rPr>
                    <w:t>Member</w:t>
                  </w:r>
                  <w:r>
                    <w:rPr>
                      <w:rFonts w:ascii="Calibri"/>
                      <w:b/>
                      <w:color w:val="4D4D4F"/>
                      <w:spacing w:val="18"/>
                      <w:w w:val="110"/>
                      <w:sz w:val="18"/>
                    </w:rPr>
                    <w:t> </w:t>
                  </w:r>
                  <w:r>
                    <w:rPr>
                      <w:rFonts w:ascii="Calibri"/>
                      <w:b/>
                      <w:color w:val="4D4D4F"/>
                      <w:w w:val="110"/>
                      <w:sz w:val="18"/>
                    </w:rPr>
                    <w:t>Making</w:t>
                  </w:r>
                  <w:r>
                    <w:rPr>
                      <w:rFonts w:ascii="Calibri"/>
                      <w:b/>
                      <w:color w:val="4D4D4F"/>
                      <w:spacing w:val="19"/>
                      <w:w w:val="110"/>
                      <w:sz w:val="18"/>
                    </w:rPr>
                    <w:t> </w:t>
                  </w:r>
                  <w:r>
                    <w:rPr>
                      <w:rFonts w:ascii="Calibri"/>
                      <w:b/>
                      <w:color w:val="4D4D4F"/>
                      <w:w w:val="110"/>
                      <w:sz w:val="18"/>
                    </w:rPr>
                    <w:t>Phone</w:t>
                  </w:r>
                  <w:r>
                    <w:rPr>
                      <w:rFonts w:ascii="Calibri"/>
                      <w:b/>
                      <w:color w:val="4D4D4F"/>
                      <w:spacing w:val="18"/>
                      <w:w w:val="110"/>
                      <w:sz w:val="18"/>
                    </w:rPr>
                    <w:t> </w:t>
                  </w:r>
                  <w:r>
                    <w:rPr>
                      <w:rFonts w:ascii="Calibri"/>
                      <w:b/>
                      <w:color w:val="4D4D4F"/>
                      <w:w w:val="110"/>
                      <w:sz w:val="18"/>
                    </w:rPr>
                    <w:t>Call:</w:t>
                  </w:r>
                  <w:r>
                    <w:rPr>
                      <w:rFonts w:ascii="Calibri"/>
                      <w:b/>
                      <w:color w:val="4D4D4F"/>
                      <w:spacing w:val="9"/>
                      <w:sz w:val="18"/>
                    </w:rPr>
                    <w:t> </w:t>
                  </w:r>
                  <w:r>
                    <w:rPr>
                      <w:rFonts w:ascii="Calibri"/>
                      <w:b/>
                      <w:color w:val="4D4D4F"/>
                      <w:w w:val="130"/>
                      <w:sz w:val="18"/>
                      <w:u w:val="single" w:color="7F8184"/>
                    </w:rPr>
                    <w:t> </w:t>
                  </w:r>
                  <w:r>
                    <w:rPr>
                      <w:rFonts w:ascii="Calibri"/>
                      <w:b/>
                      <w:color w:val="4D4D4F"/>
                      <w:sz w:val="18"/>
                      <w:u w:val="single" w:color="7F8184"/>
                    </w:rPr>
                    <w:tab/>
                  </w:r>
                </w:p>
              </w:txbxContent>
            </v:textbox>
            <v:fill type="solid"/>
            <w10:wrap type="topAndBottom"/>
          </v:shape>
        </w:pict>
      </w:r>
    </w:p>
    <w:p>
      <w:pPr>
        <w:spacing w:before="102"/>
        <w:ind w:left="140" w:right="0" w:firstLine="0"/>
        <w:jc w:val="left"/>
        <w:rPr>
          <w:rFonts w:ascii="Arial"/>
          <w:i/>
          <w:sz w:val="16"/>
        </w:rPr>
      </w:pPr>
      <w:r>
        <w:rPr>
          <w:rFonts w:ascii="Arial"/>
          <w:i/>
          <w:color w:val="4D4D4F"/>
          <w:sz w:val="16"/>
        </w:rPr>
        <w:t>M. Lofwall, February 27, 2017 (personal communication). Adapted with permission.</w:t>
      </w:r>
    </w:p>
    <w:p>
      <w:pPr>
        <w:spacing w:after="0"/>
        <w:jc w:val="left"/>
        <w:rPr>
          <w:rFonts w:ascii="Arial"/>
          <w:sz w:val="16"/>
        </w:rPr>
        <w:sectPr>
          <w:pgSz w:w="12240" w:h="15840"/>
          <w:pgMar w:header="576" w:footer="677" w:top="1340" w:bottom="860" w:left="940" w:right="920"/>
        </w:sectPr>
      </w:pPr>
    </w:p>
    <w:p>
      <w:pPr>
        <w:pStyle w:val="BodyText"/>
        <w:spacing w:before="5"/>
        <w:rPr>
          <w:rFonts w:ascii="Arial"/>
          <w:i/>
          <w:sz w:val="27"/>
        </w:rPr>
      </w:pPr>
    </w:p>
    <w:p>
      <w:pPr>
        <w:pStyle w:val="Heading3"/>
        <w:spacing w:before="89"/>
      </w:pPr>
      <w:bookmarkStart w:name="_TOC_250030" w:id="85"/>
      <w:bookmarkEnd w:id="85"/>
      <w:r>
        <w:rPr>
          <w:color w:val="137692"/>
          <w:w w:val="105"/>
        </w:rPr>
        <w:t>Pharmacy Tablet/Film Count Form</w:t>
      </w:r>
    </w:p>
    <w:p>
      <w:pPr>
        <w:spacing w:line="235" w:lineRule="auto" w:before="248"/>
        <w:ind w:left="140" w:right="620" w:firstLine="0"/>
        <w:jc w:val="left"/>
        <w:rPr>
          <w:rFonts w:ascii="Calibri" w:hAnsi="Calibri"/>
          <w:b/>
          <w:sz w:val="18"/>
        </w:rPr>
      </w:pPr>
      <w:r>
        <w:rPr>
          <w:rFonts w:ascii="Calibri" w:hAnsi="Calibri"/>
          <w:b/>
          <w:color w:val="4D4D4F"/>
          <w:w w:val="115"/>
          <w:sz w:val="18"/>
        </w:rPr>
        <w:t>(Note: Before sending this form, discuss with the pharmacist ﬁrst to explain goals and procedures and to ensure agreement and understanding.)</w:t>
      </w:r>
    </w:p>
    <w:p>
      <w:pPr>
        <w:pStyle w:val="BodyText"/>
        <w:rPr>
          <w:rFonts w:ascii="Calibri"/>
          <w:b/>
        </w:rPr>
      </w:pPr>
    </w:p>
    <w:p>
      <w:pPr>
        <w:pStyle w:val="BodyText"/>
        <w:spacing w:before="6"/>
        <w:rPr>
          <w:rFonts w:ascii="Calibri"/>
          <w:b/>
          <w:sz w:val="23"/>
        </w:rPr>
      </w:pPr>
    </w:p>
    <w:p>
      <w:pPr>
        <w:tabs>
          <w:tab w:pos="2620" w:val="left" w:leader="none"/>
        </w:tabs>
        <w:spacing w:before="0"/>
        <w:ind w:left="420" w:right="0" w:firstLine="0"/>
        <w:jc w:val="left"/>
        <w:rPr>
          <w:sz w:val="18"/>
        </w:rPr>
      </w:pPr>
      <w:r>
        <w:rPr/>
        <w:pict>
          <v:group style="position:absolute;margin-left:54pt;margin-top:-12.440517pt;width:504.05pt;height:562.050pt;mso-position-horizontal-relative:page;mso-position-vertical-relative:paragraph;z-index:-19533824" coordorigin="1080,-249" coordsize="10081,11241">
            <v:rect style="position:absolute;left:1085;top:-244;width:10071;height:11231" filled="false" stroked="true" strokeweight=".5pt" strokecolor="#88aabd">
              <v:stroke dashstyle="solid"/>
            </v:rect>
            <v:line style="position:absolute" from="1360,6593" to="5680,6593" stroked="true" strokeweight=".45pt" strokecolor="#7f8184">
              <v:stroke dashstyle="solid"/>
            </v:line>
            <w10:wrap type="none"/>
          </v:group>
        </w:pict>
      </w:r>
      <w:r>
        <w:rPr>
          <w:color w:val="4D4D4F"/>
          <w:w w:val="110"/>
          <w:sz w:val="18"/>
        </w:rPr>
        <w:t>Date:</w:t>
      </w:r>
      <w:r>
        <w:rPr>
          <w:color w:val="4D4D4F"/>
          <w:sz w:val="18"/>
        </w:rPr>
        <w:t> </w:t>
      </w:r>
      <w:r>
        <w:rPr>
          <w:color w:val="4D4D4F"/>
          <w:w w:val="100"/>
          <w:sz w:val="18"/>
          <w:u w:val="single" w:color="7F8184"/>
        </w:rPr>
        <w:t> </w:t>
      </w:r>
      <w:r>
        <w:rPr>
          <w:color w:val="4D4D4F"/>
          <w:sz w:val="18"/>
          <w:u w:val="single" w:color="7F8184"/>
        </w:rPr>
        <w:tab/>
      </w:r>
    </w:p>
    <w:p>
      <w:pPr>
        <w:pStyle w:val="BodyText"/>
        <w:spacing w:before="2"/>
        <w:rPr>
          <w:sz w:val="26"/>
        </w:rPr>
      </w:pPr>
    </w:p>
    <w:p>
      <w:pPr>
        <w:tabs>
          <w:tab w:pos="1139" w:val="left" w:leader="none"/>
          <w:tab w:pos="5941" w:val="left" w:leader="none"/>
        </w:tabs>
        <w:spacing w:before="100"/>
        <w:ind w:left="420" w:right="0" w:firstLine="0"/>
        <w:jc w:val="left"/>
        <w:rPr>
          <w:sz w:val="18"/>
        </w:rPr>
      </w:pPr>
      <w:r>
        <w:rPr>
          <w:color w:val="4D4D4F"/>
          <w:spacing w:val="-7"/>
          <w:w w:val="105"/>
          <w:sz w:val="18"/>
        </w:rPr>
        <w:t>To:</w:t>
        <w:tab/>
      </w:r>
      <w:r>
        <w:rPr>
          <w:color w:val="4D4D4F"/>
          <w:w w:val="105"/>
          <w:sz w:val="18"/>
        </w:rPr>
        <w:t>Pharmacists</w:t>
      </w:r>
      <w:r>
        <w:rPr>
          <w:color w:val="4D4D4F"/>
          <w:spacing w:val="-1"/>
          <w:w w:val="105"/>
          <w:sz w:val="18"/>
        </w:rPr>
        <w:t> </w:t>
      </w:r>
      <w:r>
        <w:rPr>
          <w:color w:val="4D4D4F"/>
          <w:w w:val="105"/>
          <w:sz w:val="18"/>
        </w:rPr>
        <w:t>@</w:t>
      </w:r>
      <w:r>
        <w:rPr>
          <w:color w:val="4D4D4F"/>
          <w:w w:val="105"/>
          <w:sz w:val="18"/>
          <w:u w:val="single" w:color="7F8184"/>
        </w:rPr>
        <w:t> </w:t>
        <w:tab/>
      </w:r>
      <w:r>
        <w:rPr>
          <w:color w:val="4D4D4F"/>
          <w:w w:val="105"/>
          <w:sz w:val="18"/>
        </w:rPr>
        <w:t>Pharmacy</w:t>
      </w:r>
    </w:p>
    <w:p>
      <w:pPr>
        <w:pStyle w:val="BodyText"/>
        <w:spacing w:before="10"/>
        <w:rPr>
          <w:sz w:val="23"/>
        </w:rPr>
      </w:pPr>
    </w:p>
    <w:p>
      <w:pPr>
        <w:tabs>
          <w:tab w:pos="6790" w:val="left" w:leader="none"/>
        </w:tabs>
        <w:spacing w:line="456" w:lineRule="auto" w:before="0"/>
        <w:ind w:left="1140" w:right="3574" w:hanging="720"/>
        <w:jc w:val="both"/>
        <w:rPr>
          <w:sz w:val="18"/>
        </w:rPr>
      </w:pPr>
      <w:r>
        <w:rPr>
          <w:color w:val="4D4D4F"/>
          <w:w w:val="110"/>
          <w:sz w:val="18"/>
        </w:rPr>
        <w:t>From:   </w:t>
      </w:r>
      <w:r>
        <w:rPr>
          <w:color w:val="4D4D4F"/>
          <w:spacing w:val="9"/>
          <w:w w:val="110"/>
          <w:sz w:val="18"/>
        </w:rPr>
        <w:t> </w:t>
      </w:r>
      <w:r>
        <w:rPr>
          <w:color w:val="4D4D4F"/>
          <w:w w:val="110"/>
          <w:sz w:val="18"/>
        </w:rPr>
        <w:t>Healthcare</w:t>
      </w:r>
      <w:r>
        <w:rPr>
          <w:color w:val="4D4D4F"/>
          <w:spacing w:val="-9"/>
          <w:w w:val="110"/>
          <w:sz w:val="18"/>
        </w:rPr>
        <w:t> </w:t>
      </w:r>
      <w:r>
        <w:rPr>
          <w:color w:val="4D4D4F"/>
          <w:w w:val="110"/>
          <w:sz w:val="18"/>
        </w:rPr>
        <w:t>Provider:</w:t>
      </w:r>
      <w:r>
        <w:rPr>
          <w:color w:val="4D4D4F"/>
          <w:spacing w:val="-1"/>
          <w:sz w:val="18"/>
        </w:rPr>
        <w:t> </w:t>
      </w:r>
      <w:r>
        <w:rPr>
          <w:color w:val="4D4D4F"/>
          <w:w w:val="100"/>
          <w:sz w:val="18"/>
          <w:u w:val="single" w:color="7F8184"/>
        </w:rPr>
        <w:t> </w:t>
      </w:r>
      <w:r>
        <w:rPr>
          <w:color w:val="4D4D4F"/>
          <w:sz w:val="18"/>
          <w:u w:val="single" w:color="7F8184"/>
        </w:rPr>
        <w:tab/>
      </w:r>
      <w:r>
        <w:rPr>
          <w:color w:val="4D4D4F"/>
          <w:w w:val="13"/>
          <w:sz w:val="18"/>
          <w:u w:val="single" w:color="7F8184"/>
        </w:rPr>
        <w:t> </w:t>
      </w:r>
      <w:r>
        <w:rPr>
          <w:color w:val="4D4D4F"/>
          <w:sz w:val="18"/>
        </w:rPr>
        <w:t> </w:t>
      </w:r>
      <w:r>
        <w:rPr>
          <w:color w:val="4D4D4F"/>
          <w:w w:val="110"/>
          <w:sz w:val="18"/>
        </w:rPr>
        <w:t>Clinic</w:t>
      </w:r>
      <w:r>
        <w:rPr>
          <w:color w:val="4D4D4F"/>
          <w:spacing w:val="-12"/>
          <w:w w:val="110"/>
          <w:sz w:val="18"/>
        </w:rPr>
        <w:t> </w:t>
      </w:r>
      <w:r>
        <w:rPr>
          <w:color w:val="4D4D4F"/>
          <w:w w:val="110"/>
          <w:sz w:val="18"/>
        </w:rPr>
        <w:t>Address:</w:t>
      </w:r>
      <w:r>
        <w:rPr>
          <w:color w:val="4D4D4F"/>
          <w:sz w:val="18"/>
        </w:rPr>
        <w:t> </w:t>
      </w:r>
      <w:r>
        <w:rPr>
          <w:color w:val="4D4D4F"/>
          <w:w w:val="100"/>
          <w:sz w:val="18"/>
          <w:u w:val="single" w:color="7F8184"/>
        </w:rPr>
        <w:t> </w:t>
      </w:r>
      <w:r>
        <w:rPr>
          <w:color w:val="4D4D4F"/>
          <w:sz w:val="18"/>
          <w:u w:val="single" w:color="7F8184"/>
        </w:rPr>
        <w:tab/>
      </w:r>
      <w:r>
        <w:rPr>
          <w:color w:val="4D4D4F"/>
          <w:sz w:val="18"/>
        </w:rPr>
        <w:t>                                                                          </w:t>
      </w:r>
      <w:r>
        <w:rPr>
          <w:color w:val="4D4D4F"/>
          <w:w w:val="110"/>
          <w:sz w:val="18"/>
        </w:rPr>
        <w:t>Phone Number:</w:t>
      </w:r>
      <w:r>
        <w:rPr>
          <w:color w:val="4D4D4F"/>
          <w:sz w:val="18"/>
        </w:rPr>
        <w:t> </w:t>
      </w:r>
      <w:r>
        <w:rPr>
          <w:color w:val="4D4D4F"/>
          <w:w w:val="100"/>
          <w:sz w:val="18"/>
          <w:u w:val="single" w:color="7F8184"/>
        </w:rPr>
        <w:t> </w:t>
      </w:r>
      <w:r>
        <w:rPr>
          <w:color w:val="4D4D4F"/>
          <w:sz w:val="18"/>
          <w:u w:val="single" w:color="7F8184"/>
        </w:rPr>
        <w:tab/>
      </w:r>
    </w:p>
    <w:p>
      <w:pPr>
        <w:pStyle w:val="BodyText"/>
        <w:spacing w:before="3"/>
      </w:pPr>
    </w:p>
    <w:p>
      <w:pPr>
        <w:tabs>
          <w:tab w:pos="4453" w:val="left" w:leader="none"/>
        </w:tabs>
        <w:spacing w:line="247" w:lineRule="auto" w:before="100"/>
        <w:ind w:left="420" w:right="1048" w:firstLine="0"/>
        <w:jc w:val="left"/>
        <w:rPr>
          <w:sz w:val="18"/>
        </w:rPr>
      </w:pPr>
      <w:r>
        <w:rPr>
          <w:color w:val="4D4D4F"/>
          <w:w w:val="110"/>
          <w:sz w:val="18"/>
        </w:rPr>
        <w:t>My</w:t>
      </w:r>
      <w:r>
        <w:rPr>
          <w:color w:val="4D4D4F"/>
          <w:spacing w:val="6"/>
          <w:w w:val="110"/>
          <w:sz w:val="18"/>
        </w:rPr>
        <w:t> </w:t>
      </w:r>
      <w:r>
        <w:rPr>
          <w:color w:val="4D4D4F"/>
          <w:w w:val="110"/>
          <w:sz w:val="18"/>
        </w:rPr>
        <w:t>patient,</w:t>
      </w:r>
      <w:r>
        <w:rPr>
          <w:color w:val="4D4D4F"/>
          <w:w w:val="110"/>
          <w:sz w:val="18"/>
          <w:u w:val="single" w:color="7F8184"/>
        </w:rPr>
        <w:t> </w:t>
        <w:tab/>
      </w:r>
      <w:r>
        <w:rPr>
          <w:color w:val="4D4D4F"/>
          <w:w w:val="110"/>
          <w:sz w:val="18"/>
        </w:rPr>
        <w:t>, is starting ofﬁce-based buprenorphine treatment for </w:t>
      </w:r>
      <w:r>
        <w:rPr>
          <w:color w:val="4D4D4F"/>
          <w:spacing w:val="-3"/>
          <w:w w:val="110"/>
          <w:sz w:val="18"/>
        </w:rPr>
        <w:t>opioid </w:t>
      </w:r>
      <w:r>
        <w:rPr>
          <w:color w:val="4D4D4F"/>
          <w:w w:val="110"/>
          <w:sz w:val="18"/>
        </w:rPr>
        <w:t>dependence.</w:t>
      </w:r>
    </w:p>
    <w:p>
      <w:pPr>
        <w:pStyle w:val="BodyText"/>
        <w:spacing w:before="8"/>
        <w:rPr>
          <w:sz w:val="15"/>
        </w:rPr>
      </w:pPr>
    </w:p>
    <w:p>
      <w:pPr>
        <w:spacing w:line="247" w:lineRule="auto" w:before="0"/>
        <w:ind w:left="420" w:right="487" w:firstLine="0"/>
        <w:jc w:val="left"/>
        <w:rPr>
          <w:sz w:val="18"/>
        </w:rPr>
      </w:pPr>
      <w:r>
        <w:rPr>
          <w:color w:val="4D4D4F"/>
          <w:w w:val="110"/>
          <w:sz w:val="18"/>
        </w:rPr>
        <w:t>As part of monitoring this treatment, we ask the patient to do buprenorphine tablet/ﬁlm counts at random times (we call the patient when it’s time for a pill/ﬁlm count).</w:t>
      </w:r>
    </w:p>
    <w:p>
      <w:pPr>
        <w:pStyle w:val="BodyText"/>
        <w:spacing w:before="8"/>
        <w:rPr>
          <w:sz w:val="15"/>
        </w:rPr>
      </w:pPr>
    </w:p>
    <w:p>
      <w:pPr>
        <w:spacing w:line="247" w:lineRule="auto" w:before="0"/>
        <w:ind w:left="420" w:right="622" w:firstLine="0"/>
        <w:jc w:val="both"/>
        <w:rPr>
          <w:sz w:val="18"/>
        </w:rPr>
      </w:pPr>
      <w:r>
        <w:rPr>
          <w:color w:val="4D4D4F"/>
          <w:w w:val="110"/>
          <w:sz w:val="18"/>
        </w:rPr>
        <w:t>The above-named patient lives much closer to your pharmacy than to our treatment clinic. It would be a big help to me</w:t>
      </w:r>
      <w:r>
        <w:rPr>
          <w:color w:val="4D4D4F"/>
          <w:spacing w:val="-3"/>
          <w:w w:val="110"/>
          <w:sz w:val="18"/>
        </w:rPr>
        <w:t> </w:t>
      </w:r>
      <w:r>
        <w:rPr>
          <w:color w:val="4D4D4F"/>
          <w:w w:val="110"/>
          <w:sz w:val="18"/>
        </w:rPr>
        <w:t>and</w:t>
      </w:r>
      <w:r>
        <w:rPr>
          <w:color w:val="4D4D4F"/>
          <w:spacing w:val="-2"/>
          <w:w w:val="110"/>
          <w:sz w:val="18"/>
        </w:rPr>
        <w:t> </w:t>
      </w:r>
      <w:r>
        <w:rPr>
          <w:color w:val="4D4D4F"/>
          <w:w w:val="110"/>
          <w:sz w:val="18"/>
        </w:rPr>
        <w:t>this</w:t>
      </w:r>
      <w:r>
        <w:rPr>
          <w:color w:val="4D4D4F"/>
          <w:spacing w:val="-7"/>
          <w:w w:val="110"/>
          <w:sz w:val="18"/>
        </w:rPr>
        <w:t> </w:t>
      </w:r>
      <w:r>
        <w:rPr>
          <w:color w:val="4D4D4F"/>
          <w:w w:val="110"/>
          <w:sz w:val="18"/>
        </w:rPr>
        <w:t>patient</w:t>
      </w:r>
      <w:r>
        <w:rPr>
          <w:color w:val="4D4D4F"/>
          <w:spacing w:val="-6"/>
          <w:w w:val="110"/>
          <w:sz w:val="18"/>
        </w:rPr>
        <w:t> </w:t>
      </w:r>
      <w:r>
        <w:rPr>
          <w:color w:val="4D4D4F"/>
          <w:w w:val="110"/>
          <w:sz w:val="18"/>
        </w:rPr>
        <w:t>if</w:t>
      </w:r>
      <w:r>
        <w:rPr>
          <w:color w:val="4D4D4F"/>
          <w:spacing w:val="-6"/>
          <w:w w:val="110"/>
          <w:sz w:val="18"/>
        </w:rPr>
        <w:t> </w:t>
      </w:r>
      <w:r>
        <w:rPr>
          <w:color w:val="4D4D4F"/>
          <w:w w:val="110"/>
          <w:sz w:val="18"/>
        </w:rPr>
        <w:t>you</w:t>
      </w:r>
      <w:r>
        <w:rPr>
          <w:color w:val="4D4D4F"/>
          <w:spacing w:val="-7"/>
          <w:w w:val="110"/>
          <w:sz w:val="18"/>
        </w:rPr>
        <w:t> </w:t>
      </w:r>
      <w:r>
        <w:rPr>
          <w:color w:val="4D4D4F"/>
          <w:w w:val="110"/>
          <w:sz w:val="18"/>
        </w:rPr>
        <w:t>would</w:t>
      </w:r>
      <w:r>
        <w:rPr>
          <w:color w:val="4D4D4F"/>
          <w:spacing w:val="-6"/>
          <w:w w:val="110"/>
          <w:sz w:val="18"/>
        </w:rPr>
        <w:t> </w:t>
      </w:r>
      <w:r>
        <w:rPr>
          <w:color w:val="4D4D4F"/>
          <w:w w:val="110"/>
          <w:sz w:val="18"/>
        </w:rPr>
        <w:t>be</w:t>
      </w:r>
      <w:r>
        <w:rPr>
          <w:color w:val="4D4D4F"/>
          <w:spacing w:val="-7"/>
          <w:w w:val="110"/>
          <w:sz w:val="18"/>
        </w:rPr>
        <w:t> </w:t>
      </w:r>
      <w:r>
        <w:rPr>
          <w:color w:val="4D4D4F"/>
          <w:w w:val="110"/>
          <w:sz w:val="18"/>
        </w:rPr>
        <w:t>able</w:t>
      </w:r>
      <w:r>
        <w:rPr>
          <w:color w:val="4D4D4F"/>
          <w:spacing w:val="-6"/>
          <w:w w:val="110"/>
          <w:sz w:val="18"/>
        </w:rPr>
        <w:t> </w:t>
      </w:r>
      <w:r>
        <w:rPr>
          <w:color w:val="4D4D4F"/>
          <w:w w:val="110"/>
          <w:sz w:val="18"/>
        </w:rPr>
        <w:t>to</w:t>
      </w:r>
      <w:r>
        <w:rPr>
          <w:color w:val="4D4D4F"/>
          <w:spacing w:val="-7"/>
          <w:w w:val="110"/>
          <w:sz w:val="18"/>
        </w:rPr>
        <w:t> </w:t>
      </w:r>
      <w:r>
        <w:rPr>
          <w:color w:val="4D4D4F"/>
          <w:w w:val="110"/>
          <w:sz w:val="18"/>
        </w:rPr>
        <w:t>perform</w:t>
      </w:r>
      <w:r>
        <w:rPr>
          <w:color w:val="4D4D4F"/>
          <w:spacing w:val="-6"/>
          <w:w w:val="110"/>
          <w:sz w:val="18"/>
        </w:rPr>
        <w:t> </w:t>
      </w:r>
      <w:r>
        <w:rPr>
          <w:color w:val="4D4D4F"/>
          <w:w w:val="110"/>
          <w:sz w:val="18"/>
        </w:rPr>
        <w:t>periodic</w:t>
      </w:r>
      <w:r>
        <w:rPr>
          <w:color w:val="4D4D4F"/>
          <w:spacing w:val="-7"/>
          <w:w w:val="110"/>
          <w:sz w:val="18"/>
        </w:rPr>
        <w:t> </w:t>
      </w:r>
      <w:r>
        <w:rPr>
          <w:color w:val="4D4D4F"/>
          <w:w w:val="110"/>
          <w:sz w:val="18"/>
        </w:rPr>
        <w:t>tablet/ﬁlm</w:t>
      </w:r>
      <w:r>
        <w:rPr>
          <w:color w:val="4D4D4F"/>
          <w:spacing w:val="-6"/>
          <w:w w:val="110"/>
          <w:sz w:val="18"/>
        </w:rPr>
        <w:t> </w:t>
      </w:r>
      <w:r>
        <w:rPr>
          <w:color w:val="4D4D4F"/>
          <w:w w:val="110"/>
          <w:sz w:val="18"/>
        </w:rPr>
        <w:t>counts</w:t>
      </w:r>
      <w:r>
        <w:rPr>
          <w:color w:val="4D4D4F"/>
          <w:spacing w:val="-7"/>
          <w:w w:val="110"/>
          <w:sz w:val="18"/>
        </w:rPr>
        <w:t> </w:t>
      </w:r>
      <w:r>
        <w:rPr>
          <w:color w:val="4D4D4F"/>
          <w:w w:val="110"/>
          <w:sz w:val="18"/>
        </w:rPr>
        <w:t>on</w:t>
      </w:r>
      <w:r>
        <w:rPr>
          <w:color w:val="4D4D4F"/>
          <w:spacing w:val="-6"/>
          <w:w w:val="110"/>
          <w:sz w:val="18"/>
        </w:rPr>
        <w:t> </w:t>
      </w:r>
      <w:r>
        <w:rPr>
          <w:color w:val="4D4D4F"/>
          <w:w w:val="110"/>
          <w:sz w:val="18"/>
        </w:rPr>
        <w:t>his/her</w:t>
      </w:r>
      <w:r>
        <w:rPr>
          <w:color w:val="4D4D4F"/>
          <w:spacing w:val="-7"/>
          <w:w w:val="110"/>
          <w:sz w:val="18"/>
        </w:rPr>
        <w:t> </w:t>
      </w:r>
      <w:r>
        <w:rPr>
          <w:color w:val="4D4D4F"/>
          <w:spacing w:val="-3"/>
          <w:w w:val="110"/>
          <w:sz w:val="18"/>
        </w:rPr>
        <w:t>buprenorphine</w:t>
      </w:r>
      <w:r>
        <w:rPr>
          <w:color w:val="4D4D4F"/>
          <w:spacing w:val="-6"/>
          <w:w w:val="110"/>
          <w:sz w:val="18"/>
        </w:rPr>
        <w:t> </w:t>
      </w:r>
      <w:r>
        <w:rPr>
          <w:color w:val="4D4D4F"/>
          <w:w w:val="110"/>
          <w:sz w:val="18"/>
        </w:rPr>
        <w:t>and</w:t>
      </w:r>
      <w:r>
        <w:rPr>
          <w:color w:val="4D4D4F"/>
          <w:spacing w:val="-7"/>
          <w:w w:val="110"/>
          <w:sz w:val="18"/>
        </w:rPr>
        <w:t> </w:t>
      </w:r>
      <w:r>
        <w:rPr>
          <w:color w:val="4D4D4F"/>
          <w:w w:val="110"/>
          <w:sz w:val="18"/>
        </w:rPr>
        <w:t>then</w:t>
      </w:r>
      <w:r>
        <w:rPr>
          <w:color w:val="4D4D4F"/>
          <w:spacing w:val="-6"/>
          <w:w w:val="110"/>
          <w:sz w:val="18"/>
        </w:rPr>
        <w:t> </w:t>
      </w:r>
      <w:r>
        <w:rPr>
          <w:color w:val="4D4D4F"/>
          <w:spacing w:val="-2"/>
          <w:w w:val="110"/>
          <w:sz w:val="18"/>
        </w:rPr>
        <w:t>fax </w:t>
      </w:r>
      <w:r>
        <w:rPr>
          <w:color w:val="4D4D4F"/>
          <w:w w:val="110"/>
          <w:sz w:val="18"/>
        </w:rPr>
        <w:t>this form to</w:t>
      </w:r>
      <w:r>
        <w:rPr>
          <w:color w:val="4D4D4F"/>
          <w:spacing w:val="-28"/>
          <w:w w:val="110"/>
          <w:sz w:val="18"/>
        </w:rPr>
        <w:t> </w:t>
      </w:r>
      <w:r>
        <w:rPr>
          <w:color w:val="4D4D4F"/>
          <w:spacing w:val="-2"/>
          <w:w w:val="110"/>
          <w:sz w:val="18"/>
        </w:rPr>
        <w:t>us.</w:t>
      </w:r>
    </w:p>
    <w:p>
      <w:pPr>
        <w:pStyle w:val="BodyText"/>
        <w:spacing w:before="9"/>
        <w:rPr>
          <w:sz w:val="15"/>
        </w:rPr>
      </w:pPr>
    </w:p>
    <w:p>
      <w:pPr>
        <w:spacing w:line="247" w:lineRule="auto" w:before="0"/>
        <w:ind w:left="420" w:right="370" w:firstLine="0"/>
        <w:jc w:val="left"/>
        <w:rPr>
          <w:sz w:val="18"/>
        </w:rPr>
      </w:pPr>
      <w:r>
        <w:rPr>
          <w:color w:val="4D4D4F"/>
          <w:w w:val="110"/>
          <w:sz w:val="18"/>
        </w:rPr>
        <w:t>On the days we call the patient for a random tablet/ﬁlm count, the patient would come to your pharmacy with his or her pill bottle. When we call the patient to go for a random tablet/ﬁlm count, we will fax this form to you. We would appreciate if you could record the tablet/ﬁlm count results on this form and fax it back to us the same day. This would be a real help to me in monitoring my patient’s treatment and also a great service to the patient.</w:t>
      </w:r>
    </w:p>
    <w:p>
      <w:pPr>
        <w:pStyle w:val="BodyText"/>
        <w:spacing w:before="10"/>
        <w:rPr>
          <w:sz w:val="15"/>
        </w:rPr>
      </w:pPr>
    </w:p>
    <w:p>
      <w:pPr>
        <w:spacing w:before="1"/>
        <w:ind w:left="420" w:right="0" w:firstLine="0"/>
        <w:jc w:val="both"/>
        <w:rPr>
          <w:sz w:val="18"/>
        </w:rPr>
      </w:pPr>
      <w:r>
        <w:rPr>
          <w:color w:val="4D4D4F"/>
          <w:w w:val="110"/>
          <w:sz w:val="18"/>
        </w:rPr>
        <w:t>Thank you very much for your help with this! Sincerely,</w:t>
      </w:r>
    </w:p>
    <w:p>
      <w:pPr>
        <w:pStyle w:val="BodyText"/>
        <w:rPr>
          <w:sz w:val="20"/>
        </w:rPr>
      </w:pPr>
    </w:p>
    <w:p>
      <w:pPr>
        <w:pStyle w:val="BodyText"/>
        <w:rPr>
          <w:sz w:val="20"/>
        </w:rPr>
      </w:pPr>
    </w:p>
    <w:p>
      <w:pPr>
        <w:pStyle w:val="BodyText"/>
        <w:rPr>
          <w:sz w:val="18"/>
        </w:rPr>
      </w:pPr>
    </w:p>
    <w:p>
      <w:pPr>
        <w:spacing w:before="0"/>
        <w:ind w:left="2071" w:right="0" w:firstLine="0"/>
        <w:jc w:val="left"/>
        <w:rPr>
          <w:sz w:val="18"/>
        </w:rPr>
      </w:pPr>
      <w:r>
        <w:rPr>
          <w:color w:val="4D4D4F"/>
          <w:w w:val="115"/>
          <w:sz w:val="18"/>
        </w:rPr>
        <w:t>Signature</w:t>
      </w:r>
    </w:p>
    <w:p>
      <w:pPr>
        <w:pStyle w:val="BodyText"/>
        <w:rPr>
          <w:sz w:val="20"/>
        </w:rPr>
      </w:pPr>
    </w:p>
    <w:p>
      <w:pPr>
        <w:pStyle w:val="BodyText"/>
        <w:rPr>
          <w:sz w:val="20"/>
        </w:rPr>
      </w:pPr>
    </w:p>
    <w:p>
      <w:pPr>
        <w:pStyle w:val="BodyText"/>
        <w:rPr>
          <w:sz w:val="20"/>
        </w:rPr>
      </w:pPr>
    </w:p>
    <w:p>
      <w:pPr>
        <w:pStyle w:val="BodyText"/>
        <w:rPr>
          <w:sz w:val="26"/>
        </w:rPr>
      </w:pPr>
    </w:p>
    <w:p>
      <w:pPr>
        <w:pStyle w:val="Heading7"/>
        <w:tabs>
          <w:tab w:pos="9038" w:val="left" w:leader="none"/>
        </w:tabs>
        <w:ind w:left="500"/>
        <w:jc w:val="both"/>
      </w:pPr>
      <w:r>
        <w:rPr>
          <w:color w:val="4D4D4F"/>
          <w:w w:val="110"/>
        </w:rPr>
        <w:t>Buprenorphine/Naloxone </w:t>
      </w:r>
      <w:r>
        <w:rPr>
          <w:color w:val="4D4D4F"/>
          <w:spacing w:val="3"/>
          <w:w w:val="110"/>
        </w:rPr>
        <w:t> </w:t>
      </w:r>
      <w:r>
        <w:rPr>
          <w:color w:val="4D4D4F"/>
          <w:w w:val="110"/>
        </w:rPr>
        <w:t>formulation:</w:t>
      </w:r>
      <w:r>
        <w:rPr>
          <w:color w:val="4D4D4F"/>
          <w:spacing w:val="11"/>
        </w:rPr>
        <w:t> </w:t>
      </w:r>
      <w:r>
        <w:rPr>
          <w:color w:val="4D4D4F"/>
          <w:w w:val="130"/>
          <w:u w:val="single" w:color="7F8184"/>
        </w:rPr>
        <w:t> </w:t>
      </w:r>
      <w:r>
        <w:rPr>
          <w:color w:val="4D4D4F"/>
          <w:u w:val="single" w:color="7F8184"/>
        </w:rPr>
        <w:tab/>
      </w:r>
    </w:p>
    <w:p>
      <w:pPr>
        <w:tabs>
          <w:tab w:pos="3682" w:val="left" w:leader="none"/>
        </w:tabs>
        <w:spacing w:before="166"/>
        <w:ind w:left="500" w:right="0" w:firstLine="0"/>
        <w:jc w:val="both"/>
        <w:rPr>
          <w:rFonts w:ascii="Calibri" w:hAnsi="Calibri"/>
          <w:b/>
          <w:sz w:val="18"/>
        </w:rPr>
      </w:pPr>
      <w:r>
        <w:rPr>
          <w:rFonts w:ascii="Calibri" w:hAnsi="Calibri"/>
          <w:b/>
          <w:color w:val="4D4D4F"/>
          <w:w w:val="115"/>
          <w:sz w:val="18"/>
        </w:rPr>
        <w:t>Dose per</w:t>
      </w:r>
      <w:r>
        <w:rPr>
          <w:rFonts w:ascii="Calibri" w:hAnsi="Calibri"/>
          <w:b/>
          <w:color w:val="4D4D4F"/>
          <w:spacing w:val="-25"/>
          <w:w w:val="115"/>
          <w:sz w:val="18"/>
        </w:rPr>
        <w:t> </w:t>
      </w:r>
      <w:r>
        <w:rPr>
          <w:rFonts w:ascii="Calibri" w:hAnsi="Calibri"/>
          <w:b/>
          <w:color w:val="4D4D4F"/>
          <w:w w:val="115"/>
          <w:sz w:val="18"/>
        </w:rPr>
        <w:t>tablet/ﬁlm:</w:t>
      </w:r>
      <w:r>
        <w:rPr>
          <w:rFonts w:ascii="Calibri" w:hAnsi="Calibri"/>
          <w:b/>
          <w:color w:val="4D4D4F"/>
          <w:spacing w:val="12"/>
          <w:sz w:val="18"/>
        </w:rPr>
        <w:t> </w:t>
      </w:r>
      <w:r>
        <w:rPr>
          <w:rFonts w:ascii="Calibri" w:hAnsi="Calibri"/>
          <w:b/>
          <w:color w:val="4D4D4F"/>
          <w:w w:val="130"/>
          <w:sz w:val="18"/>
          <w:u w:val="single" w:color="7F8184"/>
        </w:rPr>
        <w:t> </w:t>
      </w:r>
      <w:r>
        <w:rPr>
          <w:rFonts w:ascii="Calibri" w:hAnsi="Calibri"/>
          <w:b/>
          <w:color w:val="4D4D4F"/>
          <w:sz w:val="18"/>
          <w:u w:val="single" w:color="7F8184"/>
        </w:rPr>
        <w:tab/>
      </w:r>
    </w:p>
    <w:p>
      <w:pPr>
        <w:spacing w:after="0"/>
        <w:jc w:val="both"/>
        <w:rPr>
          <w:rFonts w:ascii="Calibri" w:hAnsi="Calibri"/>
          <w:sz w:val="18"/>
        </w:rPr>
        <w:sectPr>
          <w:pgSz w:w="12240" w:h="15840"/>
          <w:pgMar w:header="576" w:footer="677" w:top="1340" w:bottom="860" w:left="940" w:right="920"/>
        </w:sectPr>
      </w:pPr>
    </w:p>
    <w:p>
      <w:pPr>
        <w:pStyle w:val="BodyText"/>
        <w:spacing w:before="9"/>
        <w:rPr>
          <w:rFonts w:ascii="Calibri"/>
          <w:b/>
          <w:sz w:val="14"/>
        </w:rPr>
      </w:pPr>
    </w:p>
    <w:p>
      <w:pPr>
        <w:tabs>
          <w:tab w:pos="5234" w:val="left" w:leader="none"/>
        </w:tabs>
        <w:spacing w:line="456" w:lineRule="auto" w:before="0"/>
        <w:ind w:left="500" w:right="0" w:firstLine="0"/>
        <w:jc w:val="left"/>
        <w:rPr>
          <w:sz w:val="18"/>
        </w:rPr>
      </w:pPr>
      <w:r>
        <w:rPr>
          <w:color w:val="4D4D4F"/>
          <w:spacing w:val="-4"/>
          <w:w w:val="110"/>
          <w:sz w:val="18"/>
        </w:rPr>
        <w:t>Total </w:t>
      </w:r>
      <w:r>
        <w:rPr>
          <w:color w:val="4D4D4F"/>
          <w:w w:val="110"/>
          <w:sz w:val="18"/>
        </w:rPr>
        <w:t># of tablets/ﬁlms remaining</w:t>
      </w:r>
      <w:r>
        <w:rPr>
          <w:color w:val="4D4D4F"/>
          <w:spacing w:val="17"/>
          <w:w w:val="110"/>
          <w:sz w:val="18"/>
        </w:rPr>
        <w:t> </w:t>
      </w:r>
      <w:r>
        <w:rPr>
          <w:color w:val="4D4D4F"/>
          <w:w w:val="110"/>
          <w:sz w:val="18"/>
        </w:rPr>
        <w:t>in</w:t>
      </w:r>
      <w:r>
        <w:rPr>
          <w:color w:val="4D4D4F"/>
          <w:spacing w:val="2"/>
          <w:w w:val="110"/>
          <w:sz w:val="18"/>
        </w:rPr>
        <w:t> </w:t>
      </w:r>
      <w:r>
        <w:rPr>
          <w:color w:val="4D4D4F"/>
          <w:w w:val="110"/>
          <w:sz w:val="18"/>
        </w:rPr>
        <w:t>bottle:</w:t>
      </w:r>
      <w:r>
        <w:rPr>
          <w:color w:val="4D4D4F"/>
          <w:sz w:val="18"/>
        </w:rPr>
        <w:t> </w:t>
      </w:r>
      <w:r>
        <w:rPr>
          <w:color w:val="4D4D4F"/>
          <w:w w:val="100"/>
          <w:sz w:val="18"/>
          <w:u w:val="single" w:color="7F8184"/>
        </w:rPr>
        <w:t> </w:t>
      </w:r>
      <w:r>
        <w:rPr>
          <w:color w:val="4D4D4F"/>
          <w:sz w:val="18"/>
          <w:u w:val="single" w:color="7F8184"/>
        </w:rPr>
        <w:tab/>
      </w:r>
      <w:r>
        <w:rPr>
          <w:color w:val="4D4D4F"/>
          <w:sz w:val="18"/>
        </w:rPr>
        <w:t> </w:t>
      </w:r>
      <w:r>
        <w:rPr>
          <w:color w:val="4D4D4F"/>
          <w:spacing w:val="-4"/>
          <w:w w:val="110"/>
          <w:sz w:val="18"/>
        </w:rPr>
        <w:t>Total </w:t>
      </w:r>
      <w:r>
        <w:rPr>
          <w:color w:val="4D4D4F"/>
          <w:w w:val="110"/>
          <w:sz w:val="18"/>
        </w:rPr>
        <w:t># of tablets/ﬁlms dispensed on ﬁll</w:t>
      </w:r>
      <w:r>
        <w:rPr>
          <w:color w:val="4D4D4F"/>
          <w:spacing w:val="40"/>
          <w:w w:val="110"/>
          <w:sz w:val="18"/>
        </w:rPr>
        <w:t> </w:t>
      </w:r>
      <w:r>
        <w:rPr>
          <w:color w:val="4D4D4F"/>
          <w:w w:val="110"/>
          <w:sz w:val="18"/>
        </w:rPr>
        <w:t>date:</w:t>
      </w:r>
      <w:r>
        <w:rPr>
          <w:color w:val="4D4D4F"/>
          <w:sz w:val="18"/>
        </w:rPr>
        <w:t> </w:t>
      </w:r>
      <w:r>
        <w:rPr>
          <w:color w:val="4D4D4F"/>
          <w:w w:val="100"/>
          <w:sz w:val="18"/>
          <w:u w:val="single" w:color="7F8184"/>
        </w:rPr>
        <w:t> </w:t>
      </w:r>
      <w:r>
        <w:rPr>
          <w:color w:val="4D4D4F"/>
          <w:sz w:val="18"/>
          <w:u w:val="single" w:color="7F8184"/>
        </w:rPr>
        <w:tab/>
      </w:r>
      <w:r>
        <w:rPr>
          <w:color w:val="4D4D4F"/>
          <w:w w:val="1"/>
          <w:sz w:val="18"/>
          <w:u w:val="single" w:color="7F8184"/>
        </w:rPr>
        <w:t> </w:t>
      </w:r>
    </w:p>
    <w:p>
      <w:pPr>
        <w:tabs>
          <w:tab w:pos="3496" w:val="left" w:leader="none"/>
        </w:tabs>
        <w:spacing w:line="302" w:lineRule="auto" w:before="180"/>
        <w:ind w:left="245" w:right="1575" w:firstLine="0"/>
        <w:jc w:val="left"/>
        <w:rPr>
          <w:sz w:val="18"/>
        </w:rPr>
      </w:pPr>
      <w:r>
        <w:rPr/>
        <w:br w:type="column"/>
      </w:r>
      <w:r>
        <w:rPr>
          <w:color w:val="4D4D4F"/>
          <w:w w:val="110"/>
          <w:sz w:val="18"/>
        </w:rPr>
        <w:t>Fill date</w:t>
      </w:r>
      <w:r>
        <w:rPr>
          <w:color w:val="4D4D4F"/>
          <w:spacing w:val="17"/>
          <w:w w:val="110"/>
          <w:sz w:val="18"/>
        </w:rPr>
        <w:t> </w:t>
      </w:r>
      <w:r>
        <w:rPr>
          <w:color w:val="4D4D4F"/>
          <w:w w:val="110"/>
          <w:sz w:val="18"/>
        </w:rPr>
        <w:t>on</w:t>
      </w:r>
      <w:r>
        <w:rPr>
          <w:color w:val="4D4D4F"/>
          <w:spacing w:val="9"/>
          <w:w w:val="110"/>
          <w:sz w:val="18"/>
        </w:rPr>
        <w:t> </w:t>
      </w:r>
      <w:r>
        <w:rPr>
          <w:color w:val="4D4D4F"/>
          <w:w w:val="110"/>
          <w:sz w:val="18"/>
        </w:rPr>
        <w:t>bottle:</w:t>
      </w:r>
      <w:r>
        <w:rPr>
          <w:color w:val="4D4D4F"/>
          <w:sz w:val="18"/>
        </w:rPr>
        <w:t> </w:t>
      </w:r>
      <w:r>
        <w:rPr>
          <w:color w:val="4D4D4F"/>
          <w:w w:val="100"/>
          <w:sz w:val="18"/>
          <w:u w:val="single" w:color="7F8184"/>
        </w:rPr>
        <w:t> </w:t>
      </w:r>
      <w:r>
        <w:rPr>
          <w:color w:val="4D4D4F"/>
          <w:sz w:val="18"/>
          <w:u w:val="single" w:color="7F8184"/>
        </w:rPr>
        <w:tab/>
      </w:r>
      <w:r>
        <w:rPr>
          <w:color w:val="4D4D4F"/>
          <w:sz w:val="18"/>
        </w:rPr>
        <w:t> </w:t>
      </w:r>
      <w:r>
        <w:rPr>
          <w:color w:val="4D4D4F"/>
          <w:w w:val="110"/>
          <w:sz w:val="18"/>
        </w:rPr>
        <w:t>Tablet/ﬁlm count correct? </w:t>
      </w:r>
      <w:r>
        <w:rPr>
          <w:rFonts w:ascii="Arial" w:hAnsi="Arial"/>
          <w:b/>
          <w:color w:val="4D4D4F"/>
          <w:spacing w:val="-5"/>
          <w:w w:val="110"/>
          <w:sz w:val="32"/>
        </w:rPr>
        <w:t>□</w:t>
      </w:r>
      <w:r>
        <w:rPr>
          <w:color w:val="4D4D4F"/>
          <w:spacing w:val="-5"/>
          <w:w w:val="110"/>
          <w:sz w:val="18"/>
        </w:rPr>
        <w:t>Yes</w:t>
      </w:r>
      <w:r>
        <w:rPr>
          <w:color w:val="4D4D4F"/>
          <w:spacing w:val="44"/>
          <w:w w:val="110"/>
          <w:sz w:val="18"/>
        </w:rPr>
        <w:t> </w:t>
      </w:r>
      <w:r>
        <w:rPr>
          <w:rFonts w:ascii="Arial" w:hAnsi="Arial"/>
          <w:b/>
          <w:color w:val="4D4D4F"/>
          <w:spacing w:val="-6"/>
          <w:w w:val="110"/>
          <w:sz w:val="32"/>
        </w:rPr>
        <w:t>□</w:t>
      </w:r>
      <w:r>
        <w:rPr>
          <w:color w:val="4D4D4F"/>
          <w:spacing w:val="-6"/>
          <w:w w:val="110"/>
          <w:sz w:val="18"/>
        </w:rPr>
        <w:t>No</w:t>
      </w:r>
    </w:p>
    <w:p>
      <w:pPr>
        <w:spacing w:after="0" w:line="302" w:lineRule="auto"/>
        <w:jc w:val="left"/>
        <w:rPr>
          <w:sz w:val="18"/>
        </w:rPr>
        <w:sectPr>
          <w:type w:val="continuous"/>
          <w:pgSz w:w="12240" w:h="15840"/>
          <w:pgMar w:top="540" w:bottom="280" w:left="940" w:right="920"/>
          <w:cols w:num="2" w:equalWidth="0">
            <w:col w:w="5255" w:space="40"/>
            <w:col w:w="5085"/>
          </w:cols>
        </w:sectPr>
      </w:pPr>
    </w:p>
    <w:p>
      <w:pPr>
        <w:pStyle w:val="BodyText"/>
        <w:spacing w:before="3"/>
        <w:rPr>
          <w:sz w:val="17"/>
        </w:rPr>
      </w:pPr>
    </w:p>
    <w:p>
      <w:pPr>
        <w:tabs>
          <w:tab w:pos="5846" w:val="left" w:leader="none"/>
        </w:tabs>
        <w:spacing w:line="333" w:lineRule="auto" w:before="101"/>
        <w:ind w:left="500" w:right="4531" w:firstLine="0"/>
        <w:jc w:val="left"/>
        <w:rPr>
          <w:rFonts w:ascii="Calibri"/>
          <w:b/>
          <w:sz w:val="18"/>
        </w:rPr>
      </w:pPr>
      <w:r>
        <w:rPr>
          <w:rFonts w:ascii="Calibri"/>
          <w:b/>
          <w:color w:val="4D4D4F"/>
          <w:w w:val="115"/>
          <w:sz w:val="18"/>
        </w:rPr>
        <w:t>Please fax this back</w:t>
      </w:r>
      <w:r>
        <w:rPr>
          <w:rFonts w:ascii="Calibri"/>
          <w:b/>
          <w:color w:val="4D4D4F"/>
          <w:spacing w:val="1"/>
          <w:w w:val="115"/>
          <w:sz w:val="18"/>
        </w:rPr>
        <w:t> </w:t>
      </w:r>
      <w:r>
        <w:rPr>
          <w:rFonts w:ascii="Calibri"/>
          <w:b/>
          <w:color w:val="4D4D4F"/>
          <w:w w:val="115"/>
          <w:sz w:val="18"/>
        </w:rPr>
        <w:t>to:</w:t>
      </w:r>
      <w:r>
        <w:rPr>
          <w:rFonts w:ascii="Calibri"/>
          <w:b/>
          <w:color w:val="4D4D4F"/>
          <w:spacing w:val="12"/>
          <w:sz w:val="18"/>
        </w:rPr>
        <w:t> </w:t>
      </w:r>
      <w:r>
        <w:rPr>
          <w:rFonts w:ascii="Calibri"/>
          <w:b/>
          <w:color w:val="4D4D4F"/>
          <w:w w:val="130"/>
          <w:sz w:val="18"/>
          <w:u w:val="single" w:color="7F8184"/>
        </w:rPr>
        <w:t> </w:t>
      </w:r>
      <w:r>
        <w:rPr>
          <w:rFonts w:ascii="Calibri"/>
          <w:b/>
          <w:color w:val="4D4D4F"/>
          <w:sz w:val="18"/>
          <w:u w:val="single" w:color="7F8184"/>
        </w:rPr>
        <w:tab/>
      </w:r>
      <w:r>
        <w:rPr>
          <w:rFonts w:ascii="Calibri"/>
          <w:b/>
          <w:color w:val="4D4D4F"/>
          <w:sz w:val="18"/>
        </w:rPr>
        <w:t> </w:t>
      </w:r>
      <w:r>
        <w:rPr>
          <w:rFonts w:ascii="Calibri"/>
          <w:b/>
          <w:color w:val="4D4D4F"/>
          <w:w w:val="115"/>
          <w:sz w:val="18"/>
        </w:rPr>
        <w:t>Thank</w:t>
      </w:r>
      <w:r>
        <w:rPr>
          <w:rFonts w:ascii="Calibri"/>
          <w:b/>
          <w:color w:val="4D4D4F"/>
          <w:spacing w:val="5"/>
          <w:w w:val="115"/>
          <w:sz w:val="18"/>
        </w:rPr>
        <w:t> </w:t>
      </w:r>
      <w:r>
        <w:rPr>
          <w:rFonts w:ascii="Calibri"/>
          <w:b/>
          <w:color w:val="4D4D4F"/>
          <w:spacing w:val="-5"/>
          <w:w w:val="115"/>
          <w:sz w:val="18"/>
        </w:rPr>
        <w:t>You!</w:t>
      </w:r>
    </w:p>
    <w:p>
      <w:pPr>
        <w:pStyle w:val="BodyText"/>
        <w:rPr>
          <w:rFonts w:ascii="Calibri"/>
          <w:b/>
        </w:rPr>
      </w:pPr>
    </w:p>
    <w:p>
      <w:pPr>
        <w:pStyle w:val="BodyText"/>
        <w:rPr>
          <w:rFonts w:ascii="Calibri"/>
          <w:b/>
        </w:rPr>
      </w:pPr>
    </w:p>
    <w:p>
      <w:pPr>
        <w:spacing w:before="164"/>
        <w:ind w:left="140" w:right="0" w:firstLine="0"/>
        <w:jc w:val="left"/>
        <w:rPr>
          <w:rFonts w:ascii="Arial"/>
          <w:i/>
          <w:sz w:val="16"/>
        </w:rPr>
      </w:pPr>
      <w:r>
        <w:rPr>
          <w:rFonts w:ascii="Arial"/>
          <w:i/>
          <w:color w:val="4D4D4F"/>
          <w:sz w:val="16"/>
        </w:rPr>
        <w:t>M. Lofwall, February 27, 2017 (personal communication). Adapted with permission.</w:t>
      </w:r>
    </w:p>
    <w:p>
      <w:pPr>
        <w:spacing w:after="0"/>
        <w:jc w:val="left"/>
        <w:rPr>
          <w:rFonts w:ascii="Arial"/>
          <w:sz w:val="16"/>
        </w:rPr>
        <w:sectPr>
          <w:type w:val="continuous"/>
          <w:pgSz w:w="12240" w:h="15840"/>
          <w:pgMar w:top="540" w:bottom="280" w:left="940" w:right="920"/>
        </w:sect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10"/>
        <w:rPr>
          <w:rFonts w:ascii="Arial"/>
          <w:i/>
          <w:sz w:val="23"/>
        </w:rPr>
      </w:pPr>
    </w:p>
    <w:p>
      <w:pPr>
        <w:spacing w:before="0"/>
        <w:ind w:left="3471" w:right="3489" w:firstLine="0"/>
        <w:jc w:val="center"/>
        <w:rPr>
          <w:rFonts w:ascii="Arial"/>
          <w:sz w:val="18"/>
        </w:rPr>
      </w:pPr>
      <w:r>
        <w:rPr>
          <w:rFonts w:ascii="Arial"/>
          <w:color w:val="414042"/>
          <w:w w:val="120"/>
          <w:sz w:val="18"/>
        </w:rPr>
        <w:t>This page intentionally left blank.</w:t>
      </w:r>
    </w:p>
    <w:p>
      <w:pPr>
        <w:spacing w:after="0"/>
        <w:jc w:val="center"/>
        <w:rPr>
          <w:rFonts w:ascii="Arial"/>
          <w:sz w:val="18"/>
        </w:rPr>
        <w:sectPr>
          <w:headerReference w:type="even" r:id="rId69"/>
          <w:footerReference w:type="even" r:id="rId70"/>
          <w:pgSz w:w="12240" w:h="15840"/>
          <w:pgMar w:header="0" w:footer="0" w:top="1500" w:bottom="280" w:left="940" w:right="920"/>
        </w:sectPr>
      </w:pPr>
    </w:p>
    <w:p>
      <w:pPr>
        <w:pStyle w:val="BodyText"/>
        <w:spacing w:before="4"/>
        <w:rPr>
          <w:rFonts w:ascii="Arial"/>
          <w:sz w:val="24"/>
        </w:rPr>
      </w:pPr>
    </w:p>
    <w:p>
      <w:pPr>
        <w:pStyle w:val="Heading1"/>
        <w:spacing w:line="228" w:lineRule="auto"/>
        <w:ind w:right="253"/>
      </w:pPr>
      <w:bookmarkStart w:name="_TOC_250029" w:id="86"/>
      <w:r>
        <w:rPr>
          <w:color w:val="414042"/>
          <w:w w:val="110"/>
        </w:rPr>
        <w:t>Chapter</w:t>
      </w:r>
      <w:r>
        <w:rPr>
          <w:color w:val="414042"/>
          <w:spacing w:val="-43"/>
          <w:w w:val="110"/>
        </w:rPr>
        <w:t> </w:t>
      </w:r>
      <w:r>
        <w:rPr>
          <w:color w:val="414042"/>
          <w:w w:val="110"/>
        </w:rPr>
        <w:t>3E:</w:t>
      </w:r>
      <w:r>
        <w:rPr>
          <w:color w:val="414042"/>
          <w:spacing w:val="-43"/>
          <w:w w:val="110"/>
        </w:rPr>
        <w:t> </w:t>
      </w:r>
      <w:r>
        <w:rPr>
          <w:color w:val="414042"/>
          <w:w w:val="110"/>
        </w:rPr>
        <w:t>Medical</w:t>
      </w:r>
      <w:r>
        <w:rPr>
          <w:color w:val="414042"/>
          <w:spacing w:val="-42"/>
          <w:w w:val="110"/>
        </w:rPr>
        <w:t> </w:t>
      </w:r>
      <w:r>
        <w:rPr>
          <w:color w:val="414042"/>
          <w:w w:val="110"/>
        </w:rPr>
        <w:t>Management</w:t>
      </w:r>
      <w:r>
        <w:rPr>
          <w:color w:val="414042"/>
          <w:spacing w:val="-43"/>
          <w:w w:val="110"/>
        </w:rPr>
        <w:t> </w:t>
      </w:r>
      <w:r>
        <w:rPr>
          <w:color w:val="414042"/>
          <w:spacing w:val="-3"/>
          <w:w w:val="110"/>
        </w:rPr>
        <w:t>Strategies </w:t>
      </w:r>
      <w:r>
        <w:rPr>
          <w:color w:val="414042"/>
          <w:w w:val="110"/>
        </w:rPr>
        <w:t>for Patients </w:t>
      </w:r>
      <w:r>
        <w:rPr>
          <w:color w:val="414042"/>
          <w:spacing w:val="-6"/>
          <w:w w:val="110"/>
        </w:rPr>
        <w:t>Taking </w:t>
      </w:r>
      <w:r>
        <w:rPr>
          <w:color w:val="414042"/>
          <w:w w:val="110"/>
        </w:rPr>
        <w:t>OUD Medications in Office-Based</w:t>
      </w:r>
      <w:r>
        <w:rPr>
          <w:color w:val="414042"/>
          <w:spacing w:val="-4"/>
          <w:w w:val="110"/>
        </w:rPr>
        <w:t> </w:t>
      </w:r>
      <w:bookmarkEnd w:id="86"/>
      <w:r>
        <w:rPr>
          <w:color w:val="414042"/>
          <w:w w:val="110"/>
        </w:rPr>
        <w:t>Settings</w:t>
      </w:r>
    </w:p>
    <w:p>
      <w:pPr>
        <w:pStyle w:val="BodyText"/>
        <w:spacing w:before="1"/>
        <w:rPr>
          <w:rFonts w:ascii="Calibri"/>
          <w:b/>
          <w:sz w:val="17"/>
        </w:rPr>
      </w:pPr>
      <w:r>
        <w:rPr/>
        <w:pict>
          <v:shape style="position:absolute;margin-left:54.25pt;margin-top:12.672074pt;width:504.05pt;height:75.45pt;mso-position-horizontal-relative:page;mso-position-vertical-relative:paragraph;z-index:-15674368;mso-wrap-distance-left:0;mso-wrap-distance-right:0" type="#_x0000_t202" filled="false" stroked="true" strokeweight=".5pt" strokecolor="#89aabe">
            <v:textbox inset="0,0,0,0">
              <w:txbxContent>
                <w:p>
                  <w:pPr>
                    <w:spacing w:line="247" w:lineRule="auto" w:before="229"/>
                    <w:ind w:left="270" w:right="336" w:firstLine="0"/>
                    <w:jc w:val="left"/>
                    <w:rPr>
                      <w:rFonts w:ascii="Trebuchet MS" w:hAnsi="Trebuchet MS"/>
                      <w:b/>
                      <w:i/>
                      <w:sz w:val="22"/>
                    </w:rPr>
                  </w:pPr>
                  <w:r>
                    <w:rPr>
                      <w:rFonts w:ascii="Trebuchet MS" w:hAnsi="Trebuchet MS"/>
                      <w:b/>
                      <w:i/>
                      <w:color w:val="147592"/>
                      <w:sz w:val="22"/>
                    </w:rPr>
                    <w:t>Chapter 3E examines </w:t>
                  </w:r>
                  <w:r>
                    <w:rPr>
                      <w:rFonts w:ascii="Trebuchet MS" w:hAnsi="Trebuchet MS"/>
                      <w:b/>
                      <w:i/>
                      <w:color w:val="4C4D4F"/>
                      <w:sz w:val="22"/>
                    </w:rPr>
                    <w:t>key issues in medical management of patients who are prescribed </w:t>
                  </w:r>
                  <w:r>
                    <w:rPr>
                      <w:rFonts w:ascii="Trebuchet MS" w:hAnsi="Trebuchet MS"/>
                      <w:b/>
                      <w:i/>
                      <w:color w:val="4C4D4F"/>
                      <w:sz w:val="22"/>
                    </w:rPr>
                    <w:t>buprenorphine or naltrexone in ofﬁce-based opioid treatment (OBOT) settings. It covers regulatory and administrative concerns speciﬁc to buprenorphine and naltrexone that affect medical management of patients in ofﬁce settings.</w:t>
                  </w:r>
                </w:p>
              </w:txbxContent>
            </v:textbox>
            <v:stroke dashstyle="solid"/>
            <w10:wrap type="topAndBottom"/>
          </v:shape>
        </w:pict>
      </w:r>
    </w:p>
    <w:p>
      <w:pPr>
        <w:pStyle w:val="BodyText"/>
        <w:spacing w:before="3"/>
        <w:rPr>
          <w:rFonts w:ascii="Calibri"/>
          <w:b/>
          <w:sz w:val="26"/>
        </w:rPr>
      </w:pPr>
    </w:p>
    <w:p>
      <w:pPr>
        <w:spacing w:after="0"/>
        <w:rPr>
          <w:rFonts w:ascii="Calibri"/>
          <w:sz w:val="26"/>
        </w:rPr>
        <w:sectPr>
          <w:headerReference w:type="default" r:id="rId71"/>
          <w:headerReference w:type="even" r:id="rId72"/>
          <w:footerReference w:type="default" r:id="rId73"/>
          <w:footerReference w:type="even" r:id="rId74"/>
          <w:pgSz w:w="12240" w:h="15840"/>
          <w:pgMar w:header="576" w:footer="677" w:top="1340" w:bottom="860" w:left="940" w:right="920"/>
          <w:pgNumType w:start="83"/>
        </w:sectPr>
      </w:pPr>
    </w:p>
    <w:p>
      <w:pPr>
        <w:pStyle w:val="BodyText"/>
        <w:spacing w:line="247" w:lineRule="auto" w:before="111"/>
        <w:ind w:left="139" w:right="399"/>
      </w:pPr>
      <w:r>
        <w:rPr>
          <w:color w:val="4C4D4F"/>
          <w:w w:val="110"/>
        </w:rPr>
        <w:t>Management of patients taking medications for opioid use disorder (OUD) varies by setting. Whereas OBOT stabilizes patients on buprenorphine or naltrexone, providers</w:t>
      </w:r>
      <w:r>
        <w:rPr>
          <w:color w:val="4C4D4F"/>
          <w:spacing w:val="-39"/>
          <w:w w:val="110"/>
        </w:rPr>
        <w:t> </w:t>
      </w:r>
      <w:r>
        <w:rPr>
          <w:color w:val="4C4D4F"/>
          <w:w w:val="110"/>
        </w:rPr>
        <w:t>focus on medication management and treatment </w:t>
      </w:r>
      <w:r>
        <w:rPr>
          <w:color w:val="4C4D4F"/>
          <w:spacing w:val="-9"/>
          <w:w w:val="110"/>
        </w:rPr>
        <w:t>of </w:t>
      </w:r>
      <w:r>
        <w:rPr>
          <w:color w:val="4C4D4F"/>
          <w:w w:val="110"/>
        </w:rPr>
        <w:t>other substance use, medical</w:t>
      </w:r>
      <w:r>
        <w:rPr>
          <w:color w:val="4C4D4F"/>
          <w:spacing w:val="18"/>
          <w:w w:val="110"/>
        </w:rPr>
        <w:t> </w:t>
      </w:r>
      <w:r>
        <w:rPr>
          <w:color w:val="4C4D4F"/>
          <w:w w:val="110"/>
        </w:rPr>
        <w:t>comorbidities,</w:t>
      </w:r>
    </w:p>
    <w:p>
      <w:pPr>
        <w:pStyle w:val="BodyText"/>
        <w:spacing w:line="247" w:lineRule="auto" w:before="7"/>
        <w:ind w:left="139" w:right="-10"/>
      </w:pPr>
      <w:r>
        <w:rPr>
          <w:color w:val="4C4D4F"/>
          <w:w w:val="110"/>
        </w:rPr>
        <w:t>and psychosocial needs. Treatment of comorbid conditions should be offered onsite or via referral and should be veriﬁed as having been received.</w:t>
      </w:r>
    </w:p>
    <w:p>
      <w:pPr>
        <w:pStyle w:val="BodyText"/>
        <w:spacing w:line="247" w:lineRule="auto" w:before="164"/>
        <w:ind w:left="139" w:right="-10"/>
      </w:pPr>
      <w:r>
        <w:rPr>
          <w:color w:val="4C4D4F"/>
          <w:w w:val="110"/>
        </w:rPr>
        <w:t>Exhibit 3E.1 addresses use of terminology in this chapter.</w:t>
      </w:r>
    </w:p>
    <w:p>
      <w:pPr>
        <w:pStyle w:val="BodyText"/>
        <w:rPr>
          <w:sz w:val="20"/>
        </w:rPr>
      </w:pPr>
    </w:p>
    <w:p>
      <w:pPr>
        <w:pStyle w:val="BodyText"/>
        <w:spacing w:before="7"/>
        <w:rPr>
          <w:sz w:val="14"/>
        </w:rPr>
      </w:pPr>
      <w:r>
        <w:rPr/>
        <w:pict>
          <v:group style="position:absolute;margin-left:54pt;margin-top:10.463760pt;width:238.35pt;height:221.1pt;mso-position-horizontal-relative:page;mso-position-vertical-relative:paragraph;z-index:-15673856;mso-wrap-distance-left:0;mso-wrap-distance-right:0" coordorigin="1080,209" coordsize="4767,4422">
            <v:rect style="position:absolute;left:1085;top:214;width:4757;height:4412" filled="true" fillcolor="#fff7f2" stroked="false">
              <v:fill type="solid"/>
            </v:rect>
            <v:line style="position:absolute" from="1360,851" to="5566,851" stroked="true" strokeweight="2pt" strokecolor="#588da6">
              <v:stroke dashstyle="solid"/>
            </v:line>
            <v:shape style="position:absolute;left:1085;top:214;width:4757;height:4412" type="#_x0000_t202" filled="false" stroked="true" strokeweight=".5pt" strokecolor="#89aabe">
              <v:textbox inset="0,0,0,0">
                <w:txbxContent>
                  <w:p>
                    <w:pPr>
                      <w:spacing w:before="218"/>
                      <w:ind w:left="270" w:right="0" w:firstLine="0"/>
                      <w:jc w:val="left"/>
                      <w:rPr>
                        <w:rFonts w:ascii="Arial"/>
                        <w:b/>
                        <w:sz w:val="26"/>
                      </w:rPr>
                    </w:pPr>
                    <w:r>
                      <w:rPr>
                        <w:rFonts w:ascii="Arial"/>
                        <w:b/>
                        <w:color w:val="147592"/>
                        <w:w w:val="105"/>
                        <w:sz w:val="26"/>
                      </w:rPr>
                      <w:t>EXHIBIT 3E.1. Key Terms</w:t>
                    </w:r>
                  </w:p>
                  <w:p>
                    <w:pPr>
                      <w:spacing w:line="240" w:lineRule="auto" w:before="9"/>
                      <w:rPr>
                        <w:rFonts w:ascii="Arial"/>
                        <w:b/>
                        <w:sz w:val="29"/>
                      </w:rPr>
                    </w:pPr>
                  </w:p>
                  <w:p>
                    <w:pPr>
                      <w:spacing w:before="1"/>
                      <w:ind w:left="270" w:right="0" w:firstLine="0"/>
                      <w:jc w:val="left"/>
                      <w:rPr>
                        <w:rFonts w:ascii="Calibri" w:hAnsi="Calibri"/>
                        <w:sz w:val="18"/>
                      </w:rPr>
                    </w:pPr>
                    <w:r>
                      <w:rPr>
                        <w:rFonts w:ascii="Calibri" w:hAnsi="Calibri"/>
                        <w:color w:val="414042"/>
                        <w:w w:val="125"/>
                        <w:sz w:val="18"/>
                      </w:rPr>
                      <w:t>In addition to the key terms deﬁned in Exhibit</w:t>
                    </w:r>
                  </w:p>
                  <w:p>
                    <w:pPr>
                      <w:spacing w:line="261" w:lineRule="auto" w:before="20"/>
                      <w:ind w:left="270" w:right="567" w:firstLine="0"/>
                      <w:jc w:val="left"/>
                      <w:rPr>
                        <w:rFonts w:ascii="Calibri"/>
                        <w:sz w:val="18"/>
                      </w:rPr>
                    </w:pPr>
                    <w:r>
                      <w:rPr>
                        <w:rFonts w:ascii="Calibri"/>
                        <w:color w:val="414042"/>
                        <w:w w:val="120"/>
                        <w:sz w:val="18"/>
                      </w:rPr>
                      <w:t>3.1 of this Treatment Improvement Protocol (TIP), these terms appear in Chapter 3E:</w:t>
                    </w:r>
                  </w:p>
                  <w:p>
                    <w:pPr>
                      <w:spacing w:line="261" w:lineRule="auto" w:before="76"/>
                      <w:ind w:left="270" w:right="359" w:hanging="1"/>
                      <w:jc w:val="left"/>
                      <w:rPr>
                        <w:rFonts w:ascii="Calibri" w:hAnsi="Calibri"/>
                        <w:sz w:val="18"/>
                      </w:rPr>
                    </w:pPr>
                    <w:r>
                      <w:rPr>
                        <w:rFonts w:ascii="Arial" w:hAnsi="Arial"/>
                        <w:b/>
                        <w:color w:val="147592"/>
                        <w:w w:val="115"/>
                        <w:sz w:val="22"/>
                      </w:rPr>
                      <w:t>Psychosocial</w:t>
                    </w:r>
                    <w:r>
                      <w:rPr>
                        <w:rFonts w:ascii="Arial" w:hAnsi="Arial"/>
                        <w:b/>
                        <w:color w:val="147592"/>
                        <w:spacing w:val="-45"/>
                        <w:w w:val="115"/>
                        <w:sz w:val="22"/>
                      </w:rPr>
                      <w:t> </w:t>
                    </w:r>
                    <w:r>
                      <w:rPr>
                        <w:rFonts w:ascii="Arial" w:hAnsi="Arial"/>
                        <w:b/>
                        <w:color w:val="147592"/>
                        <w:w w:val="115"/>
                        <w:sz w:val="22"/>
                      </w:rPr>
                      <w:t>support:</w:t>
                    </w:r>
                    <w:r>
                      <w:rPr>
                        <w:rFonts w:ascii="Arial" w:hAnsi="Arial"/>
                        <w:b/>
                        <w:color w:val="147592"/>
                        <w:spacing w:val="-51"/>
                        <w:w w:val="115"/>
                        <w:sz w:val="22"/>
                      </w:rPr>
                      <w:t> </w:t>
                    </w:r>
                    <w:r>
                      <w:rPr>
                        <w:rFonts w:ascii="Calibri" w:hAnsi="Calibri"/>
                        <w:color w:val="414042"/>
                        <w:w w:val="115"/>
                        <w:sz w:val="18"/>
                      </w:rPr>
                      <w:t>Ancillary</w:t>
                    </w:r>
                    <w:r>
                      <w:rPr>
                        <w:rFonts w:ascii="Calibri" w:hAnsi="Calibri"/>
                        <w:color w:val="414042"/>
                        <w:spacing w:val="-28"/>
                        <w:w w:val="115"/>
                        <w:sz w:val="18"/>
                      </w:rPr>
                      <w:t> </w:t>
                    </w:r>
                    <w:r>
                      <w:rPr>
                        <w:rFonts w:ascii="Calibri" w:hAnsi="Calibri"/>
                        <w:color w:val="414042"/>
                        <w:w w:val="115"/>
                        <w:sz w:val="18"/>
                      </w:rPr>
                      <w:t>services </w:t>
                    </w:r>
                    <w:r>
                      <w:rPr>
                        <w:rFonts w:ascii="Calibri" w:hAnsi="Calibri"/>
                        <w:color w:val="414042"/>
                        <w:w w:val="125"/>
                        <w:sz w:val="18"/>
                      </w:rPr>
                      <w:t>to enhance a patient’s overall functioning and well-being, including recovery support services, case management, housing, employment, and educational</w:t>
                    </w:r>
                    <w:r>
                      <w:rPr>
                        <w:rFonts w:ascii="Calibri" w:hAnsi="Calibri"/>
                        <w:color w:val="414042"/>
                        <w:spacing w:val="-21"/>
                        <w:w w:val="125"/>
                        <w:sz w:val="18"/>
                      </w:rPr>
                      <w:t> </w:t>
                    </w:r>
                    <w:r>
                      <w:rPr>
                        <w:rFonts w:ascii="Calibri" w:hAnsi="Calibri"/>
                        <w:color w:val="414042"/>
                        <w:w w:val="125"/>
                        <w:sz w:val="18"/>
                      </w:rPr>
                      <w:t>services.</w:t>
                    </w:r>
                  </w:p>
                  <w:p>
                    <w:pPr>
                      <w:spacing w:line="261" w:lineRule="auto" w:before="74"/>
                      <w:ind w:left="269" w:right="359" w:firstLine="0"/>
                      <w:jc w:val="left"/>
                      <w:rPr>
                        <w:rFonts w:ascii="Calibri" w:hAnsi="Calibri"/>
                        <w:sz w:val="18"/>
                      </w:rPr>
                    </w:pPr>
                    <w:r>
                      <w:rPr>
                        <w:rFonts w:ascii="Arial" w:hAnsi="Arial"/>
                        <w:b/>
                        <w:color w:val="147592"/>
                        <w:w w:val="115"/>
                        <w:sz w:val="22"/>
                      </w:rPr>
                      <w:t>Psychosocial treatment:</w:t>
                    </w:r>
                    <w:r>
                      <w:rPr>
                        <w:rFonts w:ascii="Arial" w:hAnsi="Arial"/>
                        <w:b/>
                        <w:color w:val="147592"/>
                        <w:spacing w:val="-51"/>
                        <w:w w:val="115"/>
                        <w:sz w:val="22"/>
                      </w:rPr>
                      <w:t> </w:t>
                    </w:r>
                    <w:r>
                      <w:rPr>
                        <w:rFonts w:ascii="Calibri" w:hAnsi="Calibri"/>
                        <w:color w:val="414042"/>
                        <w:w w:val="115"/>
                        <w:sz w:val="18"/>
                      </w:rPr>
                      <w:t>Interventions </w:t>
                    </w:r>
                    <w:r>
                      <w:rPr>
                        <w:rFonts w:ascii="Calibri" w:hAnsi="Calibri"/>
                        <w:color w:val="414042"/>
                        <w:w w:val="125"/>
                        <w:sz w:val="18"/>
                      </w:rPr>
                      <w:t>that seek to enhance patient’s social and mental functioning, including addiction counseling, contingency management, and mental health services.</w:t>
                    </w:r>
                  </w:p>
                </w:txbxContent>
              </v:textbox>
              <v:stroke dashstyle="solid"/>
              <w10:wrap type="none"/>
            </v:shape>
            <w10:wrap type="topAndBottom"/>
          </v:group>
        </w:pict>
      </w:r>
    </w:p>
    <w:p>
      <w:pPr>
        <w:pStyle w:val="Heading2"/>
        <w:ind w:left="139"/>
      </w:pPr>
      <w:bookmarkStart w:name="_TOC_250028" w:id="87"/>
      <w:r>
        <w:rPr>
          <w:b w:val="0"/>
        </w:rPr>
        <w:br w:type="column"/>
      </w:r>
      <w:bookmarkEnd w:id="87"/>
      <w:r>
        <w:rPr>
          <w:color w:val="147592"/>
          <w:w w:val="105"/>
        </w:rPr>
        <w:t>Patient Selection</w:t>
      </w:r>
    </w:p>
    <w:p>
      <w:pPr>
        <w:pStyle w:val="Heading7"/>
        <w:spacing w:line="235" w:lineRule="auto" w:before="30"/>
        <w:ind w:left="139" w:right="489"/>
      </w:pPr>
      <w:r>
        <w:rPr>
          <w:color w:val="4C4D4F"/>
          <w:w w:val="115"/>
        </w:rPr>
        <w:t>To assess patients’ chances of success with standard ofﬁce-based treatment, consider:</w:t>
      </w:r>
    </w:p>
    <w:p>
      <w:pPr>
        <w:pStyle w:val="ListParagraph"/>
        <w:numPr>
          <w:ilvl w:val="0"/>
          <w:numId w:val="29"/>
        </w:numPr>
        <w:tabs>
          <w:tab w:pos="410" w:val="left" w:leader="none"/>
        </w:tabs>
        <w:spacing w:line="264" w:lineRule="exact" w:before="111" w:after="0"/>
        <w:ind w:left="409" w:right="236" w:hanging="270"/>
        <w:jc w:val="left"/>
        <w:rPr>
          <w:rFonts w:ascii="Arial" w:hAnsi="Arial"/>
          <w:color w:val="147592"/>
          <w:sz w:val="28"/>
        </w:rPr>
      </w:pPr>
      <w:r>
        <w:rPr>
          <w:rFonts w:ascii="Calibri" w:hAnsi="Calibri"/>
          <w:b/>
          <w:color w:val="4C4D4F"/>
          <w:w w:val="115"/>
          <w:sz w:val="22"/>
        </w:rPr>
        <w:t>Concurrent substance use disorder (SUD) involving alcohol or benzodiazepines. </w:t>
      </w:r>
      <w:r>
        <w:rPr>
          <w:color w:val="4C4D4F"/>
          <w:w w:val="115"/>
          <w:sz w:val="22"/>
        </w:rPr>
        <w:t>Benzodiazepine (illicit and prescription) and </w:t>
      </w:r>
      <w:r>
        <w:rPr>
          <w:color w:val="4C4D4F"/>
          <w:spacing w:val="-3"/>
          <w:w w:val="115"/>
          <w:sz w:val="22"/>
        </w:rPr>
        <w:t>alcohol</w:t>
      </w:r>
      <w:r>
        <w:rPr>
          <w:color w:val="4C4D4F"/>
          <w:spacing w:val="-42"/>
          <w:w w:val="115"/>
          <w:sz w:val="22"/>
        </w:rPr>
        <w:t> </w:t>
      </w:r>
      <w:r>
        <w:rPr>
          <w:color w:val="4C4D4F"/>
          <w:w w:val="115"/>
          <w:sz w:val="22"/>
        </w:rPr>
        <w:t>use</w:t>
      </w:r>
      <w:r>
        <w:rPr>
          <w:color w:val="4C4D4F"/>
          <w:spacing w:val="-41"/>
          <w:w w:val="115"/>
          <w:sz w:val="22"/>
        </w:rPr>
        <w:t> </w:t>
      </w:r>
      <w:r>
        <w:rPr>
          <w:color w:val="4C4D4F"/>
          <w:spacing w:val="-4"/>
          <w:w w:val="115"/>
          <w:sz w:val="22"/>
        </w:rPr>
        <w:t>are</w:t>
      </w:r>
      <w:r>
        <w:rPr>
          <w:color w:val="4C4D4F"/>
          <w:spacing w:val="-41"/>
          <w:w w:val="115"/>
          <w:sz w:val="22"/>
        </w:rPr>
        <w:t> </w:t>
      </w:r>
      <w:r>
        <w:rPr>
          <w:color w:val="4C4D4F"/>
          <w:spacing w:val="-3"/>
          <w:w w:val="115"/>
          <w:sz w:val="22"/>
        </w:rPr>
        <w:t>common</w:t>
      </w:r>
      <w:r>
        <w:rPr>
          <w:color w:val="4C4D4F"/>
          <w:spacing w:val="-41"/>
          <w:w w:val="115"/>
          <w:sz w:val="22"/>
        </w:rPr>
        <w:t> </w:t>
      </w:r>
      <w:r>
        <w:rPr>
          <w:color w:val="4C4D4F"/>
          <w:w w:val="115"/>
          <w:sz w:val="22"/>
        </w:rPr>
        <w:t>in</w:t>
      </w:r>
      <w:r>
        <w:rPr>
          <w:color w:val="4C4D4F"/>
          <w:spacing w:val="-41"/>
          <w:w w:val="115"/>
          <w:sz w:val="22"/>
        </w:rPr>
        <w:t> </w:t>
      </w:r>
      <w:r>
        <w:rPr>
          <w:color w:val="4C4D4F"/>
          <w:spacing w:val="-3"/>
          <w:w w:val="115"/>
          <w:sz w:val="22"/>
        </w:rPr>
        <w:t>patients</w:t>
      </w:r>
      <w:r>
        <w:rPr>
          <w:color w:val="4C4D4F"/>
          <w:spacing w:val="-41"/>
          <w:w w:val="115"/>
          <w:sz w:val="22"/>
        </w:rPr>
        <w:t> </w:t>
      </w:r>
      <w:r>
        <w:rPr>
          <w:color w:val="4C4D4F"/>
          <w:spacing w:val="-3"/>
          <w:w w:val="115"/>
          <w:sz w:val="22"/>
        </w:rPr>
        <w:t>with</w:t>
      </w:r>
      <w:r>
        <w:rPr>
          <w:color w:val="4C4D4F"/>
          <w:spacing w:val="-41"/>
          <w:w w:val="115"/>
          <w:sz w:val="22"/>
        </w:rPr>
        <w:t> </w:t>
      </w:r>
      <w:r>
        <w:rPr>
          <w:color w:val="4C4D4F"/>
          <w:spacing w:val="-3"/>
          <w:w w:val="115"/>
          <w:sz w:val="22"/>
        </w:rPr>
        <w:t>OUD. This</w:t>
      </w:r>
      <w:r>
        <w:rPr>
          <w:color w:val="4C4D4F"/>
          <w:spacing w:val="-23"/>
          <w:w w:val="115"/>
          <w:sz w:val="22"/>
        </w:rPr>
        <w:t> </w:t>
      </w:r>
      <w:r>
        <w:rPr>
          <w:color w:val="4C4D4F"/>
          <w:w w:val="115"/>
          <w:sz w:val="22"/>
        </w:rPr>
        <w:t>use</w:t>
      </w:r>
      <w:r>
        <w:rPr>
          <w:color w:val="4C4D4F"/>
          <w:spacing w:val="-23"/>
          <w:w w:val="115"/>
          <w:sz w:val="22"/>
        </w:rPr>
        <w:t> </w:t>
      </w:r>
      <w:r>
        <w:rPr>
          <w:color w:val="4C4D4F"/>
          <w:spacing w:val="-4"/>
          <w:w w:val="115"/>
          <w:sz w:val="22"/>
        </w:rPr>
        <w:t>presents</w:t>
      </w:r>
      <w:r>
        <w:rPr>
          <w:color w:val="4C4D4F"/>
          <w:spacing w:val="-22"/>
          <w:w w:val="115"/>
          <w:sz w:val="22"/>
        </w:rPr>
        <w:t> </w:t>
      </w:r>
      <w:r>
        <w:rPr>
          <w:color w:val="4C4D4F"/>
          <w:spacing w:val="-3"/>
          <w:w w:val="115"/>
          <w:sz w:val="22"/>
        </w:rPr>
        <w:t>clinical</w:t>
      </w:r>
      <w:r>
        <w:rPr>
          <w:color w:val="4C4D4F"/>
          <w:spacing w:val="-23"/>
          <w:w w:val="115"/>
          <w:sz w:val="22"/>
        </w:rPr>
        <w:t> </w:t>
      </w:r>
      <w:r>
        <w:rPr>
          <w:color w:val="4C4D4F"/>
          <w:spacing w:val="-3"/>
          <w:w w:val="115"/>
          <w:sz w:val="22"/>
        </w:rPr>
        <w:t>challenges,</w:t>
      </w:r>
      <w:r>
        <w:rPr>
          <w:color w:val="4C4D4F"/>
          <w:spacing w:val="-23"/>
          <w:w w:val="115"/>
          <w:sz w:val="22"/>
        </w:rPr>
        <w:t> </w:t>
      </w:r>
      <w:r>
        <w:rPr>
          <w:color w:val="4C4D4F"/>
          <w:spacing w:val="-3"/>
          <w:w w:val="115"/>
          <w:sz w:val="22"/>
        </w:rPr>
        <w:t>including </w:t>
      </w:r>
      <w:r>
        <w:rPr>
          <w:color w:val="4C4D4F"/>
          <w:spacing w:val="2"/>
          <w:w w:val="115"/>
          <w:sz w:val="22"/>
        </w:rPr>
        <w:t>increased</w:t>
      </w:r>
      <w:r>
        <w:rPr>
          <w:color w:val="4C4D4F"/>
          <w:spacing w:val="-17"/>
          <w:w w:val="115"/>
          <w:sz w:val="22"/>
        </w:rPr>
        <w:t> </w:t>
      </w:r>
      <w:r>
        <w:rPr>
          <w:color w:val="4C4D4F"/>
          <w:spacing w:val="2"/>
          <w:w w:val="115"/>
          <w:sz w:val="22"/>
        </w:rPr>
        <w:t>risk</w:t>
      </w:r>
      <w:r>
        <w:rPr>
          <w:color w:val="4C4D4F"/>
          <w:spacing w:val="-17"/>
          <w:w w:val="115"/>
          <w:sz w:val="22"/>
        </w:rPr>
        <w:t> </w:t>
      </w:r>
      <w:r>
        <w:rPr>
          <w:color w:val="4C4D4F"/>
          <w:w w:val="115"/>
          <w:sz w:val="22"/>
        </w:rPr>
        <w:t>of</w:t>
      </w:r>
      <w:r>
        <w:rPr>
          <w:color w:val="4C4D4F"/>
          <w:spacing w:val="-17"/>
          <w:w w:val="115"/>
          <w:sz w:val="22"/>
        </w:rPr>
        <w:t> </w:t>
      </w:r>
      <w:r>
        <w:rPr>
          <w:color w:val="4C4D4F"/>
          <w:spacing w:val="2"/>
          <w:w w:val="115"/>
          <w:sz w:val="22"/>
        </w:rPr>
        <w:t>respiratory</w:t>
      </w:r>
      <w:r>
        <w:rPr>
          <w:color w:val="4C4D4F"/>
          <w:spacing w:val="-17"/>
          <w:w w:val="115"/>
          <w:sz w:val="22"/>
        </w:rPr>
        <w:t> </w:t>
      </w:r>
      <w:r>
        <w:rPr>
          <w:color w:val="4C4D4F"/>
          <w:spacing w:val="2"/>
          <w:w w:val="115"/>
          <w:sz w:val="22"/>
        </w:rPr>
        <w:t>depression</w:t>
      </w:r>
    </w:p>
    <w:p>
      <w:pPr>
        <w:pStyle w:val="BodyText"/>
        <w:spacing w:line="247" w:lineRule="auto" w:before="7"/>
        <w:ind w:left="409" w:right="241"/>
      </w:pPr>
      <w:r>
        <w:rPr>
          <w:color w:val="4C4D4F"/>
          <w:w w:val="115"/>
        </w:rPr>
        <w:t>and unintentional overdose or death. Some patients may have taken appropriately pre- </w:t>
      </w:r>
      <w:r>
        <w:rPr>
          <w:color w:val="4C4D4F"/>
          <w:spacing w:val="-3"/>
          <w:w w:val="115"/>
        </w:rPr>
        <w:t>scribed</w:t>
      </w:r>
      <w:r>
        <w:rPr>
          <w:color w:val="4C4D4F"/>
          <w:spacing w:val="-35"/>
          <w:w w:val="115"/>
        </w:rPr>
        <w:t> </w:t>
      </w:r>
      <w:r>
        <w:rPr>
          <w:color w:val="4C4D4F"/>
          <w:spacing w:val="-3"/>
          <w:w w:val="115"/>
        </w:rPr>
        <w:t>benzodiazepines</w:t>
      </w:r>
      <w:r>
        <w:rPr>
          <w:color w:val="4C4D4F"/>
          <w:spacing w:val="-34"/>
          <w:w w:val="115"/>
        </w:rPr>
        <w:t> </w:t>
      </w:r>
      <w:r>
        <w:rPr>
          <w:color w:val="4C4D4F"/>
          <w:w w:val="115"/>
        </w:rPr>
        <w:t>for</w:t>
      </w:r>
      <w:r>
        <w:rPr>
          <w:color w:val="4C4D4F"/>
          <w:spacing w:val="-34"/>
          <w:w w:val="115"/>
        </w:rPr>
        <w:t> </w:t>
      </w:r>
      <w:r>
        <w:rPr>
          <w:color w:val="4C4D4F"/>
          <w:spacing w:val="-3"/>
          <w:w w:val="115"/>
        </w:rPr>
        <w:t>years</w:t>
      </w:r>
      <w:r>
        <w:rPr>
          <w:color w:val="4C4D4F"/>
          <w:spacing w:val="-35"/>
          <w:w w:val="115"/>
        </w:rPr>
        <w:t> </w:t>
      </w:r>
      <w:r>
        <w:rPr>
          <w:color w:val="4C4D4F"/>
          <w:spacing w:val="-3"/>
          <w:w w:val="115"/>
        </w:rPr>
        <w:t>with</w:t>
      </w:r>
      <w:r>
        <w:rPr>
          <w:color w:val="4C4D4F"/>
          <w:spacing w:val="-34"/>
          <w:w w:val="115"/>
        </w:rPr>
        <w:t> </w:t>
      </w:r>
      <w:r>
        <w:rPr>
          <w:color w:val="4C4D4F"/>
          <w:spacing w:val="-3"/>
          <w:w w:val="115"/>
        </w:rPr>
        <w:t>limited </w:t>
      </w:r>
      <w:r>
        <w:rPr>
          <w:color w:val="4C4D4F"/>
          <w:w w:val="115"/>
        </w:rPr>
        <w:t>or</w:t>
      </w:r>
      <w:r>
        <w:rPr>
          <w:color w:val="4C4D4F"/>
          <w:spacing w:val="-22"/>
          <w:w w:val="115"/>
        </w:rPr>
        <w:t> </w:t>
      </w:r>
      <w:r>
        <w:rPr>
          <w:color w:val="4C4D4F"/>
          <w:w w:val="115"/>
        </w:rPr>
        <w:t>no</w:t>
      </w:r>
      <w:r>
        <w:rPr>
          <w:color w:val="4C4D4F"/>
          <w:spacing w:val="-22"/>
          <w:w w:val="115"/>
        </w:rPr>
        <w:t> </w:t>
      </w:r>
      <w:r>
        <w:rPr>
          <w:color w:val="4C4D4F"/>
          <w:w w:val="115"/>
        </w:rPr>
        <w:t>evidence</w:t>
      </w:r>
      <w:r>
        <w:rPr>
          <w:color w:val="4C4D4F"/>
          <w:spacing w:val="-21"/>
          <w:w w:val="115"/>
        </w:rPr>
        <w:t> </w:t>
      </w:r>
      <w:r>
        <w:rPr>
          <w:color w:val="4C4D4F"/>
          <w:w w:val="115"/>
        </w:rPr>
        <w:t>of</w:t>
      </w:r>
      <w:r>
        <w:rPr>
          <w:color w:val="4C4D4F"/>
          <w:spacing w:val="-22"/>
          <w:w w:val="115"/>
        </w:rPr>
        <w:t> </w:t>
      </w:r>
      <w:r>
        <w:rPr>
          <w:color w:val="4C4D4F"/>
          <w:w w:val="115"/>
        </w:rPr>
        <w:t>misuse.</w:t>
      </w:r>
      <w:r>
        <w:rPr>
          <w:color w:val="4C4D4F"/>
          <w:spacing w:val="-21"/>
          <w:w w:val="115"/>
        </w:rPr>
        <w:t> </w:t>
      </w:r>
      <w:r>
        <w:rPr>
          <w:color w:val="4C4D4F"/>
          <w:w w:val="115"/>
        </w:rPr>
        <w:t>For</w:t>
      </w:r>
      <w:r>
        <w:rPr>
          <w:color w:val="4C4D4F"/>
          <w:spacing w:val="-22"/>
          <w:w w:val="115"/>
        </w:rPr>
        <w:t> </w:t>
      </w:r>
      <w:r>
        <w:rPr>
          <w:color w:val="4C4D4F"/>
          <w:w w:val="115"/>
        </w:rPr>
        <w:t>such</w:t>
      </w:r>
      <w:r>
        <w:rPr>
          <w:color w:val="4C4D4F"/>
          <w:spacing w:val="-22"/>
          <w:w w:val="115"/>
        </w:rPr>
        <w:t> </w:t>
      </w:r>
      <w:r>
        <w:rPr>
          <w:color w:val="4C4D4F"/>
          <w:w w:val="115"/>
        </w:rPr>
        <w:t>patients, tapering benzodiazepines may be contrain- dicated and unrealistic. Others may require treatment</w:t>
      </w:r>
      <w:r>
        <w:rPr>
          <w:color w:val="4C4D4F"/>
          <w:spacing w:val="-30"/>
          <w:w w:val="115"/>
        </w:rPr>
        <w:t> </w:t>
      </w:r>
      <w:r>
        <w:rPr>
          <w:color w:val="4C4D4F"/>
          <w:w w:val="115"/>
        </w:rPr>
        <w:t>for</w:t>
      </w:r>
      <w:r>
        <w:rPr>
          <w:color w:val="4C4D4F"/>
          <w:spacing w:val="-30"/>
          <w:w w:val="115"/>
        </w:rPr>
        <w:t> </w:t>
      </w:r>
      <w:r>
        <w:rPr>
          <w:color w:val="4C4D4F"/>
          <w:w w:val="115"/>
        </w:rPr>
        <w:t>a</w:t>
      </w:r>
      <w:r>
        <w:rPr>
          <w:color w:val="4C4D4F"/>
          <w:spacing w:val="-30"/>
          <w:w w:val="115"/>
        </w:rPr>
        <w:t> </w:t>
      </w:r>
      <w:r>
        <w:rPr>
          <w:color w:val="4C4D4F"/>
          <w:w w:val="115"/>
        </w:rPr>
        <w:t>benzodiazepine</w:t>
      </w:r>
      <w:r>
        <w:rPr>
          <w:color w:val="4C4D4F"/>
          <w:spacing w:val="-30"/>
          <w:w w:val="115"/>
        </w:rPr>
        <w:t> </w:t>
      </w:r>
      <w:r>
        <w:rPr>
          <w:color w:val="4C4D4F"/>
          <w:w w:val="115"/>
        </w:rPr>
        <w:t>use</w:t>
      </w:r>
      <w:r>
        <w:rPr>
          <w:color w:val="4C4D4F"/>
          <w:spacing w:val="-29"/>
          <w:w w:val="115"/>
        </w:rPr>
        <w:t> </w:t>
      </w:r>
      <w:r>
        <w:rPr>
          <w:color w:val="4C4D4F"/>
          <w:spacing w:val="-3"/>
          <w:w w:val="115"/>
        </w:rPr>
        <w:t>disorder. </w:t>
      </w:r>
      <w:r>
        <w:rPr>
          <w:color w:val="4C4D4F"/>
          <w:w w:val="115"/>
        </w:rPr>
        <w:t>(See</w:t>
      </w:r>
      <w:r>
        <w:rPr>
          <w:color w:val="4C4D4F"/>
          <w:spacing w:val="-21"/>
          <w:w w:val="115"/>
        </w:rPr>
        <w:t> </w:t>
      </w:r>
      <w:r>
        <w:rPr>
          <w:color w:val="4C4D4F"/>
          <w:w w:val="115"/>
        </w:rPr>
        <w:t>Exhibit</w:t>
      </w:r>
      <w:r>
        <w:rPr>
          <w:color w:val="4C4D4F"/>
          <w:spacing w:val="-20"/>
          <w:w w:val="115"/>
        </w:rPr>
        <w:t> </w:t>
      </w:r>
      <w:r>
        <w:rPr>
          <w:color w:val="4C4D4F"/>
          <w:w w:val="115"/>
        </w:rPr>
        <w:t>3B.1</w:t>
      </w:r>
      <w:r>
        <w:rPr>
          <w:color w:val="4C4D4F"/>
          <w:spacing w:val="-20"/>
          <w:w w:val="115"/>
        </w:rPr>
        <w:t> </w:t>
      </w:r>
      <w:r>
        <w:rPr>
          <w:color w:val="4C4D4F"/>
          <w:w w:val="115"/>
        </w:rPr>
        <w:t>for</w:t>
      </w:r>
      <w:r>
        <w:rPr>
          <w:color w:val="4C4D4F"/>
          <w:spacing w:val="-20"/>
          <w:w w:val="115"/>
        </w:rPr>
        <w:t> </w:t>
      </w:r>
      <w:r>
        <w:rPr>
          <w:color w:val="4C4D4F"/>
          <w:w w:val="115"/>
        </w:rPr>
        <w:t>strategies</w:t>
      </w:r>
      <w:r>
        <w:rPr>
          <w:color w:val="4C4D4F"/>
          <w:spacing w:val="-20"/>
          <w:w w:val="115"/>
        </w:rPr>
        <w:t> </w:t>
      </w:r>
      <w:r>
        <w:rPr>
          <w:color w:val="4C4D4F"/>
          <w:w w:val="115"/>
        </w:rPr>
        <w:t>for</w:t>
      </w:r>
      <w:r>
        <w:rPr>
          <w:color w:val="4C4D4F"/>
          <w:spacing w:val="-20"/>
          <w:w w:val="115"/>
        </w:rPr>
        <w:t> </w:t>
      </w:r>
      <w:r>
        <w:rPr>
          <w:color w:val="4C4D4F"/>
          <w:w w:val="115"/>
        </w:rPr>
        <w:t>assessing and</w:t>
      </w:r>
      <w:r>
        <w:rPr>
          <w:color w:val="4C4D4F"/>
          <w:spacing w:val="-32"/>
          <w:w w:val="115"/>
        </w:rPr>
        <w:t> </w:t>
      </w:r>
      <w:r>
        <w:rPr>
          <w:color w:val="4C4D4F"/>
          <w:spacing w:val="-3"/>
          <w:w w:val="115"/>
        </w:rPr>
        <w:t>managing</w:t>
      </w:r>
      <w:r>
        <w:rPr>
          <w:color w:val="4C4D4F"/>
          <w:spacing w:val="-32"/>
          <w:w w:val="115"/>
        </w:rPr>
        <w:t> </w:t>
      </w:r>
      <w:r>
        <w:rPr>
          <w:color w:val="4C4D4F"/>
          <w:spacing w:val="-3"/>
          <w:w w:val="115"/>
        </w:rPr>
        <w:t>patients</w:t>
      </w:r>
      <w:r>
        <w:rPr>
          <w:color w:val="4C4D4F"/>
          <w:spacing w:val="-32"/>
          <w:w w:val="115"/>
        </w:rPr>
        <w:t> </w:t>
      </w:r>
      <w:r>
        <w:rPr>
          <w:color w:val="4C4D4F"/>
          <w:w w:val="115"/>
        </w:rPr>
        <w:t>in</w:t>
      </w:r>
      <w:r>
        <w:rPr>
          <w:color w:val="4C4D4F"/>
          <w:spacing w:val="-32"/>
          <w:w w:val="115"/>
        </w:rPr>
        <w:t> </w:t>
      </w:r>
      <w:r>
        <w:rPr>
          <w:color w:val="4C4D4F"/>
          <w:w w:val="115"/>
        </w:rPr>
        <w:t>OUD</w:t>
      </w:r>
      <w:r>
        <w:rPr>
          <w:color w:val="4C4D4F"/>
          <w:spacing w:val="-32"/>
          <w:w w:val="115"/>
        </w:rPr>
        <w:t> </w:t>
      </w:r>
      <w:r>
        <w:rPr>
          <w:color w:val="4C4D4F"/>
          <w:spacing w:val="-4"/>
          <w:w w:val="115"/>
        </w:rPr>
        <w:t>treatment</w:t>
      </w:r>
      <w:r>
        <w:rPr>
          <w:color w:val="4C4D4F"/>
          <w:spacing w:val="-32"/>
          <w:w w:val="115"/>
        </w:rPr>
        <w:t> </w:t>
      </w:r>
      <w:r>
        <w:rPr>
          <w:color w:val="4C4D4F"/>
          <w:spacing w:val="-3"/>
          <w:w w:val="115"/>
        </w:rPr>
        <w:t>who have</w:t>
      </w:r>
      <w:r>
        <w:rPr>
          <w:color w:val="4C4D4F"/>
          <w:spacing w:val="-46"/>
          <w:w w:val="115"/>
        </w:rPr>
        <w:t> </w:t>
      </w:r>
      <w:r>
        <w:rPr>
          <w:color w:val="4C4D4F"/>
          <w:spacing w:val="-4"/>
          <w:w w:val="115"/>
        </w:rPr>
        <w:t>concurrent</w:t>
      </w:r>
      <w:r>
        <w:rPr>
          <w:color w:val="4C4D4F"/>
          <w:spacing w:val="-46"/>
          <w:w w:val="115"/>
        </w:rPr>
        <w:t> </w:t>
      </w:r>
      <w:r>
        <w:rPr>
          <w:color w:val="4C4D4F"/>
          <w:spacing w:val="-3"/>
          <w:w w:val="115"/>
        </w:rPr>
        <w:t>benzodiazepine</w:t>
      </w:r>
      <w:r>
        <w:rPr>
          <w:color w:val="4C4D4F"/>
          <w:spacing w:val="-46"/>
          <w:w w:val="115"/>
        </w:rPr>
        <w:t> </w:t>
      </w:r>
      <w:r>
        <w:rPr>
          <w:color w:val="4C4D4F"/>
          <w:w w:val="115"/>
        </w:rPr>
        <w:t>use</w:t>
      </w:r>
      <w:r>
        <w:rPr>
          <w:color w:val="4C4D4F"/>
          <w:spacing w:val="-45"/>
          <w:w w:val="115"/>
        </w:rPr>
        <w:t> </w:t>
      </w:r>
      <w:r>
        <w:rPr>
          <w:color w:val="4C4D4F"/>
          <w:spacing w:val="-6"/>
          <w:w w:val="115"/>
        </w:rPr>
        <w:t>disorder.)</w:t>
      </w:r>
    </w:p>
    <w:p>
      <w:pPr>
        <w:pStyle w:val="ListParagraph"/>
        <w:numPr>
          <w:ilvl w:val="0"/>
          <w:numId w:val="29"/>
        </w:numPr>
        <w:tabs>
          <w:tab w:pos="410" w:val="left" w:leader="none"/>
        </w:tabs>
        <w:spacing w:line="264" w:lineRule="exact" w:before="48" w:after="0"/>
        <w:ind w:left="409" w:right="306" w:hanging="270"/>
        <w:jc w:val="left"/>
        <w:rPr>
          <w:rFonts w:ascii="Arial" w:hAnsi="Arial"/>
          <w:color w:val="147592"/>
          <w:sz w:val="28"/>
        </w:rPr>
      </w:pPr>
      <w:r>
        <w:rPr>
          <w:color w:val="4C4D4F"/>
          <w:w w:val="115"/>
          <w:sz w:val="22"/>
        </w:rPr>
        <w:t>Although</w:t>
      </w:r>
      <w:r>
        <w:rPr>
          <w:color w:val="4C4D4F"/>
          <w:spacing w:val="-39"/>
          <w:w w:val="115"/>
          <w:sz w:val="22"/>
        </w:rPr>
        <w:t> </w:t>
      </w:r>
      <w:r>
        <w:rPr>
          <w:color w:val="4C4D4F"/>
          <w:w w:val="115"/>
          <w:sz w:val="22"/>
        </w:rPr>
        <w:t>concomitant</w:t>
      </w:r>
      <w:r>
        <w:rPr>
          <w:color w:val="4C4D4F"/>
          <w:spacing w:val="-38"/>
          <w:w w:val="115"/>
          <w:sz w:val="22"/>
        </w:rPr>
        <w:t> </w:t>
      </w:r>
      <w:r>
        <w:rPr>
          <w:color w:val="4C4D4F"/>
          <w:w w:val="115"/>
          <w:sz w:val="22"/>
        </w:rPr>
        <w:t>use</w:t>
      </w:r>
      <w:r>
        <w:rPr>
          <w:color w:val="4C4D4F"/>
          <w:spacing w:val="-38"/>
          <w:w w:val="115"/>
          <w:sz w:val="22"/>
        </w:rPr>
        <w:t> </w:t>
      </w:r>
      <w:r>
        <w:rPr>
          <w:color w:val="4C4D4F"/>
          <w:w w:val="115"/>
          <w:sz w:val="22"/>
        </w:rPr>
        <w:t>of</w:t>
      </w:r>
      <w:r>
        <w:rPr>
          <w:color w:val="4C4D4F"/>
          <w:spacing w:val="-38"/>
          <w:w w:val="115"/>
          <w:sz w:val="22"/>
        </w:rPr>
        <w:t> </w:t>
      </w:r>
      <w:r>
        <w:rPr>
          <w:color w:val="4C4D4F"/>
          <w:w w:val="115"/>
          <w:sz w:val="22"/>
        </w:rPr>
        <w:t>buprenorphine with benzodiazepines increases the risk of an adverse reaction, including overdose death, opioid agonist treatment should not be denied to patients solely because they take benzodiazepines,</w:t>
      </w:r>
      <w:r>
        <w:rPr>
          <w:color w:val="4C4D4F"/>
          <w:w w:val="115"/>
          <w:position w:val="7"/>
          <w:sz w:val="13"/>
        </w:rPr>
        <w:t>353 </w:t>
      </w:r>
      <w:r>
        <w:rPr>
          <w:color w:val="4C4D4F"/>
          <w:w w:val="115"/>
          <w:sz w:val="22"/>
        </w:rPr>
        <w:t>because untreated OUD</w:t>
      </w:r>
      <w:r>
        <w:rPr>
          <w:color w:val="4C4D4F"/>
          <w:spacing w:val="-34"/>
          <w:w w:val="115"/>
          <w:sz w:val="22"/>
        </w:rPr>
        <w:t> </w:t>
      </w:r>
      <w:r>
        <w:rPr>
          <w:color w:val="4C4D4F"/>
          <w:w w:val="115"/>
          <w:sz w:val="22"/>
        </w:rPr>
        <w:t>can</w:t>
      </w:r>
      <w:r>
        <w:rPr>
          <w:color w:val="4C4D4F"/>
          <w:spacing w:val="-33"/>
          <w:w w:val="115"/>
          <w:sz w:val="22"/>
        </w:rPr>
        <w:t> </w:t>
      </w:r>
      <w:r>
        <w:rPr>
          <w:color w:val="4C4D4F"/>
          <w:spacing w:val="-3"/>
          <w:w w:val="115"/>
          <w:sz w:val="22"/>
        </w:rPr>
        <w:t>pose</w:t>
      </w:r>
      <w:r>
        <w:rPr>
          <w:color w:val="4C4D4F"/>
          <w:spacing w:val="-34"/>
          <w:w w:val="115"/>
          <w:sz w:val="22"/>
        </w:rPr>
        <w:t> </w:t>
      </w:r>
      <w:r>
        <w:rPr>
          <w:color w:val="4C4D4F"/>
          <w:w w:val="115"/>
          <w:sz w:val="22"/>
        </w:rPr>
        <w:t>a</w:t>
      </w:r>
      <w:r>
        <w:rPr>
          <w:color w:val="4C4D4F"/>
          <w:spacing w:val="-33"/>
          <w:w w:val="115"/>
          <w:sz w:val="22"/>
        </w:rPr>
        <w:t> </w:t>
      </w:r>
      <w:r>
        <w:rPr>
          <w:color w:val="4C4D4F"/>
          <w:spacing w:val="-4"/>
          <w:w w:val="115"/>
          <w:sz w:val="22"/>
        </w:rPr>
        <w:t>greater</w:t>
      </w:r>
      <w:r>
        <w:rPr>
          <w:color w:val="4C4D4F"/>
          <w:spacing w:val="-34"/>
          <w:w w:val="115"/>
          <w:sz w:val="22"/>
        </w:rPr>
        <w:t> </w:t>
      </w:r>
      <w:r>
        <w:rPr>
          <w:color w:val="4C4D4F"/>
          <w:spacing w:val="-3"/>
          <w:w w:val="115"/>
          <w:sz w:val="22"/>
        </w:rPr>
        <w:t>risk</w:t>
      </w:r>
      <w:r>
        <w:rPr>
          <w:color w:val="4C4D4F"/>
          <w:spacing w:val="-33"/>
          <w:w w:val="115"/>
          <w:sz w:val="22"/>
        </w:rPr>
        <w:t> </w:t>
      </w:r>
      <w:r>
        <w:rPr>
          <w:color w:val="4C4D4F"/>
          <w:w w:val="115"/>
          <w:sz w:val="22"/>
        </w:rPr>
        <w:t>of</w:t>
      </w:r>
      <w:r>
        <w:rPr>
          <w:color w:val="4C4D4F"/>
          <w:spacing w:val="-34"/>
          <w:w w:val="115"/>
          <w:sz w:val="22"/>
        </w:rPr>
        <w:t> </w:t>
      </w:r>
      <w:r>
        <w:rPr>
          <w:color w:val="4C4D4F"/>
          <w:spacing w:val="-3"/>
          <w:w w:val="115"/>
          <w:sz w:val="22"/>
        </w:rPr>
        <w:t>morbidity</w:t>
      </w:r>
      <w:r>
        <w:rPr>
          <w:color w:val="4C4D4F"/>
          <w:spacing w:val="-33"/>
          <w:w w:val="115"/>
          <w:sz w:val="22"/>
        </w:rPr>
        <w:t> </w:t>
      </w:r>
      <w:r>
        <w:rPr>
          <w:color w:val="4C4D4F"/>
          <w:spacing w:val="-3"/>
          <w:w w:val="115"/>
          <w:sz w:val="22"/>
        </w:rPr>
        <w:t>and </w:t>
      </w:r>
      <w:r>
        <w:rPr>
          <w:color w:val="4C4D4F"/>
          <w:spacing w:val="-5"/>
          <w:w w:val="115"/>
          <w:sz w:val="22"/>
        </w:rPr>
        <w:t>mortality.</w:t>
      </w:r>
      <w:r>
        <w:rPr>
          <w:color w:val="4C4D4F"/>
          <w:spacing w:val="-40"/>
          <w:w w:val="115"/>
          <w:sz w:val="22"/>
        </w:rPr>
        <w:t> </w:t>
      </w:r>
      <w:r>
        <w:rPr>
          <w:color w:val="4C4D4F"/>
          <w:w w:val="115"/>
          <w:sz w:val="22"/>
        </w:rPr>
        <w:t>The</w:t>
      </w:r>
      <w:r>
        <w:rPr>
          <w:color w:val="4C4D4F"/>
          <w:spacing w:val="-40"/>
          <w:w w:val="115"/>
          <w:sz w:val="22"/>
        </w:rPr>
        <w:t> </w:t>
      </w:r>
      <w:r>
        <w:rPr>
          <w:color w:val="4C4D4F"/>
          <w:spacing w:val="-3"/>
          <w:w w:val="115"/>
          <w:sz w:val="22"/>
        </w:rPr>
        <w:t>Food</w:t>
      </w:r>
      <w:r>
        <w:rPr>
          <w:color w:val="4C4D4F"/>
          <w:spacing w:val="-39"/>
          <w:w w:val="115"/>
          <w:sz w:val="22"/>
        </w:rPr>
        <w:t> </w:t>
      </w:r>
      <w:r>
        <w:rPr>
          <w:color w:val="4C4D4F"/>
          <w:w w:val="115"/>
          <w:sz w:val="22"/>
        </w:rPr>
        <w:t>and</w:t>
      </w:r>
      <w:r>
        <w:rPr>
          <w:color w:val="4C4D4F"/>
          <w:spacing w:val="-40"/>
          <w:w w:val="115"/>
          <w:sz w:val="22"/>
        </w:rPr>
        <w:t> </w:t>
      </w:r>
      <w:r>
        <w:rPr>
          <w:color w:val="4C4D4F"/>
          <w:spacing w:val="-3"/>
          <w:w w:val="115"/>
          <w:sz w:val="22"/>
        </w:rPr>
        <w:t>Drug</w:t>
      </w:r>
      <w:r>
        <w:rPr>
          <w:color w:val="4C4D4F"/>
          <w:spacing w:val="-39"/>
          <w:w w:val="115"/>
          <w:sz w:val="22"/>
        </w:rPr>
        <w:t> </w:t>
      </w:r>
      <w:r>
        <w:rPr>
          <w:color w:val="4C4D4F"/>
          <w:spacing w:val="-3"/>
          <w:w w:val="115"/>
          <w:sz w:val="22"/>
        </w:rPr>
        <w:t>Administration </w:t>
      </w:r>
      <w:r>
        <w:rPr>
          <w:color w:val="4C4D4F"/>
          <w:w w:val="115"/>
          <w:sz w:val="22"/>
        </w:rPr>
        <w:t>(FDA)</w:t>
      </w:r>
      <w:r>
        <w:rPr>
          <w:color w:val="4C4D4F"/>
          <w:spacing w:val="-28"/>
          <w:w w:val="115"/>
          <w:sz w:val="22"/>
        </w:rPr>
        <w:t> </w:t>
      </w:r>
      <w:r>
        <w:rPr>
          <w:color w:val="4C4D4F"/>
          <w:w w:val="115"/>
          <w:sz w:val="22"/>
        </w:rPr>
        <w:t>advises</w:t>
      </w:r>
      <w:r>
        <w:rPr>
          <w:color w:val="4C4D4F"/>
          <w:spacing w:val="-28"/>
          <w:w w:val="115"/>
          <w:sz w:val="22"/>
        </w:rPr>
        <w:t> </w:t>
      </w:r>
      <w:r>
        <w:rPr>
          <w:color w:val="4C4D4F"/>
          <w:w w:val="115"/>
          <w:sz w:val="22"/>
        </w:rPr>
        <w:t>that</w:t>
      </w:r>
      <w:r>
        <w:rPr>
          <w:color w:val="4C4D4F"/>
          <w:spacing w:val="-28"/>
          <w:w w:val="115"/>
          <w:sz w:val="22"/>
        </w:rPr>
        <w:t> </w:t>
      </w:r>
      <w:r>
        <w:rPr>
          <w:color w:val="4C4D4F"/>
          <w:w w:val="115"/>
          <w:sz w:val="22"/>
        </w:rPr>
        <w:t>careful</w:t>
      </w:r>
      <w:r>
        <w:rPr>
          <w:color w:val="4C4D4F"/>
          <w:spacing w:val="-28"/>
          <w:w w:val="115"/>
          <w:sz w:val="22"/>
        </w:rPr>
        <w:t> </w:t>
      </w:r>
      <w:r>
        <w:rPr>
          <w:color w:val="4C4D4F"/>
          <w:w w:val="115"/>
          <w:sz w:val="22"/>
        </w:rPr>
        <w:t>medication</w:t>
      </w:r>
      <w:r>
        <w:rPr>
          <w:color w:val="4C4D4F"/>
          <w:spacing w:val="-28"/>
          <w:w w:val="115"/>
          <w:sz w:val="22"/>
        </w:rPr>
        <w:t> </w:t>
      </w:r>
      <w:r>
        <w:rPr>
          <w:color w:val="4C4D4F"/>
          <w:w w:val="115"/>
          <w:sz w:val="22"/>
        </w:rPr>
        <w:t>man- agement by healthcare professionals </w:t>
      </w:r>
      <w:r>
        <w:rPr>
          <w:color w:val="4C4D4F"/>
          <w:spacing w:val="2"/>
          <w:w w:val="115"/>
          <w:sz w:val="22"/>
        </w:rPr>
        <w:t>can </w:t>
      </w:r>
      <w:r>
        <w:rPr>
          <w:color w:val="4C4D4F"/>
          <w:w w:val="115"/>
          <w:sz w:val="22"/>
        </w:rPr>
        <w:t>reduce risk (see</w:t>
      </w:r>
      <w:r>
        <w:rPr>
          <w:color w:val="205E9E"/>
          <w:w w:val="115"/>
          <w:sz w:val="22"/>
        </w:rPr>
        <w:t> </w:t>
      </w:r>
      <w:hyperlink r:id="rId75">
        <w:r>
          <w:rPr>
            <w:color w:val="205E9E"/>
            <w:w w:val="115"/>
            <w:sz w:val="22"/>
            <w:u w:val="single" w:color="205E9E"/>
          </w:rPr>
          <w:t>www.fda.gov/Drugs/Drug</w:t>
        </w:r>
      </w:hyperlink>
      <w:r>
        <w:rPr>
          <w:color w:val="205E9E"/>
          <w:w w:val="115"/>
          <w:sz w:val="22"/>
          <w:u w:val="single" w:color="205E9E"/>
        </w:rPr>
        <w:t> </w:t>
      </w:r>
      <w:r>
        <w:rPr>
          <w:color w:val="205E9E"/>
          <w:spacing w:val="-3"/>
          <w:w w:val="110"/>
          <w:sz w:val="22"/>
          <w:u w:val="single" w:color="205E9E"/>
        </w:rPr>
        <w:t>Safety/ucm575307.htm</w:t>
      </w:r>
      <w:r>
        <w:rPr>
          <w:color w:val="205E9E"/>
          <w:spacing w:val="-3"/>
          <w:w w:val="110"/>
          <w:sz w:val="22"/>
        </w:rPr>
        <w:t> </w:t>
      </w:r>
      <w:r>
        <w:rPr>
          <w:color w:val="4C4D4F"/>
          <w:w w:val="110"/>
          <w:sz w:val="22"/>
        </w:rPr>
        <w:t>for </w:t>
      </w:r>
      <w:r>
        <w:rPr>
          <w:color w:val="4C4D4F"/>
          <w:spacing w:val="-4"/>
          <w:w w:val="110"/>
          <w:sz w:val="22"/>
        </w:rPr>
        <w:t>more</w:t>
      </w:r>
      <w:r>
        <w:rPr>
          <w:color w:val="4C4D4F"/>
          <w:spacing w:val="-8"/>
          <w:w w:val="110"/>
          <w:sz w:val="22"/>
        </w:rPr>
        <w:t> </w:t>
      </w:r>
      <w:r>
        <w:rPr>
          <w:color w:val="4C4D4F"/>
          <w:spacing w:val="-3"/>
          <w:w w:val="110"/>
          <w:sz w:val="22"/>
        </w:rPr>
        <w:t>information).</w:t>
      </w:r>
    </w:p>
    <w:p>
      <w:pPr>
        <w:spacing w:after="0" w:line="264" w:lineRule="exact"/>
        <w:jc w:val="left"/>
        <w:rPr>
          <w:rFonts w:ascii="Arial" w:hAnsi="Arial"/>
          <w:sz w:val="28"/>
        </w:rPr>
        <w:sectPr>
          <w:type w:val="continuous"/>
          <w:pgSz w:w="12240" w:h="15840"/>
          <w:pgMar w:top="540" w:bottom="280" w:left="940" w:right="920"/>
          <w:cols w:num="2" w:equalWidth="0">
            <w:col w:w="5051" w:space="179"/>
            <w:col w:w="515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BodyText"/>
        <w:spacing w:line="247" w:lineRule="auto" w:before="110"/>
        <w:ind w:left="410" w:right="106"/>
      </w:pPr>
      <w:r>
        <w:rPr>
          <w:color w:val="4D4D4F"/>
          <w:w w:val="110"/>
        </w:rPr>
        <w:t>Approaches to addressing concurrent benzo- diazepine use include:</w:t>
      </w:r>
    </w:p>
    <w:p>
      <w:pPr>
        <w:pStyle w:val="ListParagraph"/>
        <w:numPr>
          <w:ilvl w:val="1"/>
          <w:numId w:val="29"/>
        </w:numPr>
        <w:tabs>
          <w:tab w:pos="716" w:val="left" w:leader="none"/>
        </w:tabs>
        <w:spacing w:line="247" w:lineRule="auto" w:before="97" w:after="0"/>
        <w:ind w:left="716" w:right="9" w:hanging="270"/>
        <w:jc w:val="left"/>
        <w:rPr>
          <w:rFonts w:ascii="Arial" w:hAnsi="Arial"/>
          <w:color w:val="137692"/>
          <w:sz w:val="24"/>
        </w:rPr>
      </w:pPr>
      <w:r>
        <w:rPr>
          <w:color w:val="4D4D4F"/>
          <w:w w:val="115"/>
          <w:sz w:val="22"/>
        </w:rPr>
        <w:t>Get patients’ permission to contact their benzodiazepine prescribers to </w:t>
      </w:r>
      <w:r>
        <w:rPr>
          <w:color w:val="4D4D4F"/>
          <w:spacing w:val="2"/>
          <w:w w:val="115"/>
          <w:sz w:val="22"/>
        </w:rPr>
        <w:t>conﬁrm </w:t>
      </w:r>
      <w:r>
        <w:rPr>
          <w:color w:val="4D4D4F"/>
          <w:w w:val="115"/>
          <w:sz w:val="22"/>
        </w:rPr>
        <w:t>their histories. Speaking with close family members</w:t>
      </w:r>
      <w:r>
        <w:rPr>
          <w:color w:val="4D4D4F"/>
          <w:spacing w:val="-38"/>
          <w:w w:val="115"/>
          <w:sz w:val="22"/>
        </w:rPr>
        <w:t> </w:t>
      </w:r>
      <w:r>
        <w:rPr>
          <w:color w:val="4D4D4F"/>
          <w:w w:val="115"/>
          <w:sz w:val="22"/>
        </w:rPr>
        <w:t>or</w:t>
      </w:r>
      <w:r>
        <w:rPr>
          <w:color w:val="4D4D4F"/>
          <w:spacing w:val="-38"/>
          <w:w w:val="115"/>
          <w:sz w:val="22"/>
        </w:rPr>
        <w:t> </w:t>
      </w:r>
      <w:r>
        <w:rPr>
          <w:color w:val="4D4D4F"/>
          <w:w w:val="115"/>
          <w:sz w:val="22"/>
        </w:rPr>
        <w:t>friends</w:t>
      </w:r>
      <w:r>
        <w:rPr>
          <w:color w:val="4D4D4F"/>
          <w:spacing w:val="-37"/>
          <w:w w:val="115"/>
          <w:sz w:val="22"/>
        </w:rPr>
        <w:t> </w:t>
      </w:r>
      <w:r>
        <w:rPr>
          <w:color w:val="4D4D4F"/>
          <w:w w:val="115"/>
          <w:sz w:val="22"/>
        </w:rPr>
        <w:t>(with</w:t>
      </w:r>
      <w:r>
        <w:rPr>
          <w:color w:val="4D4D4F"/>
          <w:spacing w:val="-38"/>
          <w:w w:val="115"/>
          <w:sz w:val="22"/>
        </w:rPr>
        <w:t> </w:t>
      </w:r>
      <w:r>
        <w:rPr>
          <w:color w:val="4D4D4F"/>
          <w:w w:val="115"/>
          <w:sz w:val="22"/>
        </w:rPr>
        <w:t>patients’</w:t>
      </w:r>
      <w:r>
        <w:rPr>
          <w:color w:val="4D4D4F"/>
          <w:spacing w:val="-37"/>
          <w:w w:val="115"/>
          <w:sz w:val="22"/>
        </w:rPr>
        <w:t> </w:t>
      </w:r>
      <w:r>
        <w:rPr>
          <w:color w:val="4D4D4F"/>
          <w:w w:val="115"/>
          <w:sz w:val="22"/>
        </w:rPr>
        <w:t>permis- sion) can also help in evaluating evidence of </w:t>
      </w:r>
      <w:r>
        <w:rPr>
          <w:color w:val="4D4D4F"/>
          <w:spacing w:val="-3"/>
          <w:w w:val="115"/>
          <w:sz w:val="22"/>
        </w:rPr>
        <w:t>alcohol </w:t>
      </w:r>
      <w:r>
        <w:rPr>
          <w:color w:val="4D4D4F"/>
          <w:w w:val="115"/>
          <w:sz w:val="22"/>
        </w:rPr>
        <w:t>or </w:t>
      </w:r>
      <w:r>
        <w:rPr>
          <w:color w:val="4D4D4F"/>
          <w:spacing w:val="-3"/>
          <w:w w:val="115"/>
          <w:sz w:val="22"/>
        </w:rPr>
        <w:t>benzodiazepine misuse (e.g., </w:t>
      </w:r>
      <w:r>
        <w:rPr>
          <w:color w:val="4D4D4F"/>
          <w:spacing w:val="-3"/>
          <w:w w:val="110"/>
          <w:sz w:val="22"/>
        </w:rPr>
        <w:t>intoxication, accidents, withdrawal</w:t>
      </w:r>
      <w:r>
        <w:rPr>
          <w:color w:val="4D4D4F"/>
          <w:spacing w:val="-9"/>
          <w:w w:val="110"/>
          <w:sz w:val="22"/>
        </w:rPr>
        <w:t> </w:t>
      </w:r>
      <w:r>
        <w:rPr>
          <w:color w:val="4D4D4F"/>
          <w:spacing w:val="-4"/>
          <w:w w:val="110"/>
          <w:sz w:val="22"/>
        </w:rPr>
        <w:t>seizures).</w:t>
      </w:r>
    </w:p>
    <w:p>
      <w:pPr>
        <w:pStyle w:val="ListParagraph"/>
        <w:numPr>
          <w:ilvl w:val="1"/>
          <w:numId w:val="29"/>
        </w:numPr>
        <w:tabs>
          <w:tab w:pos="716" w:val="left" w:leader="none"/>
        </w:tabs>
        <w:spacing w:line="247" w:lineRule="auto" w:before="30" w:after="0"/>
        <w:ind w:left="716" w:right="209" w:hanging="270"/>
        <w:jc w:val="left"/>
        <w:rPr>
          <w:rFonts w:ascii="Arial" w:hAnsi="Arial"/>
          <w:color w:val="137692"/>
          <w:sz w:val="24"/>
        </w:rPr>
      </w:pPr>
      <w:r>
        <w:rPr>
          <w:color w:val="4D4D4F"/>
          <w:w w:val="115"/>
          <w:sz w:val="22"/>
        </w:rPr>
        <w:t>Make sure patients understand that combining buprenorphine with alcohol, </w:t>
      </w:r>
      <w:r>
        <w:rPr>
          <w:color w:val="4D4D4F"/>
          <w:spacing w:val="-3"/>
          <w:w w:val="115"/>
          <w:sz w:val="22"/>
        </w:rPr>
        <w:t>benzodiazepines,</w:t>
      </w:r>
      <w:r>
        <w:rPr>
          <w:color w:val="4D4D4F"/>
          <w:spacing w:val="-48"/>
          <w:w w:val="115"/>
          <w:sz w:val="22"/>
        </w:rPr>
        <w:t> </w:t>
      </w:r>
      <w:r>
        <w:rPr>
          <w:color w:val="4D4D4F"/>
          <w:w w:val="115"/>
          <w:sz w:val="22"/>
        </w:rPr>
        <w:t>or</w:t>
      </w:r>
      <w:r>
        <w:rPr>
          <w:color w:val="4D4D4F"/>
          <w:spacing w:val="-48"/>
          <w:w w:val="115"/>
          <w:sz w:val="22"/>
        </w:rPr>
        <w:t> </w:t>
      </w:r>
      <w:r>
        <w:rPr>
          <w:color w:val="4D4D4F"/>
          <w:spacing w:val="-3"/>
          <w:w w:val="115"/>
          <w:sz w:val="22"/>
        </w:rPr>
        <w:t>other</w:t>
      </w:r>
      <w:r>
        <w:rPr>
          <w:color w:val="4D4D4F"/>
          <w:spacing w:val="-48"/>
          <w:w w:val="115"/>
          <w:sz w:val="22"/>
        </w:rPr>
        <w:t> </w:t>
      </w:r>
      <w:r>
        <w:rPr>
          <w:color w:val="4D4D4F"/>
          <w:spacing w:val="-3"/>
          <w:w w:val="115"/>
          <w:sz w:val="22"/>
        </w:rPr>
        <w:t>central</w:t>
      </w:r>
      <w:r>
        <w:rPr>
          <w:color w:val="4D4D4F"/>
          <w:spacing w:val="-47"/>
          <w:w w:val="115"/>
          <w:sz w:val="22"/>
        </w:rPr>
        <w:t> </w:t>
      </w:r>
      <w:r>
        <w:rPr>
          <w:color w:val="4D4D4F"/>
          <w:spacing w:val="-3"/>
          <w:w w:val="115"/>
          <w:sz w:val="22"/>
        </w:rPr>
        <w:t>nervous </w:t>
      </w:r>
      <w:r>
        <w:rPr>
          <w:color w:val="4D4D4F"/>
          <w:w w:val="115"/>
          <w:sz w:val="22"/>
        </w:rPr>
        <w:t>system depressants risks potential re- spiratory depression and unintentional overdose</w:t>
      </w:r>
      <w:r>
        <w:rPr>
          <w:color w:val="4D4D4F"/>
          <w:spacing w:val="-34"/>
          <w:w w:val="115"/>
          <w:sz w:val="22"/>
        </w:rPr>
        <w:t> </w:t>
      </w:r>
      <w:r>
        <w:rPr>
          <w:color w:val="4D4D4F"/>
          <w:w w:val="115"/>
          <w:sz w:val="22"/>
        </w:rPr>
        <w:t>death.</w:t>
      </w:r>
      <w:r>
        <w:rPr>
          <w:color w:val="4D4D4F"/>
          <w:w w:val="115"/>
          <w:position w:val="7"/>
          <w:sz w:val="13"/>
        </w:rPr>
        <w:t>354</w:t>
      </w:r>
      <w:r>
        <w:rPr>
          <w:color w:val="4D4D4F"/>
          <w:spacing w:val="-6"/>
          <w:w w:val="115"/>
          <w:position w:val="7"/>
          <w:sz w:val="13"/>
        </w:rPr>
        <w:t> </w:t>
      </w:r>
      <w:r>
        <w:rPr>
          <w:color w:val="4D4D4F"/>
          <w:w w:val="115"/>
          <w:sz w:val="22"/>
        </w:rPr>
        <w:t>Overdose</w:t>
      </w:r>
      <w:r>
        <w:rPr>
          <w:color w:val="4D4D4F"/>
          <w:spacing w:val="-34"/>
          <w:w w:val="115"/>
          <w:sz w:val="22"/>
        </w:rPr>
        <w:t> </w:t>
      </w:r>
      <w:r>
        <w:rPr>
          <w:color w:val="4D4D4F"/>
          <w:w w:val="115"/>
          <w:sz w:val="22"/>
        </w:rPr>
        <w:t>death</w:t>
      </w:r>
      <w:r>
        <w:rPr>
          <w:color w:val="4D4D4F"/>
          <w:spacing w:val="-34"/>
          <w:w w:val="115"/>
          <w:sz w:val="22"/>
        </w:rPr>
        <w:t> </w:t>
      </w:r>
      <w:r>
        <w:rPr>
          <w:color w:val="4D4D4F"/>
          <w:w w:val="115"/>
          <w:sz w:val="22"/>
        </w:rPr>
        <w:t>with buprenorphine</w:t>
      </w:r>
      <w:r>
        <w:rPr>
          <w:color w:val="4D4D4F"/>
          <w:spacing w:val="-27"/>
          <w:w w:val="115"/>
          <w:sz w:val="22"/>
        </w:rPr>
        <w:t> </w:t>
      </w:r>
      <w:r>
        <w:rPr>
          <w:color w:val="4D4D4F"/>
          <w:w w:val="115"/>
          <w:sz w:val="22"/>
        </w:rPr>
        <w:t>is</w:t>
      </w:r>
      <w:r>
        <w:rPr>
          <w:color w:val="4D4D4F"/>
          <w:spacing w:val="-26"/>
          <w:w w:val="115"/>
          <w:sz w:val="22"/>
        </w:rPr>
        <w:t> </w:t>
      </w:r>
      <w:r>
        <w:rPr>
          <w:color w:val="4D4D4F"/>
          <w:w w:val="115"/>
          <w:sz w:val="22"/>
        </w:rPr>
        <w:t>most</w:t>
      </w:r>
      <w:r>
        <w:rPr>
          <w:color w:val="4D4D4F"/>
          <w:spacing w:val="-26"/>
          <w:w w:val="115"/>
          <w:sz w:val="22"/>
        </w:rPr>
        <w:t> </w:t>
      </w:r>
      <w:r>
        <w:rPr>
          <w:color w:val="4D4D4F"/>
          <w:w w:val="115"/>
          <w:sz w:val="22"/>
        </w:rPr>
        <w:t>often</w:t>
      </w:r>
      <w:r>
        <w:rPr>
          <w:color w:val="4D4D4F"/>
          <w:spacing w:val="-27"/>
          <w:w w:val="115"/>
          <w:sz w:val="22"/>
        </w:rPr>
        <w:t> </w:t>
      </w:r>
      <w:r>
        <w:rPr>
          <w:color w:val="4D4D4F"/>
          <w:w w:val="115"/>
          <w:sz w:val="22"/>
        </w:rPr>
        <w:t>associated with intravenous benzodiazepine and heavy alcohol</w:t>
      </w:r>
      <w:r>
        <w:rPr>
          <w:color w:val="4D4D4F"/>
          <w:spacing w:val="-21"/>
          <w:w w:val="115"/>
          <w:sz w:val="22"/>
        </w:rPr>
        <w:t> </w:t>
      </w:r>
      <w:r>
        <w:rPr>
          <w:color w:val="4D4D4F"/>
          <w:w w:val="115"/>
          <w:sz w:val="22"/>
        </w:rPr>
        <w:t>use.</w:t>
      </w:r>
    </w:p>
    <w:p>
      <w:pPr>
        <w:pStyle w:val="ListParagraph"/>
        <w:numPr>
          <w:ilvl w:val="1"/>
          <w:numId w:val="29"/>
        </w:numPr>
        <w:tabs>
          <w:tab w:pos="716" w:val="left" w:leader="none"/>
        </w:tabs>
        <w:spacing w:line="247" w:lineRule="auto" w:before="33" w:after="0"/>
        <w:ind w:left="716" w:right="0" w:hanging="270"/>
        <w:jc w:val="left"/>
        <w:rPr>
          <w:rFonts w:ascii="Arial" w:hAnsi="Arial"/>
          <w:color w:val="137692"/>
          <w:sz w:val="24"/>
        </w:rPr>
      </w:pPr>
      <w:r>
        <w:rPr>
          <w:color w:val="4D4D4F"/>
          <w:w w:val="110"/>
          <w:sz w:val="22"/>
        </w:rPr>
        <w:t>For patients misusing  benzodiazepines (e.g., taking in high doses, bingeing, using intravenously),</w:t>
      </w:r>
      <w:r>
        <w:rPr>
          <w:color w:val="4D4D4F"/>
          <w:spacing w:val="-11"/>
          <w:w w:val="110"/>
          <w:sz w:val="22"/>
        </w:rPr>
        <w:t> </w:t>
      </w:r>
      <w:r>
        <w:rPr>
          <w:color w:val="4D4D4F"/>
          <w:w w:val="110"/>
          <w:sz w:val="22"/>
        </w:rPr>
        <w:t>the</w:t>
      </w:r>
      <w:r>
        <w:rPr>
          <w:color w:val="4D4D4F"/>
          <w:spacing w:val="-10"/>
          <w:w w:val="110"/>
          <w:sz w:val="22"/>
        </w:rPr>
        <w:t> </w:t>
      </w:r>
      <w:r>
        <w:rPr>
          <w:color w:val="4D4D4F"/>
          <w:w w:val="110"/>
          <w:sz w:val="22"/>
        </w:rPr>
        <w:t>TIP</w:t>
      </w:r>
      <w:r>
        <w:rPr>
          <w:color w:val="4D4D4F"/>
          <w:spacing w:val="-10"/>
          <w:w w:val="110"/>
          <w:sz w:val="22"/>
        </w:rPr>
        <w:t> </w:t>
      </w:r>
      <w:r>
        <w:rPr>
          <w:color w:val="4D4D4F"/>
          <w:w w:val="110"/>
          <w:sz w:val="22"/>
        </w:rPr>
        <w:t>expert</w:t>
      </w:r>
      <w:r>
        <w:rPr>
          <w:color w:val="4D4D4F"/>
          <w:spacing w:val="-10"/>
          <w:w w:val="110"/>
          <w:sz w:val="22"/>
        </w:rPr>
        <w:t> </w:t>
      </w:r>
      <w:r>
        <w:rPr>
          <w:color w:val="4D4D4F"/>
          <w:w w:val="110"/>
          <w:sz w:val="22"/>
        </w:rPr>
        <w:t>panel</w:t>
      </w:r>
      <w:r>
        <w:rPr>
          <w:color w:val="4D4D4F"/>
          <w:spacing w:val="-10"/>
          <w:w w:val="110"/>
          <w:sz w:val="22"/>
        </w:rPr>
        <w:t> </w:t>
      </w:r>
      <w:r>
        <w:rPr>
          <w:color w:val="4D4D4F"/>
          <w:w w:val="110"/>
          <w:sz w:val="22"/>
        </w:rPr>
        <w:t>recom- mends referral to higher intensity </w:t>
      </w:r>
      <w:r>
        <w:rPr>
          <w:color w:val="4D4D4F"/>
          <w:spacing w:val="-3"/>
          <w:w w:val="110"/>
          <w:sz w:val="22"/>
        </w:rPr>
        <w:t>addiction </w:t>
      </w:r>
      <w:r>
        <w:rPr>
          <w:color w:val="4D4D4F"/>
          <w:w w:val="110"/>
          <w:sz w:val="22"/>
        </w:rPr>
        <w:t>treatment with medically supervised ben- zodiazepine withdrawal if available (e.g., intensive outpatient programs, residential treatment).</w:t>
      </w:r>
      <w:r>
        <w:rPr>
          <w:color w:val="4D4D4F"/>
          <w:spacing w:val="-18"/>
          <w:w w:val="110"/>
          <w:sz w:val="22"/>
        </w:rPr>
        <w:t> </w:t>
      </w:r>
      <w:r>
        <w:rPr>
          <w:color w:val="4D4D4F"/>
          <w:w w:val="110"/>
          <w:sz w:val="22"/>
        </w:rPr>
        <w:t>Do</w:t>
      </w:r>
      <w:r>
        <w:rPr>
          <w:color w:val="4D4D4F"/>
          <w:spacing w:val="-18"/>
          <w:w w:val="110"/>
          <w:sz w:val="22"/>
        </w:rPr>
        <w:t> </w:t>
      </w:r>
      <w:r>
        <w:rPr>
          <w:color w:val="4D4D4F"/>
          <w:w w:val="110"/>
          <w:sz w:val="22"/>
        </w:rPr>
        <w:t>not</w:t>
      </w:r>
      <w:r>
        <w:rPr>
          <w:color w:val="4D4D4F"/>
          <w:spacing w:val="-18"/>
          <w:w w:val="110"/>
          <w:sz w:val="22"/>
        </w:rPr>
        <w:t> </w:t>
      </w:r>
      <w:r>
        <w:rPr>
          <w:color w:val="4D4D4F"/>
          <w:w w:val="110"/>
          <w:sz w:val="22"/>
        </w:rPr>
        <w:t>rule</w:t>
      </w:r>
      <w:r>
        <w:rPr>
          <w:color w:val="4D4D4F"/>
          <w:spacing w:val="-18"/>
          <w:w w:val="110"/>
          <w:sz w:val="22"/>
        </w:rPr>
        <w:t> </w:t>
      </w:r>
      <w:r>
        <w:rPr>
          <w:color w:val="4D4D4F"/>
          <w:w w:val="110"/>
          <w:sz w:val="22"/>
        </w:rPr>
        <w:t>out</w:t>
      </w:r>
      <w:r>
        <w:rPr>
          <w:color w:val="4D4D4F"/>
          <w:spacing w:val="-17"/>
          <w:w w:val="110"/>
          <w:sz w:val="22"/>
        </w:rPr>
        <w:t> </w:t>
      </w:r>
      <w:r>
        <w:rPr>
          <w:color w:val="4D4D4F"/>
          <w:w w:val="110"/>
          <w:sz w:val="22"/>
        </w:rPr>
        <w:t>concurrent</w:t>
      </w:r>
      <w:r>
        <w:rPr>
          <w:color w:val="4D4D4F"/>
          <w:spacing w:val="-18"/>
          <w:w w:val="110"/>
          <w:sz w:val="22"/>
        </w:rPr>
        <w:t> </w:t>
      </w:r>
      <w:r>
        <w:rPr>
          <w:color w:val="4D4D4F"/>
          <w:w w:val="110"/>
          <w:sz w:val="22"/>
        </w:rPr>
        <w:t>use of buprenorphine or extended-release in- jectable</w:t>
      </w:r>
      <w:r>
        <w:rPr>
          <w:color w:val="4D4D4F"/>
          <w:spacing w:val="-40"/>
          <w:w w:val="110"/>
          <w:sz w:val="22"/>
        </w:rPr>
        <w:t> </w:t>
      </w:r>
      <w:r>
        <w:rPr>
          <w:color w:val="4D4D4F"/>
          <w:w w:val="110"/>
          <w:sz w:val="22"/>
        </w:rPr>
        <w:t>naltrexone</w:t>
      </w:r>
      <w:r>
        <w:rPr>
          <w:color w:val="4D4D4F"/>
          <w:spacing w:val="-39"/>
          <w:w w:val="110"/>
          <w:sz w:val="22"/>
        </w:rPr>
        <w:t> </w:t>
      </w:r>
      <w:r>
        <w:rPr>
          <w:color w:val="4D4D4F"/>
          <w:w w:val="110"/>
          <w:sz w:val="22"/>
        </w:rPr>
        <w:t>(XR-NTX)</w:t>
      </w:r>
      <w:r>
        <w:rPr>
          <w:color w:val="4D4D4F"/>
          <w:spacing w:val="-39"/>
          <w:w w:val="110"/>
          <w:sz w:val="22"/>
        </w:rPr>
        <w:t> </w:t>
      </w:r>
      <w:r>
        <w:rPr>
          <w:color w:val="4D4D4F"/>
          <w:w w:val="110"/>
          <w:sz w:val="22"/>
        </w:rPr>
        <w:t>for</w:t>
      </w:r>
      <w:r>
        <w:rPr>
          <w:color w:val="4D4D4F"/>
          <w:spacing w:val="-39"/>
          <w:w w:val="110"/>
          <w:sz w:val="22"/>
        </w:rPr>
        <w:t> </w:t>
      </w:r>
      <w:r>
        <w:rPr>
          <w:color w:val="4D4D4F"/>
          <w:w w:val="110"/>
          <w:sz w:val="22"/>
        </w:rPr>
        <w:t>treatment of OUD in more structured settings for these</w:t>
      </w:r>
      <w:r>
        <w:rPr>
          <w:color w:val="4D4D4F"/>
          <w:spacing w:val="-6"/>
          <w:w w:val="110"/>
          <w:sz w:val="22"/>
        </w:rPr>
        <w:t> </w:t>
      </w:r>
      <w:r>
        <w:rPr>
          <w:color w:val="4D4D4F"/>
          <w:w w:val="110"/>
          <w:sz w:val="22"/>
        </w:rPr>
        <w:t>patients.</w:t>
      </w:r>
    </w:p>
    <w:p>
      <w:pPr>
        <w:pStyle w:val="ListParagraph"/>
        <w:numPr>
          <w:ilvl w:val="1"/>
          <w:numId w:val="29"/>
        </w:numPr>
        <w:tabs>
          <w:tab w:pos="716" w:val="left" w:leader="none"/>
        </w:tabs>
        <w:spacing w:line="247" w:lineRule="auto" w:before="36" w:after="0"/>
        <w:ind w:left="716" w:right="62" w:hanging="270"/>
        <w:jc w:val="left"/>
        <w:rPr>
          <w:rFonts w:ascii="Arial" w:hAnsi="Arial"/>
          <w:color w:val="137692"/>
          <w:sz w:val="24"/>
        </w:rPr>
      </w:pPr>
      <w:r>
        <w:rPr>
          <w:color w:val="4D4D4F"/>
          <w:w w:val="115"/>
          <w:sz w:val="22"/>
        </w:rPr>
        <w:t>For</w:t>
      </w:r>
      <w:r>
        <w:rPr>
          <w:color w:val="4D4D4F"/>
          <w:spacing w:val="-28"/>
          <w:w w:val="115"/>
          <w:sz w:val="22"/>
        </w:rPr>
        <w:t> </w:t>
      </w:r>
      <w:r>
        <w:rPr>
          <w:color w:val="4D4D4F"/>
          <w:w w:val="115"/>
          <w:sz w:val="22"/>
        </w:rPr>
        <w:t>patients</w:t>
      </w:r>
      <w:r>
        <w:rPr>
          <w:color w:val="4D4D4F"/>
          <w:spacing w:val="-28"/>
          <w:w w:val="115"/>
          <w:sz w:val="22"/>
        </w:rPr>
        <w:t> </w:t>
      </w:r>
      <w:r>
        <w:rPr>
          <w:color w:val="4D4D4F"/>
          <w:w w:val="115"/>
          <w:sz w:val="22"/>
        </w:rPr>
        <w:t>who</w:t>
      </w:r>
      <w:r>
        <w:rPr>
          <w:color w:val="4D4D4F"/>
          <w:spacing w:val="-27"/>
          <w:w w:val="115"/>
          <w:sz w:val="22"/>
        </w:rPr>
        <w:t> </w:t>
      </w:r>
      <w:r>
        <w:rPr>
          <w:color w:val="4D4D4F"/>
          <w:w w:val="115"/>
          <w:sz w:val="22"/>
        </w:rPr>
        <w:t>are</w:t>
      </w:r>
      <w:r>
        <w:rPr>
          <w:color w:val="4D4D4F"/>
          <w:spacing w:val="-28"/>
          <w:w w:val="115"/>
          <w:sz w:val="22"/>
        </w:rPr>
        <w:t> </w:t>
      </w:r>
      <w:r>
        <w:rPr>
          <w:color w:val="4D4D4F"/>
          <w:w w:val="115"/>
          <w:sz w:val="22"/>
        </w:rPr>
        <w:t>physically</w:t>
      </w:r>
      <w:r>
        <w:rPr>
          <w:color w:val="4D4D4F"/>
          <w:spacing w:val="-28"/>
          <w:w w:val="115"/>
          <w:sz w:val="22"/>
        </w:rPr>
        <w:t> </w:t>
      </w:r>
      <w:r>
        <w:rPr>
          <w:color w:val="4D4D4F"/>
          <w:w w:val="115"/>
          <w:sz w:val="22"/>
        </w:rPr>
        <w:t>dependent on</w:t>
      </w:r>
      <w:r>
        <w:rPr>
          <w:color w:val="4D4D4F"/>
          <w:spacing w:val="-25"/>
          <w:w w:val="115"/>
          <w:sz w:val="22"/>
        </w:rPr>
        <w:t> </w:t>
      </w:r>
      <w:r>
        <w:rPr>
          <w:color w:val="4D4D4F"/>
          <w:w w:val="115"/>
          <w:sz w:val="22"/>
        </w:rPr>
        <w:t>illicit</w:t>
      </w:r>
      <w:r>
        <w:rPr>
          <w:color w:val="4D4D4F"/>
          <w:spacing w:val="-24"/>
          <w:w w:val="115"/>
          <w:sz w:val="22"/>
        </w:rPr>
        <w:t> </w:t>
      </w:r>
      <w:r>
        <w:rPr>
          <w:color w:val="4D4D4F"/>
          <w:w w:val="115"/>
          <w:sz w:val="22"/>
        </w:rPr>
        <w:t>benzodiazepines</w:t>
      </w:r>
      <w:r>
        <w:rPr>
          <w:color w:val="4D4D4F"/>
          <w:spacing w:val="-24"/>
          <w:w w:val="115"/>
          <w:sz w:val="22"/>
        </w:rPr>
        <w:t> </w:t>
      </w:r>
      <w:r>
        <w:rPr>
          <w:color w:val="4D4D4F"/>
          <w:w w:val="115"/>
          <w:sz w:val="22"/>
        </w:rPr>
        <w:t>but</w:t>
      </w:r>
      <w:r>
        <w:rPr>
          <w:color w:val="4D4D4F"/>
          <w:spacing w:val="-24"/>
          <w:w w:val="115"/>
          <w:sz w:val="22"/>
        </w:rPr>
        <w:t> </w:t>
      </w:r>
      <w:r>
        <w:rPr>
          <w:color w:val="4D4D4F"/>
          <w:w w:val="115"/>
          <w:sz w:val="22"/>
        </w:rPr>
        <w:t>do</w:t>
      </w:r>
      <w:r>
        <w:rPr>
          <w:color w:val="4D4D4F"/>
          <w:spacing w:val="-25"/>
          <w:w w:val="115"/>
          <w:sz w:val="22"/>
        </w:rPr>
        <w:t> </w:t>
      </w:r>
      <w:r>
        <w:rPr>
          <w:color w:val="4D4D4F"/>
          <w:w w:val="115"/>
          <w:sz w:val="22"/>
        </w:rPr>
        <w:t>not</w:t>
      </w:r>
      <w:r>
        <w:rPr>
          <w:color w:val="4D4D4F"/>
          <w:spacing w:val="-24"/>
          <w:w w:val="115"/>
          <w:sz w:val="22"/>
        </w:rPr>
        <w:t> </w:t>
      </w:r>
      <w:r>
        <w:rPr>
          <w:color w:val="4D4D4F"/>
          <w:w w:val="115"/>
          <w:sz w:val="22"/>
        </w:rPr>
        <w:t>inject or binge, a gradual outpatient medically supervised withdrawal can be attempted using long-acting benzodiazepines, under certain</w:t>
      </w:r>
      <w:r>
        <w:rPr>
          <w:color w:val="4D4D4F"/>
          <w:spacing w:val="-34"/>
          <w:w w:val="115"/>
          <w:sz w:val="22"/>
        </w:rPr>
        <w:t> </w:t>
      </w:r>
      <w:r>
        <w:rPr>
          <w:color w:val="4D4D4F"/>
          <w:w w:val="115"/>
          <w:sz w:val="22"/>
        </w:rPr>
        <w:t>conditions</w:t>
      </w:r>
      <w:r>
        <w:rPr>
          <w:color w:val="4D4D4F"/>
          <w:spacing w:val="-34"/>
          <w:w w:val="115"/>
          <w:sz w:val="22"/>
        </w:rPr>
        <w:t> </w:t>
      </w:r>
      <w:r>
        <w:rPr>
          <w:color w:val="4D4D4F"/>
          <w:w w:val="115"/>
          <w:sz w:val="22"/>
        </w:rPr>
        <w:t>that</w:t>
      </w:r>
      <w:r>
        <w:rPr>
          <w:color w:val="4D4D4F"/>
          <w:spacing w:val="-33"/>
          <w:w w:val="115"/>
          <w:sz w:val="22"/>
        </w:rPr>
        <w:t> </w:t>
      </w:r>
      <w:r>
        <w:rPr>
          <w:color w:val="4D4D4F"/>
          <w:w w:val="115"/>
          <w:sz w:val="22"/>
        </w:rPr>
        <w:t>promote</w:t>
      </w:r>
      <w:r>
        <w:rPr>
          <w:color w:val="4D4D4F"/>
          <w:spacing w:val="-34"/>
          <w:w w:val="115"/>
          <w:sz w:val="22"/>
        </w:rPr>
        <w:t> </w:t>
      </w:r>
      <w:r>
        <w:rPr>
          <w:color w:val="4D4D4F"/>
          <w:w w:val="115"/>
          <w:sz w:val="22"/>
        </w:rPr>
        <w:t>safety</w:t>
      </w:r>
      <w:r>
        <w:rPr>
          <w:color w:val="4D4D4F"/>
          <w:spacing w:val="-34"/>
          <w:w w:val="115"/>
          <w:sz w:val="22"/>
        </w:rPr>
        <w:t> </w:t>
      </w:r>
      <w:r>
        <w:rPr>
          <w:color w:val="4D4D4F"/>
          <w:spacing w:val="-6"/>
          <w:w w:val="115"/>
          <w:sz w:val="22"/>
        </w:rPr>
        <w:t>and </w:t>
      </w:r>
      <w:r>
        <w:rPr>
          <w:color w:val="4D4D4F"/>
          <w:w w:val="115"/>
          <w:sz w:val="22"/>
        </w:rPr>
        <w:t>reduce</w:t>
      </w:r>
      <w:r>
        <w:rPr>
          <w:color w:val="4D4D4F"/>
          <w:spacing w:val="-36"/>
          <w:w w:val="115"/>
          <w:sz w:val="22"/>
        </w:rPr>
        <w:t> </w:t>
      </w:r>
      <w:r>
        <w:rPr>
          <w:color w:val="4D4D4F"/>
          <w:w w:val="115"/>
          <w:sz w:val="22"/>
        </w:rPr>
        <w:t>risk.</w:t>
      </w:r>
      <w:r>
        <w:rPr>
          <w:color w:val="4D4D4F"/>
          <w:spacing w:val="-36"/>
          <w:w w:val="115"/>
          <w:sz w:val="22"/>
        </w:rPr>
        <w:t> </w:t>
      </w:r>
      <w:r>
        <w:rPr>
          <w:color w:val="4D4D4F"/>
          <w:w w:val="115"/>
          <w:sz w:val="22"/>
        </w:rPr>
        <w:t>These</w:t>
      </w:r>
      <w:r>
        <w:rPr>
          <w:color w:val="4D4D4F"/>
          <w:spacing w:val="-36"/>
          <w:w w:val="115"/>
          <w:sz w:val="22"/>
        </w:rPr>
        <w:t> </w:t>
      </w:r>
      <w:r>
        <w:rPr>
          <w:color w:val="4D4D4F"/>
          <w:w w:val="115"/>
          <w:sz w:val="22"/>
        </w:rPr>
        <w:t>conditions</w:t>
      </w:r>
      <w:r>
        <w:rPr>
          <w:color w:val="4D4D4F"/>
          <w:spacing w:val="-36"/>
          <w:w w:val="115"/>
          <w:sz w:val="22"/>
        </w:rPr>
        <w:t> </w:t>
      </w:r>
      <w:r>
        <w:rPr>
          <w:color w:val="4D4D4F"/>
          <w:w w:val="115"/>
          <w:sz w:val="22"/>
        </w:rPr>
        <w:t>may</w:t>
      </w:r>
      <w:r>
        <w:rPr>
          <w:color w:val="4D4D4F"/>
          <w:spacing w:val="-36"/>
          <w:w w:val="115"/>
          <w:sz w:val="22"/>
        </w:rPr>
        <w:t> </w:t>
      </w:r>
      <w:r>
        <w:rPr>
          <w:color w:val="4D4D4F"/>
          <w:w w:val="115"/>
          <w:sz w:val="22"/>
        </w:rPr>
        <w:t>include:</w:t>
      </w:r>
    </w:p>
    <w:p>
      <w:pPr>
        <w:pStyle w:val="ListParagraph"/>
        <w:numPr>
          <w:ilvl w:val="2"/>
          <w:numId w:val="29"/>
        </w:numPr>
        <w:tabs>
          <w:tab w:pos="950" w:val="left" w:leader="none"/>
        </w:tabs>
        <w:spacing w:line="208" w:lineRule="auto" w:before="62" w:after="0"/>
        <w:ind w:left="950" w:right="122" w:hanging="270"/>
        <w:jc w:val="left"/>
        <w:rPr>
          <w:sz w:val="22"/>
        </w:rPr>
      </w:pPr>
      <w:r>
        <w:rPr>
          <w:color w:val="4D4D4F"/>
          <w:w w:val="110"/>
          <w:sz w:val="22"/>
        </w:rPr>
        <w:t>Requiring frequent ofﬁce visits with ob- servation of patients taking</w:t>
      </w:r>
      <w:r>
        <w:rPr>
          <w:color w:val="4D4D4F"/>
          <w:spacing w:val="45"/>
          <w:w w:val="110"/>
          <w:sz w:val="22"/>
        </w:rPr>
        <w:t> </w:t>
      </w:r>
      <w:r>
        <w:rPr>
          <w:color w:val="4D4D4F"/>
          <w:w w:val="110"/>
          <w:sz w:val="22"/>
        </w:rPr>
        <w:t>medication.</w:t>
      </w:r>
    </w:p>
    <w:p>
      <w:pPr>
        <w:pStyle w:val="ListParagraph"/>
        <w:numPr>
          <w:ilvl w:val="2"/>
          <w:numId w:val="29"/>
        </w:numPr>
        <w:tabs>
          <w:tab w:pos="950" w:val="left" w:leader="none"/>
        </w:tabs>
        <w:spacing w:line="208" w:lineRule="auto" w:before="69" w:after="0"/>
        <w:ind w:left="950" w:right="284" w:hanging="270"/>
        <w:jc w:val="left"/>
        <w:rPr>
          <w:sz w:val="22"/>
        </w:rPr>
      </w:pPr>
      <w:r>
        <w:rPr>
          <w:color w:val="4D4D4F"/>
          <w:w w:val="115"/>
          <w:sz w:val="22"/>
        </w:rPr>
        <w:t>Having signiﬁcant others monitor patients</w:t>
      </w:r>
      <w:r>
        <w:rPr>
          <w:color w:val="4D4D4F"/>
          <w:spacing w:val="-24"/>
          <w:w w:val="115"/>
          <w:sz w:val="22"/>
        </w:rPr>
        <w:t> </w:t>
      </w:r>
      <w:r>
        <w:rPr>
          <w:color w:val="4D4D4F"/>
          <w:w w:val="115"/>
          <w:sz w:val="22"/>
        </w:rPr>
        <w:t>and</w:t>
      </w:r>
      <w:r>
        <w:rPr>
          <w:color w:val="4D4D4F"/>
          <w:spacing w:val="-24"/>
          <w:w w:val="115"/>
          <w:sz w:val="22"/>
        </w:rPr>
        <w:t> </w:t>
      </w:r>
      <w:r>
        <w:rPr>
          <w:color w:val="4D4D4F"/>
          <w:w w:val="115"/>
          <w:sz w:val="22"/>
        </w:rPr>
        <w:t>report</w:t>
      </w:r>
      <w:r>
        <w:rPr>
          <w:color w:val="4D4D4F"/>
          <w:spacing w:val="-23"/>
          <w:w w:val="115"/>
          <w:sz w:val="22"/>
        </w:rPr>
        <w:t> </w:t>
      </w:r>
      <w:r>
        <w:rPr>
          <w:color w:val="4D4D4F"/>
          <w:w w:val="115"/>
          <w:sz w:val="22"/>
        </w:rPr>
        <w:t>back</w:t>
      </w:r>
      <w:r>
        <w:rPr>
          <w:color w:val="4D4D4F"/>
          <w:spacing w:val="-24"/>
          <w:w w:val="115"/>
          <w:sz w:val="22"/>
        </w:rPr>
        <w:t> </w:t>
      </w:r>
      <w:r>
        <w:rPr>
          <w:color w:val="4D4D4F"/>
          <w:w w:val="115"/>
          <w:sz w:val="22"/>
        </w:rPr>
        <w:t>to</w:t>
      </w:r>
      <w:r>
        <w:rPr>
          <w:color w:val="4D4D4F"/>
          <w:spacing w:val="-23"/>
          <w:w w:val="115"/>
          <w:sz w:val="22"/>
        </w:rPr>
        <w:t> </w:t>
      </w:r>
      <w:r>
        <w:rPr>
          <w:color w:val="4D4D4F"/>
          <w:w w:val="115"/>
          <w:sz w:val="22"/>
        </w:rPr>
        <w:t>the</w:t>
      </w:r>
      <w:r>
        <w:rPr>
          <w:color w:val="4D4D4F"/>
          <w:spacing w:val="-24"/>
          <w:w w:val="115"/>
          <w:sz w:val="22"/>
        </w:rPr>
        <w:t> </w:t>
      </w:r>
      <w:r>
        <w:rPr>
          <w:color w:val="4D4D4F"/>
          <w:spacing w:val="-4"/>
          <w:w w:val="115"/>
          <w:sz w:val="22"/>
        </w:rPr>
        <w:t>ofﬁce.</w:t>
      </w:r>
    </w:p>
    <w:p>
      <w:pPr>
        <w:pStyle w:val="ListParagraph"/>
        <w:numPr>
          <w:ilvl w:val="2"/>
          <w:numId w:val="29"/>
        </w:numPr>
        <w:tabs>
          <w:tab w:pos="950" w:val="left" w:leader="none"/>
        </w:tabs>
        <w:spacing w:line="208" w:lineRule="auto" w:before="69" w:after="0"/>
        <w:ind w:left="950" w:right="321" w:hanging="270"/>
        <w:jc w:val="left"/>
        <w:rPr>
          <w:sz w:val="22"/>
        </w:rPr>
      </w:pPr>
      <w:r>
        <w:rPr>
          <w:color w:val="4D4D4F"/>
          <w:w w:val="110"/>
          <w:sz w:val="22"/>
        </w:rPr>
        <w:t>Offering a short-duration </w:t>
      </w:r>
      <w:r>
        <w:rPr>
          <w:color w:val="4D4D4F"/>
          <w:spacing w:val="-3"/>
          <w:w w:val="110"/>
          <w:sz w:val="22"/>
        </w:rPr>
        <w:t>prescription </w:t>
      </w:r>
      <w:r>
        <w:rPr>
          <w:color w:val="4D4D4F"/>
          <w:spacing w:val="-3"/>
          <w:w w:val="115"/>
          <w:sz w:val="22"/>
        </w:rPr>
        <w:t>supply.</w:t>
      </w:r>
    </w:p>
    <w:p>
      <w:pPr>
        <w:pStyle w:val="ListParagraph"/>
        <w:numPr>
          <w:ilvl w:val="2"/>
          <w:numId w:val="29"/>
        </w:numPr>
        <w:tabs>
          <w:tab w:pos="950" w:val="left" w:leader="none"/>
        </w:tabs>
        <w:spacing w:line="208" w:lineRule="auto" w:before="69" w:after="0"/>
        <w:ind w:left="950" w:right="1" w:hanging="270"/>
        <w:jc w:val="left"/>
        <w:rPr>
          <w:sz w:val="22"/>
        </w:rPr>
      </w:pPr>
      <w:r>
        <w:rPr>
          <w:color w:val="4D4D4F"/>
          <w:spacing w:val="-4"/>
          <w:w w:val="110"/>
          <w:sz w:val="22"/>
        </w:rPr>
        <w:t>Monitoring prescription </w:t>
      </w:r>
      <w:r>
        <w:rPr>
          <w:color w:val="4D4D4F"/>
          <w:spacing w:val="-3"/>
          <w:w w:val="110"/>
          <w:sz w:val="22"/>
        </w:rPr>
        <w:t>drug </w:t>
      </w:r>
      <w:r>
        <w:rPr>
          <w:color w:val="4D4D4F"/>
          <w:spacing w:val="-4"/>
          <w:w w:val="110"/>
          <w:sz w:val="22"/>
        </w:rPr>
        <w:t>monitoring program </w:t>
      </w:r>
      <w:r>
        <w:rPr>
          <w:color w:val="4D4D4F"/>
          <w:spacing w:val="-3"/>
          <w:w w:val="110"/>
          <w:sz w:val="22"/>
        </w:rPr>
        <w:t>(PDMP) </w:t>
      </w:r>
      <w:r>
        <w:rPr>
          <w:color w:val="4D4D4F"/>
          <w:spacing w:val="-4"/>
          <w:w w:val="110"/>
          <w:sz w:val="22"/>
        </w:rPr>
        <w:t>reports more</w:t>
      </w:r>
      <w:r>
        <w:rPr>
          <w:color w:val="4D4D4F"/>
          <w:spacing w:val="-34"/>
          <w:w w:val="110"/>
          <w:sz w:val="22"/>
        </w:rPr>
        <w:t> </w:t>
      </w:r>
      <w:r>
        <w:rPr>
          <w:color w:val="4D4D4F"/>
          <w:spacing w:val="-5"/>
          <w:w w:val="110"/>
          <w:sz w:val="22"/>
        </w:rPr>
        <w:t>frequently.</w:t>
      </w:r>
    </w:p>
    <w:p>
      <w:pPr>
        <w:pStyle w:val="ListParagraph"/>
        <w:numPr>
          <w:ilvl w:val="2"/>
          <w:numId w:val="29"/>
        </w:numPr>
        <w:tabs>
          <w:tab w:pos="950" w:val="left" w:leader="none"/>
        </w:tabs>
        <w:spacing w:line="240" w:lineRule="auto" w:before="40" w:after="0"/>
        <w:ind w:left="950" w:right="0" w:hanging="270"/>
        <w:jc w:val="left"/>
        <w:rPr>
          <w:sz w:val="22"/>
        </w:rPr>
      </w:pPr>
      <w:r>
        <w:rPr>
          <w:color w:val="4D4D4F"/>
          <w:w w:val="110"/>
          <w:sz w:val="22"/>
        </w:rPr>
        <w:t>Conducting frequent urine</w:t>
      </w:r>
      <w:r>
        <w:rPr>
          <w:color w:val="4D4D4F"/>
          <w:spacing w:val="-12"/>
          <w:w w:val="110"/>
          <w:sz w:val="22"/>
        </w:rPr>
        <w:t> </w:t>
      </w:r>
      <w:r>
        <w:rPr>
          <w:color w:val="4D4D4F"/>
          <w:w w:val="110"/>
          <w:sz w:val="22"/>
        </w:rPr>
        <w:t>tests.</w:t>
      </w:r>
    </w:p>
    <w:p>
      <w:pPr>
        <w:pStyle w:val="ListParagraph"/>
        <w:numPr>
          <w:ilvl w:val="3"/>
          <w:numId w:val="29"/>
        </w:numPr>
        <w:tabs>
          <w:tab w:pos="1147" w:val="left" w:leader="none"/>
        </w:tabs>
        <w:spacing w:line="225" w:lineRule="auto" w:before="105" w:after="0"/>
        <w:ind w:left="1146" w:right="205" w:hanging="270"/>
        <w:jc w:val="left"/>
        <w:rPr>
          <w:sz w:val="22"/>
        </w:rPr>
      </w:pPr>
      <w:r>
        <w:rPr>
          <w:color w:val="4D4D4F"/>
          <w:w w:val="113"/>
          <w:sz w:val="22"/>
        </w:rPr>
        <w:br w:type="column"/>
      </w:r>
      <w:r>
        <w:rPr>
          <w:color w:val="4D4D4F"/>
          <w:w w:val="115"/>
          <w:sz w:val="22"/>
        </w:rPr>
        <w:t>Using written treatment agreements outlining conditions for dual buprenor- phine</w:t>
      </w:r>
      <w:r>
        <w:rPr>
          <w:color w:val="4D4D4F"/>
          <w:spacing w:val="-22"/>
          <w:w w:val="115"/>
          <w:sz w:val="22"/>
        </w:rPr>
        <w:t> </w:t>
      </w:r>
      <w:r>
        <w:rPr>
          <w:color w:val="4D4D4F"/>
          <w:w w:val="115"/>
          <w:sz w:val="22"/>
        </w:rPr>
        <w:t>and</w:t>
      </w:r>
      <w:r>
        <w:rPr>
          <w:color w:val="4D4D4F"/>
          <w:spacing w:val="-21"/>
          <w:w w:val="115"/>
          <w:sz w:val="22"/>
        </w:rPr>
        <w:t> </w:t>
      </w:r>
      <w:r>
        <w:rPr>
          <w:color w:val="4D4D4F"/>
          <w:w w:val="115"/>
          <w:sz w:val="22"/>
        </w:rPr>
        <w:t>benzodiazepine</w:t>
      </w:r>
      <w:r>
        <w:rPr>
          <w:color w:val="4D4D4F"/>
          <w:spacing w:val="-21"/>
          <w:w w:val="115"/>
          <w:sz w:val="22"/>
        </w:rPr>
        <w:t> </w:t>
      </w:r>
      <w:r>
        <w:rPr>
          <w:color w:val="4D4D4F"/>
          <w:spacing w:val="-3"/>
          <w:w w:val="115"/>
          <w:sz w:val="22"/>
        </w:rPr>
        <w:t>prescriptions.</w:t>
      </w:r>
    </w:p>
    <w:p>
      <w:pPr>
        <w:pStyle w:val="BodyText"/>
        <w:spacing w:line="247" w:lineRule="auto" w:before="84"/>
        <w:ind w:left="912" w:right="386" w:hanging="270"/>
        <w:rPr>
          <w:sz w:val="13"/>
        </w:rPr>
      </w:pPr>
      <w:r>
        <w:rPr>
          <w:rFonts w:ascii="Arial"/>
          <w:color w:val="137692"/>
          <w:w w:val="145"/>
          <w:sz w:val="24"/>
        </w:rPr>
        <w:t>-</w:t>
      </w:r>
      <w:r>
        <w:rPr>
          <w:rFonts w:ascii="Arial"/>
          <w:color w:val="137692"/>
          <w:spacing w:val="4"/>
          <w:w w:val="145"/>
          <w:sz w:val="24"/>
        </w:rPr>
        <w:t> </w:t>
      </w:r>
      <w:r>
        <w:rPr>
          <w:color w:val="4D4D4F"/>
          <w:w w:val="115"/>
        </w:rPr>
        <w:t>Review</w:t>
      </w:r>
      <w:r>
        <w:rPr>
          <w:color w:val="4D4D4F"/>
          <w:spacing w:val="-23"/>
          <w:w w:val="115"/>
        </w:rPr>
        <w:t> </w:t>
      </w:r>
      <w:r>
        <w:rPr>
          <w:color w:val="4D4D4F"/>
          <w:w w:val="115"/>
        </w:rPr>
        <w:t>patient</w:t>
      </w:r>
      <w:r>
        <w:rPr>
          <w:color w:val="4D4D4F"/>
          <w:spacing w:val="-23"/>
          <w:w w:val="115"/>
        </w:rPr>
        <w:t> </w:t>
      </w:r>
      <w:r>
        <w:rPr>
          <w:color w:val="4D4D4F"/>
          <w:w w:val="115"/>
        </w:rPr>
        <w:t>progress</w:t>
      </w:r>
      <w:r>
        <w:rPr>
          <w:color w:val="4D4D4F"/>
          <w:spacing w:val="-22"/>
          <w:w w:val="115"/>
        </w:rPr>
        <w:t> </w:t>
      </w:r>
      <w:r>
        <w:rPr>
          <w:color w:val="4D4D4F"/>
          <w:w w:val="115"/>
        </w:rPr>
        <w:t>regularly;</w:t>
      </w:r>
      <w:r>
        <w:rPr>
          <w:color w:val="4D4D4F"/>
          <w:spacing w:val="-23"/>
          <w:w w:val="115"/>
        </w:rPr>
        <w:t> </w:t>
      </w:r>
      <w:r>
        <w:rPr>
          <w:color w:val="4D4D4F"/>
          <w:w w:val="115"/>
        </w:rPr>
        <w:t>adjust treatment plans as needed. Document treatment</w:t>
      </w:r>
      <w:r>
        <w:rPr>
          <w:color w:val="4D4D4F"/>
          <w:spacing w:val="-41"/>
          <w:w w:val="115"/>
        </w:rPr>
        <w:t> </w:t>
      </w:r>
      <w:r>
        <w:rPr>
          <w:color w:val="4D4D4F"/>
          <w:w w:val="115"/>
        </w:rPr>
        <w:t>decisions,</w:t>
      </w:r>
      <w:r>
        <w:rPr>
          <w:color w:val="4D4D4F"/>
          <w:spacing w:val="-40"/>
          <w:w w:val="115"/>
        </w:rPr>
        <w:t> </w:t>
      </w:r>
      <w:r>
        <w:rPr>
          <w:color w:val="4D4D4F"/>
          <w:w w:val="115"/>
        </w:rPr>
        <w:t>as</w:t>
      </w:r>
      <w:r>
        <w:rPr>
          <w:color w:val="4D4D4F"/>
          <w:spacing w:val="-41"/>
          <w:w w:val="115"/>
        </w:rPr>
        <w:t> </w:t>
      </w:r>
      <w:r>
        <w:rPr>
          <w:color w:val="4D4D4F"/>
          <w:w w:val="115"/>
        </w:rPr>
        <w:t>research</w:t>
      </w:r>
      <w:r>
        <w:rPr>
          <w:color w:val="4D4D4F"/>
          <w:spacing w:val="-40"/>
          <w:w w:val="115"/>
        </w:rPr>
        <w:t> </w:t>
      </w:r>
      <w:r>
        <w:rPr>
          <w:color w:val="4D4D4F"/>
          <w:spacing w:val="-3"/>
          <w:w w:val="115"/>
        </w:rPr>
        <w:t>showing </w:t>
      </w:r>
      <w:r>
        <w:rPr>
          <w:color w:val="4D4D4F"/>
          <w:w w:val="115"/>
        </w:rPr>
        <w:t>the effectiveness and safety of these approaches is</w:t>
      </w:r>
      <w:r>
        <w:rPr>
          <w:color w:val="4D4D4F"/>
          <w:spacing w:val="-20"/>
          <w:w w:val="115"/>
        </w:rPr>
        <w:t> </w:t>
      </w:r>
      <w:r>
        <w:rPr>
          <w:color w:val="4D4D4F"/>
          <w:w w:val="115"/>
        </w:rPr>
        <w:t>lacking.</w:t>
      </w:r>
      <w:r>
        <w:rPr>
          <w:color w:val="4D4D4F"/>
          <w:w w:val="115"/>
          <w:position w:val="7"/>
          <w:sz w:val="13"/>
        </w:rPr>
        <w:t>355</w:t>
      </w:r>
    </w:p>
    <w:p>
      <w:pPr>
        <w:pStyle w:val="ListParagraph"/>
        <w:numPr>
          <w:ilvl w:val="0"/>
          <w:numId w:val="45"/>
        </w:numPr>
        <w:tabs>
          <w:tab w:pos="607" w:val="left" w:leader="none"/>
        </w:tabs>
        <w:spacing w:line="264" w:lineRule="exact" w:before="178" w:after="0"/>
        <w:ind w:left="606" w:right="374" w:hanging="270"/>
        <w:jc w:val="left"/>
        <w:rPr>
          <w:sz w:val="22"/>
        </w:rPr>
      </w:pPr>
      <w:r>
        <w:rPr>
          <w:rFonts w:ascii="Calibri" w:hAnsi="Calibri"/>
          <w:b/>
          <w:color w:val="4D4D4F"/>
          <w:w w:val="110"/>
          <w:sz w:val="22"/>
        </w:rPr>
        <w:t>Signiﬁcant comorbid mental illness or suicidal or homicidal ideation.  </w:t>
      </w:r>
      <w:r>
        <w:rPr>
          <w:color w:val="4D4D4F"/>
          <w:w w:val="110"/>
          <w:sz w:val="22"/>
        </w:rPr>
        <w:t>Patients who are actively suicidal, homicidal, </w:t>
      </w:r>
      <w:r>
        <w:rPr>
          <w:color w:val="4D4D4F"/>
          <w:spacing w:val="-4"/>
          <w:w w:val="110"/>
          <w:sz w:val="22"/>
        </w:rPr>
        <w:t>severely </w:t>
      </w:r>
      <w:r>
        <w:rPr>
          <w:color w:val="4D4D4F"/>
          <w:w w:val="110"/>
          <w:sz w:val="22"/>
        </w:rPr>
        <w:t>depressed, or psychotic or who are having other signiﬁcant psychiatric problems may need assessment and treatment by a mental health professional who can treat</w:t>
      </w:r>
      <w:r>
        <w:rPr>
          <w:color w:val="4D4D4F"/>
          <w:spacing w:val="-22"/>
          <w:w w:val="110"/>
          <w:sz w:val="22"/>
        </w:rPr>
        <w:t> </w:t>
      </w:r>
      <w:r>
        <w:rPr>
          <w:color w:val="4D4D4F"/>
          <w:w w:val="110"/>
          <w:sz w:val="22"/>
        </w:rPr>
        <w:t>both</w:t>
      </w:r>
    </w:p>
    <w:p>
      <w:pPr>
        <w:pStyle w:val="BodyText"/>
        <w:spacing w:line="247" w:lineRule="auto" w:before="7"/>
        <w:ind w:left="606" w:right="386"/>
      </w:pPr>
      <w:r>
        <w:rPr>
          <w:color w:val="4D4D4F"/>
          <w:w w:val="110"/>
        </w:rPr>
        <w:t>the psychiatric comorbidity and the OUD. Depending on the severity, they may need higher levels of mental health services in</w:t>
      </w:r>
    </w:p>
    <w:p>
      <w:pPr>
        <w:pStyle w:val="BodyText"/>
        <w:spacing w:line="247" w:lineRule="auto" w:before="4"/>
        <w:ind w:left="606" w:right="165"/>
      </w:pPr>
      <w:r>
        <w:rPr>
          <w:color w:val="4D4D4F"/>
          <w:w w:val="115"/>
        </w:rPr>
        <w:t>a crisis </w:t>
      </w:r>
      <w:r>
        <w:rPr>
          <w:color w:val="4D4D4F"/>
          <w:spacing w:val="-3"/>
          <w:w w:val="115"/>
        </w:rPr>
        <w:t>center, </w:t>
      </w:r>
      <w:r>
        <w:rPr>
          <w:color w:val="4D4D4F"/>
          <w:w w:val="115"/>
        </w:rPr>
        <w:t>emergency department, or inpatient</w:t>
      </w:r>
      <w:r>
        <w:rPr>
          <w:color w:val="4D4D4F"/>
          <w:spacing w:val="-25"/>
          <w:w w:val="115"/>
        </w:rPr>
        <w:t> </w:t>
      </w:r>
      <w:r>
        <w:rPr>
          <w:color w:val="4D4D4F"/>
          <w:w w:val="115"/>
        </w:rPr>
        <w:t>setting.</w:t>
      </w:r>
      <w:r>
        <w:rPr>
          <w:color w:val="4D4D4F"/>
          <w:spacing w:val="-25"/>
          <w:w w:val="115"/>
        </w:rPr>
        <w:t> </w:t>
      </w:r>
      <w:r>
        <w:rPr>
          <w:color w:val="4D4D4F"/>
          <w:w w:val="115"/>
        </w:rPr>
        <w:t>An</w:t>
      </w:r>
      <w:r>
        <w:rPr>
          <w:color w:val="4D4D4F"/>
          <w:spacing w:val="-25"/>
          <w:w w:val="115"/>
        </w:rPr>
        <w:t> </w:t>
      </w:r>
      <w:r>
        <w:rPr>
          <w:color w:val="4D4D4F"/>
          <w:w w:val="115"/>
        </w:rPr>
        <w:t>addiction</w:t>
      </w:r>
      <w:r>
        <w:rPr>
          <w:color w:val="4D4D4F"/>
          <w:spacing w:val="-25"/>
          <w:w w:val="115"/>
        </w:rPr>
        <w:t> </w:t>
      </w:r>
      <w:r>
        <w:rPr>
          <w:color w:val="4D4D4F"/>
          <w:w w:val="115"/>
        </w:rPr>
        <w:t>psychiatrist</w:t>
      </w:r>
      <w:r>
        <w:rPr>
          <w:color w:val="4D4D4F"/>
          <w:spacing w:val="-25"/>
          <w:w w:val="115"/>
        </w:rPr>
        <w:t> </w:t>
      </w:r>
      <w:r>
        <w:rPr>
          <w:color w:val="4D4D4F"/>
          <w:spacing w:val="-6"/>
          <w:w w:val="115"/>
        </w:rPr>
        <w:t>can </w:t>
      </w:r>
      <w:r>
        <w:rPr>
          <w:color w:val="4D4D4F"/>
          <w:w w:val="115"/>
        </w:rPr>
        <w:t>treat such patients upon</w:t>
      </w:r>
      <w:r>
        <w:rPr>
          <w:color w:val="4D4D4F"/>
          <w:spacing w:val="-49"/>
          <w:w w:val="115"/>
        </w:rPr>
        <w:t> </w:t>
      </w:r>
      <w:r>
        <w:rPr>
          <w:color w:val="4D4D4F"/>
          <w:w w:val="115"/>
        </w:rPr>
        <w:t>discharge.</w:t>
      </w:r>
    </w:p>
    <w:p>
      <w:pPr>
        <w:pStyle w:val="ListParagraph"/>
        <w:numPr>
          <w:ilvl w:val="0"/>
          <w:numId w:val="45"/>
        </w:numPr>
        <w:tabs>
          <w:tab w:pos="607" w:val="left" w:leader="none"/>
        </w:tabs>
        <w:spacing w:line="264" w:lineRule="exact" w:before="40" w:after="0"/>
        <w:ind w:left="606" w:right="166" w:hanging="270"/>
        <w:jc w:val="left"/>
        <w:rPr>
          <w:sz w:val="13"/>
        </w:rPr>
      </w:pPr>
      <w:r>
        <w:rPr>
          <w:rFonts w:ascii="Calibri" w:hAnsi="Calibri"/>
          <w:b/>
          <w:color w:val="4D4D4F"/>
          <w:w w:val="110"/>
          <w:sz w:val="22"/>
        </w:rPr>
        <w:t>Signiﬁcant medical comorbidity, including infections. </w:t>
      </w:r>
      <w:r>
        <w:rPr>
          <w:color w:val="4D4D4F"/>
          <w:w w:val="110"/>
          <w:sz w:val="22"/>
        </w:rPr>
        <w:t>Severe abscesses, endocarditis, or osteomyelitis from injecting drugs may </w:t>
      </w:r>
      <w:r>
        <w:rPr>
          <w:color w:val="4D4D4F"/>
          <w:spacing w:val="-5"/>
          <w:w w:val="110"/>
          <w:sz w:val="22"/>
        </w:rPr>
        <w:t>require </w:t>
      </w:r>
      <w:r>
        <w:rPr>
          <w:color w:val="4D4D4F"/>
          <w:w w:val="110"/>
          <w:sz w:val="22"/>
        </w:rPr>
        <w:t>hospitalization. If hospitalization is necessary, buprenorphine can be initiated.</w:t>
      </w:r>
      <w:r>
        <w:rPr>
          <w:color w:val="4D4D4F"/>
          <w:w w:val="110"/>
          <w:position w:val="7"/>
          <w:sz w:val="13"/>
        </w:rPr>
        <w:t>356 </w:t>
      </w:r>
      <w:r>
        <w:rPr>
          <w:color w:val="4D4D4F"/>
          <w:w w:val="110"/>
          <w:sz w:val="22"/>
        </w:rPr>
        <w:t>Initiation of HIV and hepatitis C virus treatments do not contraindicate buprenorphine</w:t>
      </w:r>
      <w:r>
        <w:rPr>
          <w:color w:val="4D4D4F"/>
          <w:spacing w:val="-5"/>
          <w:w w:val="110"/>
          <w:sz w:val="22"/>
        </w:rPr>
        <w:t> </w:t>
      </w:r>
      <w:r>
        <w:rPr>
          <w:color w:val="4D4D4F"/>
          <w:w w:val="110"/>
          <w:sz w:val="22"/>
        </w:rPr>
        <w:t>treatment.</w:t>
      </w:r>
      <w:r>
        <w:rPr>
          <w:color w:val="4D4D4F"/>
          <w:w w:val="110"/>
          <w:position w:val="7"/>
          <w:sz w:val="13"/>
        </w:rPr>
        <w:t>357</w:t>
      </w:r>
    </w:p>
    <w:p>
      <w:pPr>
        <w:pStyle w:val="BodyText"/>
        <w:spacing w:before="4"/>
      </w:pPr>
    </w:p>
    <w:p>
      <w:pPr>
        <w:pStyle w:val="Heading2"/>
        <w:spacing w:line="208" w:lineRule="auto" w:before="0"/>
        <w:ind w:left="336" w:right="1292"/>
      </w:pPr>
      <w:bookmarkStart w:name="_TOC_250027" w:id="88"/>
      <w:r>
        <w:rPr>
          <w:color w:val="137692"/>
          <w:spacing w:val="-3"/>
          <w:w w:val="110"/>
        </w:rPr>
        <w:t>Patient </w:t>
      </w:r>
      <w:r>
        <w:rPr>
          <w:color w:val="137692"/>
          <w:w w:val="110"/>
        </w:rPr>
        <w:t>Management and </w:t>
      </w:r>
      <w:r>
        <w:rPr>
          <w:color w:val="137692"/>
          <w:spacing w:val="-4"/>
          <w:w w:val="110"/>
        </w:rPr>
        <w:t>Treatment </w:t>
      </w:r>
      <w:bookmarkEnd w:id="88"/>
      <w:r>
        <w:rPr>
          <w:color w:val="137692"/>
          <w:spacing w:val="-3"/>
          <w:w w:val="110"/>
        </w:rPr>
        <w:t>Monitoring</w:t>
      </w:r>
    </w:p>
    <w:p>
      <w:pPr>
        <w:spacing w:line="242" w:lineRule="auto" w:before="38"/>
        <w:ind w:left="336" w:right="291" w:firstLine="0"/>
        <w:jc w:val="left"/>
        <w:rPr>
          <w:sz w:val="22"/>
        </w:rPr>
      </w:pPr>
      <w:r>
        <w:rPr>
          <w:rFonts w:ascii="Calibri" w:hAnsi="Calibri"/>
          <w:b/>
          <w:color w:val="4D4D4F"/>
          <w:w w:val="110"/>
          <w:sz w:val="22"/>
        </w:rPr>
        <w:t>Base management of OUD on a comprehen- sive assessment that is updated throughout treatment </w:t>
      </w:r>
      <w:r>
        <w:rPr>
          <w:color w:val="4D4D4F"/>
          <w:w w:val="110"/>
          <w:sz w:val="22"/>
        </w:rPr>
        <w:t>(see Part 2 of this TIP for more information on conducting assessments). Tailor the management approach to patients’ needs and goals. Components of the management approach include:</w:t>
      </w:r>
    </w:p>
    <w:p>
      <w:pPr>
        <w:pStyle w:val="ListParagraph"/>
        <w:numPr>
          <w:ilvl w:val="0"/>
          <w:numId w:val="45"/>
        </w:numPr>
        <w:tabs>
          <w:tab w:pos="607" w:val="left" w:leader="none"/>
        </w:tabs>
        <w:spacing w:line="315" w:lineRule="exact" w:before="105" w:after="0"/>
        <w:ind w:left="606" w:right="0" w:hanging="271"/>
        <w:jc w:val="left"/>
        <w:rPr>
          <w:sz w:val="22"/>
        </w:rPr>
      </w:pPr>
      <w:r>
        <w:rPr>
          <w:color w:val="4D4D4F"/>
          <w:w w:val="110"/>
          <w:sz w:val="22"/>
        </w:rPr>
        <w:t>The length and frequency of ofﬁce</w:t>
      </w:r>
      <w:r>
        <w:rPr>
          <w:color w:val="4D4D4F"/>
          <w:spacing w:val="-11"/>
          <w:w w:val="110"/>
          <w:sz w:val="22"/>
        </w:rPr>
        <w:t> </w:t>
      </w:r>
      <w:r>
        <w:rPr>
          <w:color w:val="4D4D4F"/>
          <w:w w:val="110"/>
          <w:sz w:val="22"/>
        </w:rPr>
        <w:t>visits.</w:t>
      </w:r>
    </w:p>
    <w:p>
      <w:pPr>
        <w:pStyle w:val="ListParagraph"/>
        <w:numPr>
          <w:ilvl w:val="0"/>
          <w:numId w:val="45"/>
        </w:numPr>
        <w:tabs>
          <w:tab w:pos="607" w:val="left" w:leader="none"/>
        </w:tabs>
        <w:spacing w:line="208" w:lineRule="auto" w:before="22" w:after="0"/>
        <w:ind w:left="606" w:right="394" w:hanging="270"/>
        <w:jc w:val="left"/>
        <w:rPr>
          <w:sz w:val="22"/>
        </w:rPr>
      </w:pPr>
      <w:r>
        <w:rPr>
          <w:color w:val="4D4D4F"/>
          <w:w w:val="110"/>
          <w:sz w:val="22"/>
        </w:rPr>
        <w:t>The length of time between prescriptions </w:t>
      </w:r>
      <w:r>
        <w:rPr>
          <w:color w:val="4D4D4F"/>
          <w:spacing w:val="-9"/>
          <w:w w:val="110"/>
          <w:sz w:val="22"/>
        </w:rPr>
        <w:t>or </w:t>
      </w:r>
      <w:r>
        <w:rPr>
          <w:color w:val="4D4D4F"/>
          <w:w w:val="110"/>
          <w:sz w:val="22"/>
        </w:rPr>
        <w:t>XR-NTX</w:t>
      </w:r>
      <w:r>
        <w:rPr>
          <w:color w:val="4D4D4F"/>
          <w:spacing w:val="-9"/>
          <w:w w:val="110"/>
          <w:sz w:val="22"/>
        </w:rPr>
        <w:t> </w:t>
      </w:r>
      <w:r>
        <w:rPr>
          <w:color w:val="4D4D4F"/>
          <w:w w:val="110"/>
          <w:sz w:val="22"/>
        </w:rPr>
        <w:t>injections.</w:t>
      </w:r>
    </w:p>
    <w:p>
      <w:pPr>
        <w:pStyle w:val="ListParagraph"/>
        <w:numPr>
          <w:ilvl w:val="0"/>
          <w:numId w:val="45"/>
        </w:numPr>
        <w:tabs>
          <w:tab w:pos="607" w:val="left" w:leader="none"/>
        </w:tabs>
        <w:spacing w:line="315" w:lineRule="exact" w:before="40" w:after="0"/>
        <w:ind w:left="606" w:right="0" w:hanging="271"/>
        <w:jc w:val="left"/>
        <w:rPr>
          <w:sz w:val="22"/>
        </w:rPr>
      </w:pPr>
      <w:r>
        <w:rPr>
          <w:color w:val="4D4D4F"/>
          <w:w w:val="110"/>
          <w:sz w:val="22"/>
        </w:rPr>
        <w:t>The frequency of drug</w:t>
      </w:r>
      <w:r>
        <w:rPr>
          <w:color w:val="4D4D4F"/>
          <w:spacing w:val="-16"/>
          <w:w w:val="110"/>
          <w:sz w:val="22"/>
        </w:rPr>
        <w:t> </w:t>
      </w:r>
      <w:r>
        <w:rPr>
          <w:color w:val="4D4D4F"/>
          <w:w w:val="110"/>
          <w:sz w:val="22"/>
        </w:rPr>
        <w:t>testing.</w:t>
      </w:r>
    </w:p>
    <w:p>
      <w:pPr>
        <w:pStyle w:val="ListParagraph"/>
        <w:numPr>
          <w:ilvl w:val="0"/>
          <w:numId w:val="45"/>
        </w:numPr>
        <w:tabs>
          <w:tab w:pos="607" w:val="left" w:leader="none"/>
        </w:tabs>
        <w:spacing w:line="208" w:lineRule="auto" w:before="22" w:after="0"/>
        <w:ind w:left="606" w:right="211" w:hanging="270"/>
        <w:jc w:val="left"/>
        <w:rPr>
          <w:sz w:val="22"/>
        </w:rPr>
      </w:pPr>
      <w:r>
        <w:rPr>
          <w:color w:val="4D4D4F"/>
          <w:w w:val="110"/>
          <w:sz w:val="22"/>
        </w:rPr>
        <w:t>Ancillary psychosocial and medical </w:t>
      </w:r>
      <w:r>
        <w:rPr>
          <w:color w:val="4D4D4F"/>
          <w:spacing w:val="-3"/>
          <w:w w:val="110"/>
          <w:sz w:val="22"/>
        </w:rPr>
        <w:t>treatments </w:t>
      </w:r>
      <w:r>
        <w:rPr>
          <w:color w:val="4D4D4F"/>
          <w:w w:val="110"/>
          <w:sz w:val="22"/>
        </w:rPr>
        <w:t>and</w:t>
      </w:r>
      <w:r>
        <w:rPr>
          <w:color w:val="4D4D4F"/>
          <w:spacing w:val="-7"/>
          <w:w w:val="110"/>
          <w:sz w:val="22"/>
        </w:rPr>
        <w:t> </w:t>
      </w:r>
      <w:r>
        <w:rPr>
          <w:color w:val="4D4D4F"/>
          <w:w w:val="110"/>
          <w:sz w:val="22"/>
        </w:rPr>
        <w:t>referrals.</w:t>
      </w:r>
    </w:p>
    <w:p>
      <w:pPr>
        <w:spacing w:after="0" w:line="208" w:lineRule="auto"/>
        <w:jc w:val="left"/>
        <w:rPr>
          <w:sz w:val="22"/>
        </w:rPr>
        <w:sectPr>
          <w:type w:val="continuous"/>
          <w:pgSz w:w="12240" w:h="15840"/>
          <w:pgMar w:top="540" w:bottom="280" w:left="940" w:right="920"/>
          <w:cols w:num="2" w:equalWidth="0">
            <w:col w:w="4984" w:space="40"/>
            <w:col w:w="5356"/>
          </w:cols>
        </w:sectPr>
      </w:pPr>
    </w:p>
    <w:p>
      <w:pPr>
        <w:pStyle w:val="BodyText"/>
        <w:spacing w:before="10"/>
        <w:rPr>
          <w:sz w:val="26"/>
        </w:rPr>
      </w:pPr>
    </w:p>
    <w:p>
      <w:pPr>
        <w:spacing w:after="0"/>
        <w:rPr>
          <w:sz w:val="26"/>
        </w:rPr>
        <w:sectPr>
          <w:pgSz w:w="12240" w:h="15840"/>
          <w:pgMar w:header="576" w:footer="677" w:top="1340" w:bottom="860" w:left="940" w:right="920"/>
        </w:sectPr>
      </w:pPr>
    </w:p>
    <w:p>
      <w:pPr>
        <w:pStyle w:val="Heading3"/>
        <w:spacing w:before="93"/>
      </w:pPr>
      <w:bookmarkStart w:name="_TOC_250026" w:id="89"/>
      <w:bookmarkEnd w:id="89"/>
      <w:r>
        <w:rPr>
          <w:color w:val="137692"/>
          <w:w w:val="105"/>
        </w:rPr>
        <w:t>Course of Treatment</w:t>
      </w:r>
    </w:p>
    <w:p>
      <w:pPr>
        <w:pStyle w:val="BodyText"/>
        <w:spacing w:line="244" w:lineRule="auto" w:before="43"/>
        <w:ind w:left="140" w:right="38"/>
      </w:pPr>
      <w:r>
        <w:rPr>
          <w:rFonts w:ascii="Calibri"/>
          <w:b/>
          <w:color w:val="4D4D4F"/>
          <w:w w:val="110"/>
        </w:rPr>
        <w:t>The typical course of OUD  treatment  is varied. There is often not a direct pathway from heavy illicit opioid use to no illicit </w:t>
      </w:r>
      <w:r>
        <w:rPr>
          <w:rFonts w:ascii="Calibri"/>
          <w:b/>
          <w:color w:val="4D4D4F"/>
          <w:spacing w:val="-3"/>
          <w:w w:val="110"/>
        </w:rPr>
        <w:t>opioid </w:t>
      </w:r>
      <w:r>
        <w:rPr>
          <w:rFonts w:ascii="Calibri"/>
          <w:b/>
          <w:color w:val="4D4D4F"/>
          <w:w w:val="110"/>
        </w:rPr>
        <w:t>use.</w:t>
      </w:r>
      <w:r>
        <w:rPr>
          <w:rFonts w:ascii="Calibri"/>
          <w:b/>
          <w:color w:val="4D4D4F"/>
          <w:w w:val="110"/>
          <w:position w:val="7"/>
          <w:sz w:val="13"/>
        </w:rPr>
        <w:t>358 </w:t>
      </w:r>
      <w:r>
        <w:rPr>
          <w:color w:val="4D4D4F"/>
          <w:w w:val="110"/>
        </w:rPr>
        <w:t>Some patients have only occasional returns to use and do not require reinduction on buprenorphine or naltrexone. Other</w:t>
      </w:r>
      <w:r>
        <w:rPr>
          <w:color w:val="4D4D4F"/>
          <w:spacing w:val="-47"/>
          <w:w w:val="110"/>
        </w:rPr>
        <w:t> </w:t>
      </w:r>
      <w:r>
        <w:rPr>
          <w:color w:val="4D4D4F"/>
          <w:w w:val="110"/>
        </w:rPr>
        <w:t>patients may return to use in the context of medication nonadherence, requiring reinduction and restabilization on buprenorphine or medically supervised withdrawal from opioids and an appropriate period of abstinence before re- starting naltrexone. Some patients may have sustained abstinence and choose to remain on their maintenance buprenorphine or naltrexone dose. </w:t>
      </w:r>
      <w:r>
        <w:rPr>
          <w:color w:val="4D4D4F"/>
          <w:spacing w:val="-3"/>
          <w:w w:val="110"/>
        </w:rPr>
        <w:t>However, </w:t>
      </w:r>
      <w:r>
        <w:rPr>
          <w:color w:val="4D4D4F"/>
          <w:w w:val="110"/>
        </w:rPr>
        <w:t>others may try to taper their buprenorphine dose, discontinue naltrexone, consider a change in pharmacotherapy (e.g., from</w:t>
      </w:r>
      <w:r>
        <w:rPr>
          <w:color w:val="4D4D4F"/>
          <w:spacing w:val="-15"/>
          <w:w w:val="110"/>
        </w:rPr>
        <w:t> </w:t>
      </w:r>
      <w:r>
        <w:rPr>
          <w:color w:val="4D4D4F"/>
          <w:w w:val="110"/>
        </w:rPr>
        <w:t>buprenorphine</w:t>
      </w:r>
      <w:r>
        <w:rPr>
          <w:color w:val="4D4D4F"/>
          <w:spacing w:val="-14"/>
          <w:w w:val="110"/>
        </w:rPr>
        <w:t> </w:t>
      </w:r>
      <w:r>
        <w:rPr>
          <w:color w:val="4D4D4F"/>
          <w:w w:val="110"/>
        </w:rPr>
        <w:t>to</w:t>
      </w:r>
      <w:r>
        <w:rPr>
          <w:color w:val="4D4D4F"/>
          <w:spacing w:val="-14"/>
          <w:w w:val="110"/>
        </w:rPr>
        <w:t> </w:t>
      </w:r>
      <w:r>
        <w:rPr>
          <w:color w:val="4D4D4F"/>
          <w:w w:val="110"/>
        </w:rPr>
        <w:t>naltrexone</w:t>
      </w:r>
      <w:r>
        <w:rPr>
          <w:color w:val="4D4D4F"/>
          <w:spacing w:val="-14"/>
          <w:w w:val="110"/>
        </w:rPr>
        <w:t> </w:t>
      </w:r>
      <w:r>
        <w:rPr>
          <w:color w:val="4D4D4F"/>
          <w:w w:val="110"/>
        </w:rPr>
        <w:t>or</w:t>
      </w:r>
      <w:r>
        <w:rPr>
          <w:color w:val="4D4D4F"/>
          <w:spacing w:val="-14"/>
          <w:w w:val="110"/>
        </w:rPr>
        <w:t> </w:t>
      </w:r>
      <w:r>
        <w:rPr>
          <w:color w:val="4D4D4F"/>
          <w:spacing w:val="-3"/>
          <w:w w:val="110"/>
        </w:rPr>
        <w:t>naltrexone </w:t>
      </w:r>
      <w:r>
        <w:rPr>
          <w:color w:val="4D4D4F"/>
          <w:w w:val="110"/>
        </w:rPr>
        <w:t>to buprenorphine), or attempt maintenance of remission of OUD without any</w:t>
      </w:r>
      <w:r>
        <w:rPr>
          <w:color w:val="4D4D4F"/>
          <w:spacing w:val="-43"/>
          <w:w w:val="110"/>
        </w:rPr>
        <w:t> </w:t>
      </w:r>
      <w:r>
        <w:rPr>
          <w:color w:val="4D4D4F"/>
          <w:w w:val="110"/>
        </w:rPr>
        <w:t>medication.</w:t>
      </w:r>
    </w:p>
    <w:p>
      <w:pPr>
        <w:pStyle w:val="Heading7"/>
        <w:spacing w:line="235" w:lineRule="auto" w:before="204"/>
        <w:ind w:right="-4"/>
      </w:pPr>
      <w:r>
        <w:rPr>
          <w:color w:val="4D4D4F"/>
          <w:w w:val="115"/>
        </w:rPr>
        <w:t>Because OUD is often a chronic and relapsing illness, patients may have different types and</w:t>
      </w:r>
    </w:p>
    <w:p>
      <w:pPr>
        <w:pStyle w:val="BodyText"/>
        <w:spacing w:line="247" w:lineRule="auto" w:before="100"/>
        <w:ind w:left="140" w:right="274"/>
      </w:pPr>
      <w:r>
        <w:rPr/>
        <w:br w:type="column"/>
      </w:r>
      <w:r>
        <w:rPr>
          <w:rFonts w:ascii="Calibri"/>
          <w:b/>
          <w:color w:val="4D4D4F"/>
          <w:w w:val="110"/>
        </w:rPr>
        <w:t>durations of treatment over their lifetimes. </w:t>
      </w:r>
      <w:r>
        <w:rPr>
          <w:color w:val="4D4D4F"/>
          <w:w w:val="110"/>
        </w:rPr>
        <w:t>Some may have periods of successful outpa- tient treatment at different times with all three available FDA-approved medications for OUD. Others may experience forced medication discontinuation (e.g., insurance lapse, time</w:t>
      </w:r>
    </w:p>
    <w:p>
      <w:pPr>
        <w:pStyle w:val="BodyText"/>
        <w:spacing w:line="247" w:lineRule="auto"/>
        <w:ind w:left="140"/>
      </w:pPr>
      <w:r>
        <w:rPr>
          <w:color w:val="4D4D4F"/>
          <w:w w:val="110"/>
        </w:rPr>
        <w:t>in controlled environments that disallow or discriminate against OUD medication, cases in family and drug courts, parole and probation).</w:t>
      </w:r>
    </w:p>
    <w:p>
      <w:pPr>
        <w:pStyle w:val="BodyText"/>
        <w:spacing w:line="247" w:lineRule="auto" w:before="3"/>
        <w:ind w:left="140"/>
      </w:pPr>
      <w:r>
        <w:rPr>
          <w:color w:val="4D4D4F"/>
          <w:w w:val="110"/>
        </w:rPr>
        <w:t>A relative few may remain in remission after successfully discontinuing medication </w:t>
      </w:r>
      <w:r>
        <w:rPr>
          <w:color w:val="4D4D4F"/>
          <w:spacing w:val="-4"/>
          <w:w w:val="110"/>
        </w:rPr>
        <w:t>voluntarily. </w:t>
      </w:r>
      <w:r>
        <w:rPr>
          <w:color w:val="4D4D4F"/>
          <w:w w:val="110"/>
        </w:rPr>
        <w:t>Different treatment journeys occur in different treatment settings (e.g., intensive outpatient, residential programs) and with different </w:t>
      </w:r>
      <w:r>
        <w:rPr>
          <w:color w:val="4D4D4F"/>
          <w:spacing w:val="-3"/>
          <w:w w:val="110"/>
        </w:rPr>
        <w:t>phar- </w:t>
      </w:r>
      <w:r>
        <w:rPr>
          <w:color w:val="4D4D4F"/>
          <w:w w:val="110"/>
        </w:rPr>
        <w:t>macotherapies and ancillary psychosocial and recovery support</w:t>
      </w:r>
      <w:r>
        <w:rPr>
          <w:color w:val="4D4D4F"/>
          <w:spacing w:val="-14"/>
          <w:w w:val="110"/>
        </w:rPr>
        <w:t> </w:t>
      </w:r>
      <w:r>
        <w:rPr>
          <w:color w:val="4D4D4F"/>
          <w:w w:val="110"/>
        </w:rPr>
        <w:t>services.</w:t>
      </w:r>
    </w:p>
    <w:p>
      <w:pPr>
        <w:spacing w:line="237" w:lineRule="auto" w:before="185"/>
        <w:ind w:left="140" w:right="253" w:firstLine="0"/>
        <w:jc w:val="left"/>
        <w:rPr>
          <w:sz w:val="13"/>
        </w:rPr>
      </w:pPr>
      <w:r>
        <w:rPr>
          <w:rFonts w:ascii="Calibri" w:hAnsi="Calibri"/>
          <w:b/>
          <w:color w:val="4D4D4F"/>
          <w:spacing w:val="-13"/>
          <w:w w:val="110"/>
          <w:sz w:val="22"/>
        </w:rPr>
        <w:t>To </w:t>
      </w:r>
      <w:r>
        <w:rPr>
          <w:rFonts w:ascii="Calibri" w:hAnsi="Calibri"/>
          <w:b/>
          <w:color w:val="4D4D4F"/>
          <w:w w:val="110"/>
          <w:sz w:val="22"/>
        </w:rPr>
        <w:t>the extent possible, coordinate  primary care, behavioral health, and wraparound services needed and desired  by  the  patients to address their medical, social, and recovery needs. </w:t>
      </w:r>
      <w:r>
        <w:rPr>
          <w:color w:val="4D4D4F"/>
          <w:w w:val="110"/>
          <w:sz w:val="22"/>
        </w:rPr>
        <w:t>Individuals with co-occurring physical, mental, and substance use disorders may </w:t>
      </w:r>
      <w:r>
        <w:rPr>
          <w:color w:val="4D4D4F"/>
          <w:spacing w:val="-4"/>
          <w:w w:val="110"/>
          <w:sz w:val="22"/>
        </w:rPr>
        <w:t>beneﬁt </w:t>
      </w:r>
      <w:r>
        <w:rPr>
          <w:color w:val="4D4D4F"/>
          <w:w w:val="110"/>
          <w:sz w:val="22"/>
        </w:rPr>
        <w:t>from collaborative</w:t>
      </w:r>
      <w:r>
        <w:rPr>
          <w:color w:val="4D4D4F"/>
          <w:spacing w:val="-13"/>
          <w:w w:val="110"/>
          <w:sz w:val="22"/>
        </w:rPr>
        <w:t> </w:t>
      </w:r>
      <w:r>
        <w:rPr>
          <w:color w:val="4D4D4F"/>
          <w:w w:val="110"/>
          <w:sz w:val="22"/>
        </w:rPr>
        <w:t>care.</w:t>
      </w:r>
      <w:r>
        <w:rPr>
          <w:color w:val="4D4D4F"/>
          <w:w w:val="110"/>
          <w:position w:val="7"/>
          <w:sz w:val="13"/>
        </w:rPr>
        <w:t>359</w:t>
      </w:r>
    </w:p>
    <w:p>
      <w:pPr>
        <w:spacing w:after="0" w:line="237" w:lineRule="auto"/>
        <w:jc w:val="left"/>
        <w:rPr>
          <w:sz w:val="13"/>
        </w:rPr>
        <w:sectPr>
          <w:type w:val="continuous"/>
          <w:pgSz w:w="12240" w:h="15840"/>
          <w:pgMar w:top="540" w:bottom="280" w:left="940" w:right="920"/>
          <w:cols w:num="2" w:equalWidth="0">
            <w:col w:w="4931" w:space="289"/>
            <w:col w:w="5160"/>
          </w:cols>
        </w:sectPr>
      </w:pPr>
    </w:p>
    <w:p>
      <w:pPr>
        <w:pStyle w:val="BodyText"/>
        <w:rPr>
          <w:sz w:val="20"/>
        </w:rPr>
      </w:pPr>
    </w:p>
    <w:p>
      <w:pPr>
        <w:pStyle w:val="BodyText"/>
        <w:rPr>
          <w:sz w:val="20"/>
        </w:rPr>
      </w:pPr>
    </w:p>
    <w:p>
      <w:pPr>
        <w:pStyle w:val="BodyText"/>
        <w:spacing w:before="10"/>
        <w:rPr>
          <w:sz w:val="12"/>
        </w:rPr>
      </w:pPr>
    </w:p>
    <w:p>
      <w:pPr>
        <w:pStyle w:val="BodyText"/>
        <w:ind w:left="140"/>
        <w:rPr>
          <w:sz w:val="20"/>
        </w:rPr>
      </w:pPr>
      <w:r>
        <w:rPr>
          <w:sz w:val="20"/>
        </w:rPr>
        <w:pict>
          <v:group style="width:502.8pt;height:280.1pt;mso-position-horizontal-relative:char;mso-position-vertical-relative:line" coordorigin="0,0" coordsize="10056,5602">
            <v:rect style="position:absolute;left:5;top:5;width:10046;height:5592" filled="false" stroked="true" strokeweight=".5pt" strokecolor="#88aabd">
              <v:stroke dashstyle="solid"/>
            </v:rect>
            <v:shape style="position:absolute;left:10;top:596;width:10036;height:4995" type="#_x0000_t202" filled="false" stroked="false">
              <v:textbox inset="0,0,0,0">
                <w:txbxContent>
                  <w:p>
                    <w:pPr>
                      <w:spacing w:line="278" w:lineRule="auto" w:before="59"/>
                      <w:ind w:left="230" w:right="246" w:firstLine="0"/>
                      <w:jc w:val="left"/>
                      <w:rPr>
                        <w:rFonts w:ascii="Arial"/>
                        <w:b/>
                        <w:sz w:val="24"/>
                      </w:rPr>
                    </w:pPr>
                    <w:r>
                      <w:rPr>
                        <w:rFonts w:ascii="Arial"/>
                        <w:b/>
                        <w:color w:val="137692"/>
                        <w:w w:val="110"/>
                        <w:sz w:val="24"/>
                      </w:rPr>
                      <w:t>Substance Abuse and Mental Health Services Administration (SAMHSA) Treatment Guidance for Individuals With Co-Occurring Disorders</w:t>
                    </w:r>
                  </w:p>
                  <w:p>
                    <w:pPr>
                      <w:spacing w:line="348" w:lineRule="auto" w:before="154"/>
                      <w:ind w:left="230" w:right="246" w:firstLine="0"/>
                      <w:jc w:val="left"/>
                      <w:rPr>
                        <w:rFonts w:ascii="Arial"/>
                        <w:sz w:val="18"/>
                      </w:rPr>
                    </w:pPr>
                    <w:r>
                      <w:rPr>
                        <w:rFonts w:ascii="Arial"/>
                        <w:b/>
                        <w:color w:val="414142"/>
                        <w:w w:val="115"/>
                        <w:sz w:val="18"/>
                      </w:rPr>
                      <w:t>TIP 42, </w:t>
                    </w:r>
                    <w:r>
                      <w:rPr>
                        <w:rFonts w:ascii="Arial"/>
                        <w:b/>
                        <w:i/>
                        <w:color w:val="414142"/>
                        <w:w w:val="115"/>
                        <w:sz w:val="18"/>
                      </w:rPr>
                      <w:t>Substance Abuse Treatment for Persons With Co-Occurring Disorders, </w:t>
                    </w:r>
                    <w:r>
                      <w:rPr>
                        <w:rFonts w:ascii="Arial"/>
                        <w:color w:val="414142"/>
                        <w:w w:val="115"/>
                        <w:sz w:val="18"/>
                      </w:rPr>
                      <w:t>provides treatment strategies for SUD treatment for individuals with mental disorders (</w:t>
                    </w:r>
                    <w:r>
                      <w:rPr>
                        <w:rFonts w:ascii="Arial"/>
                        <w:color w:val="3B68A6"/>
                        <w:w w:val="115"/>
                        <w:sz w:val="18"/>
                        <w:u w:val="single" w:color="3B68A6"/>
                      </w:rPr>
                      <w:t>https://store.samhsa.gov/product/TIP-</w:t>
                    </w:r>
                    <w:r>
                      <w:rPr>
                        <w:rFonts w:ascii="Arial"/>
                        <w:color w:val="3B68A6"/>
                        <w:w w:val="115"/>
                        <w:sz w:val="18"/>
                      </w:rPr>
                      <w:t> </w:t>
                    </w:r>
                    <w:r>
                      <w:rPr>
                        <w:rFonts w:ascii="Arial"/>
                        <w:color w:val="3B68A6"/>
                        <w:w w:val="115"/>
                        <w:sz w:val="18"/>
                        <w:u w:val="single" w:color="3B68A6"/>
                      </w:rPr>
                      <w:t>42-Substance-Abuse-Treatment-for-Persons-With-Co-Occurring-Disorders/SMA13-3992</w:t>
                    </w:r>
                    <w:r>
                      <w:rPr>
                        <w:rFonts w:ascii="Arial"/>
                        <w:color w:val="414142"/>
                        <w:w w:val="115"/>
                        <w:sz w:val="18"/>
                      </w:rPr>
                      <w:t>).</w:t>
                    </w:r>
                  </w:p>
                  <w:p>
                    <w:pPr>
                      <w:spacing w:line="348" w:lineRule="auto" w:before="144"/>
                      <w:ind w:left="230" w:right="538" w:firstLine="0"/>
                      <w:jc w:val="left"/>
                      <w:rPr>
                        <w:rFonts w:ascii="Arial"/>
                        <w:sz w:val="18"/>
                      </w:rPr>
                    </w:pPr>
                    <w:r>
                      <w:rPr>
                        <w:rFonts w:ascii="Arial"/>
                        <w:b/>
                        <w:i/>
                        <w:color w:val="414142"/>
                        <w:w w:val="115"/>
                        <w:sz w:val="18"/>
                      </w:rPr>
                      <w:t>General</w:t>
                    </w:r>
                    <w:r>
                      <w:rPr>
                        <w:rFonts w:ascii="Arial"/>
                        <w:b/>
                        <w:i/>
                        <w:color w:val="414142"/>
                        <w:spacing w:val="-32"/>
                        <w:w w:val="115"/>
                        <w:sz w:val="18"/>
                      </w:rPr>
                      <w:t> </w:t>
                    </w:r>
                    <w:r>
                      <w:rPr>
                        <w:rFonts w:ascii="Arial"/>
                        <w:b/>
                        <w:i/>
                        <w:color w:val="414142"/>
                        <w:w w:val="115"/>
                        <w:sz w:val="18"/>
                      </w:rPr>
                      <w:t>Principles</w:t>
                    </w:r>
                    <w:r>
                      <w:rPr>
                        <w:rFonts w:ascii="Arial"/>
                        <w:b/>
                        <w:i/>
                        <w:color w:val="414142"/>
                        <w:spacing w:val="-32"/>
                        <w:w w:val="115"/>
                        <w:sz w:val="18"/>
                      </w:rPr>
                      <w:t> </w:t>
                    </w:r>
                    <w:r>
                      <w:rPr>
                        <w:rFonts w:ascii="Arial"/>
                        <w:b/>
                        <w:i/>
                        <w:color w:val="414142"/>
                        <w:w w:val="115"/>
                        <w:sz w:val="18"/>
                      </w:rPr>
                      <w:t>for</w:t>
                    </w:r>
                    <w:r>
                      <w:rPr>
                        <w:rFonts w:ascii="Arial"/>
                        <w:b/>
                        <w:i/>
                        <w:color w:val="414142"/>
                        <w:spacing w:val="-31"/>
                        <w:w w:val="115"/>
                        <w:sz w:val="18"/>
                      </w:rPr>
                      <w:t> </w:t>
                    </w:r>
                    <w:r>
                      <w:rPr>
                        <w:rFonts w:ascii="Arial"/>
                        <w:b/>
                        <w:i/>
                        <w:color w:val="414142"/>
                        <w:w w:val="115"/>
                        <w:sz w:val="18"/>
                      </w:rPr>
                      <w:t>the</w:t>
                    </w:r>
                    <w:r>
                      <w:rPr>
                        <w:rFonts w:ascii="Arial"/>
                        <w:b/>
                        <w:i/>
                        <w:color w:val="414142"/>
                        <w:spacing w:val="-32"/>
                        <w:w w:val="115"/>
                        <w:sz w:val="18"/>
                      </w:rPr>
                      <w:t> </w:t>
                    </w:r>
                    <w:r>
                      <w:rPr>
                        <w:rFonts w:ascii="Arial"/>
                        <w:b/>
                        <w:i/>
                        <w:color w:val="414142"/>
                        <w:w w:val="115"/>
                        <w:sz w:val="18"/>
                      </w:rPr>
                      <w:t>Use</w:t>
                    </w:r>
                    <w:r>
                      <w:rPr>
                        <w:rFonts w:ascii="Arial"/>
                        <w:b/>
                        <w:i/>
                        <w:color w:val="414142"/>
                        <w:spacing w:val="-31"/>
                        <w:w w:val="115"/>
                        <w:sz w:val="18"/>
                      </w:rPr>
                      <w:t> </w:t>
                    </w:r>
                    <w:r>
                      <w:rPr>
                        <w:rFonts w:ascii="Arial"/>
                        <w:b/>
                        <w:i/>
                        <w:color w:val="414142"/>
                        <w:w w:val="115"/>
                        <w:sz w:val="18"/>
                      </w:rPr>
                      <w:t>of</w:t>
                    </w:r>
                    <w:r>
                      <w:rPr>
                        <w:rFonts w:ascii="Arial"/>
                        <w:b/>
                        <w:i/>
                        <w:color w:val="414142"/>
                        <w:spacing w:val="-32"/>
                        <w:w w:val="115"/>
                        <w:sz w:val="18"/>
                      </w:rPr>
                      <w:t> </w:t>
                    </w:r>
                    <w:r>
                      <w:rPr>
                        <w:rFonts w:ascii="Arial"/>
                        <w:b/>
                        <w:i/>
                        <w:color w:val="414142"/>
                        <w:w w:val="115"/>
                        <w:sz w:val="18"/>
                      </w:rPr>
                      <w:t>Pharmacological</w:t>
                    </w:r>
                    <w:r>
                      <w:rPr>
                        <w:rFonts w:ascii="Arial"/>
                        <w:b/>
                        <w:i/>
                        <w:color w:val="414142"/>
                        <w:spacing w:val="-32"/>
                        <w:w w:val="115"/>
                        <w:sz w:val="18"/>
                      </w:rPr>
                      <w:t> </w:t>
                    </w:r>
                    <w:r>
                      <w:rPr>
                        <w:rFonts w:ascii="Arial"/>
                        <w:b/>
                        <w:i/>
                        <w:color w:val="414142"/>
                        <w:w w:val="115"/>
                        <w:sz w:val="18"/>
                      </w:rPr>
                      <w:t>Agents</w:t>
                    </w:r>
                    <w:r>
                      <w:rPr>
                        <w:rFonts w:ascii="Arial"/>
                        <w:b/>
                        <w:i/>
                        <w:color w:val="414142"/>
                        <w:spacing w:val="-31"/>
                        <w:w w:val="115"/>
                        <w:sz w:val="18"/>
                      </w:rPr>
                      <w:t> </w:t>
                    </w:r>
                    <w:r>
                      <w:rPr>
                        <w:rFonts w:ascii="Arial"/>
                        <w:b/>
                        <w:i/>
                        <w:color w:val="414142"/>
                        <w:spacing w:val="-5"/>
                        <w:w w:val="115"/>
                        <w:sz w:val="18"/>
                      </w:rPr>
                      <w:t>To</w:t>
                    </w:r>
                    <w:r>
                      <w:rPr>
                        <w:rFonts w:ascii="Arial"/>
                        <w:b/>
                        <w:i/>
                        <w:color w:val="414142"/>
                        <w:spacing w:val="-32"/>
                        <w:w w:val="115"/>
                        <w:sz w:val="18"/>
                      </w:rPr>
                      <w:t> </w:t>
                    </w:r>
                    <w:r>
                      <w:rPr>
                        <w:rFonts w:ascii="Arial"/>
                        <w:b/>
                        <w:i/>
                        <w:color w:val="414142"/>
                        <w:w w:val="115"/>
                        <w:sz w:val="18"/>
                      </w:rPr>
                      <w:t>Treat</w:t>
                    </w:r>
                    <w:r>
                      <w:rPr>
                        <w:rFonts w:ascii="Arial"/>
                        <w:b/>
                        <w:i/>
                        <w:color w:val="414142"/>
                        <w:spacing w:val="-31"/>
                        <w:w w:val="115"/>
                        <w:sz w:val="18"/>
                      </w:rPr>
                      <w:t> </w:t>
                    </w:r>
                    <w:r>
                      <w:rPr>
                        <w:rFonts w:ascii="Arial"/>
                        <w:b/>
                        <w:i/>
                        <w:color w:val="414142"/>
                        <w:w w:val="115"/>
                        <w:sz w:val="18"/>
                      </w:rPr>
                      <w:t>Individuals</w:t>
                    </w:r>
                    <w:r>
                      <w:rPr>
                        <w:rFonts w:ascii="Arial"/>
                        <w:b/>
                        <w:i/>
                        <w:color w:val="414142"/>
                        <w:spacing w:val="-32"/>
                        <w:w w:val="115"/>
                        <w:sz w:val="18"/>
                      </w:rPr>
                      <w:t> </w:t>
                    </w:r>
                    <w:r>
                      <w:rPr>
                        <w:rFonts w:ascii="Arial"/>
                        <w:b/>
                        <w:i/>
                        <w:color w:val="414142"/>
                        <w:w w:val="115"/>
                        <w:sz w:val="18"/>
                      </w:rPr>
                      <w:t>With</w:t>
                    </w:r>
                    <w:r>
                      <w:rPr>
                        <w:rFonts w:ascii="Arial"/>
                        <w:b/>
                        <w:i/>
                        <w:color w:val="414142"/>
                        <w:spacing w:val="-32"/>
                        <w:w w:val="115"/>
                        <w:sz w:val="18"/>
                      </w:rPr>
                      <w:t> </w:t>
                    </w:r>
                    <w:r>
                      <w:rPr>
                        <w:rFonts w:ascii="Arial"/>
                        <w:b/>
                        <w:i/>
                        <w:color w:val="414142"/>
                        <w:w w:val="115"/>
                        <w:sz w:val="18"/>
                      </w:rPr>
                      <w:t>Co-Occurring </w:t>
                    </w:r>
                    <w:r>
                      <w:rPr>
                        <w:rFonts w:ascii="Arial"/>
                        <w:b/>
                        <w:i/>
                        <w:color w:val="414142"/>
                        <w:w w:val="115"/>
                        <w:sz w:val="18"/>
                      </w:rPr>
                      <w:t>Mental and Substance Use Disorders </w:t>
                    </w:r>
                    <w:r>
                      <w:rPr>
                        <w:rFonts w:ascii="Arial"/>
                        <w:color w:val="414142"/>
                        <w:w w:val="115"/>
                        <w:sz w:val="18"/>
                      </w:rPr>
                      <w:t>offers assistance for the planning, delivery, and evaluation of pharmacotherapy for individuals with co-occurring mental and substance use disorders (</w:t>
                    </w:r>
                    <w:r>
                      <w:rPr>
                        <w:rFonts w:ascii="Arial"/>
                        <w:color w:val="3B68A6"/>
                        <w:w w:val="115"/>
                        <w:sz w:val="18"/>
                        <w:u w:val="single" w:color="3B68A6"/>
                      </w:rPr>
                      <w:t>https://store.</w:t>
                    </w:r>
                    <w:r>
                      <w:rPr>
                        <w:rFonts w:ascii="Arial"/>
                        <w:color w:val="3B68A6"/>
                        <w:w w:val="115"/>
                        <w:sz w:val="18"/>
                      </w:rPr>
                      <w:t> </w:t>
                    </w:r>
                    <w:r>
                      <w:rPr>
                        <w:rFonts w:ascii="Arial"/>
                        <w:color w:val="3B68A6"/>
                        <w:w w:val="115"/>
                        <w:sz w:val="18"/>
                        <w:u w:val="single" w:color="3B68A6"/>
                      </w:rPr>
                      <w:t>samhsa.gov/product/general-principles-use-pharmacological-agents-treat-individuals-co-occurring-</w:t>
                    </w:r>
                    <w:r>
                      <w:rPr>
                        <w:rFonts w:ascii="Arial"/>
                        <w:color w:val="3B68A6"/>
                        <w:w w:val="115"/>
                        <w:sz w:val="18"/>
                      </w:rPr>
                      <w:t> </w:t>
                    </w:r>
                    <w:r>
                      <w:rPr>
                        <w:rFonts w:ascii="Arial"/>
                        <w:color w:val="3B68A6"/>
                        <w:w w:val="115"/>
                        <w:sz w:val="18"/>
                        <w:u w:val="single" w:color="3B68A6"/>
                      </w:rPr>
                      <w:t>mental</w:t>
                    </w:r>
                    <w:r>
                      <w:rPr>
                        <w:rFonts w:ascii="Arial"/>
                        <w:color w:val="414142"/>
                        <w:w w:val="115"/>
                        <w:sz w:val="18"/>
                      </w:rPr>
                      <w:t>).</w:t>
                    </w:r>
                  </w:p>
                  <w:p>
                    <w:pPr>
                      <w:spacing w:line="348" w:lineRule="auto" w:before="143"/>
                      <w:ind w:left="230" w:right="637" w:firstLine="0"/>
                      <w:jc w:val="left"/>
                      <w:rPr>
                        <w:rFonts w:ascii="Arial"/>
                        <w:sz w:val="18"/>
                      </w:rPr>
                    </w:pPr>
                    <w:r>
                      <w:rPr>
                        <w:rFonts w:ascii="Arial"/>
                        <w:b/>
                        <w:i/>
                        <w:color w:val="414142"/>
                        <w:w w:val="115"/>
                        <w:sz w:val="18"/>
                      </w:rPr>
                      <w:t>Pharmacologic</w:t>
                    </w:r>
                    <w:r>
                      <w:rPr>
                        <w:rFonts w:ascii="Arial"/>
                        <w:b/>
                        <w:i/>
                        <w:color w:val="414142"/>
                        <w:spacing w:val="-35"/>
                        <w:w w:val="115"/>
                        <w:sz w:val="18"/>
                      </w:rPr>
                      <w:t> </w:t>
                    </w:r>
                    <w:r>
                      <w:rPr>
                        <w:rFonts w:ascii="Arial"/>
                        <w:b/>
                        <w:i/>
                        <w:color w:val="414142"/>
                        <w:w w:val="115"/>
                        <w:sz w:val="18"/>
                      </w:rPr>
                      <w:t>Guidelines</w:t>
                    </w:r>
                    <w:r>
                      <w:rPr>
                        <w:rFonts w:ascii="Arial"/>
                        <w:b/>
                        <w:i/>
                        <w:color w:val="414142"/>
                        <w:spacing w:val="-34"/>
                        <w:w w:val="115"/>
                        <w:sz w:val="18"/>
                      </w:rPr>
                      <w:t> </w:t>
                    </w:r>
                    <w:r>
                      <w:rPr>
                        <w:rFonts w:ascii="Arial"/>
                        <w:b/>
                        <w:i/>
                        <w:color w:val="414142"/>
                        <w:w w:val="115"/>
                        <w:sz w:val="18"/>
                      </w:rPr>
                      <w:t>for</w:t>
                    </w:r>
                    <w:r>
                      <w:rPr>
                        <w:rFonts w:ascii="Arial"/>
                        <w:b/>
                        <w:i/>
                        <w:color w:val="414142"/>
                        <w:spacing w:val="-35"/>
                        <w:w w:val="115"/>
                        <w:sz w:val="18"/>
                      </w:rPr>
                      <w:t> </w:t>
                    </w:r>
                    <w:r>
                      <w:rPr>
                        <w:rFonts w:ascii="Arial"/>
                        <w:b/>
                        <w:i/>
                        <w:color w:val="414142"/>
                        <w:w w:val="115"/>
                        <w:sz w:val="18"/>
                      </w:rPr>
                      <w:t>Treating</w:t>
                    </w:r>
                    <w:r>
                      <w:rPr>
                        <w:rFonts w:ascii="Arial"/>
                        <w:b/>
                        <w:i/>
                        <w:color w:val="414142"/>
                        <w:spacing w:val="-34"/>
                        <w:w w:val="115"/>
                        <w:sz w:val="18"/>
                      </w:rPr>
                      <w:t> </w:t>
                    </w:r>
                    <w:r>
                      <w:rPr>
                        <w:rFonts w:ascii="Arial"/>
                        <w:b/>
                        <w:i/>
                        <w:color w:val="414142"/>
                        <w:w w:val="115"/>
                        <w:sz w:val="18"/>
                      </w:rPr>
                      <w:t>Individuals</w:t>
                    </w:r>
                    <w:r>
                      <w:rPr>
                        <w:rFonts w:ascii="Arial"/>
                        <w:b/>
                        <w:i/>
                        <w:color w:val="414142"/>
                        <w:spacing w:val="-35"/>
                        <w:w w:val="115"/>
                        <w:sz w:val="18"/>
                      </w:rPr>
                      <w:t> </w:t>
                    </w:r>
                    <w:r>
                      <w:rPr>
                        <w:rFonts w:ascii="Arial"/>
                        <w:b/>
                        <w:i/>
                        <w:color w:val="414142"/>
                        <w:w w:val="115"/>
                        <w:sz w:val="18"/>
                      </w:rPr>
                      <w:t>With</w:t>
                    </w:r>
                    <w:r>
                      <w:rPr>
                        <w:rFonts w:ascii="Arial"/>
                        <w:b/>
                        <w:i/>
                        <w:color w:val="414142"/>
                        <w:spacing w:val="-34"/>
                        <w:w w:val="115"/>
                        <w:sz w:val="18"/>
                      </w:rPr>
                      <w:t> </w:t>
                    </w:r>
                    <w:r>
                      <w:rPr>
                        <w:rFonts w:ascii="Arial"/>
                        <w:b/>
                        <w:i/>
                        <w:color w:val="414142"/>
                        <w:w w:val="115"/>
                        <w:sz w:val="18"/>
                      </w:rPr>
                      <w:t>Post-Traumatic</w:t>
                    </w:r>
                    <w:r>
                      <w:rPr>
                        <w:rFonts w:ascii="Arial"/>
                        <w:b/>
                        <w:i/>
                        <w:color w:val="414142"/>
                        <w:spacing w:val="-35"/>
                        <w:w w:val="115"/>
                        <w:sz w:val="18"/>
                      </w:rPr>
                      <w:t> </w:t>
                    </w:r>
                    <w:r>
                      <w:rPr>
                        <w:rFonts w:ascii="Arial"/>
                        <w:b/>
                        <w:i/>
                        <w:color w:val="414142"/>
                        <w:w w:val="115"/>
                        <w:sz w:val="18"/>
                      </w:rPr>
                      <w:t>Stress</w:t>
                    </w:r>
                    <w:r>
                      <w:rPr>
                        <w:rFonts w:ascii="Arial"/>
                        <w:b/>
                        <w:i/>
                        <w:color w:val="414142"/>
                        <w:spacing w:val="-34"/>
                        <w:w w:val="115"/>
                        <w:sz w:val="18"/>
                      </w:rPr>
                      <w:t> </w:t>
                    </w:r>
                    <w:r>
                      <w:rPr>
                        <w:rFonts w:ascii="Arial"/>
                        <w:b/>
                        <w:i/>
                        <w:color w:val="414142"/>
                        <w:w w:val="115"/>
                        <w:sz w:val="18"/>
                      </w:rPr>
                      <w:t>Disorder</w:t>
                    </w:r>
                    <w:r>
                      <w:rPr>
                        <w:rFonts w:ascii="Arial"/>
                        <w:b/>
                        <w:i/>
                        <w:color w:val="414142"/>
                        <w:spacing w:val="-35"/>
                        <w:w w:val="115"/>
                        <w:sz w:val="18"/>
                      </w:rPr>
                      <w:t> </w:t>
                    </w:r>
                    <w:r>
                      <w:rPr>
                        <w:rFonts w:ascii="Arial"/>
                        <w:b/>
                        <w:i/>
                        <w:color w:val="414142"/>
                        <w:w w:val="115"/>
                        <w:sz w:val="18"/>
                      </w:rPr>
                      <w:t>and</w:t>
                    </w:r>
                    <w:r>
                      <w:rPr>
                        <w:rFonts w:ascii="Arial"/>
                        <w:b/>
                        <w:i/>
                        <w:color w:val="414142"/>
                        <w:spacing w:val="-34"/>
                        <w:w w:val="115"/>
                        <w:sz w:val="18"/>
                      </w:rPr>
                      <w:t> </w:t>
                    </w:r>
                    <w:r>
                      <w:rPr>
                        <w:rFonts w:ascii="Arial"/>
                        <w:b/>
                        <w:i/>
                        <w:color w:val="414142"/>
                        <w:w w:val="115"/>
                        <w:sz w:val="18"/>
                      </w:rPr>
                      <w:t>Co- </w:t>
                    </w:r>
                    <w:r>
                      <w:rPr>
                        <w:rFonts w:ascii="Arial"/>
                        <w:b/>
                        <w:i/>
                        <w:color w:val="414142"/>
                        <w:w w:val="115"/>
                        <w:sz w:val="18"/>
                      </w:rPr>
                      <w:t>Occurring Opioid Use Disorders </w:t>
                    </w:r>
                    <w:r>
                      <w:rPr>
                        <w:rFonts w:ascii="Arial"/>
                        <w:color w:val="414142"/>
                        <w:w w:val="115"/>
                        <w:sz w:val="18"/>
                      </w:rPr>
                      <w:t>is tailored to the provision of medication for OUD to individuals also diagnosed with posttraumatic stress disorder (</w:t>
                    </w:r>
                    <w:r>
                      <w:rPr>
                        <w:rFonts w:ascii="Arial"/>
                        <w:color w:val="3B68A6"/>
                        <w:w w:val="115"/>
                        <w:sz w:val="18"/>
                        <w:u w:val="single" w:color="3B68A6"/>
                      </w:rPr>
                      <w:t>https://store.samhsa.gov/product/pharmacologic-</w:t>
                    </w:r>
                    <w:r>
                      <w:rPr>
                        <w:rFonts w:ascii="Arial"/>
                        <w:color w:val="3B68A6"/>
                        <w:w w:val="115"/>
                        <w:sz w:val="18"/>
                      </w:rPr>
                      <w:t> </w:t>
                    </w:r>
                    <w:r>
                      <w:rPr>
                        <w:rFonts w:ascii="Arial"/>
                        <w:color w:val="3B68A6"/>
                        <w:w w:val="115"/>
                        <w:sz w:val="18"/>
                        <w:u w:val="single" w:color="3B68A6"/>
                      </w:rPr>
                      <w:t>guidelines-treating-individuals-post-traumatic-stress-disorder-co-occurring</w:t>
                    </w:r>
                    <w:r>
                      <w:rPr>
                        <w:rFonts w:ascii="Arial"/>
                        <w:color w:val="414142"/>
                        <w:w w:val="115"/>
                        <w:sz w:val="18"/>
                      </w:rPr>
                      <w:t>).</w:t>
                    </w:r>
                  </w:p>
                </w:txbxContent>
              </v:textbox>
              <w10:wrap type="none"/>
            </v:shape>
            <v:shape style="position:absolute;left:10;top:10;width:10036;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v:group>
        </w:pict>
      </w:r>
      <w:r>
        <w:rPr>
          <w:sz w:val="20"/>
        </w:rPr>
      </w:r>
    </w:p>
    <w:p>
      <w:pPr>
        <w:spacing w:after="0"/>
        <w:rPr>
          <w:sz w:val="20"/>
        </w:rPr>
        <w:sectPr>
          <w:type w:val="continuous"/>
          <w:pgSz w:w="12240" w:h="15840"/>
          <w:pgMar w:top="540" w:bottom="280" w:left="940" w:right="920"/>
        </w:sectPr>
      </w:pPr>
    </w:p>
    <w:p>
      <w:pPr>
        <w:pStyle w:val="BodyText"/>
        <w:spacing w:before="3"/>
        <w:rPr>
          <w:sz w:val="27"/>
        </w:rPr>
      </w:pPr>
    </w:p>
    <w:p>
      <w:pPr>
        <w:spacing w:after="0"/>
        <w:rPr>
          <w:sz w:val="27"/>
        </w:rPr>
        <w:sectPr>
          <w:pgSz w:w="12240" w:h="15840"/>
          <w:pgMar w:header="576" w:footer="677" w:top="1340" w:bottom="860" w:left="940" w:right="920"/>
        </w:sectPr>
      </w:pPr>
    </w:p>
    <w:p>
      <w:pPr>
        <w:pStyle w:val="Heading3"/>
        <w:spacing w:line="228" w:lineRule="auto" w:before="101"/>
        <w:ind w:right="132"/>
      </w:pPr>
      <w:bookmarkStart w:name="_TOC_250025" w:id="90"/>
      <w:bookmarkEnd w:id="90"/>
      <w:r>
        <w:rPr>
          <w:color w:val="137692"/>
          <w:w w:val="105"/>
        </w:rPr>
        <w:t>Role of the Treatment Plan and Treatment Agreement in Medical Management</w:t>
      </w:r>
    </w:p>
    <w:p>
      <w:pPr>
        <w:pStyle w:val="Heading7"/>
        <w:spacing w:before="43"/>
      </w:pPr>
      <w:r>
        <w:rPr>
          <w:color w:val="4D4D4F"/>
          <w:w w:val="110"/>
        </w:rPr>
        <w:t>The initial treatment plan should include:</w:t>
      </w:r>
    </w:p>
    <w:p>
      <w:pPr>
        <w:pStyle w:val="ListParagraph"/>
        <w:numPr>
          <w:ilvl w:val="0"/>
          <w:numId w:val="29"/>
        </w:numPr>
        <w:tabs>
          <w:tab w:pos="410" w:val="left" w:leader="none"/>
        </w:tabs>
        <w:spacing w:line="315" w:lineRule="exact" w:before="97" w:after="0"/>
        <w:ind w:left="410" w:right="0" w:hanging="270"/>
        <w:jc w:val="left"/>
        <w:rPr>
          <w:rFonts w:ascii="Arial" w:hAnsi="Arial"/>
          <w:b/>
          <w:color w:val="137692"/>
          <w:sz w:val="28"/>
        </w:rPr>
      </w:pPr>
      <w:r>
        <w:rPr>
          <w:rFonts w:ascii="Calibri" w:hAnsi="Calibri"/>
          <w:b/>
          <w:color w:val="4D4D4F"/>
          <w:spacing w:val="-3"/>
          <w:w w:val="115"/>
          <w:sz w:val="22"/>
        </w:rPr>
        <w:t>Treatment</w:t>
      </w:r>
      <w:r>
        <w:rPr>
          <w:rFonts w:ascii="Calibri" w:hAnsi="Calibri"/>
          <w:b/>
          <w:color w:val="4D4D4F"/>
          <w:spacing w:val="7"/>
          <w:w w:val="115"/>
          <w:sz w:val="22"/>
        </w:rPr>
        <w:t> </w:t>
      </w:r>
      <w:r>
        <w:rPr>
          <w:rFonts w:ascii="Calibri" w:hAnsi="Calibri"/>
          <w:b/>
          <w:color w:val="4D4D4F"/>
          <w:w w:val="115"/>
          <w:sz w:val="22"/>
        </w:rPr>
        <w:t>goals.</w:t>
      </w:r>
    </w:p>
    <w:p>
      <w:pPr>
        <w:pStyle w:val="ListParagraph"/>
        <w:numPr>
          <w:ilvl w:val="0"/>
          <w:numId w:val="29"/>
        </w:numPr>
        <w:tabs>
          <w:tab w:pos="410" w:val="left" w:leader="none"/>
        </w:tabs>
        <w:spacing w:line="220" w:lineRule="auto" w:before="11" w:after="0"/>
        <w:ind w:left="410" w:right="328" w:hanging="270"/>
        <w:jc w:val="left"/>
        <w:rPr>
          <w:rFonts w:ascii="Arial" w:hAnsi="Arial"/>
          <w:color w:val="137692"/>
          <w:sz w:val="28"/>
        </w:rPr>
      </w:pPr>
      <w:r>
        <w:rPr>
          <w:rFonts w:ascii="Calibri" w:hAnsi="Calibri"/>
          <w:b/>
          <w:color w:val="4D4D4F"/>
          <w:w w:val="115"/>
          <w:sz w:val="22"/>
        </w:rPr>
        <w:t>Conditions for changing or stopping treatment</w:t>
      </w:r>
      <w:r>
        <w:rPr>
          <w:rFonts w:ascii="Calibri" w:hAnsi="Calibri"/>
          <w:b/>
          <w:color w:val="4D4D4F"/>
          <w:spacing w:val="-15"/>
          <w:w w:val="115"/>
          <w:sz w:val="22"/>
        </w:rPr>
        <w:t> </w:t>
      </w:r>
      <w:r>
        <w:rPr>
          <w:color w:val="4D4D4F"/>
          <w:w w:val="115"/>
          <w:sz w:val="22"/>
        </w:rPr>
        <w:t>(the</w:t>
      </w:r>
      <w:r>
        <w:rPr>
          <w:color w:val="4D4D4F"/>
          <w:spacing w:val="-27"/>
          <w:w w:val="115"/>
          <w:sz w:val="22"/>
        </w:rPr>
        <w:t> </w:t>
      </w:r>
      <w:r>
        <w:rPr>
          <w:color w:val="4D4D4F"/>
          <w:w w:val="115"/>
          <w:sz w:val="22"/>
        </w:rPr>
        <w:t>Chapter</w:t>
      </w:r>
      <w:r>
        <w:rPr>
          <w:color w:val="4D4D4F"/>
          <w:spacing w:val="-27"/>
          <w:w w:val="115"/>
          <w:sz w:val="22"/>
        </w:rPr>
        <w:t> </w:t>
      </w:r>
      <w:r>
        <w:rPr>
          <w:color w:val="4D4D4F"/>
          <w:w w:val="115"/>
          <w:sz w:val="22"/>
        </w:rPr>
        <w:t>3E</w:t>
      </w:r>
      <w:r>
        <w:rPr>
          <w:color w:val="4D4D4F"/>
          <w:spacing w:val="-28"/>
          <w:w w:val="115"/>
          <w:sz w:val="22"/>
        </w:rPr>
        <w:t> </w:t>
      </w:r>
      <w:r>
        <w:rPr>
          <w:color w:val="4D4D4F"/>
          <w:w w:val="115"/>
          <w:sz w:val="22"/>
        </w:rPr>
        <w:t>Appendix</w:t>
      </w:r>
      <w:r>
        <w:rPr>
          <w:color w:val="4D4D4F"/>
          <w:spacing w:val="-27"/>
          <w:w w:val="115"/>
          <w:sz w:val="22"/>
        </w:rPr>
        <w:t> </w:t>
      </w:r>
      <w:r>
        <w:rPr>
          <w:color w:val="4D4D4F"/>
          <w:w w:val="115"/>
          <w:sz w:val="22"/>
        </w:rPr>
        <w:t>has</w:t>
      </w:r>
      <w:r>
        <w:rPr>
          <w:color w:val="4D4D4F"/>
          <w:spacing w:val="-27"/>
          <w:w w:val="115"/>
          <w:sz w:val="22"/>
        </w:rPr>
        <w:t> </w:t>
      </w:r>
      <w:r>
        <w:rPr>
          <w:color w:val="4D4D4F"/>
          <w:spacing w:val="-18"/>
          <w:w w:val="115"/>
          <w:sz w:val="22"/>
        </w:rPr>
        <w:t>a </w:t>
      </w:r>
      <w:r>
        <w:rPr>
          <w:color w:val="4D4D4F"/>
          <w:w w:val="115"/>
          <w:sz w:val="22"/>
        </w:rPr>
        <w:t>sample goal-setting</w:t>
      </w:r>
      <w:r>
        <w:rPr>
          <w:color w:val="4D4D4F"/>
          <w:spacing w:val="-21"/>
          <w:w w:val="115"/>
          <w:sz w:val="22"/>
        </w:rPr>
        <w:t> </w:t>
      </w:r>
      <w:r>
        <w:rPr>
          <w:color w:val="4D4D4F"/>
          <w:w w:val="115"/>
          <w:sz w:val="22"/>
        </w:rPr>
        <w:t>form).</w:t>
      </w:r>
    </w:p>
    <w:p>
      <w:pPr>
        <w:pStyle w:val="Heading7"/>
        <w:numPr>
          <w:ilvl w:val="0"/>
          <w:numId w:val="29"/>
        </w:numPr>
        <w:tabs>
          <w:tab w:pos="410" w:val="left" w:leader="none"/>
        </w:tabs>
        <w:spacing w:line="220" w:lineRule="auto" w:before="57" w:after="0"/>
        <w:ind w:left="410" w:right="235" w:hanging="270"/>
        <w:jc w:val="left"/>
        <w:rPr>
          <w:rFonts w:ascii="Arial" w:hAnsi="Arial"/>
          <w:b w:val="0"/>
          <w:color w:val="137692"/>
          <w:sz w:val="28"/>
        </w:rPr>
      </w:pPr>
      <w:r>
        <w:rPr>
          <w:color w:val="4D4D4F"/>
          <w:w w:val="115"/>
        </w:rPr>
        <w:t>Therapeutic contingencies for nonadher- ence</w:t>
      </w:r>
      <w:r>
        <w:rPr>
          <w:color w:val="4D4D4F"/>
          <w:spacing w:val="-9"/>
          <w:w w:val="115"/>
        </w:rPr>
        <w:t> </w:t>
      </w:r>
      <w:r>
        <w:rPr>
          <w:color w:val="4D4D4F"/>
          <w:w w:val="115"/>
        </w:rPr>
        <w:t>and</w:t>
      </w:r>
      <w:r>
        <w:rPr>
          <w:color w:val="4D4D4F"/>
          <w:spacing w:val="-8"/>
          <w:w w:val="115"/>
        </w:rPr>
        <w:t> </w:t>
      </w:r>
      <w:r>
        <w:rPr>
          <w:color w:val="4D4D4F"/>
          <w:w w:val="115"/>
        </w:rPr>
        <w:t>failure</w:t>
      </w:r>
      <w:r>
        <w:rPr>
          <w:color w:val="4D4D4F"/>
          <w:spacing w:val="-8"/>
          <w:w w:val="115"/>
        </w:rPr>
        <w:t> </w:t>
      </w:r>
      <w:r>
        <w:rPr>
          <w:color w:val="4D4D4F"/>
          <w:w w:val="115"/>
        </w:rPr>
        <w:t>to</w:t>
      </w:r>
      <w:r>
        <w:rPr>
          <w:color w:val="4D4D4F"/>
          <w:spacing w:val="-8"/>
          <w:w w:val="115"/>
        </w:rPr>
        <w:t> </w:t>
      </w:r>
      <w:r>
        <w:rPr>
          <w:color w:val="4D4D4F"/>
          <w:w w:val="115"/>
        </w:rPr>
        <w:t>meet</w:t>
      </w:r>
      <w:r>
        <w:rPr>
          <w:color w:val="4D4D4F"/>
          <w:spacing w:val="-8"/>
          <w:w w:val="115"/>
        </w:rPr>
        <w:t> </w:t>
      </w:r>
      <w:r>
        <w:rPr>
          <w:color w:val="4D4D4F"/>
          <w:w w:val="115"/>
        </w:rPr>
        <w:t>initial</w:t>
      </w:r>
      <w:r>
        <w:rPr>
          <w:color w:val="4D4D4F"/>
          <w:spacing w:val="-8"/>
          <w:w w:val="115"/>
        </w:rPr>
        <w:t> </w:t>
      </w:r>
      <w:r>
        <w:rPr>
          <w:color w:val="4D4D4F"/>
          <w:w w:val="115"/>
        </w:rPr>
        <w:t>goals,</w:t>
      </w:r>
      <w:r>
        <w:rPr>
          <w:color w:val="4D4D4F"/>
          <w:spacing w:val="-11"/>
          <w:w w:val="115"/>
        </w:rPr>
        <w:t> </w:t>
      </w:r>
      <w:r>
        <w:rPr>
          <w:rFonts w:ascii="Gill Sans MT" w:hAnsi="Gill Sans MT"/>
          <w:b w:val="0"/>
          <w:color w:val="4D4D4F"/>
          <w:spacing w:val="-4"/>
          <w:w w:val="115"/>
        </w:rPr>
        <w:t>such </w:t>
      </w:r>
      <w:r>
        <w:rPr>
          <w:rFonts w:ascii="Gill Sans MT" w:hAnsi="Gill Sans MT"/>
          <w:b w:val="0"/>
          <w:color w:val="4D4D4F"/>
          <w:w w:val="115"/>
        </w:rPr>
        <w:t>as:</w:t>
      </w:r>
    </w:p>
    <w:p>
      <w:pPr>
        <w:pStyle w:val="ListParagraph"/>
        <w:numPr>
          <w:ilvl w:val="1"/>
          <w:numId w:val="29"/>
        </w:numPr>
        <w:tabs>
          <w:tab w:pos="716" w:val="left" w:leader="none"/>
        </w:tabs>
        <w:spacing w:line="247" w:lineRule="auto" w:before="37" w:after="0"/>
        <w:ind w:left="716" w:right="321" w:hanging="270"/>
        <w:jc w:val="left"/>
        <w:rPr>
          <w:rFonts w:ascii="Arial" w:hAnsi="Arial"/>
          <w:color w:val="137692"/>
          <w:sz w:val="24"/>
        </w:rPr>
      </w:pPr>
      <w:r>
        <w:rPr>
          <w:color w:val="4D4D4F"/>
          <w:w w:val="110"/>
          <w:sz w:val="22"/>
        </w:rPr>
        <w:t>Increase in the intensity or scope of services at the ofﬁce or through</w:t>
      </w:r>
      <w:r>
        <w:rPr>
          <w:color w:val="4D4D4F"/>
          <w:spacing w:val="-47"/>
          <w:w w:val="110"/>
          <w:sz w:val="22"/>
        </w:rPr>
        <w:t> </w:t>
      </w:r>
      <w:r>
        <w:rPr>
          <w:color w:val="4D4D4F"/>
          <w:spacing w:val="-3"/>
          <w:w w:val="110"/>
          <w:sz w:val="22"/>
        </w:rPr>
        <w:t>referral.</w:t>
      </w:r>
    </w:p>
    <w:p>
      <w:pPr>
        <w:pStyle w:val="ListParagraph"/>
        <w:numPr>
          <w:ilvl w:val="1"/>
          <w:numId w:val="29"/>
        </w:numPr>
        <w:tabs>
          <w:tab w:pos="716" w:val="left" w:leader="none"/>
        </w:tabs>
        <w:spacing w:line="247" w:lineRule="auto" w:before="24" w:after="0"/>
        <w:ind w:left="716" w:right="192" w:hanging="270"/>
        <w:jc w:val="left"/>
        <w:rPr>
          <w:rFonts w:ascii="Arial" w:hAnsi="Arial"/>
          <w:color w:val="137692"/>
          <w:sz w:val="24"/>
        </w:rPr>
      </w:pPr>
      <w:r>
        <w:rPr>
          <w:color w:val="4D4D4F"/>
          <w:w w:val="110"/>
          <w:sz w:val="22"/>
        </w:rPr>
        <w:t>More intensive psychosocial treatment, including inpatient treatment or transfer to an opioid treatment program (OTP) for observed buprenorphine dosing if </w:t>
      </w:r>
      <w:r>
        <w:rPr>
          <w:color w:val="4D4D4F"/>
          <w:spacing w:val="-6"/>
          <w:w w:val="110"/>
          <w:sz w:val="22"/>
        </w:rPr>
        <w:t>the </w:t>
      </w:r>
      <w:r>
        <w:rPr>
          <w:color w:val="4D4D4F"/>
          <w:w w:val="110"/>
          <w:sz w:val="22"/>
        </w:rPr>
        <w:t>ofﬁce-based practice is unable to </w:t>
      </w:r>
      <w:r>
        <w:rPr>
          <w:color w:val="4D4D4F"/>
          <w:spacing w:val="-4"/>
          <w:w w:val="110"/>
          <w:sz w:val="22"/>
        </w:rPr>
        <w:t>provide </w:t>
      </w:r>
      <w:r>
        <w:rPr>
          <w:color w:val="4D4D4F"/>
          <w:w w:val="110"/>
          <w:sz w:val="22"/>
        </w:rPr>
        <w:t>such</w:t>
      </w:r>
      <w:r>
        <w:rPr>
          <w:color w:val="4D4D4F"/>
          <w:spacing w:val="-6"/>
          <w:w w:val="110"/>
          <w:sz w:val="22"/>
        </w:rPr>
        <w:t> </w:t>
      </w:r>
      <w:r>
        <w:rPr>
          <w:color w:val="4D4D4F"/>
          <w:w w:val="110"/>
          <w:sz w:val="22"/>
        </w:rPr>
        <w:t>services.</w:t>
      </w:r>
    </w:p>
    <w:p>
      <w:pPr>
        <w:pStyle w:val="ListParagraph"/>
        <w:numPr>
          <w:ilvl w:val="1"/>
          <w:numId w:val="29"/>
        </w:numPr>
        <w:tabs>
          <w:tab w:pos="716" w:val="left" w:leader="none"/>
        </w:tabs>
        <w:spacing w:line="247" w:lineRule="auto" w:before="29" w:after="0"/>
        <w:ind w:left="716" w:right="122" w:hanging="270"/>
        <w:jc w:val="left"/>
        <w:rPr>
          <w:rFonts w:ascii="Arial" w:hAnsi="Arial"/>
          <w:color w:val="137692"/>
          <w:sz w:val="24"/>
        </w:rPr>
      </w:pPr>
      <w:r>
        <w:rPr>
          <w:color w:val="4D4D4F"/>
          <w:w w:val="110"/>
          <w:sz w:val="22"/>
        </w:rPr>
        <w:t>Reassessment to ensure psychiatric and other comorbid addictions are adequately addressed via consultation with mental health, addiction treatment, or pain management providers as available and indicated.</w:t>
      </w:r>
    </w:p>
    <w:p>
      <w:pPr>
        <w:pStyle w:val="BodyText"/>
        <w:spacing w:line="244" w:lineRule="auto" w:before="181"/>
        <w:ind w:left="140" w:right="117"/>
      </w:pPr>
      <w:r>
        <w:rPr>
          <w:rFonts w:ascii="Calibri"/>
          <w:b/>
          <w:color w:val="4D4D4F"/>
          <w:w w:val="110"/>
        </w:rPr>
        <w:t>Some patients may need a more structured environment </w:t>
      </w:r>
      <w:r>
        <w:rPr>
          <w:color w:val="4D4D4F"/>
          <w:w w:val="110"/>
        </w:rPr>
        <w:t>when there is continued opioid use or comorbid use of substances other than opioids or when mental disorders are impeding their</w:t>
      </w:r>
      <w:r>
        <w:rPr>
          <w:color w:val="4D4D4F"/>
          <w:spacing w:val="-12"/>
          <w:w w:val="110"/>
        </w:rPr>
        <w:t> </w:t>
      </w:r>
      <w:r>
        <w:rPr>
          <w:color w:val="4D4D4F"/>
          <w:w w:val="110"/>
        </w:rPr>
        <w:t>progress</w:t>
      </w:r>
      <w:r>
        <w:rPr>
          <w:color w:val="4D4D4F"/>
          <w:spacing w:val="-11"/>
          <w:w w:val="110"/>
        </w:rPr>
        <w:t> </w:t>
      </w:r>
      <w:r>
        <w:rPr>
          <w:color w:val="4D4D4F"/>
          <w:w w:val="110"/>
        </w:rPr>
        <w:t>toward</w:t>
      </w:r>
      <w:r>
        <w:rPr>
          <w:color w:val="4D4D4F"/>
          <w:spacing w:val="-11"/>
          <w:w w:val="110"/>
        </w:rPr>
        <w:t> </w:t>
      </w:r>
      <w:r>
        <w:rPr>
          <w:color w:val="4D4D4F"/>
          <w:w w:val="110"/>
        </w:rPr>
        <w:t>remission</w:t>
      </w:r>
      <w:r>
        <w:rPr>
          <w:color w:val="4D4D4F"/>
          <w:spacing w:val="-12"/>
          <w:w w:val="110"/>
        </w:rPr>
        <w:t> </w:t>
      </w:r>
      <w:r>
        <w:rPr>
          <w:color w:val="4D4D4F"/>
          <w:w w:val="110"/>
        </w:rPr>
        <w:t>and</w:t>
      </w:r>
      <w:r>
        <w:rPr>
          <w:color w:val="4D4D4F"/>
          <w:spacing w:val="-11"/>
          <w:w w:val="110"/>
        </w:rPr>
        <w:t> </w:t>
      </w:r>
      <w:r>
        <w:rPr>
          <w:color w:val="4D4D4F"/>
          <w:spacing w:val="-3"/>
          <w:w w:val="110"/>
        </w:rPr>
        <w:t>recovery.</w:t>
      </w:r>
      <w:r>
        <w:rPr>
          <w:color w:val="4D4D4F"/>
          <w:spacing w:val="-11"/>
          <w:w w:val="110"/>
        </w:rPr>
        <w:t> </w:t>
      </w:r>
      <w:r>
        <w:rPr>
          <w:color w:val="4D4D4F"/>
          <w:spacing w:val="-9"/>
          <w:w w:val="110"/>
        </w:rPr>
        <w:t>In </w:t>
      </w:r>
      <w:r>
        <w:rPr>
          <w:color w:val="4D4D4F"/>
          <w:w w:val="110"/>
        </w:rPr>
        <w:t>these cases, medication for OUD should not be interrupted.</w:t>
      </w:r>
    </w:p>
    <w:p>
      <w:pPr>
        <w:spacing w:line="244" w:lineRule="auto" w:before="179"/>
        <w:ind w:left="140" w:right="-2" w:firstLine="0"/>
        <w:jc w:val="left"/>
        <w:rPr>
          <w:sz w:val="22"/>
        </w:rPr>
      </w:pPr>
      <w:r>
        <w:rPr>
          <w:rFonts w:ascii="Calibri"/>
          <w:b/>
          <w:color w:val="4D4D4F"/>
          <w:w w:val="110"/>
          <w:sz w:val="22"/>
        </w:rPr>
        <w:t>Treatment agreements can help clarify expec- tations for patients and healthcare profession- als </w:t>
      </w:r>
      <w:r>
        <w:rPr>
          <w:color w:val="4D4D4F"/>
          <w:w w:val="110"/>
          <w:sz w:val="22"/>
        </w:rPr>
        <w:t>(see the Chapter 3C Appendix and Chapter 3D Appendix for sample treatment agreement forms for naltrexone and buprenorphine, respec- tively). Review and amend treatment plans and treatment agreements periodically as patients progress (or destabilize) and new goals emerge. This will help healthcare professionals across settings deliver coordinated, effective care.</w:t>
      </w:r>
    </w:p>
    <w:p>
      <w:pPr>
        <w:pStyle w:val="BodyText"/>
        <w:spacing w:before="2"/>
        <w:ind w:left="140"/>
      </w:pPr>
      <w:r>
        <w:rPr>
          <w:color w:val="4D4D4F"/>
          <w:w w:val="115"/>
        </w:rPr>
        <w:t>Updating</w:t>
      </w:r>
      <w:r>
        <w:rPr>
          <w:color w:val="4D4D4F"/>
          <w:spacing w:val="-17"/>
          <w:w w:val="115"/>
        </w:rPr>
        <w:t> </w:t>
      </w:r>
      <w:r>
        <w:rPr>
          <w:color w:val="4D4D4F"/>
          <w:w w:val="115"/>
        </w:rPr>
        <w:t>treatment</w:t>
      </w:r>
      <w:r>
        <w:rPr>
          <w:color w:val="4D4D4F"/>
          <w:spacing w:val="-17"/>
          <w:w w:val="115"/>
        </w:rPr>
        <w:t> </w:t>
      </w:r>
      <w:r>
        <w:rPr>
          <w:color w:val="4D4D4F"/>
          <w:w w:val="115"/>
        </w:rPr>
        <w:t>plans</w:t>
      </w:r>
      <w:r>
        <w:rPr>
          <w:color w:val="4D4D4F"/>
          <w:spacing w:val="-16"/>
          <w:w w:val="115"/>
        </w:rPr>
        <w:t> </w:t>
      </w:r>
      <w:r>
        <w:rPr>
          <w:color w:val="4D4D4F"/>
          <w:w w:val="115"/>
        </w:rPr>
        <w:t>and</w:t>
      </w:r>
      <w:r>
        <w:rPr>
          <w:color w:val="4D4D4F"/>
          <w:spacing w:val="-17"/>
          <w:w w:val="115"/>
        </w:rPr>
        <w:t> </w:t>
      </w:r>
      <w:r>
        <w:rPr>
          <w:color w:val="4D4D4F"/>
          <w:w w:val="115"/>
        </w:rPr>
        <w:t>agreements</w:t>
      </w:r>
      <w:r>
        <w:rPr>
          <w:color w:val="4D4D4F"/>
          <w:spacing w:val="-16"/>
          <w:w w:val="115"/>
        </w:rPr>
        <w:t> </w:t>
      </w:r>
      <w:r>
        <w:rPr>
          <w:color w:val="4D4D4F"/>
          <w:w w:val="115"/>
        </w:rPr>
        <w:t>helps</w:t>
      </w:r>
    </w:p>
    <w:p>
      <w:pPr>
        <w:pStyle w:val="Heading7"/>
        <w:spacing w:line="304" w:lineRule="auto" w:before="146"/>
        <w:ind w:left="438" w:right="654"/>
        <w:rPr>
          <w:rFonts w:ascii="Arial" w:hAnsi="Arial"/>
        </w:rPr>
      </w:pPr>
      <w:r>
        <w:rPr>
          <w:b w:val="0"/>
        </w:rPr>
        <w:br w:type="column"/>
      </w:r>
      <w:r>
        <w:rPr>
          <w:rFonts w:ascii="Arial" w:hAnsi="Arial"/>
          <w:color w:val="B15651"/>
          <w:w w:val="110"/>
        </w:rPr>
        <w:t>If a patient does not discontinue all illicit drugs for extended periods, it doesn’t mean treatment has failed and should not result in automatic</w:t>
      </w:r>
    </w:p>
    <w:p>
      <w:pPr>
        <w:spacing w:line="304" w:lineRule="auto" w:before="0"/>
        <w:ind w:left="438" w:right="277" w:firstLine="0"/>
        <w:jc w:val="left"/>
        <w:rPr>
          <w:rFonts w:ascii="Arial" w:hAnsi="Arial"/>
          <w:b/>
          <w:sz w:val="22"/>
        </w:rPr>
      </w:pPr>
      <w:r>
        <w:rPr/>
        <w:pict>
          <v:line style="position:absolute;mso-position-horizontal-relative:page;mso-position-vertical-relative:paragraph;z-index:15784960" from="315.501007pt,42.293142pt" to="315.501007pt,-64.354858pt" stroked="true" strokeweight="1pt" strokecolor="#759eb4">
            <v:stroke dashstyle="solid"/>
            <w10:wrap type="none"/>
          </v:line>
        </w:pict>
      </w:r>
      <w:r>
        <w:rPr>
          <w:rFonts w:ascii="Arial" w:hAnsi="Arial"/>
          <w:b/>
          <w:color w:val="B15651"/>
          <w:w w:val="110"/>
          <w:sz w:val="22"/>
        </w:rPr>
        <w:t>discharge. It means the treatment plan may require modiﬁcation to meet the patient’s needs.</w:t>
      </w:r>
    </w:p>
    <w:p>
      <w:pPr>
        <w:pStyle w:val="BodyText"/>
        <w:spacing w:before="1"/>
        <w:rPr>
          <w:rFonts w:ascii="Arial"/>
          <w:b/>
          <w:sz w:val="25"/>
        </w:rPr>
      </w:pPr>
    </w:p>
    <w:p>
      <w:pPr>
        <w:pStyle w:val="BodyText"/>
        <w:spacing w:line="247" w:lineRule="auto"/>
        <w:ind w:left="140" w:right="253"/>
      </w:pPr>
      <w:r>
        <w:rPr>
          <w:color w:val="4D4D4F"/>
          <w:w w:val="110"/>
        </w:rPr>
        <w:t>patients recognize their progress and supports their motivation to remain engaged. Involving patients’ support networks makes patients accountable to a group of caring people rather than to a single healthcare professional.</w:t>
      </w:r>
    </w:p>
    <w:p>
      <w:pPr>
        <w:spacing w:line="242" w:lineRule="auto" w:before="181"/>
        <w:ind w:left="140" w:right="434" w:firstLine="0"/>
        <w:jc w:val="left"/>
        <w:rPr>
          <w:sz w:val="13"/>
        </w:rPr>
      </w:pPr>
      <w:r>
        <w:rPr>
          <w:rFonts w:ascii="Calibri" w:hAnsi="Calibri"/>
          <w:b/>
          <w:color w:val="4D4D4F"/>
          <w:w w:val="115"/>
          <w:sz w:val="22"/>
        </w:rPr>
        <w:t>Engage patients’ family members and </w:t>
      </w:r>
      <w:r>
        <w:rPr>
          <w:rFonts w:ascii="Calibri" w:hAnsi="Calibri"/>
          <w:b/>
          <w:color w:val="4D4D4F"/>
          <w:spacing w:val="-4"/>
          <w:w w:val="115"/>
          <w:sz w:val="22"/>
        </w:rPr>
        <w:t>other </w:t>
      </w:r>
      <w:r>
        <w:rPr>
          <w:rFonts w:ascii="Calibri" w:hAnsi="Calibri"/>
          <w:b/>
          <w:color w:val="4D4D4F"/>
          <w:w w:val="115"/>
          <w:sz w:val="22"/>
        </w:rPr>
        <w:t>recovery supports </w:t>
      </w:r>
      <w:r>
        <w:rPr>
          <w:color w:val="4D4D4F"/>
          <w:w w:val="115"/>
          <w:sz w:val="22"/>
        </w:rPr>
        <w:t>(with patients’ written consent)</w:t>
      </w:r>
      <w:r>
        <w:rPr>
          <w:color w:val="4D4D4F"/>
          <w:spacing w:val="-25"/>
          <w:w w:val="115"/>
          <w:sz w:val="22"/>
        </w:rPr>
        <w:t> </w:t>
      </w:r>
      <w:r>
        <w:rPr>
          <w:color w:val="4D4D4F"/>
          <w:w w:val="115"/>
          <w:sz w:val="22"/>
        </w:rPr>
        <w:t>by</w:t>
      </w:r>
      <w:r>
        <w:rPr>
          <w:color w:val="4D4D4F"/>
          <w:spacing w:val="-25"/>
          <w:w w:val="115"/>
          <w:sz w:val="22"/>
        </w:rPr>
        <w:t> </w:t>
      </w:r>
      <w:r>
        <w:rPr>
          <w:color w:val="4D4D4F"/>
          <w:w w:val="115"/>
          <w:sz w:val="22"/>
        </w:rPr>
        <w:t>sharing</w:t>
      </w:r>
      <w:r>
        <w:rPr>
          <w:color w:val="4D4D4F"/>
          <w:spacing w:val="-24"/>
          <w:w w:val="115"/>
          <w:sz w:val="22"/>
        </w:rPr>
        <w:t> </w:t>
      </w:r>
      <w:r>
        <w:rPr>
          <w:color w:val="4D4D4F"/>
          <w:w w:val="115"/>
          <w:sz w:val="22"/>
        </w:rPr>
        <w:t>their</w:t>
      </w:r>
      <w:r>
        <w:rPr>
          <w:color w:val="4D4D4F"/>
          <w:spacing w:val="-25"/>
          <w:w w:val="115"/>
          <w:sz w:val="22"/>
        </w:rPr>
        <w:t> </w:t>
      </w:r>
      <w:r>
        <w:rPr>
          <w:color w:val="4D4D4F"/>
          <w:w w:val="115"/>
          <w:sz w:val="22"/>
        </w:rPr>
        <w:t>treatment</w:t>
      </w:r>
      <w:r>
        <w:rPr>
          <w:color w:val="4D4D4F"/>
          <w:spacing w:val="-25"/>
          <w:w w:val="115"/>
          <w:sz w:val="22"/>
        </w:rPr>
        <w:t> </w:t>
      </w:r>
      <w:r>
        <w:rPr>
          <w:color w:val="4D4D4F"/>
          <w:w w:val="115"/>
          <w:sz w:val="22"/>
        </w:rPr>
        <w:t>goals</w:t>
      </w:r>
      <w:r>
        <w:rPr>
          <w:color w:val="4D4D4F"/>
          <w:spacing w:val="-24"/>
          <w:w w:val="115"/>
          <w:sz w:val="22"/>
        </w:rPr>
        <w:t> </w:t>
      </w:r>
      <w:r>
        <w:rPr>
          <w:color w:val="4D4D4F"/>
          <w:w w:val="115"/>
          <w:sz w:val="22"/>
        </w:rPr>
        <w:t>and agreements. Identify speciﬁc ways they can support patients’</w:t>
      </w:r>
      <w:r>
        <w:rPr>
          <w:color w:val="4D4D4F"/>
          <w:spacing w:val="-20"/>
          <w:w w:val="115"/>
          <w:sz w:val="22"/>
        </w:rPr>
        <w:t> </w:t>
      </w:r>
      <w:r>
        <w:rPr>
          <w:color w:val="4D4D4F"/>
          <w:w w:val="115"/>
          <w:sz w:val="22"/>
        </w:rPr>
        <w:t>goals.</w:t>
      </w:r>
      <w:r>
        <w:rPr>
          <w:color w:val="4D4D4F"/>
          <w:w w:val="115"/>
          <w:position w:val="7"/>
          <w:sz w:val="13"/>
        </w:rPr>
        <w:t>360</w:t>
      </w:r>
    </w:p>
    <w:p>
      <w:pPr>
        <w:pStyle w:val="BodyText"/>
        <w:spacing w:before="6"/>
        <w:rPr>
          <w:sz w:val="23"/>
        </w:rPr>
      </w:pPr>
    </w:p>
    <w:p>
      <w:pPr>
        <w:pStyle w:val="Heading3"/>
      </w:pPr>
      <w:bookmarkStart w:name="_TOC_250024" w:id="91"/>
      <w:bookmarkEnd w:id="91"/>
      <w:r>
        <w:rPr>
          <w:color w:val="137692"/>
          <w:w w:val="110"/>
        </w:rPr>
        <w:t>Medical Management Strategies</w:t>
      </w:r>
    </w:p>
    <w:p>
      <w:pPr>
        <w:pStyle w:val="BodyText"/>
        <w:spacing w:before="48"/>
        <w:ind w:left="140"/>
      </w:pPr>
      <w:r>
        <w:rPr>
          <w:color w:val="4D4D4F"/>
          <w:w w:val="115"/>
        </w:rPr>
        <w:t>Medical management includes:</w:t>
      </w:r>
    </w:p>
    <w:p>
      <w:pPr>
        <w:pStyle w:val="ListParagraph"/>
        <w:numPr>
          <w:ilvl w:val="0"/>
          <w:numId w:val="29"/>
        </w:numPr>
        <w:tabs>
          <w:tab w:pos="411" w:val="left" w:leader="none"/>
        </w:tabs>
        <w:spacing w:line="315" w:lineRule="exact" w:before="105" w:after="0"/>
        <w:ind w:left="410" w:right="0" w:hanging="271"/>
        <w:jc w:val="left"/>
        <w:rPr>
          <w:rFonts w:ascii="Arial" w:hAnsi="Arial"/>
          <w:color w:val="137692"/>
          <w:sz w:val="28"/>
        </w:rPr>
      </w:pPr>
      <w:r>
        <w:rPr>
          <w:color w:val="4D4D4F"/>
          <w:w w:val="115"/>
          <w:sz w:val="22"/>
        </w:rPr>
        <w:t>Providing brief supportive</w:t>
      </w:r>
      <w:r>
        <w:rPr>
          <w:color w:val="4D4D4F"/>
          <w:spacing w:val="-38"/>
          <w:w w:val="115"/>
          <w:sz w:val="22"/>
        </w:rPr>
        <w:t> </w:t>
      </w:r>
      <w:r>
        <w:rPr>
          <w:color w:val="4D4D4F"/>
          <w:w w:val="115"/>
          <w:sz w:val="22"/>
        </w:rPr>
        <w:t>counseling.</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0"/>
          <w:sz w:val="22"/>
        </w:rPr>
        <w:t>Referring to ancillary psychosocial</w:t>
      </w:r>
      <w:r>
        <w:rPr>
          <w:color w:val="4D4D4F"/>
          <w:spacing w:val="-16"/>
          <w:w w:val="110"/>
          <w:sz w:val="22"/>
        </w:rPr>
        <w:t> </w:t>
      </w:r>
      <w:r>
        <w:rPr>
          <w:color w:val="4D4D4F"/>
          <w:w w:val="110"/>
          <w:sz w:val="22"/>
        </w:rPr>
        <w:t>services.</w:t>
      </w:r>
    </w:p>
    <w:p>
      <w:pPr>
        <w:pStyle w:val="ListParagraph"/>
        <w:numPr>
          <w:ilvl w:val="0"/>
          <w:numId w:val="29"/>
        </w:numPr>
        <w:tabs>
          <w:tab w:pos="411" w:val="left" w:leader="none"/>
        </w:tabs>
        <w:spacing w:line="264" w:lineRule="exact" w:before="5" w:after="0"/>
        <w:ind w:left="410" w:right="434" w:hanging="270"/>
        <w:jc w:val="left"/>
        <w:rPr>
          <w:rFonts w:ascii="Arial" w:hAnsi="Arial"/>
          <w:color w:val="137692"/>
          <w:sz w:val="28"/>
        </w:rPr>
      </w:pPr>
      <w:r>
        <w:rPr>
          <w:color w:val="4D4D4F"/>
          <w:w w:val="115"/>
          <w:sz w:val="22"/>
        </w:rPr>
        <w:t>Referring</w:t>
      </w:r>
      <w:r>
        <w:rPr>
          <w:color w:val="4D4D4F"/>
          <w:spacing w:val="-24"/>
          <w:w w:val="115"/>
          <w:sz w:val="22"/>
        </w:rPr>
        <w:t> </w:t>
      </w:r>
      <w:r>
        <w:rPr>
          <w:color w:val="4D4D4F"/>
          <w:w w:val="115"/>
          <w:sz w:val="22"/>
        </w:rPr>
        <w:t>to</w:t>
      </w:r>
      <w:r>
        <w:rPr>
          <w:color w:val="4D4D4F"/>
          <w:spacing w:val="-24"/>
          <w:w w:val="115"/>
          <w:sz w:val="22"/>
        </w:rPr>
        <w:t> </w:t>
      </w:r>
      <w:r>
        <w:rPr>
          <w:color w:val="4D4D4F"/>
          <w:w w:val="115"/>
          <w:sz w:val="22"/>
        </w:rPr>
        <w:t>psychiatric</w:t>
      </w:r>
      <w:r>
        <w:rPr>
          <w:color w:val="4D4D4F"/>
          <w:spacing w:val="-24"/>
          <w:w w:val="115"/>
          <w:sz w:val="22"/>
        </w:rPr>
        <w:t> </w:t>
      </w:r>
      <w:r>
        <w:rPr>
          <w:color w:val="4D4D4F"/>
          <w:w w:val="115"/>
          <w:sz w:val="22"/>
        </w:rPr>
        <w:t>and</w:t>
      </w:r>
      <w:r>
        <w:rPr>
          <w:color w:val="4D4D4F"/>
          <w:spacing w:val="-23"/>
          <w:w w:val="115"/>
          <w:sz w:val="22"/>
        </w:rPr>
        <w:t> </w:t>
      </w:r>
      <w:r>
        <w:rPr>
          <w:color w:val="4D4D4F"/>
          <w:w w:val="115"/>
          <w:sz w:val="22"/>
        </w:rPr>
        <w:t>medical</w:t>
      </w:r>
      <w:r>
        <w:rPr>
          <w:color w:val="4D4D4F"/>
          <w:spacing w:val="-24"/>
          <w:w w:val="115"/>
          <w:sz w:val="22"/>
        </w:rPr>
        <w:t> </w:t>
      </w:r>
      <w:r>
        <w:rPr>
          <w:color w:val="4D4D4F"/>
          <w:w w:val="115"/>
          <w:sz w:val="22"/>
        </w:rPr>
        <w:t>care</w:t>
      </w:r>
      <w:r>
        <w:rPr>
          <w:color w:val="4D4D4F"/>
          <w:spacing w:val="-24"/>
          <w:w w:val="115"/>
          <w:sz w:val="22"/>
        </w:rPr>
        <w:t> </w:t>
      </w:r>
      <w:r>
        <w:rPr>
          <w:color w:val="4D4D4F"/>
          <w:w w:val="115"/>
          <w:sz w:val="22"/>
        </w:rPr>
        <w:t>if not</w:t>
      </w:r>
      <w:r>
        <w:rPr>
          <w:color w:val="4D4D4F"/>
          <w:spacing w:val="-34"/>
          <w:w w:val="115"/>
          <w:sz w:val="22"/>
        </w:rPr>
        <w:t> </w:t>
      </w:r>
      <w:r>
        <w:rPr>
          <w:color w:val="4D4D4F"/>
          <w:w w:val="115"/>
          <w:sz w:val="22"/>
        </w:rPr>
        <w:t>directly</w:t>
      </w:r>
      <w:r>
        <w:rPr>
          <w:color w:val="4D4D4F"/>
          <w:spacing w:val="-34"/>
          <w:w w:val="115"/>
          <w:sz w:val="22"/>
        </w:rPr>
        <w:t> </w:t>
      </w:r>
      <w:r>
        <w:rPr>
          <w:color w:val="4D4D4F"/>
          <w:w w:val="115"/>
          <w:sz w:val="22"/>
        </w:rPr>
        <w:t>provided</w:t>
      </w:r>
      <w:r>
        <w:rPr>
          <w:color w:val="4D4D4F"/>
          <w:spacing w:val="-34"/>
          <w:w w:val="115"/>
          <w:sz w:val="22"/>
        </w:rPr>
        <w:t> </w:t>
      </w:r>
      <w:r>
        <w:rPr>
          <w:color w:val="4D4D4F"/>
          <w:w w:val="115"/>
          <w:sz w:val="22"/>
        </w:rPr>
        <w:t>by</w:t>
      </w:r>
      <w:r>
        <w:rPr>
          <w:color w:val="4D4D4F"/>
          <w:spacing w:val="-33"/>
          <w:w w:val="115"/>
          <w:sz w:val="22"/>
        </w:rPr>
        <w:t> </w:t>
      </w:r>
      <w:r>
        <w:rPr>
          <w:color w:val="4D4D4F"/>
          <w:w w:val="115"/>
          <w:sz w:val="22"/>
        </w:rPr>
        <w:t>the</w:t>
      </w:r>
      <w:r>
        <w:rPr>
          <w:color w:val="4D4D4F"/>
          <w:spacing w:val="-34"/>
          <w:w w:val="115"/>
          <w:sz w:val="22"/>
        </w:rPr>
        <w:t> </w:t>
      </w:r>
      <w:r>
        <w:rPr>
          <w:color w:val="4D4D4F"/>
          <w:w w:val="115"/>
          <w:sz w:val="22"/>
        </w:rPr>
        <w:t>healthcare</w:t>
      </w:r>
      <w:r>
        <w:rPr>
          <w:color w:val="4D4D4F"/>
          <w:spacing w:val="-34"/>
          <w:w w:val="115"/>
          <w:sz w:val="22"/>
        </w:rPr>
        <w:t> </w:t>
      </w:r>
      <w:r>
        <w:rPr>
          <w:color w:val="4D4D4F"/>
          <w:spacing w:val="-6"/>
          <w:w w:val="115"/>
          <w:sz w:val="22"/>
        </w:rPr>
        <w:t>pro- </w:t>
      </w:r>
      <w:r>
        <w:rPr>
          <w:color w:val="4D4D4F"/>
          <w:w w:val="115"/>
          <w:sz w:val="22"/>
        </w:rPr>
        <w:t>fessional</w:t>
      </w:r>
      <w:r>
        <w:rPr>
          <w:color w:val="4D4D4F"/>
          <w:spacing w:val="-42"/>
          <w:w w:val="115"/>
          <w:sz w:val="22"/>
        </w:rPr>
        <w:t> </w:t>
      </w:r>
      <w:r>
        <w:rPr>
          <w:color w:val="4D4D4F"/>
          <w:w w:val="115"/>
          <w:sz w:val="22"/>
        </w:rPr>
        <w:t>prescribing</w:t>
      </w:r>
      <w:r>
        <w:rPr>
          <w:color w:val="4D4D4F"/>
          <w:spacing w:val="-41"/>
          <w:w w:val="115"/>
          <w:sz w:val="22"/>
        </w:rPr>
        <w:t> </w:t>
      </w:r>
      <w:r>
        <w:rPr>
          <w:color w:val="4D4D4F"/>
          <w:w w:val="115"/>
          <w:sz w:val="22"/>
        </w:rPr>
        <w:t>or</w:t>
      </w:r>
      <w:r>
        <w:rPr>
          <w:color w:val="4D4D4F"/>
          <w:spacing w:val="-42"/>
          <w:w w:val="115"/>
          <w:sz w:val="22"/>
        </w:rPr>
        <w:t> </w:t>
      </w:r>
      <w:r>
        <w:rPr>
          <w:color w:val="4D4D4F"/>
          <w:w w:val="115"/>
          <w:sz w:val="22"/>
        </w:rPr>
        <w:t>administering</w:t>
      </w:r>
      <w:r>
        <w:rPr>
          <w:color w:val="4D4D4F"/>
          <w:spacing w:val="-41"/>
          <w:w w:val="115"/>
          <w:sz w:val="22"/>
        </w:rPr>
        <w:t> </w:t>
      </w:r>
      <w:r>
        <w:rPr>
          <w:color w:val="4D4D4F"/>
          <w:w w:val="115"/>
          <w:sz w:val="22"/>
        </w:rPr>
        <w:t>OUD medication.</w:t>
      </w:r>
    </w:p>
    <w:p>
      <w:pPr>
        <w:pStyle w:val="ListParagraph"/>
        <w:numPr>
          <w:ilvl w:val="0"/>
          <w:numId w:val="29"/>
        </w:numPr>
        <w:tabs>
          <w:tab w:pos="411" w:val="left" w:leader="none"/>
        </w:tabs>
        <w:spacing w:line="315" w:lineRule="exact" w:before="31" w:after="0"/>
        <w:ind w:left="410" w:right="0" w:hanging="271"/>
        <w:jc w:val="left"/>
        <w:rPr>
          <w:rFonts w:ascii="Arial" w:hAnsi="Arial"/>
          <w:color w:val="137692"/>
          <w:sz w:val="28"/>
        </w:rPr>
      </w:pPr>
      <w:r>
        <w:rPr>
          <w:color w:val="4D4D4F"/>
          <w:w w:val="110"/>
          <w:sz w:val="22"/>
        </w:rPr>
        <w:t>Adjusting the frequency of ofﬁce</w:t>
      </w:r>
      <w:r>
        <w:rPr>
          <w:color w:val="4D4D4F"/>
          <w:spacing w:val="-13"/>
          <w:w w:val="110"/>
          <w:sz w:val="22"/>
        </w:rPr>
        <w:t> </w:t>
      </w:r>
      <w:r>
        <w:rPr>
          <w:color w:val="4D4D4F"/>
          <w:w w:val="110"/>
          <w:sz w:val="22"/>
        </w:rPr>
        <w:t>visits.</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5"/>
          <w:sz w:val="22"/>
        </w:rPr>
        <w:t>Conducting drug</w:t>
      </w:r>
      <w:r>
        <w:rPr>
          <w:color w:val="4D4D4F"/>
          <w:spacing w:val="-21"/>
          <w:w w:val="115"/>
          <w:sz w:val="22"/>
        </w:rPr>
        <w:t> </w:t>
      </w:r>
      <w:r>
        <w:rPr>
          <w:color w:val="4D4D4F"/>
          <w:w w:val="115"/>
          <w:sz w:val="22"/>
        </w:rPr>
        <w:t>tests.</w:t>
      </w:r>
    </w:p>
    <w:p>
      <w:pPr>
        <w:pStyle w:val="ListParagraph"/>
        <w:numPr>
          <w:ilvl w:val="0"/>
          <w:numId w:val="29"/>
        </w:numPr>
        <w:tabs>
          <w:tab w:pos="411" w:val="left" w:leader="none"/>
        </w:tabs>
        <w:spacing w:line="225" w:lineRule="auto" w:before="6" w:after="0"/>
        <w:ind w:left="410" w:right="353" w:hanging="270"/>
        <w:jc w:val="left"/>
        <w:rPr>
          <w:rFonts w:ascii="Arial" w:hAnsi="Arial"/>
          <w:color w:val="137692"/>
          <w:sz w:val="28"/>
        </w:rPr>
      </w:pPr>
      <w:r>
        <w:rPr>
          <w:color w:val="4D4D4F"/>
          <w:w w:val="110"/>
          <w:sz w:val="22"/>
        </w:rPr>
        <w:t>Monitoring patient adherence to medication with occasional observed dosing, random medication inventorying, or</w:t>
      </w:r>
      <w:r>
        <w:rPr>
          <w:color w:val="4D4D4F"/>
          <w:spacing w:val="-12"/>
          <w:w w:val="110"/>
          <w:sz w:val="22"/>
        </w:rPr>
        <w:t> </w:t>
      </w:r>
      <w:r>
        <w:rPr>
          <w:color w:val="4D4D4F"/>
          <w:w w:val="110"/>
          <w:sz w:val="22"/>
        </w:rPr>
        <w:t>both.</w:t>
      </w:r>
    </w:p>
    <w:p>
      <w:pPr>
        <w:pStyle w:val="ListParagraph"/>
        <w:numPr>
          <w:ilvl w:val="0"/>
          <w:numId w:val="29"/>
        </w:numPr>
        <w:tabs>
          <w:tab w:pos="411" w:val="left" w:leader="none"/>
        </w:tabs>
        <w:spacing w:line="240" w:lineRule="auto" w:before="40" w:after="0"/>
        <w:ind w:left="410" w:right="0" w:hanging="271"/>
        <w:jc w:val="left"/>
        <w:rPr>
          <w:rFonts w:ascii="Arial" w:hAnsi="Arial"/>
          <w:color w:val="137692"/>
          <w:sz w:val="28"/>
        </w:rPr>
      </w:pPr>
      <w:r>
        <w:rPr>
          <w:color w:val="4D4D4F"/>
          <w:spacing w:val="-4"/>
          <w:w w:val="115"/>
          <w:sz w:val="22"/>
        </w:rPr>
        <w:t>Addressing</w:t>
      </w:r>
      <w:r>
        <w:rPr>
          <w:color w:val="4D4D4F"/>
          <w:spacing w:val="-23"/>
          <w:w w:val="115"/>
          <w:sz w:val="22"/>
        </w:rPr>
        <w:t> </w:t>
      </w:r>
      <w:r>
        <w:rPr>
          <w:color w:val="4D4D4F"/>
          <w:spacing w:val="-4"/>
          <w:w w:val="115"/>
          <w:sz w:val="22"/>
        </w:rPr>
        <w:t>patient</w:t>
      </w:r>
      <w:r>
        <w:rPr>
          <w:color w:val="4D4D4F"/>
          <w:spacing w:val="-22"/>
          <w:w w:val="115"/>
          <w:sz w:val="22"/>
        </w:rPr>
        <w:t> </w:t>
      </w:r>
      <w:r>
        <w:rPr>
          <w:color w:val="4D4D4F"/>
          <w:spacing w:val="-4"/>
          <w:w w:val="115"/>
          <w:sz w:val="22"/>
        </w:rPr>
        <w:t>concerns</w:t>
      </w:r>
      <w:r>
        <w:rPr>
          <w:color w:val="4D4D4F"/>
          <w:spacing w:val="-22"/>
          <w:w w:val="115"/>
          <w:sz w:val="22"/>
        </w:rPr>
        <w:t> </w:t>
      </w:r>
      <w:r>
        <w:rPr>
          <w:color w:val="4D4D4F"/>
          <w:spacing w:val="-4"/>
          <w:w w:val="115"/>
          <w:sz w:val="22"/>
        </w:rPr>
        <w:t>about</w:t>
      </w:r>
      <w:r>
        <w:rPr>
          <w:color w:val="4D4D4F"/>
          <w:spacing w:val="-22"/>
          <w:w w:val="115"/>
          <w:sz w:val="22"/>
        </w:rPr>
        <w:t> </w:t>
      </w:r>
      <w:r>
        <w:rPr>
          <w:color w:val="4D4D4F"/>
          <w:spacing w:val="-3"/>
          <w:w w:val="115"/>
          <w:sz w:val="22"/>
        </w:rPr>
        <w:t>side</w:t>
      </w:r>
      <w:r>
        <w:rPr>
          <w:color w:val="4D4D4F"/>
          <w:spacing w:val="-22"/>
          <w:w w:val="115"/>
          <w:sz w:val="22"/>
        </w:rPr>
        <w:t> </w:t>
      </w:r>
      <w:r>
        <w:rPr>
          <w:color w:val="4D4D4F"/>
          <w:spacing w:val="-5"/>
          <w:w w:val="115"/>
          <w:sz w:val="22"/>
        </w:rPr>
        <w:t>effects.</w:t>
      </w:r>
    </w:p>
    <w:p>
      <w:pPr>
        <w:pStyle w:val="BodyText"/>
        <w:spacing w:before="8"/>
        <w:rPr>
          <w:sz w:val="42"/>
        </w:rPr>
      </w:pPr>
    </w:p>
    <w:p>
      <w:pPr>
        <w:pStyle w:val="Heading7"/>
        <w:spacing w:line="304" w:lineRule="auto"/>
        <w:ind w:left="437" w:right="715"/>
        <w:rPr>
          <w:rFonts w:ascii="Arial"/>
        </w:rPr>
      </w:pPr>
      <w:r>
        <w:rPr/>
        <w:pict>
          <v:line style="position:absolute;mso-position-horizontal-relative:page;mso-position-vertical-relative:paragraph;z-index:15784448" from="315.501007pt,90.313775pt" to="315.501007pt,-.334225pt" stroked="true" strokeweight="1pt" strokecolor="#759eb4">
            <v:stroke dashstyle="solid"/>
            <w10:wrap type="none"/>
          </v:line>
        </w:pict>
      </w:r>
      <w:r>
        <w:rPr>
          <w:rFonts w:ascii="Arial"/>
          <w:color w:val="B15651"/>
          <w:w w:val="110"/>
        </w:rPr>
        <w:t>The TIP expert panel recommends medication management and </w:t>
      </w:r>
      <w:r>
        <w:rPr>
          <w:rFonts w:ascii="Arial"/>
          <w:color w:val="B15651"/>
          <w:spacing w:val="-3"/>
          <w:w w:val="110"/>
        </w:rPr>
        <w:t>brief </w:t>
      </w:r>
      <w:r>
        <w:rPr>
          <w:rFonts w:ascii="Arial"/>
          <w:color w:val="B15651"/>
          <w:w w:val="110"/>
        </w:rPr>
        <w:t>supportive counseling at each visit.</w:t>
      </w:r>
      <w:r>
        <w:rPr>
          <w:rFonts w:ascii="Arial"/>
          <w:color w:val="B15651"/>
          <w:spacing w:val="-19"/>
          <w:w w:val="110"/>
        </w:rPr>
        <w:t> </w:t>
      </w:r>
      <w:r>
        <w:rPr>
          <w:rFonts w:ascii="Arial"/>
          <w:color w:val="B15651"/>
          <w:w w:val="110"/>
        </w:rPr>
        <w:t>Refer</w:t>
      </w:r>
      <w:r>
        <w:rPr>
          <w:rFonts w:ascii="Arial"/>
          <w:color w:val="B15651"/>
          <w:spacing w:val="-19"/>
          <w:w w:val="110"/>
        </w:rPr>
        <w:t> </w:t>
      </w:r>
      <w:r>
        <w:rPr>
          <w:rFonts w:ascii="Arial"/>
          <w:color w:val="B15651"/>
          <w:w w:val="110"/>
        </w:rPr>
        <w:t>for</w:t>
      </w:r>
      <w:r>
        <w:rPr>
          <w:rFonts w:ascii="Arial"/>
          <w:color w:val="B15651"/>
          <w:spacing w:val="-19"/>
          <w:w w:val="110"/>
        </w:rPr>
        <w:t> </w:t>
      </w:r>
      <w:r>
        <w:rPr>
          <w:rFonts w:ascii="Arial"/>
          <w:color w:val="B15651"/>
          <w:w w:val="110"/>
        </w:rPr>
        <w:t>adjunctive</w:t>
      </w:r>
      <w:r>
        <w:rPr>
          <w:rFonts w:ascii="Arial"/>
          <w:color w:val="B15651"/>
          <w:spacing w:val="-19"/>
          <w:w w:val="110"/>
        </w:rPr>
        <w:t> </w:t>
      </w:r>
      <w:r>
        <w:rPr>
          <w:rFonts w:ascii="Arial"/>
          <w:color w:val="B15651"/>
          <w:w w:val="110"/>
        </w:rPr>
        <w:t>addiction counseling</w:t>
      </w:r>
      <w:r>
        <w:rPr>
          <w:rFonts w:ascii="Arial"/>
          <w:color w:val="B15651"/>
          <w:spacing w:val="-32"/>
          <w:w w:val="110"/>
        </w:rPr>
        <w:t> </w:t>
      </w:r>
      <w:r>
        <w:rPr>
          <w:rFonts w:ascii="Arial"/>
          <w:color w:val="B15651"/>
          <w:w w:val="110"/>
        </w:rPr>
        <w:t>and</w:t>
      </w:r>
      <w:r>
        <w:rPr>
          <w:rFonts w:ascii="Arial"/>
          <w:color w:val="B15651"/>
          <w:spacing w:val="-31"/>
          <w:w w:val="110"/>
        </w:rPr>
        <w:t> </w:t>
      </w:r>
      <w:r>
        <w:rPr>
          <w:rFonts w:ascii="Arial"/>
          <w:color w:val="B15651"/>
          <w:w w:val="110"/>
        </w:rPr>
        <w:t>other</w:t>
      </w:r>
      <w:r>
        <w:rPr>
          <w:rFonts w:ascii="Arial"/>
          <w:color w:val="B15651"/>
          <w:spacing w:val="-32"/>
          <w:w w:val="110"/>
        </w:rPr>
        <w:t> </w:t>
      </w:r>
      <w:r>
        <w:rPr>
          <w:rFonts w:ascii="Arial"/>
          <w:color w:val="B15651"/>
          <w:w w:val="110"/>
        </w:rPr>
        <w:t>psychosocial supports as clinically</w:t>
      </w:r>
      <w:r>
        <w:rPr>
          <w:rFonts w:ascii="Arial"/>
          <w:color w:val="B15651"/>
          <w:spacing w:val="-49"/>
          <w:w w:val="110"/>
        </w:rPr>
        <w:t> </w:t>
      </w:r>
      <w:r>
        <w:rPr>
          <w:rFonts w:ascii="Arial"/>
          <w:color w:val="B15651"/>
          <w:w w:val="110"/>
        </w:rPr>
        <w:t>indicated.</w:t>
      </w:r>
    </w:p>
    <w:p>
      <w:pPr>
        <w:spacing w:after="0" w:line="304" w:lineRule="auto"/>
        <w:rPr>
          <w:rFonts w:ascii="Arial"/>
        </w:rPr>
        <w:sectPr>
          <w:type w:val="continuous"/>
          <w:pgSz w:w="12240" w:h="15840"/>
          <w:pgMar w:top="540" w:bottom="280" w:left="940" w:right="920"/>
          <w:cols w:num="2" w:equalWidth="0">
            <w:col w:w="4999" w:space="221"/>
            <w:col w:w="5160"/>
          </w:cols>
        </w:sectPr>
      </w:pPr>
    </w:p>
    <w:p>
      <w:pPr>
        <w:pStyle w:val="BodyText"/>
        <w:spacing w:before="9"/>
        <w:rPr>
          <w:rFonts w:ascii="Arial"/>
          <w:b/>
          <w:sz w:val="26"/>
        </w:rPr>
      </w:pPr>
    </w:p>
    <w:p>
      <w:pPr>
        <w:spacing w:after="0"/>
        <w:rPr>
          <w:rFonts w:ascii="Arial"/>
          <w:sz w:val="26"/>
        </w:rPr>
        <w:sectPr>
          <w:pgSz w:w="12240" w:h="15840"/>
          <w:pgMar w:header="576" w:footer="677" w:top="1340" w:bottom="860" w:left="940" w:right="920"/>
        </w:sectPr>
      </w:pPr>
    </w:p>
    <w:p>
      <w:pPr>
        <w:pStyle w:val="ListParagraph"/>
        <w:numPr>
          <w:ilvl w:val="0"/>
          <w:numId w:val="29"/>
        </w:numPr>
        <w:tabs>
          <w:tab w:pos="410" w:val="left" w:leader="none"/>
        </w:tabs>
        <w:spacing w:line="208" w:lineRule="auto" w:before="120" w:after="0"/>
        <w:ind w:left="410" w:right="285" w:hanging="271"/>
        <w:jc w:val="left"/>
        <w:rPr>
          <w:rFonts w:ascii="Arial" w:hAnsi="Arial"/>
          <w:color w:val="137692"/>
          <w:sz w:val="28"/>
        </w:rPr>
      </w:pPr>
      <w:r>
        <w:rPr>
          <w:color w:val="4D4D4F"/>
          <w:w w:val="110"/>
          <w:sz w:val="22"/>
        </w:rPr>
        <w:t>Discussing any concerns with the patient</w:t>
      </w:r>
      <w:r>
        <w:rPr>
          <w:color w:val="4D4D4F"/>
          <w:spacing w:val="-23"/>
          <w:w w:val="110"/>
          <w:sz w:val="22"/>
        </w:rPr>
        <w:t> </w:t>
      </w:r>
      <w:r>
        <w:rPr>
          <w:color w:val="4D4D4F"/>
          <w:spacing w:val="-9"/>
          <w:w w:val="110"/>
          <w:sz w:val="22"/>
        </w:rPr>
        <w:t>or </w:t>
      </w:r>
      <w:r>
        <w:rPr>
          <w:color w:val="4D4D4F"/>
          <w:w w:val="110"/>
          <w:sz w:val="22"/>
        </w:rPr>
        <w:t>their support</w:t>
      </w:r>
      <w:r>
        <w:rPr>
          <w:color w:val="4D4D4F"/>
          <w:spacing w:val="-15"/>
          <w:w w:val="110"/>
          <w:sz w:val="22"/>
        </w:rPr>
        <w:t> </w:t>
      </w:r>
      <w:r>
        <w:rPr>
          <w:color w:val="4D4D4F"/>
          <w:w w:val="110"/>
          <w:sz w:val="22"/>
        </w:rPr>
        <w:t>network.</w:t>
      </w:r>
    </w:p>
    <w:p>
      <w:pPr>
        <w:pStyle w:val="ListParagraph"/>
        <w:numPr>
          <w:ilvl w:val="0"/>
          <w:numId w:val="29"/>
        </w:numPr>
        <w:tabs>
          <w:tab w:pos="410" w:val="left" w:leader="none"/>
        </w:tabs>
        <w:spacing w:line="225" w:lineRule="auto" w:before="53" w:after="0"/>
        <w:ind w:left="410" w:right="656" w:hanging="270"/>
        <w:jc w:val="left"/>
        <w:rPr>
          <w:rFonts w:ascii="Arial" w:hAnsi="Arial"/>
          <w:color w:val="137692"/>
          <w:sz w:val="28"/>
        </w:rPr>
      </w:pPr>
      <w:r>
        <w:rPr>
          <w:color w:val="4D4D4F"/>
          <w:w w:val="110"/>
          <w:sz w:val="22"/>
        </w:rPr>
        <w:t>Prescribing medication for </w:t>
      </w:r>
      <w:r>
        <w:rPr>
          <w:color w:val="4D4D4F"/>
          <w:spacing w:val="-2"/>
          <w:w w:val="110"/>
          <w:sz w:val="22"/>
        </w:rPr>
        <w:t>co-occurring </w:t>
      </w:r>
      <w:r>
        <w:rPr>
          <w:color w:val="4D4D4F"/>
          <w:w w:val="110"/>
          <w:sz w:val="22"/>
        </w:rPr>
        <w:t>alcohol use disorder (e.g., disulﬁram, acamprosate).</w:t>
      </w:r>
    </w:p>
    <w:p>
      <w:pPr>
        <w:pStyle w:val="Heading7"/>
        <w:spacing w:line="235" w:lineRule="auto" w:before="194"/>
        <w:ind w:right="47"/>
        <w:jc w:val="both"/>
      </w:pPr>
      <w:r>
        <w:rPr>
          <w:color w:val="4D4D4F"/>
          <w:spacing w:val="-3"/>
          <w:w w:val="115"/>
        </w:rPr>
        <w:t>Strategies </w:t>
      </w:r>
      <w:r>
        <w:rPr>
          <w:color w:val="4D4D4F"/>
          <w:w w:val="115"/>
        </w:rPr>
        <w:t>for </w:t>
      </w:r>
      <w:r>
        <w:rPr>
          <w:color w:val="4D4D4F"/>
          <w:spacing w:val="-3"/>
          <w:w w:val="115"/>
        </w:rPr>
        <w:t>optimizing medical</w:t>
      </w:r>
      <w:r>
        <w:rPr>
          <w:color w:val="4D4D4F"/>
          <w:spacing w:val="-38"/>
          <w:w w:val="115"/>
        </w:rPr>
        <w:t> </w:t>
      </w:r>
      <w:r>
        <w:rPr>
          <w:color w:val="4D4D4F"/>
          <w:spacing w:val="-3"/>
          <w:w w:val="115"/>
        </w:rPr>
        <w:t>management </w:t>
      </w:r>
      <w:r>
        <w:rPr>
          <w:color w:val="4D4D4F"/>
          <w:w w:val="115"/>
        </w:rPr>
        <w:t>and brief supportive counseling</w:t>
      </w:r>
      <w:r>
        <w:rPr>
          <w:color w:val="4D4D4F"/>
          <w:spacing w:val="10"/>
          <w:w w:val="115"/>
        </w:rPr>
        <w:t> </w:t>
      </w:r>
      <w:r>
        <w:rPr>
          <w:color w:val="4D4D4F"/>
          <w:w w:val="115"/>
        </w:rPr>
        <w:t>involve:</w:t>
      </w:r>
    </w:p>
    <w:p>
      <w:pPr>
        <w:pStyle w:val="ListParagraph"/>
        <w:numPr>
          <w:ilvl w:val="0"/>
          <w:numId w:val="29"/>
        </w:numPr>
        <w:tabs>
          <w:tab w:pos="410" w:val="left" w:leader="none"/>
        </w:tabs>
        <w:spacing w:line="220" w:lineRule="auto" w:before="117" w:after="0"/>
        <w:ind w:left="410" w:right="198" w:hanging="270"/>
        <w:jc w:val="both"/>
        <w:rPr>
          <w:rFonts w:ascii="Arial" w:hAnsi="Arial"/>
          <w:color w:val="137692"/>
          <w:sz w:val="28"/>
        </w:rPr>
      </w:pPr>
      <w:r>
        <w:rPr>
          <w:rFonts w:ascii="Calibri" w:hAnsi="Calibri"/>
          <w:b/>
          <w:color w:val="4D4D4F"/>
          <w:w w:val="115"/>
          <w:sz w:val="22"/>
        </w:rPr>
        <w:t>Helping the patient manage stressors </w:t>
      </w:r>
      <w:r>
        <w:rPr>
          <w:rFonts w:ascii="Calibri" w:hAnsi="Calibri"/>
          <w:b/>
          <w:color w:val="4D4D4F"/>
          <w:spacing w:val="-6"/>
          <w:w w:val="115"/>
          <w:sz w:val="22"/>
        </w:rPr>
        <w:t>and </w:t>
      </w:r>
      <w:r>
        <w:rPr>
          <w:rFonts w:ascii="Calibri" w:hAnsi="Calibri"/>
          <w:b/>
          <w:color w:val="4D4D4F"/>
          <w:w w:val="115"/>
          <w:sz w:val="22"/>
        </w:rPr>
        <w:t>identify</w:t>
      </w:r>
      <w:r>
        <w:rPr>
          <w:rFonts w:ascii="Calibri" w:hAnsi="Calibri"/>
          <w:b/>
          <w:color w:val="4D4D4F"/>
          <w:spacing w:val="-9"/>
          <w:w w:val="115"/>
          <w:sz w:val="22"/>
        </w:rPr>
        <w:t> </w:t>
      </w:r>
      <w:r>
        <w:rPr>
          <w:rFonts w:ascii="Calibri" w:hAnsi="Calibri"/>
          <w:b/>
          <w:color w:val="4D4D4F"/>
          <w:w w:val="115"/>
          <w:sz w:val="22"/>
        </w:rPr>
        <w:t>triggers</w:t>
      </w:r>
      <w:r>
        <w:rPr>
          <w:rFonts w:ascii="Calibri" w:hAnsi="Calibri"/>
          <w:b/>
          <w:color w:val="4D4D4F"/>
          <w:spacing w:val="-11"/>
          <w:w w:val="115"/>
          <w:sz w:val="22"/>
        </w:rPr>
        <w:t> </w:t>
      </w:r>
      <w:r>
        <w:rPr>
          <w:color w:val="4D4D4F"/>
          <w:w w:val="115"/>
          <w:sz w:val="22"/>
        </w:rPr>
        <w:t>for</w:t>
      </w:r>
      <w:r>
        <w:rPr>
          <w:color w:val="4D4D4F"/>
          <w:spacing w:val="-25"/>
          <w:w w:val="115"/>
          <w:sz w:val="22"/>
        </w:rPr>
        <w:t> </w:t>
      </w:r>
      <w:r>
        <w:rPr>
          <w:color w:val="4D4D4F"/>
          <w:w w:val="115"/>
          <w:sz w:val="22"/>
        </w:rPr>
        <w:t>a</w:t>
      </w:r>
      <w:r>
        <w:rPr>
          <w:color w:val="4D4D4F"/>
          <w:spacing w:val="-24"/>
          <w:w w:val="115"/>
          <w:sz w:val="22"/>
        </w:rPr>
        <w:t> </w:t>
      </w:r>
      <w:r>
        <w:rPr>
          <w:color w:val="4D4D4F"/>
          <w:w w:val="115"/>
          <w:sz w:val="22"/>
        </w:rPr>
        <w:t>return</w:t>
      </w:r>
      <w:r>
        <w:rPr>
          <w:color w:val="4D4D4F"/>
          <w:spacing w:val="-24"/>
          <w:w w:val="115"/>
          <w:sz w:val="22"/>
        </w:rPr>
        <w:t> </w:t>
      </w:r>
      <w:r>
        <w:rPr>
          <w:color w:val="4D4D4F"/>
          <w:w w:val="115"/>
          <w:sz w:val="22"/>
        </w:rPr>
        <w:t>to</w:t>
      </w:r>
      <w:r>
        <w:rPr>
          <w:color w:val="4D4D4F"/>
          <w:spacing w:val="-24"/>
          <w:w w:val="115"/>
          <w:sz w:val="22"/>
        </w:rPr>
        <w:t> </w:t>
      </w:r>
      <w:r>
        <w:rPr>
          <w:color w:val="4D4D4F"/>
          <w:w w:val="115"/>
          <w:sz w:val="22"/>
        </w:rPr>
        <w:t>illicit</w:t>
      </w:r>
      <w:r>
        <w:rPr>
          <w:color w:val="4D4D4F"/>
          <w:spacing w:val="-25"/>
          <w:w w:val="115"/>
          <w:sz w:val="22"/>
        </w:rPr>
        <w:t> </w:t>
      </w:r>
      <w:r>
        <w:rPr>
          <w:color w:val="4D4D4F"/>
          <w:w w:val="115"/>
          <w:sz w:val="22"/>
        </w:rPr>
        <w:t>opioid use.</w:t>
      </w:r>
    </w:p>
    <w:p>
      <w:pPr>
        <w:pStyle w:val="ListParagraph"/>
        <w:numPr>
          <w:ilvl w:val="0"/>
          <w:numId w:val="29"/>
        </w:numPr>
        <w:tabs>
          <w:tab w:pos="410" w:val="left" w:leader="none"/>
        </w:tabs>
        <w:spacing w:line="264" w:lineRule="exact" w:before="51" w:after="0"/>
        <w:ind w:left="410" w:right="137" w:hanging="270"/>
        <w:jc w:val="left"/>
        <w:rPr>
          <w:rFonts w:ascii="Arial" w:hAnsi="Arial"/>
          <w:color w:val="137692"/>
          <w:sz w:val="28"/>
        </w:rPr>
      </w:pPr>
      <w:r>
        <w:rPr>
          <w:rFonts w:ascii="Calibri" w:hAnsi="Calibri"/>
          <w:b/>
          <w:color w:val="4D4D4F"/>
          <w:w w:val="110"/>
          <w:sz w:val="22"/>
        </w:rPr>
        <w:t>Providing empathic listening and nonjudg- mental discussion </w:t>
      </w:r>
      <w:r>
        <w:rPr>
          <w:color w:val="4D4D4F"/>
          <w:w w:val="110"/>
          <w:sz w:val="22"/>
        </w:rPr>
        <w:t>of triggers that precede use or increased craving and how to </w:t>
      </w:r>
      <w:r>
        <w:rPr>
          <w:color w:val="4D4D4F"/>
          <w:spacing w:val="-3"/>
          <w:w w:val="110"/>
          <w:sz w:val="22"/>
        </w:rPr>
        <w:t>manage </w:t>
      </w:r>
      <w:r>
        <w:rPr>
          <w:color w:val="4D4D4F"/>
          <w:w w:val="110"/>
          <w:sz w:val="22"/>
        </w:rPr>
        <w:t>them.</w:t>
      </w:r>
    </w:p>
    <w:p>
      <w:pPr>
        <w:pStyle w:val="ListParagraph"/>
        <w:numPr>
          <w:ilvl w:val="0"/>
          <w:numId w:val="29"/>
        </w:numPr>
        <w:tabs>
          <w:tab w:pos="410" w:val="left" w:leader="none"/>
        </w:tabs>
        <w:spacing w:line="264" w:lineRule="exact" w:before="43" w:after="0"/>
        <w:ind w:left="410" w:right="126" w:hanging="270"/>
        <w:jc w:val="left"/>
        <w:rPr>
          <w:rFonts w:ascii="Arial" w:hAnsi="Arial"/>
          <w:color w:val="137692"/>
          <w:sz w:val="28"/>
        </w:rPr>
      </w:pPr>
      <w:r>
        <w:rPr>
          <w:rFonts w:ascii="Calibri" w:hAnsi="Calibri"/>
          <w:b/>
          <w:color w:val="4D4D4F"/>
          <w:w w:val="115"/>
          <w:sz w:val="22"/>
        </w:rPr>
        <w:t>Providing ongoing assessment to mark progress.</w:t>
      </w:r>
      <w:r>
        <w:rPr>
          <w:rFonts w:ascii="Calibri" w:hAnsi="Calibri"/>
          <w:b/>
          <w:color w:val="4D4D4F"/>
          <w:spacing w:val="-8"/>
          <w:w w:val="115"/>
          <w:sz w:val="22"/>
        </w:rPr>
        <w:t> </w:t>
      </w:r>
      <w:r>
        <w:rPr>
          <w:color w:val="4D4D4F"/>
          <w:w w:val="115"/>
          <w:sz w:val="22"/>
        </w:rPr>
        <w:t>Revise</w:t>
      </w:r>
      <w:r>
        <w:rPr>
          <w:color w:val="4D4D4F"/>
          <w:spacing w:val="-21"/>
          <w:w w:val="115"/>
          <w:sz w:val="22"/>
        </w:rPr>
        <w:t> </w:t>
      </w:r>
      <w:r>
        <w:rPr>
          <w:color w:val="4D4D4F"/>
          <w:w w:val="115"/>
          <w:sz w:val="22"/>
        </w:rPr>
        <w:t>treatment</w:t>
      </w:r>
      <w:r>
        <w:rPr>
          <w:color w:val="4D4D4F"/>
          <w:spacing w:val="-21"/>
          <w:w w:val="115"/>
          <w:sz w:val="22"/>
        </w:rPr>
        <w:t> </w:t>
      </w:r>
      <w:r>
        <w:rPr>
          <w:color w:val="4D4D4F"/>
          <w:w w:val="115"/>
          <w:sz w:val="22"/>
        </w:rPr>
        <w:t>goals</w:t>
      </w:r>
      <w:r>
        <w:rPr>
          <w:color w:val="4D4D4F"/>
          <w:spacing w:val="-21"/>
          <w:w w:val="115"/>
          <w:sz w:val="22"/>
        </w:rPr>
        <w:t> </w:t>
      </w:r>
      <w:r>
        <w:rPr>
          <w:color w:val="4D4D4F"/>
          <w:w w:val="115"/>
          <w:sz w:val="22"/>
        </w:rPr>
        <w:t>via</w:t>
      </w:r>
      <w:r>
        <w:rPr>
          <w:color w:val="4D4D4F"/>
          <w:spacing w:val="-20"/>
          <w:w w:val="115"/>
          <w:sz w:val="22"/>
        </w:rPr>
        <w:t> </w:t>
      </w:r>
      <w:r>
        <w:rPr>
          <w:color w:val="4D4D4F"/>
          <w:w w:val="115"/>
          <w:sz w:val="22"/>
        </w:rPr>
        <w:t>shared decision</w:t>
      </w:r>
      <w:r>
        <w:rPr>
          <w:color w:val="4D4D4F"/>
          <w:spacing w:val="-31"/>
          <w:w w:val="115"/>
          <w:sz w:val="22"/>
        </w:rPr>
        <w:t> </w:t>
      </w:r>
      <w:r>
        <w:rPr>
          <w:color w:val="4D4D4F"/>
          <w:w w:val="115"/>
          <w:sz w:val="22"/>
        </w:rPr>
        <w:t>making</w:t>
      </w:r>
      <w:r>
        <w:rPr>
          <w:color w:val="4D4D4F"/>
          <w:spacing w:val="-30"/>
          <w:w w:val="115"/>
          <w:sz w:val="22"/>
        </w:rPr>
        <w:t> </w:t>
      </w:r>
      <w:r>
        <w:rPr>
          <w:color w:val="4D4D4F"/>
          <w:w w:val="115"/>
          <w:sz w:val="22"/>
        </w:rPr>
        <w:t>to</w:t>
      </w:r>
      <w:r>
        <w:rPr>
          <w:color w:val="4D4D4F"/>
          <w:spacing w:val="-31"/>
          <w:w w:val="115"/>
          <w:sz w:val="22"/>
        </w:rPr>
        <w:t> </w:t>
      </w:r>
      <w:r>
        <w:rPr>
          <w:color w:val="4D4D4F"/>
          <w:w w:val="115"/>
          <w:sz w:val="22"/>
        </w:rPr>
        <w:t>incorporate</w:t>
      </w:r>
      <w:r>
        <w:rPr>
          <w:color w:val="4D4D4F"/>
          <w:spacing w:val="-30"/>
          <w:w w:val="115"/>
          <w:sz w:val="22"/>
        </w:rPr>
        <w:t> </w:t>
      </w:r>
      <w:r>
        <w:rPr>
          <w:color w:val="4D4D4F"/>
          <w:w w:val="115"/>
          <w:sz w:val="22"/>
        </w:rPr>
        <w:t>new</w:t>
      </w:r>
      <w:r>
        <w:rPr>
          <w:color w:val="4D4D4F"/>
          <w:spacing w:val="-30"/>
          <w:w w:val="115"/>
          <w:sz w:val="22"/>
        </w:rPr>
        <w:t> </w:t>
      </w:r>
      <w:r>
        <w:rPr>
          <w:color w:val="4D4D4F"/>
          <w:w w:val="115"/>
          <w:sz w:val="22"/>
        </w:rPr>
        <w:t>insights. (See</w:t>
      </w:r>
      <w:r>
        <w:rPr>
          <w:color w:val="4D4D4F"/>
          <w:spacing w:val="-34"/>
          <w:w w:val="115"/>
          <w:sz w:val="22"/>
        </w:rPr>
        <w:t> </w:t>
      </w:r>
      <w:r>
        <w:rPr>
          <w:color w:val="4D4D4F"/>
          <w:spacing w:val="-3"/>
          <w:w w:val="115"/>
          <w:sz w:val="22"/>
        </w:rPr>
        <w:t>“Treatment</w:t>
      </w:r>
      <w:r>
        <w:rPr>
          <w:color w:val="4D4D4F"/>
          <w:spacing w:val="-33"/>
          <w:w w:val="115"/>
          <w:sz w:val="22"/>
        </w:rPr>
        <w:t> </w:t>
      </w:r>
      <w:r>
        <w:rPr>
          <w:color w:val="4D4D4F"/>
          <w:w w:val="115"/>
          <w:sz w:val="22"/>
        </w:rPr>
        <w:t>Planning</w:t>
      </w:r>
      <w:r>
        <w:rPr>
          <w:color w:val="4D4D4F"/>
          <w:spacing w:val="-34"/>
          <w:w w:val="115"/>
          <w:sz w:val="22"/>
        </w:rPr>
        <w:t> </w:t>
      </w:r>
      <w:r>
        <w:rPr>
          <w:color w:val="4D4D4F"/>
          <w:w w:val="115"/>
          <w:sz w:val="22"/>
        </w:rPr>
        <w:t>or</w:t>
      </w:r>
      <w:r>
        <w:rPr>
          <w:color w:val="4D4D4F"/>
          <w:spacing w:val="-33"/>
          <w:w w:val="115"/>
          <w:sz w:val="22"/>
        </w:rPr>
        <w:t> </w:t>
      </w:r>
      <w:r>
        <w:rPr>
          <w:color w:val="4D4D4F"/>
          <w:w w:val="115"/>
          <w:sz w:val="22"/>
        </w:rPr>
        <w:t>Referral”</w:t>
      </w:r>
      <w:r>
        <w:rPr>
          <w:color w:val="4D4D4F"/>
          <w:spacing w:val="-33"/>
          <w:w w:val="115"/>
          <w:sz w:val="22"/>
        </w:rPr>
        <w:t> </w:t>
      </w:r>
      <w:r>
        <w:rPr>
          <w:color w:val="4D4D4F"/>
          <w:w w:val="115"/>
          <w:sz w:val="22"/>
        </w:rPr>
        <w:t>in</w:t>
      </w:r>
      <w:r>
        <w:rPr>
          <w:color w:val="4D4D4F"/>
          <w:spacing w:val="-34"/>
          <w:w w:val="115"/>
          <w:sz w:val="22"/>
        </w:rPr>
        <w:t> </w:t>
      </w:r>
      <w:r>
        <w:rPr>
          <w:color w:val="4D4D4F"/>
          <w:spacing w:val="-5"/>
          <w:w w:val="115"/>
          <w:sz w:val="22"/>
        </w:rPr>
        <w:t>Part </w:t>
      </w:r>
      <w:r>
        <w:rPr>
          <w:color w:val="4D4D4F"/>
          <w:w w:val="115"/>
          <w:sz w:val="22"/>
        </w:rPr>
        <w:t>2 of this TIP for more on shared decision making.)</w:t>
      </w:r>
    </w:p>
    <w:p>
      <w:pPr>
        <w:pStyle w:val="Heading7"/>
        <w:numPr>
          <w:ilvl w:val="0"/>
          <w:numId w:val="29"/>
        </w:numPr>
        <w:tabs>
          <w:tab w:pos="410" w:val="left" w:leader="none"/>
        </w:tabs>
        <w:spacing w:line="204" w:lineRule="auto" w:before="66" w:after="0"/>
        <w:ind w:left="410" w:right="63" w:hanging="270"/>
        <w:jc w:val="both"/>
        <w:rPr>
          <w:rFonts w:ascii="Arial" w:hAnsi="Arial"/>
          <w:color w:val="137692"/>
          <w:sz w:val="28"/>
        </w:rPr>
      </w:pPr>
      <w:r>
        <w:rPr>
          <w:color w:val="4D4D4F"/>
          <w:w w:val="115"/>
        </w:rPr>
        <w:t>Providing medical care for comorbid</w:t>
      </w:r>
      <w:r>
        <w:rPr>
          <w:color w:val="4D4D4F"/>
          <w:spacing w:val="-42"/>
          <w:w w:val="115"/>
        </w:rPr>
        <w:t> </w:t>
      </w:r>
      <w:r>
        <w:rPr>
          <w:color w:val="4D4D4F"/>
          <w:spacing w:val="-3"/>
          <w:w w:val="115"/>
        </w:rPr>
        <w:t>health </w:t>
      </w:r>
      <w:r>
        <w:rPr>
          <w:color w:val="4D4D4F"/>
          <w:w w:val="115"/>
        </w:rPr>
        <w:t>conditions.</w:t>
      </w:r>
    </w:p>
    <w:p>
      <w:pPr>
        <w:pStyle w:val="ListParagraph"/>
        <w:numPr>
          <w:ilvl w:val="0"/>
          <w:numId w:val="29"/>
        </w:numPr>
        <w:tabs>
          <w:tab w:pos="410" w:val="left" w:leader="none"/>
        </w:tabs>
        <w:spacing w:line="313" w:lineRule="exact" w:before="35" w:after="0"/>
        <w:ind w:left="410" w:right="0" w:hanging="270"/>
        <w:jc w:val="left"/>
        <w:rPr>
          <w:rFonts w:ascii="Arial" w:hAnsi="Arial"/>
          <w:color w:val="137692"/>
          <w:sz w:val="28"/>
        </w:rPr>
      </w:pPr>
      <w:r>
        <w:rPr>
          <w:rFonts w:ascii="Calibri" w:hAnsi="Calibri"/>
          <w:b/>
          <w:color w:val="4D4D4F"/>
          <w:w w:val="115"/>
          <w:sz w:val="22"/>
        </w:rPr>
        <w:t>Referring patients as needed</w:t>
      </w:r>
      <w:r>
        <w:rPr>
          <w:rFonts w:ascii="Calibri" w:hAnsi="Calibri"/>
          <w:b/>
          <w:color w:val="4D4D4F"/>
          <w:spacing w:val="20"/>
          <w:w w:val="115"/>
          <w:sz w:val="22"/>
        </w:rPr>
        <w:t> </w:t>
      </w:r>
      <w:r>
        <w:rPr>
          <w:color w:val="4D4D4F"/>
          <w:w w:val="115"/>
          <w:sz w:val="22"/>
        </w:rPr>
        <w:t>to:</w:t>
      </w:r>
    </w:p>
    <w:p>
      <w:pPr>
        <w:pStyle w:val="ListParagraph"/>
        <w:numPr>
          <w:ilvl w:val="1"/>
          <w:numId w:val="29"/>
        </w:numPr>
        <w:tabs>
          <w:tab w:pos="716" w:val="left" w:leader="none"/>
        </w:tabs>
        <w:spacing w:line="267" w:lineRule="exact" w:before="0" w:after="0"/>
        <w:ind w:left="716" w:right="0" w:hanging="271"/>
        <w:jc w:val="left"/>
        <w:rPr>
          <w:rFonts w:ascii="Arial" w:hAnsi="Arial"/>
          <w:color w:val="137692"/>
          <w:sz w:val="24"/>
        </w:rPr>
      </w:pPr>
      <w:r>
        <w:rPr>
          <w:color w:val="4D4D4F"/>
          <w:w w:val="110"/>
          <w:sz w:val="22"/>
        </w:rPr>
        <w:t>Adjunctive psychiatric</w:t>
      </w:r>
      <w:r>
        <w:rPr>
          <w:color w:val="4D4D4F"/>
          <w:spacing w:val="-11"/>
          <w:w w:val="110"/>
          <w:sz w:val="22"/>
        </w:rPr>
        <w:t> </w:t>
      </w:r>
      <w:r>
        <w:rPr>
          <w:color w:val="4D4D4F"/>
          <w:w w:val="110"/>
          <w:sz w:val="22"/>
        </w:rPr>
        <w:t>treatment.</w:t>
      </w:r>
    </w:p>
    <w:p>
      <w:pPr>
        <w:pStyle w:val="ListParagraph"/>
        <w:numPr>
          <w:ilvl w:val="1"/>
          <w:numId w:val="29"/>
        </w:numPr>
        <w:tabs>
          <w:tab w:pos="716" w:val="left" w:leader="none"/>
        </w:tabs>
        <w:spacing w:line="240" w:lineRule="auto" w:before="32" w:after="0"/>
        <w:ind w:left="716" w:right="0" w:hanging="271"/>
        <w:jc w:val="left"/>
        <w:rPr>
          <w:rFonts w:ascii="Arial" w:hAnsi="Arial"/>
          <w:color w:val="137692"/>
          <w:sz w:val="24"/>
        </w:rPr>
      </w:pPr>
      <w:r>
        <w:rPr>
          <w:color w:val="4D4D4F"/>
          <w:w w:val="115"/>
          <w:sz w:val="22"/>
        </w:rPr>
        <w:t>Addiction</w:t>
      </w:r>
      <w:r>
        <w:rPr>
          <w:color w:val="4D4D4F"/>
          <w:spacing w:val="-11"/>
          <w:w w:val="115"/>
          <w:sz w:val="22"/>
        </w:rPr>
        <w:t> </w:t>
      </w:r>
      <w:r>
        <w:rPr>
          <w:color w:val="4D4D4F"/>
          <w:w w:val="115"/>
          <w:sz w:val="22"/>
        </w:rPr>
        <w:t>counseling.</w:t>
      </w:r>
    </w:p>
    <w:p>
      <w:pPr>
        <w:pStyle w:val="ListParagraph"/>
        <w:numPr>
          <w:ilvl w:val="1"/>
          <w:numId w:val="29"/>
        </w:numPr>
        <w:tabs>
          <w:tab w:pos="716" w:val="left" w:leader="none"/>
        </w:tabs>
        <w:spacing w:line="240" w:lineRule="auto" w:before="31" w:after="0"/>
        <w:ind w:left="716" w:right="0" w:hanging="271"/>
        <w:jc w:val="left"/>
        <w:rPr>
          <w:rFonts w:ascii="Arial" w:hAnsi="Arial"/>
          <w:color w:val="137692"/>
          <w:sz w:val="24"/>
        </w:rPr>
      </w:pPr>
      <w:r>
        <w:rPr>
          <w:color w:val="4D4D4F"/>
          <w:w w:val="115"/>
          <w:sz w:val="22"/>
        </w:rPr>
        <w:t>Case</w:t>
      </w:r>
      <w:r>
        <w:rPr>
          <w:color w:val="4D4D4F"/>
          <w:spacing w:val="-10"/>
          <w:w w:val="115"/>
          <w:sz w:val="22"/>
        </w:rPr>
        <w:t> </w:t>
      </w:r>
      <w:r>
        <w:rPr>
          <w:color w:val="4D4D4F"/>
          <w:w w:val="115"/>
          <w:sz w:val="22"/>
        </w:rPr>
        <w:t>management.</w:t>
      </w:r>
    </w:p>
    <w:p>
      <w:pPr>
        <w:pStyle w:val="ListParagraph"/>
        <w:numPr>
          <w:ilvl w:val="1"/>
          <w:numId w:val="29"/>
        </w:numPr>
        <w:tabs>
          <w:tab w:pos="716" w:val="left" w:leader="none"/>
        </w:tabs>
        <w:spacing w:line="247" w:lineRule="auto" w:before="31" w:after="0"/>
        <w:ind w:left="716" w:right="700" w:hanging="270"/>
        <w:jc w:val="left"/>
        <w:rPr>
          <w:rFonts w:ascii="Arial" w:hAnsi="Arial"/>
          <w:color w:val="137692"/>
          <w:sz w:val="24"/>
        </w:rPr>
      </w:pPr>
      <w:r>
        <w:rPr>
          <w:color w:val="4D4D4F"/>
          <w:w w:val="110"/>
          <w:sz w:val="22"/>
        </w:rPr>
        <w:t>Community-based recovery </w:t>
      </w:r>
      <w:r>
        <w:rPr>
          <w:color w:val="4D4D4F"/>
          <w:spacing w:val="-3"/>
          <w:w w:val="110"/>
          <w:sz w:val="22"/>
        </w:rPr>
        <w:t>support </w:t>
      </w:r>
      <w:r>
        <w:rPr>
          <w:color w:val="4D4D4F"/>
          <w:w w:val="110"/>
          <w:sz w:val="22"/>
        </w:rPr>
        <w:t>groups.</w:t>
      </w:r>
    </w:p>
    <w:p>
      <w:pPr>
        <w:pStyle w:val="ListParagraph"/>
        <w:numPr>
          <w:ilvl w:val="0"/>
          <w:numId w:val="29"/>
        </w:numPr>
        <w:tabs>
          <w:tab w:pos="410" w:val="left" w:leader="none"/>
        </w:tabs>
        <w:spacing w:line="220" w:lineRule="auto" w:before="181" w:after="0"/>
        <w:ind w:left="410" w:right="38" w:hanging="270"/>
        <w:jc w:val="left"/>
        <w:rPr>
          <w:rFonts w:ascii="Arial" w:hAnsi="Arial"/>
          <w:color w:val="137692"/>
          <w:sz w:val="28"/>
        </w:rPr>
      </w:pPr>
      <w:r>
        <w:rPr>
          <w:rFonts w:ascii="Calibri" w:hAnsi="Calibri"/>
          <w:b/>
          <w:color w:val="4D4D4F"/>
          <w:w w:val="115"/>
          <w:sz w:val="22"/>
        </w:rPr>
        <w:t>Inviting supportive family members and friends</w:t>
      </w:r>
      <w:r>
        <w:rPr>
          <w:rFonts w:ascii="Calibri" w:hAnsi="Calibri"/>
          <w:b/>
          <w:color w:val="4D4D4F"/>
          <w:spacing w:val="-10"/>
          <w:w w:val="115"/>
          <w:sz w:val="22"/>
        </w:rPr>
        <w:t> </w:t>
      </w:r>
      <w:r>
        <w:rPr>
          <w:rFonts w:ascii="Calibri" w:hAnsi="Calibri"/>
          <w:b/>
          <w:color w:val="4D4D4F"/>
          <w:w w:val="115"/>
          <w:sz w:val="22"/>
        </w:rPr>
        <w:t>to</w:t>
      </w:r>
      <w:r>
        <w:rPr>
          <w:rFonts w:ascii="Calibri" w:hAnsi="Calibri"/>
          <w:b/>
          <w:color w:val="4D4D4F"/>
          <w:spacing w:val="-9"/>
          <w:w w:val="115"/>
          <w:sz w:val="22"/>
        </w:rPr>
        <w:t> </w:t>
      </w:r>
      <w:r>
        <w:rPr>
          <w:rFonts w:ascii="Calibri" w:hAnsi="Calibri"/>
          <w:b/>
          <w:color w:val="4D4D4F"/>
          <w:w w:val="115"/>
          <w:sz w:val="22"/>
        </w:rPr>
        <w:t>medical</w:t>
      </w:r>
      <w:r>
        <w:rPr>
          <w:rFonts w:ascii="Calibri" w:hAnsi="Calibri"/>
          <w:b/>
          <w:color w:val="4D4D4F"/>
          <w:spacing w:val="-10"/>
          <w:w w:val="115"/>
          <w:sz w:val="22"/>
        </w:rPr>
        <w:t> </w:t>
      </w:r>
      <w:r>
        <w:rPr>
          <w:rFonts w:ascii="Calibri" w:hAnsi="Calibri"/>
          <w:b/>
          <w:color w:val="4D4D4F"/>
          <w:w w:val="115"/>
          <w:sz w:val="22"/>
        </w:rPr>
        <w:t>visits</w:t>
      </w:r>
      <w:r>
        <w:rPr>
          <w:rFonts w:ascii="Calibri" w:hAnsi="Calibri"/>
          <w:b/>
          <w:color w:val="4D4D4F"/>
          <w:spacing w:val="-12"/>
          <w:w w:val="115"/>
          <w:sz w:val="22"/>
        </w:rPr>
        <w:t> </w:t>
      </w:r>
      <w:r>
        <w:rPr>
          <w:color w:val="4D4D4F"/>
          <w:w w:val="115"/>
          <w:sz w:val="22"/>
        </w:rPr>
        <w:t>to</w:t>
      </w:r>
      <w:r>
        <w:rPr>
          <w:color w:val="4D4D4F"/>
          <w:spacing w:val="-25"/>
          <w:w w:val="115"/>
          <w:sz w:val="22"/>
        </w:rPr>
        <w:t> </w:t>
      </w:r>
      <w:r>
        <w:rPr>
          <w:color w:val="4D4D4F"/>
          <w:w w:val="115"/>
          <w:sz w:val="22"/>
        </w:rPr>
        <w:t>discuss</w:t>
      </w:r>
      <w:r>
        <w:rPr>
          <w:color w:val="4D4D4F"/>
          <w:spacing w:val="-25"/>
          <w:w w:val="115"/>
          <w:sz w:val="22"/>
        </w:rPr>
        <w:t> </w:t>
      </w:r>
      <w:r>
        <w:rPr>
          <w:color w:val="4D4D4F"/>
          <w:w w:val="115"/>
          <w:sz w:val="22"/>
        </w:rPr>
        <w:t>strategies to support</w:t>
      </w:r>
      <w:r>
        <w:rPr>
          <w:color w:val="4D4D4F"/>
          <w:spacing w:val="-21"/>
          <w:w w:val="115"/>
          <w:sz w:val="22"/>
        </w:rPr>
        <w:t> </w:t>
      </w:r>
      <w:r>
        <w:rPr>
          <w:color w:val="4D4D4F"/>
          <w:w w:val="115"/>
          <w:sz w:val="22"/>
        </w:rPr>
        <w:t>patients.</w:t>
      </w:r>
    </w:p>
    <w:p>
      <w:pPr>
        <w:pStyle w:val="ListParagraph"/>
        <w:numPr>
          <w:ilvl w:val="0"/>
          <w:numId w:val="29"/>
        </w:numPr>
        <w:tabs>
          <w:tab w:pos="410" w:val="left" w:leader="none"/>
        </w:tabs>
        <w:spacing w:line="220" w:lineRule="auto" w:before="58" w:after="0"/>
        <w:ind w:left="410" w:right="311" w:hanging="270"/>
        <w:jc w:val="left"/>
        <w:rPr>
          <w:rFonts w:ascii="Arial" w:hAnsi="Arial"/>
          <w:color w:val="137692"/>
          <w:sz w:val="28"/>
        </w:rPr>
      </w:pPr>
      <w:r>
        <w:rPr>
          <w:rFonts w:ascii="Calibri" w:hAnsi="Calibri"/>
          <w:b/>
          <w:color w:val="4D4D4F"/>
          <w:w w:val="110"/>
          <w:sz w:val="22"/>
        </w:rPr>
        <w:t>Engaging and educating family </w:t>
      </w:r>
      <w:r>
        <w:rPr>
          <w:rFonts w:ascii="Calibri" w:hAnsi="Calibri"/>
          <w:b/>
          <w:color w:val="4D4D4F"/>
          <w:spacing w:val="-3"/>
          <w:w w:val="110"/>
          <w:sz w:val="22"/>
        </w:rPr>
        <w:t>members </w:t>
      </w:r>
      <w:r>
        <w:rPr>
          <w:rFonts w:ascii="Calibri" w:hAnsi="Calibri"/>
          <w:b/>
          <w:color w:val="4D4D4F"/>
          <w:w w:val="110"/>
          <w:sz w:val="22"/>
        </w:rPr>
        <w:t>and friends </w:t>
      </w:r>
      <w:r>
        <w:rPr>
          <w:color w:val="4D4D4F"/>
          <w:w w:val="110"/>
          <w:sz w:val="22"/>
        </w:rPr>
        <w:t>who are reluctant to accept medication’s role in</w:t>
      </w:r>
      <w:r>
        <w:rPr>
          <w:color w:val="4D4D4F"/>
          <w:spacing w:val="-19"/>
          <w:w w:val="110"/>
          <w:sz w:val="22"/>
        </w:rPr>
        <w:t> </w:t>
      </w:r>
      <w:r>
        <w:rPr>
          <w:color w:val="4D4D4F"/>
          <w:w w:val="110"/>
          <w:sz w:val="22"/>
        </w:rPr>
        <w:t>treatment.</w:t>
      </w:r>
    </w:p>
    <w:p>
      <w:pPr>
        <w:pStyle w:val="ListParagraph"/>
        <w:numPr>
          <w:ilvl w:val="0"/>
          <w:numId w:val="29"/>
        </w:numPr>
        <w:tabs>
          <w:tab w:pos="410" w:val="left" w:leader="none"/>
        </w:tabs>
        <w:spacing w:line="264" w:lineRule="exact" w:before="50" w:after="0"/>
        <w:ind w:left="410" w:right="301" w:hanging="270"/>
        <w:jc w:val="left"/>
        <w:rPr>
          <w:rFonts w:ascii="Arial" w:hAnsi="Arial"/>
          <w:color w:val="137692"/>
          <w:sz w:val="28"/>
        </w:rPr>
      </w:pPr>
      <w:r>
        <w:rPr>
          <w:rFonts w:ascii="Calibri" w:hAnsi="Calibri"/>
          <w:b/>
          <w:color w:val="4D4D4F"/>
          <w:w w:val="110"/>
          <w:sz w:val="22"/>
        </w:rPr>
        <w:t>Advocating for patients  as  needed  </w:t>
      </w:r>
      <w:r>
        <w:rPr>
          <w:color w:val="4D4D4F"/>
          <w:w w:val="110"/>
          <w:sz w:val="22"/>
        </w:rPr>
        <w:t>if their treatment becomes threatened by their </w:t>
      </w:r>
      <w:r>
        <w:rPr>
          <w:color w:val="4D4D4F"/>
          <w:spacing w:val="-3"/>
          <w:w w:val="110"/>
          <w:sz w:val="22"/>
        </w:rPr>
        <w:t>employer, </w:t>
      </w:r>
      <w:r>
        <w:rPr>
          <w:color w:val="4D4D4F"/>
          <w:w w:val="110"/>
          <w:sz w:val="22"/>
        </w:rPr>
        <w:t>housing </w:t>
      </w:r>
      <w:r>
        <w:rPr>
          <w:color w:val="4D4D4F"/>
          <w:spacing w:val="-3"/>
          <w:w w:val="110"/>
          <w:sz w:val="22"/>
        </w:rPr>
        <w:t>provider, </w:t>
      </w:r>
      <w:r>
        <w:rPr>
          <w:color w:val="4D4D4F"/>
          <w:w w:val="110"/>
          <w:sz w:val="22"/>
        </w:rPr>
        <w:t>insurance </w:t>
      </w:r>
      <w:r>
        <w:rPr>
          <w:color w:val="4D4D4F"/>
          <w:spacing w:val="-3"/>
          <w:w w:val="110"/>
          <w:sz w:val="22"/>
        </w:rPr>
        <w:t>company, </w:t>
      </w:r>
      <w:r>
        <w:rPr>
          <w:color w:val="4D4D4F"/>
          <w:w w:val="110"/>
          <w:sz w:val="22"/>
        </w:rPr>
        <w:t>the courts, or criminal</w:t>
      </w:r>
      <w:r>
        <w:rPr>
          <w:color w:val="4D4D4F"/>
          <w:spacing w:val="-25"/>
          <w:w w:val="110"/>
          <w:sz w:val="22"/>
        </w:rPr>
        <w:t> </w:t>
      </w:r>
      <w:r>
        <w:rPr>
          <w:color w:val="4D4D4F"/>
          <w:w w:val="110"/>
          <w:sz w:val="22"/>
        </w:rPr>
        <w:t>justice</w:t>
      </w:r>
    </w:p>
    <w:p>
      <w:pPr>
        <w:pStyle w:val="BodyText"/>
        <w:spacing w:line="247" w:lineRule="auto" w:before="7"/>
        <w:ind w:left="410" w:right="74"/>
        <w:jc w:val="both"/>
      </w:pPr>
      <w:r>
        <w:rPr>
          <w:color w:val="4D4D4F"/>
          <w:w w:val="110"/>
        </w:rPr>
        <w:t>agencies. These threats, refusal of service, or frank coercion may constitute potential viola- tions</w:t>
      </w:r>
      <w:r>
        <w:rPr>
          <w:color w:val="4D4D4F"/>
          <w:spacing w:val="-11"/>
          <w:w w:val="110"/>
        </w:rPr>
        <w:t> </w:t>
      </w:r>
      <w:r>
        <w:rPr>
          <w:color w:val="4D4D4F"/>
          <w:w w:val="110"/>
        </w:rPr>
        <w:t>of</w:t>
      </w:r>
      <w:r>
        <w:rPr>
          <w:color w:val="4D4D4F"/>
          <w:spacing w:val="-11"/>
          <w:w w:val="110"/>
        </w:rPr>
        <w:t> </w:t>
      </w:r>
      <w:r>
        <w:rPr>
          <w:color w:val="4D4D4F"/>
          <w:w w:val="110"/>
        </w:rPr>
        <w:t>the</w:t>
      </w:r>
      <w:r>
        <w:rPr>
          <w:color w:val="4D4D4F"/>
          <w:spacing w:val="-11"/>
          <w:w w:val="110"/>
        </w:rPr>
        <w:t> </w:t>
      </w:r>
      <w:r>
        <w:rPr>
          <w:color w:val="4D4D4F"/>
          <w:w w:val="110"/>
        </w:rPr>
        <w:t>Americans</w:t>
      </w:r>
      <w:r>
        <w:rPr>
          <w:color w:val="4D4D4F"/>
          <w:spacing w:val="-10"/>
          <w:w w:val="110"/>
        </w:rPr>
        <w:t> </w:t>
      </w:r>
      <w:r>
        <w:rPr>
          <w:color w:val="4D4D4F"/>
          <w:w w:val="110"/>
        </w:rPr>
        <w:t>with</w:t>
      </w:r>
      <w:r>
        <w:rPr>
          <w:color w:val="4D4D4F"/>
          <w:spacing w:val="-11"/>
          <w:w w:val="110"/>
        </w:rPr>
        <w:t> </w:t>
      </w:r>
      <w:r>
        <w:rPr>
          <w:color w:val="4D4D4F"/>
          <w:w w:val="110"/>
        </w:rPr>
        <w:t>Disabilities</w:t>
      </w:r>
      <w:r>
        <w:rPr>
          <w:color w:val="4D4D4F"/>
          <w:spacing w:val="-11"/>
          <w:w w:val="110"/>
        </w:rPr>
        <w:t> </w:t>
      </w:r>
      <w:r>
        <w:rPr>
          <w:color w:val="4D4D4F"/>
          <w:w w:val="110"/>
        </w:rPr>
        <w:t>Act</w:t>
      </w:r>
      <w:r>
        <w:rPr>
          <w:color w:val="4D4D4F"/>
          <w:spacing w:val="-10"/>
          <w:w w:val="110"/>
        </w:rPr>
        <w:t> </w:t>
      </w:r>
      <w:r>
        <w:rPr>
          <w:color w:val="4D4D4F"/>
          <w:spacing w:val="-9"/>
          <w:w w:val="110"/>
        </w:rPr>
        <w:t>or </w:t>
      </w:r>
      <w:r>
        <w:rPr>
          <w:color w:val="4D4D4F"/>
          <w:w w:val="110"/>
        </w:rPr>
        <w:t>other discrimination or parity</w:t>
      </w:r>
      <w:r>
        <w:rPr>
          <w:color w:val="4D4D4F"/>
          <w:spacing w:val="-32"/>
          <w:w w:val="110"/>
        </w:rPr>
        <w:t> </w:t>
      </w:r>
      <w:r>
        <w:rPr>
          <w:color w:val="4D4D4F"/>
          <w:w w:val="110"/>
        </w:rPr>
        <w:t>violations.</w:t>
      </w:r>
    </w:p>
    <w:p>
      <w:pPr>
        <w:spacing w:line="247" w:lineRule="auto" w:before="106"/>
        <w:ind w:left="139" w:right="1537" w:firstLine="0"/>
        <w:jc w:val="left"/>
        <w:rPr>
          <w:b/>
          <w:i/>
          <w:sz w:val="24"/>
        </w:rPr>
      </w:pPr>
      <w:r>
        <w:rPr/>
        <w:br w:type="column"/>
      </w:r>
      <w:r>
        <w:rPr>
          <w:b/>
          <w:i/>
          <w:color w:val="137692"/>
          <w:w w:val="105"/>
          <w:sz w:val="24"/>
        </w:rPr>
        <w:t>Referral</w:t>
      </w:r>
      <w:r>
        <w:rPr>
          <w:b/>
          <w:i/>
          <w:color w:val="137692"/>
          <w:spacing w:val="-27"/>
          <w:w w:val="105"/>
          <w:sz w:val="24"/>
        </w:rPr>
        <w:t> </w:t>
      </w:r>
      <w:r>
        <w:rPr>
          <w:b/>
          <w:i/>
          <w:color w:val="137692"/>
          <w:w w:val="105"/>
          <w:sz w:val="24"/>
        </w:rPr>
        <w:t>to</w:t>
      </w:r>
      <w:r>
        <w:rPr>
          <w:b/>
          <w:i/>
          <w:color w:val="137692"/>
          <w:spacing w:val="-26"/>
          <w:w w:val="105"/>
          <w:sz w:val="24"/>
        </w:rPr>
        <w:t> </w:t>
      </w:r>
      <w:r>
        <w:rPr>
          <w:b/>
          <w:i/>
          <w:color w:val="137692"/>
          <w:w w:val="105"/>
          <w:sz w:val="24"/>
        </w:rPr>
        <w:t>counseling</w:t>
      </w:r>
      <w:r>
        <w:rPr>
          <w:b/>
          <w:i/>
          <w:color w:val="137692"/>
          <w:spacing w:val="-26"/>
          <w:w w:val="105"/>
          <w:sz w:val="24"/>
        </w:rPr>
        <w:t> </w:t>
      </w:r>
      <w:r>
        <w:rPr>
          <w:b/>
          <w:i/>
          <w:color w:val="137692"/>
          <w:w w:val="105"/>
          <w:sz w:val="24"/>
        </w:rPr>
        <w:t>and</w:t>
      </w:r>
      <w:r>
        <w:rPr>
          <w:b/>
          <w:i/>
          <w:color w:val="137692"/>
          <w:spacing w:val="-26"/>
          <w:w w:val="105"/>
          <w:sz w:val="24"/>
        </w:rPr>
        <w:t> </w:t>
      </w:r>
      <w:r>
        <w:rPr>
          <w:b/>
          <w:i/>
          <w:color w:val="137692"/>
          <w:w w:val="105"/>
          <w:sz w:val="24"/>
        </w:rPr>
        <w:t>other </w:t>
      </w:r>
      <w:r>
        <w:rPr>
          <w:b/>
          <w:i/>
          <w:color w:val="137692"/>
          <w:w w:val="105"/>
          <w:sz w:val="24"/>
        </w:rPr>
        <w:t>psychosocial</w:t>
      </w:r>
      <w:r>
        <w:rPr>
          <w:b/>
          <w:i/>
          <w:color w:val="137692"/>
          <w:spacing w:val="-13"/>
          <w:w w:val="105"/>
          <w:sz w:val="24"/>
        </w:rPr>
        <w:t> </w:t>
      </w:r>
      <w:r>
        <w:rPr>
          <w:b/>
          <w:i/>
          <w:color w:val="137692"/>
          <w:w w:val="105"/>
          <w:sz w:val="24"/>
        </w:rPr>
        <w:t>supports</w:t>
      </w:r>
    </w:p>
    <w:p>
      <w:pPr>
        <w:spacing w:line="240" w:lineRule="auto" w:before="36"/>
        <w:ind w:left="139" w:right="415" w:firstLine="0"/>
        <w:jc w:val="left"/>
        <w:rPr>
          <w:sz w:val="22"/>
        </w:rPr>
      </w:pPr>
      <w:r>
        <w:rPr>
          <w:rFonts w:ascii="Calibri"/>
          <w:b/>
          <w:color w:val="4D4D4F"/>
          <w:w w:val="110"/>
          <w:sz w:val="22"/>
        </w:rPr>
        <w:t>Prescribers of buprenorphine must be able  to refer patients for appropriate adjunctive counseling and ancillary services </w:t>
      </w:r>
      <w:r>
        <w:rPr>
          <w:color w:val="4D4D4F"/>
          <w:w w:val="110"/>
          <w:sz w:val="22"/>
        </w:rPr>
        <w:t>as needed according to federal law.</w:t>
      </w:r>
      <w:r>
        <w:rPr>
          <w:color w:val="4D4D4F"/>
          <w:w w:val="110"/>
          <w:position w:val="7"/>
          <w:sz w:val="13"/>
        </w:rPr>
        <w:t>361 </w:t>
      </w:r>
      <w:r>
        <w:rPr>
          <w:color w:val="4D4D4F"/>
          <w:spacing w:val="-3"/>
          <w:w w:val="110"/>
          <w:sz w:val="22"/>
        </w:rPr>
        <w:t>(However, </w:t>
      </w:r>
      <w:r>
        <w:rPr>
          <w:color w:val="4D4D4F"/>
          <w:w w:val="110"/>
          <w:sz w:val="22"/>
        </w:rPr>
        <w:t>patients can still receive buprenorphine treatment</w:t>
      </w:r>
      <w:r>
        <w:rPr>
          <w:color w:val="4D4D4F"/>
          <w:spacing w:val="-3"/>
          <w:w w:val="110"/>
          <w:sz w:val="22"/>
        </w:rPr>
        <w:t> </w:t>
      </w:r>
      <w:r>
        <w:rPr>
          <w:color w:val="4D4D4F"/>
          <w:spacing w:val="-4"/>
          <w:w w:val="110"/>
          <w:sz w:val="22"/>
        </w:rPr>
        <w:t>even</w:t>
      </w:r>
    </w:p>
    <w:p>
      <w:pPr>
        <w:pStyle w:val="BodyText"/>
        <w:spacing w:line="247" w:lineRule="auto" w:before="9"/>
        <w:ind w:left="140" w:right="232"/>
      </w:pPr>
      <w:r>
        <w:rPr>
          <w:color w:val="4D4D4F"/>
          <w:w w:val="110"/>
        </w:rPr>
        <w:t>if they do not use such services.) </w:t>
      </w:r>
      <w:r>
        <w:rPr>
          <w:color w:val="4D4D4F"/>
          <w:spacing w:val="-3"/>
          <w:w w:val="110"/>
        </w:rPr>
        <w:t>There’s </w:t>
      </w:r>
      <w:r>
        <w:rPr>
          <w:color w:val="4D4D4F"/>
          <w:w w:val="110"/>
        </w:rPr>
        <w:t>no</w:t>
      </w:r>
      <w:r>
        <w:rPr>
          <w:color w:val="4D4D4F"/>
          <w:spacing w:val="-48"/>
          <w:w w:val="110"/>
        </w:rPr>
        <w:t> </w:t>
      </w:r>
      <w:r>
        <w:rPr>
          <w:color w:val="4D4D4F"/>
          <w:spacing w:val="-5"/>
          <w:w w:val="110"/>
        </w:rPr>
        <w:t>such </w:t>
      </w:r>
      <w:r>
        <w:rPr>
          <w:color w:val="4D4D4F"/>
          <w:w w:val="110"/>
        </w:rPr>
        <w:t>referral requirement for naltrexone treatment, but patients should receive medical manage- ment and be referred as needed for adjunctive addiction, mental health, or recovery</w:t>
      </w:r>
      <w:r>
        <w:rPr>
          <w:color w:val="4D4D4F"/>
          <w:spacing w:val="-16"/>
          <w:w w:val="110"/>
        </w:rPr>
        <w:t> </w:t>
      </w:r>
      <w:r>
        <w:rPr>
          <w:color w:val="4D4D4F"/>
          <w:w w:val="110"/>
        </w:rPr>
        <w:t>services.</w:t>
      </w:r>
    </w:p>
    <w:p>
      <w:pPr>
        <w:spacing w:line="237" w:lineRule="auto" w:before="183"/>
        <w:ind w:left="140" w:right="327" w:firstLine="0"/>
        <w:jc w:val="left"/>
        <w:rPr>
          <w:sz w:val="22"/>
        </w:rPr>
      </w:pPr>
      <w:r>
        <w:rPr>
          <w:rFonts w:ascii="Calibri" w:hAnsi="Calibri"/>
          <w:b/>
          <w:color w:val="4D4D4F"/>
          <w:spacing w:val="-13"/>
          <w:w w:val="110"/>
          <w:sz w:val="22"/>
        </w:rPr>
        <w:t>To </w:t>
      </w:r>
      <w:r>
        <w:rPr>
          <w:rFonts w:ascii="Calibri" w:hAnsi="Calibri"/>
          <w:b/>
          <w:color w:val="4D4D4F"/>
          <w:w w:val="110"/>
          <w:sz w:val="22"/>
        </w:rPr>
        <w:t>achieve clinical stability and abstinence from illicit drug use, many patients need psychosocial counseling and support services beyond what their buprenorphine </w:t>
      </w:r>
      <w:r>
        <w:rPr>
          <w:rFonts w:ascii="Calibri" w:hAnsi="Calibri"/>
          <w:b/>
          <w:color w:val="4D4D4F"/>
          <w:spacing w:val="-4"/>
          <w:w w:val="110"/>
          <w:sz w:val="22"/>
        </w:rPr>
        <w:t>prescriber’s </w:t>
      </w:r>
      <w:r>
        <w:rPr>
          <w:rFonts w:ascii="Calibri" w:hAnsi="Calibri"/>
          <w:b/>
          <w:color w:val="4D4D4F"/>
          <w:w w:val="110"/>
          <w:sz w:val="22"/>
        </w:rPr>
        <w:t>practice offers. </w:t>
      </w:r>
      <w:r>
        <w:rPr>
          <w:color w:val="4D4D4F"/>
          <w:w w:val="110"/>
          <w:sz w:val="22"/>
        </w:rPr>
        <w:t>For example, patients with mental disorders (e.g., depression, posttrau- matic stress disorder)</w:t>
      </w:r>
      <w:r>
        <w:rPr>
          <w:color w:val="4D4D4F"/>
          <w:w w:val="110"/>
          <w:position w:val="7"/>
          <w:sz w:val="13"/>
        </w:rPr>
        <w:t>362 </w:t>
      </w:r>
      <w:r>
        <w:rPr>
          <w:color w:val="4D4D4F"/>
          <w:w w:val="110"/>
          <w:sz w:val="22"/>
        </w:rPr>
        <w:t>should be</w:t>
      </w:r>
      <w:r>
        <w:rPr>
          <w:color w:val="4D4D4F"/>
          <w:spacing w:val="-34"/>
          <w:w w:val="110"/>
          <w:sz w:val="22"/>
        </w:rPr>
        <w:t> </w:t>
      </w:r>
      <w:r>
        <w:rPr>
          <w:color w:val="4D4D4F"/>
          <w:w w:val="110"/>
          <w:sz w:val="22"/>
        </w:rPr>
        <w:t>assessed</w:t>
      </w:r>
    </w:p>
    <w:p>
      <w:pPr>
        <w:pStyle w:val="BodyText"/>
        <w:spacing w:line="247" w:lineRule="auto" w:before="16"/>
        <w:ind w:left="140"/>
      </w:pPr>
      <w:r>
        <w:rPr>
          <w:color w:val="4D4D4F"/>
          <w:w w:val="110"/>
        </w:rPr>
        <w:t>and treated with appropriate medications (as indicated) and adjunctive mental health</w:t>
      </w:r>
      <w:r>
        <w:rPr>
          <w:color w:val="4D4D4F"/>
          <w:spacing w:val="53"/>
          <w:w w:val="110"/>
        </w:rPr>
        <w:t> </w:t>
      </w:r>
      <w:r>
        <w:rPr>
          <w:color w:val="4D4D4F"/>
          <w:w w:val="110"/>
        </w:rPr>
        <w:t>services.</w:t>
      </w:r>
    </w:p>
    <w:p>
      <w:pPr>
        <w:spacing w:line="242" w:lineRule="auto" w:before="178"/>
        <w:ind w:left="140" w:right="232" w:firstLine="0"/>
        <w:jc w:val="left"/>
        <w:rPr>
          <w:sz w:val="22"/>
        </w:rPr>
      </w:pPr>
      <w:r>
        <w:rPr>
          <w:rFonts w:ascii="Calibri" w:hAnsi="Calibri"/>
          <w:b/>
          <w:color w:val="4D4D4F"/>
          <w:w w:val="110"/>
          <w:sz w:val="22"/>
        </w:rPr>
        <w:t>Some patients are reluctant to engage in addiction counseling or recovery support  groups until they stabilize on medication. </w:t>
      </w:r>
      <w:r>
        <w:rPr>
          <w:color w:val="4D4D4F"/>
          <w:spacing w:val="-4"/>
          <w:w w:val="110"/>
          <w:sz w:val="22"/>
        </w:rPr>
        <w:t>Once </w:t>
      </w:r>
      <w:r>
        <w:rPr>
          <w:color w:val="4D4D4F"/>
          <w:w w:val="110"/>
          <w:sz w:val="22"/>
        </w:rPr>
        <w:t>stabilized, they may see beneﬁts to participating in these supports. Recommend additional addiction, mental health, and social services as appropriate if</w:t>
      </w:r>
      <w:r>
        <w:rPr>
          <w:color w:val="4D4D4F"/>
          <w:spacing w:val="-10"/>
          <w:w w:val="110"/>
          <w:sz w:val="22"/>
        </w:rPr>
        <w:t> </w:t>
      </w:r>
      <w:r>
        <w:rPr>
          <w:color w:val="4D4D4F"/>
          <w:w w:val="110"/>
          <w:sz w:val="22"/>
        </w:rPr>
        <w:t>patients:</w:t>
      </w:r>
    </w:p>
    <w:p>
      <w:pPr>
        <w:pStyle w:val="ListParagraph"/>
        <w:numPr>
          <w:ilvl w:val="0"/>
          <w:numId w:val="29"/>
        </w:numPr>
        <w:tabs>
          <w:tab w:pos="410" w:val="left" w:leader="none"/>
        </w:tabs>
        <w:spacing w:line="315" w:lineRule="exact" w:before="105" w:after="0"/>
        <w:ind w:left="410" w:right="0" w:hanging="270"/>
        <w:jc w:val="left"/>
        <w:rPr>
          <w:rFonts w:ascii="Arial" w:hAnsi="Arial"/>
          <w:color w:val="137692"/>
          <w:sz w:val="28"/>
        </w:rPr>
      </w:pPr>
      <w:r>
        <w:rPr>
          <w:color w:val="4D4D4F"/>
          <w:w w:val="110"/>
          <w:sz w:val="22"/>
        </w:rPr>
        <w:t>Do not achieve full</w:t>
      </w:r>
      <w:r>
        <w:rPr>
          <w:color w:val="4D4D4F"/>
          <w:spacing w:val="-25"/>
          <w:w w:val="110"/>
          <w:sz w:val="22"/>
        </w:rPr>
        <w:t> </w:t>
      </w:r>
      <w:r>
        <w:rPr>
          <w:color w:val="4D4D4F"/>
          <w:w w:val="110"/>
          <w:sz w:val="22"/>
        </w:rPr>
        <w:t>remission.</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Continue to misuse nonopioid</w:t>
      </w:r>
      <w:r>
        <w:rPr>
          <w:color w:val="4D4D4F"/>
          <w:spacing w:val="-10"/>
          <w:w w:val="110"/>
          <w:sz w:val="22"/>
        </w:rPr>
        <w:t> </w:t>
      </w:r>
      <w:r>
        <w:rPr>
          <w:color w:val="4D4D4F"/>
          <w:w w:val="110"/>
          <w:sz w:val="22"/>
        </w:rPr>
        <w:t>substances.</w:t>
      </w:r>
    </w:p>
    <w:p>
      <w:pPr>
        <w:pStyle w:val="ListParagraph"/>
        <w:numPr>
          <w:ilvl w:val="0"/>
          <w:numId w:val="29"/>
        </w:numPr>
        <w:tabs>
          <w:tab w:pos="410" w:val="left" w:leader="none"/>
        </w:tabs>
        <w:spacing w:line="208" w:lineRule="auto" w:before="22" w:after="0"/>
        <w:ind w:left="409" w:right="850" w:hanging="270"/>
        <w:jc w:val="left"/>
        <w:rPr>
          <w:rFonts w:ascii="Arial" w:hAnsi="Arial"/>
          <w:color w:val="137692"/>
          <w:sz w:val="28"/>
        </w:rPr>
      </w:pPr>
      <w:r>
        <w:rPr>
          <w:color w:val="4D4D4F"/>
          <w:w w:val="110"/>
          <w:sz w:val="22"/>
        </w:rPr>
        <w:t>Do</w:t>
      </w:r>
      <w:r>
        <w:rPr>
          <w:color w:val="4D4D4F"/>
          <w:spacing w:val="-10"/>
          <w:w w:val="110"/>
          <w:sz w:val="22"/>
        </w:rPr>
        <w:t> </w:t>
      </w:r>
      <w:r>
        <w:rPr>
          <w:color w:val="4D4D4F"/>
          <w:w w:val="110"/>
          <w:sz w:val="22"/>
        </w:rPr>
        <w:t>not</w:t>
      </w:r>
      <w:r>
        <w:rPr>
          <w:color w:val="4D4D4F"/>
          <w:spacing w:val="-10"/>
          <w:w w:val="110"/>
          <w:sz w:val="22"/>
        </w:rPr>
        <w:t> </w:t>
      </w:r>
      <w:r>
        <w:rPr>
          <w:color w:val="4D4D4F"/>
          <w:w w:val="110"/>
          <w:sz w:val="22"/>
        </w:rPr>
        <w:t>reach</w:t>
      </w:r>
      <w:r>
        <w:rPr>
          <w:color w:val="4D4D4F"/>
          <w:spacing w:val="-10"/>
          <w:w w:val="110"/>
          <w:sz w:val="22"/>
        </w:rPr>
        <w:t> </w:t>
      </w:r>
      <w:r>
        <w:rPr>
          <w:color w:val="4D4D4F"/>
          <w:w w:val="110"/>
          <w:sz w:val="22"/>
        </w:rPr>
        <w:t>their</w:t>
      </w:r>
      <w:r>
        <w:rPr>
          <w:color w:val="4D4D4F"/>
          <w:spacing w:val="-10"/>
          <w:w w:val="110"/>
          <w:sz w:val="22"/>
        </w:rPr>
        <w:t> </w:t>
      </w:r>
      <w:r>
        <w:rPr>
          <w:color w:val="4D4D4F"/>
          <w:w w:val="110"/>
          <w:sz w:val="22"/>
        </w:rPr>
        <w:t>treatment</w:t>
      </w:r>
      <w:r>
        <w:rPr>
          <w:color w:val="4D4D4F"/>
          <w:spacing w:val="-9"/>
          <w:w w:val="110"/>
          <w:sz w:val="22"/>
        </w:rPr>
        <w:t> </w:t>
      </w:r>
      <w:r>
        <w:rPr>
          <w:color w:val="4D4D4F"/>
          <w:w w:val="110"/>
          <w:sz w:val="22"/>
        </w:rPr>
        <w:t>goals</w:t>
      </w:r>
      <w:r>
        <w:rPr>
          <w:color w:val="4D4D4F"/>
          <w:spacing w:val="-10"/>
          <w:w w:val="110"/>
          <w:sz w:val="22"/>
        </w:rPr>
        <w:t> </w:t>
      </w:r>
      <w:r>
        <w:rPr>
          <w:color w:val="4D4D4F"/>
          <w:spacing w:val="-4"/>
          <w:w w:val="110"/>
          <w:sz w:val="22"/>
        </w:rPr>
        <w:t>with </w:t>
      </w:r>
      <w:r>
        <w:rPr>
          <w:color w:val="4D4D4F"/>
          <w:w w:val="110"/>
          <w:sz w:val="22"/>
        </w:rPr>
        <w:t>medication management</w:t>
      </w:r>
      <w:r>
        <w:rPr>
          <w:color w:val="4D4D4F"/>
          <w:spacing w:val="3"/>
          <w:w w:val="110"/>
          <w:sz w:val="22"/>
        </w:rPr>
        <w:t> </w:t>
      </w:r>
      <w:r>
        <w:rPr>
          <w:color w:val="4D4D4F"/>
          <w:w w:val="110"/>
          <w:sz w:val="22"/>
        </w:rPr>
        <w:t>alone.</w:t>
      </w:r>
    </w:p>
    <w:p>
      <w:pPr>
        <w:pStyle w:val="BodyText"/>
        <w:spacing w:line="247" w:lineRule="auto" w:before="195"/>
        <w:ind w:left="140"/>
      </w:pPr>
      <w:r>
        <w:rPr>
          <w:color w:val="4D4D4F"/>
          <w:w w:val="110"/>
        </w:rPr>
        <w:t>Behavioral treatment with contingency manage- ment (e.g., rewards for illicit drug abstinence)</w:t>
      </w:r>
    </w:p>
    <w:p>
      <w:pPr>
        <w:pStyle w:val="BodyText"/>
        <w:spacing w:line="247" w:lineRule="auto" w:before="2"/>
        <w:ind w:left="140" w:right="271"/>
        <w:rPr>
          <w:sz w:val="13"/>
        </w:rPr>
      </w:pPr>
      <w:r>
        <w:rPr>
          <w:color w:val="4D4D4F"/>
          <w:w w:val="115"/>
        </w:rPr>
        <w:t>is highly effective and is offered in some specialty treatment programs. It can motivate the patient to reduce illicit drug use, including opioids</w:t>
      </w:r>
      <w:r>
        <w:rPr>
          <w:color w:val="4D4D4F"/>
          <w:spacing w:val="-29"/>
          <w:w w:val="115"/>
        </w:rPr>
        <w:t> </w:t>
      </w:r>
      <w:r>
        <w:rPr>
          <w:color w:val="4D4D4F"/>
          <w:w w:val="115"/>
        </w:rPr>
        <w:t>and</w:t>
      </w:r>
      <w:r>
        <w:rPr>
          <w:color w:val="4D4D4F"/>
          <w:spacing w:val="-29"/>
          <w:w w:val="115"/>
        </w:rPr>
        <w:t> </w:t>
      </w:r>
      <w:r>
        <w:rPr>
          <w:color w:val="4D4D4F"/>
          <w:w w:val="115"/>
        </w:rPr>
        <w:t>stimulants,</w:t>
      </w:r>
      <w:r>
        <w:rPr>
          <w:color w:val="4D4D4F"/>
          <w:spacing w:val="-29"/>
          <w:w w:val="115"/>
        </w:rPr>
        <w:t> </w:t>
      </w:r>
      <w:r>
        <w:rPr>
          <w:color w:val="4D4D4F"/>
          <w:w w:val="115"/>
        </w:rPr>
        <w:t>and</w:t>
      </w:r>
      <w:r>
        <w:rPr>
          <w:color w:val="4D4D4F"/>
          <w:spacing w:val="-28"/>
          <w:w w:val="115"/>
        </w:rPr>
        <w:t> </w:t>
      </w:r>
      <w:r>
        <w:rPr>
          <w:color w:val="4D4D4F"/>
          <w:w w:val="115"/>
        </w:rPr>
        <w:t>increase</w:t>
      </w:r>
      <w:r>
        <w:rPr>
          <w:color w:val="4D4D4F"/>
          <w:spacing w:val="-29"/>
          <w:w w:val="115"/>
        </w:rPr>
        <w:t> </w:t>
      </w:r>
      <w:r>
        <w:rPr>
          <w:color w:val="4D4D4F"/>
          <w:w w:val="115"/>
        </w:rPr>
        <w:t>medication adherence.</w:t>
      </w:r>
      <w:r>
        <w:rPr>
          <w:color w:val="4D4D4F"/>
          <w:w w:val="115"/>
          <w:position w:val="7"/>
          <w:sz w:val="13"/>
        </w:rPr>
        <w:t>363</w:t>
      </w:r>
    </w:p>
    <w:p>
      <w:pPr>
        <w:spacing w:line="244" w:lineRule="auto" w:before="187"/>
        <w:ind w:left="139" w:right="373" w:firstLine="0"/>
        <w:jc w:val="left"/>
        <w:rPr>
          <w:rFonts w:ascii="Calibri"/>
          <w:b/>
          <w:sz w:val="22"/>
        </w:rPr>
      </w:pPr>
      <w:r>
        <w:rPr>
          <w:color w:val="4D4D4F"/>
          <w:w w:val="110"/>
          <w:sz w:val="22"/>
        </w:rPr>
        <w:t>Alcoholics Anonymous, Narcotics Anonymous, </w:t>
      </w:r>
      <w:r>
        <w:rPr>
          <w:color w:val="4D4D4F"/>
          <w:w w:val="115"/>
          <w:sz w:val="22"/>
        </w:rPr>
        <w:t>Self-Management and Recovery Training, and other </w:t>
      </w:r>
      <w:r>
        <w:rPr>
          <w:rFonts w:ascii="Calibri"/>
          <w:b/>
          <w:color w:val="4D4D4F"/>
          <w:w w:val="115"/>
          <w:sz w:val="22"/>
        </w:rPr>
        <w:t>peer recovery support groups can be</w:t>
      </w:r>
    </w:p>
    <w:p>
      <w:pPr>
        <w:spacing w:after="0" w:line="244" w:lineRule="auto"/>
        <w:jc w:val="left"/>
        <w:rPr>
          <w:rFonts w:ascii="Calibri"/>
          <w:sz w:val="22"/>
        </w:rPr>
        <w:sectPr>
          <w:type w:val="continuous"/>
          <w:pgSz w:w="12240" w:h="15840"/>
          <w:pgMar w:top="540" w:bottom="280" w:left="940" w:right="920"/>
          <w:cols w:num="2" w:equalWidth="0">
            <w:col w:w="4970" w:space="250"/>
            <w:col w:w="5160"/>
          </w:cols>
        </w:sectPr>
      </w:pPr>
    </w:p>
    <w:p>
      <w:pPr>
        <w:pStyle w:val="BodyText"/>
        <w:spacing w:before="7"/>
        <w:rPr>
          <w:rFonts w:ascii="Calibri"/>
          <w:b/>
          <w:sz w:val="25"/>
        </w:rPr>
      </w:pPr>
    </w:p>
    <w:p>
      <w:pPr>
        <w:spacing w:after="0"/>
        <w:rPr>
          <w:rFonts w:ascii="Calibri"/>
          <w:sz w:val="25"/>
        </w:rPr>
        <w:sectPr>
          <w:pgSz w:w="12240" w:h="15840"/>
          <w:pgMar w:header="576" w:footer="677" w:top="1340" w:bottom="860" w:left="940" w:right="920"/>
        </w:sectPr>
      </w:pPr>
    </w:p>
    <w:p>
      <w:pPr>
        <w:spacing w:line="244" w:lineRule="auto" w:before="100"/>
        <w:ind w:left="140" w:right="61" w:firstLine="0"/>
        <w:jc w:val="left"/>
        <w:rPr>
          <w:sz w:val="22"/>
        </w:rPr>
      </w:pPr>
      <w:r>
        <w:rPr>
          <w:rFonts w:ascii="Calibri" w:hAnsi="Calibri"/>
          <w:b/>
          <w:color w:val="4C4D4F"/>
          <w:w w:val="110"/>
          <w:sz w:val="22"/>
        </w:rPr>
        <w:t>helpful to patients, especially if they ﬁnd groups with accepting attitudes toward OUD medication and people who take it. </w:t>
      </w:r>
      <w:r>
        <w:rPr>
          <w:color w:val="4C4D4F"/>
          <w:w w:val="110"/>
          <w:sz w:val="22"/>
        </w:rPr>
        <w:t>(See Part   5 of this TIP for resources on recovery support groups.) Some peer recovery support groups consider patients taking methadone and bu- prenorphine for OUD treatment as not being abstinent from opioids. Check with local groups before referring a patient. Groups not accepting of OUD medications are not appropriate for patients taking them. Patients are most</w:t>
      </w:r>
      <w:r>
        <w:rPr>
          <w:color w:val="4C4D4F"/>
          <w:spacing w:val="6"/>
          <w:w w:val="110"/>
          <w:sz w:val="22"/>
        </w:rPr>
        <w:t> </w:t>
      </w:r>
      <w:r>
        <w:rPr>
          <w:color w:val="4C4D4F"/>
          <w:w w:val="110"/>
          <w:sz w:val="22"/>
        </w:rPr>
        <w:t>likely</w:t>
      </w:r>
    </w:p>
    <w:p>
      <w:pPr>
        <w:pStyle w:val="BodyText"/>
        <w:spacing w:line="247" w:lineRule="auto" w:before="5"/>
        <w:ind w:left="139"/>
      </w:pPr>
      <w:r>
        <w:rPr>
          <w:color w:val="4C4D4F"/>
          <w:w w:val="110"/>
        </w:rPr>
        <w:t>to beneﬁt from peer support programs if they </w:t>
      </w:r>
      <w:r>
        <w:rPr>
          <w:color w:val="4C4D4F"/>
          <w:spacing w:val="-4"/>
          <w:w w:val="110"/>
        </w:rPr>
        <w:t>actively participate </w:t>
      </w:r>
      <w:r>
        <w:rPr>
          <w:color w:val="4C4D4F"/>
          <w:w w:val="110"/>
        </w:rPr>
        <w:t>in </w:t>
      </w:r>
      <w:r>
        <w:rPr>
          <w:color w:val="4C4D4F"/>
          <w:spacing w:val="-5"/>
          <w:w w:val="110"/>
        </w:rPr>
        <w:t>offered </w:t>
      </w:r>
      <w:r>
        <w:rPr>
          <w:color w:val="4C4D4F"/>
          <w:spacing w:val="-4"/>
          <w:w w:val="110"/>
        </w:rPr>
        <w:t>recovery activities.</w:t>
      </w:r>
      <w:r>
        <w:rPr>
          <w:color w:val="4C4D4F"/>
          <w:spacing w:val="-4"/>
          <w:w w:val="110"/>
          <w:position w:val="7"/>
          <w:sz w:val="13"/>
        </w:rPr>
        <w:t>364 </w:t>
      </w:r>
      <w:r>
        <w:rPr>
          <w:color w:val="4C4D4F"/>
          <w:w w:val="110"/>
        </w:rPr>
        <w:t>Monitor recovery activities to ensure that patients are accessing appropriate</w:t>
      </w:r>
      <w:r>
        <w:rPr>
          <w:color w:val="4C4D4F"/>
          <w:spacing w:val="8"/>
          <w:w w:val="110"/>
        </w:rPr>
        <w:t> </w:t>
      </w:r>
      <w:r>
        <w:rPr>
          <w:color w:val="4C4D4F"/>
          <w:w w:val="110"/>
        </w:rPr>
        <w:t>supports</w:t>
      </w:r>
    </w:p>
    <w:p>
      <w:pPr>
        <w:pStyle w:val="BodyText"/>
        <w:spacing w:before="5"/>
        <w:ind w:left="139"/>
      </w:pPr>
      <w:r>
        <w:rPr>
          <w:color w:val="4C4D4F"/>
          <w:w w:val="115"/>
        </w:rPr>
        <w:t>and</w:t>
      </w:r>
      <w:r>
        <w:rPr>
          <w:color w:val="4C4D4F"/>
          <w:spacing w:val="-28"/>
          <w:w w:val="115"/>
        </w:rPr>
        <w:t> </w:t>
      </w:r>
      <w:r>
        <w:rPr>
          <w:color w:val="4C4D4F"/>
          <w:w w:val="115"/>
        </w:rPr>
        <w:t>are</w:t>
      </w:r>
      <w:r>
        <w:rPr>
          <w:color w:val="4C4D4F"/>
          <w:spacing w:val="-28"/>
          <w:w w:val="115"/>
        </w:rPr>
        <w:t> </w:t>
      </w:r>
      <w:r>
        <w:rPr>
          <w:color w:val="4C4D4F"/>
          <w:w w:val="115"/>
        </w:rPr>
        <w:t>beneﬁting</w:t>
      </w:r>
      <w:r>
        <w:rPr>
          <w:color w:val="4C4D4F"/>
          <w:spacing w:val="-28"/>
          <w:w w:val="115"/>
        </w:rPr>
        <w:t> </w:t>
      </w:r>
      <w:r>
        <w:rPr>
          <w:color w:val="4C4D4F"/>
          <w:w w:val="115"/>
        </w:rPr>
        <w:t>from</w:t>
      </w:r>
      <w:r>
        <w:rPr>
          <w:color w:val="4C4D4F"/>
          <w:spacing w:val="-27"/>
          <w:w w:val="115"/>
        </w:rPr>
        <w:t> </w:t>
      </w:r>
      <w:r>
        <w:rPr>
          <w:color w:val="4C4D4F"/>
          <w:w w:val="115"/>
        </w:rPr>
        <w:t>them</w:t>
      </w:r>
      <w:r>
        <w:rPr>
          <w:color w:val="4C4D4F"/>
          <w:spacing w:val="-28"/>
          <w:w w:val="115"/>
        </w:rPr>
        <w:t> </w:t>
      </w:r>
      <w:r>
        <w:rPr>
          <w:color w:val="4C4D4F"/>
          <w:w w:val="115"/>
        </w:rPr>
        <w:t>(Exhibit</w:t>
      </w:r>
      <w:r>
        <w:rPr>
          <w:color w:val="4C4D4F"/>
          <w:spacing w:val="-28"/>
          <w:w w:val="115"/>
        </w:rPr>
        <w:t> </w:t>
      </w:r>
      <w:r>
        <w:rPr>
          <w:color w:val="4C4D4F"/>
          <w:w w:val="115"/>
        </w:rPr>
        <w:t>3E.2).</w:t>
      </w:r>
    </w:p>
    <w:p>
      <w:pPr>
        <w:spacing w:line="237" w:lineRule="auto" w:before="186"/>
        <w:ind w:left="139" w:right="91" w:firstLine="0"/>
        <w:jc w:val="left"/>
        <w:rPr>
          <w:sz w:val="22"/>
        </w:rPr>
      </w:pPr>
      <w:r>
        <w:rPr>
          <w:rFonts w:ascii="Calibri"/>
          <w:b/>
          <w:color w:val="4C4D4F"/>
          <w:w w:val="110"/>
          <w:sz w:val="22"/>
        </w:rPr>
        <w:t>Patients may need many other psychosocial services. </w:t>
      </w:r>
      <w:r>
        <w:rPr>
          <w:color w:val="4C4D4F"/>
          <w:w w:val="110"/>
          <w:sz w:val="22"/>
        </w:rPr>
        <w:t>Case managers can help patients obtain:</w:t>
      </w:r>
    </w:p>
    <w:p>
      <w:pPr>
        <w:pStyle w:val="ListParagraph"/>
        <w:numPr>
          <w:ilvl w:val="0"/>
          <w:numId w:val="29"/>
        </w:numPr>
        <w:tabs>
          <w:tab w:pos="410" w:val="left" w:leader="none"/>
        </w:tabs>
        <w:spacing w:line="315" w:lineRule="exact" w:before="108" w:after="0"/>
        <w:ind w:left="410" w:right="0" w:hanging="270"/>
        <w:jc w:val="left"/>
        <w:rPr>
          <w:rFonts w:ascii="Arial" w:hAnsi="Arial"/>
          <w:color w:val="147592"/>
          <w:sz w:val="28"/>
        </w:rPr>
      </w:pPr>
      <w:r>
        <w:rPr>
          <w:color w:val="4C4D4F"/>
          <w:w w:val="110"/>
          <w:sz w:val="22"/>
        </w:rPr>
        <w:t>Housing</w:t>
      </w:r>
      <w:r>
        <w:rPr>
          <w:color w:val="4C4D4F"/>
          <w:spacing w:val="-6"/>
          <w:w w:val="110"/>
          <w:sz w:val="22"/>
        </w:rPr>
        <w:t> </w:t>
      </w:r>
      <w:r>
        <w:rPr>
          <w:color w:val="4C4D4F"/>
          <w:w w:val="110"/>
          <w:sz w:val="22"/>
        </w:rPr>
        <w:t>support.</w:t>
      </w:r>
    </w:p>
    <w:p>
      <w:pPr>
        <w:pStyle w:val="ListParagraph"/>
        <w:numPr>
          <w:ilvl w:val="0"/>
          <w:numId w:val="29"/>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Medicaid or other health</w:t>
      </w:r>
      <w:r>
        <w:rPr>
          <w:color w:val="4C4D4F"/>
          <w:spacing w:val="-18"/>
          <w:w w:val="110"/>
          <w:sz w:val="22"/>
        </w:rPr>
        <w:t> </w:t>
      </w:r>
      <w:r>
        <w:rPr>
          <w:color w:val="4C4D4F"/>
          <w:w w:val="110"/>
          <w:sz w:val="22"/>
        </w:rPr>
        <w:t>insurance.</w:t>
      </w:r>
    </w:p>
    <w:p>
      <w:pPr>
        <w:pStyle w:val="ListParagraph"/>
        <w:numPr>
          <w:ilvl w:val="0"/>
          <w:numId w:val="29"/>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Income</w:t>
      </w:r>
      <w:r>
        <w:rPr>
          <w:color w:val="4C4D4F"/>
          <w:spacing w:val="-6"/>
          <w:w w:val="110"/>
          <w:sz w:val="22"/>
        </w:rPr>
        <w:t> </w:t>
      </w:r>
      <w:r>
        <w:rPr>
          <w:color w:val="4C4D4F"/>
          <w:w w:val="110"/>
          <w:sz w:val="22"/>
        </w:rPr>
        <w:t>support.</w:t>
      </w:r>
    </w:p>
    <w:p>
      <w:pPr>
        <w:pStyle w:val="ListParagraph"/>
        <w:numPr>
          <w:ilvl w:val="0"/>
          <w:numId w:val="29"/>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Food assistance</w:t>
      </w:r>
      <w:r>
        <w:rPr>
          <w:color w:val="4C4D4F"/>
          <w:spacing w:val="-10"/>
          <w:w w:val="110"/>
          <w:sz w:val="22"/>
        </w:rPr>
        <w:t> </w:t>
      </w:r>
      <w:r>
        <w:rPr>
          <w:color w:val="4C4D4F"/>
          <w:w w:val="110"/>
          <w:sz w:val="22"/>
        </w:rPr>
        <w:t>services.</w:t>
      </w:r>
    </w:p>
    <w:p>
      <w:pPr>
        <w:pStyle w:val="ListParagraph"/>
        <w:numPr>
          <w:ilvl w:val="0"/>
          <w:numId w:val="29"/>
        </w:numPr>
        <w:tabs>
          <w:tab w:pos="410" w:val="left" w:leader="none"/>
        </w:tabs>
        <w:spacing w:line="307" w:lineRule="exact" w:before="0" w:after="0"/>
        <w:ind w:left="410" w:right="0" w:hanging="270"/>
        <w:jc w:val="left"/>
        <w:rPr>
          <w:rFonts w:ascii="Arial" w:hAnsi="Arial"/>
          <w:color w:val="147592"/>
          <w:sz w:val="28"/>
        </w:rPr>
      </w:pPr>
      <w:r>
        <w:rPr>
          <w:color w:val="4C4D4F"/>
          <w:w w:val="115"/>
          <w:sz w:val="22"/>
        </w:rPr>
        <w:t>Vocational and educational</w:t>
      </w:r>
      <w:r>
        <w:rPr>
          <w:color w:val="4C4D4F"/>
          <w:spacing w:val="-43"/>
          <w:w w:val="115"/>
          <w:sz w:val="22"/>
        </w:rPr>
        <w:t> </w:t>
      </w:r>
      <w:r>
        <w:rPr>
          <w:color w:val="4C4D4F"/>
          <w:w w:val="115"/>
          <w:sz w:val="22"/>
        </w:rPr>
        <w:t>services.</w:t>
      </w:r>
    </w:p>
    <w:p>
      <w:pPr>
        <w:pStyle w:val="ListParagraph"/>
        <w:numPr>
          <w:ilvl w:val="0"/>
          <w:numId w:val="29"/>
        </w:numPr>
        <w:tabs>
          <w:tab w:pos="410" w:val="left" w:leader="none"/>
        </w:tabs>
        <w:spacing w:line="315" w:lineRule="exact" w:before="0" w:after="0"/>
        <w:ind w:left="410" w:right="0" w:hanging="270"/>
        <w:jc w:val="left"/>
        <w:rPr>
          <w:rFonts w:ascii="Arial" w:hAnsi="Arial"/>
          <w:color w:val="147592"/>
          <w:sz w:val="28"/>
        </w:rPr>
      </w:pPr>
      <w:r>
        <w:rPr>
          <w:color w:val="4C4D4F"/>
          <w:w w:val="115"/>
          <w:sz w:val="22"/>
        </w:rPr>
        <w:t>Mental health and family</w:t>
      </w:r>
      <w:r>
        <w:rPr>
          <w:color w:val="4C4D4F"/>
          <w:spacing w:val="-41"/>
          <w:w w:val="115"/>
          <w:sz w:val="22"/>
        </w:rPr>
        <w:t> </w:t>
      </w:r>
      <w:r>
        <w:rPr>
          <w:color w:val="4C4D4F"/>
          <w:spacing w:val="-3"/>
          <w:w w:val="115"/>
          <w:sz w:val="22"/>
        </w:rPr>
        <w:t>therapy.</w:t>
      </w:r>
    </w:p>
    <w:p>
      <w:pPr>
        <w:spacing w:line="247" w:lineRule="auto" w:before="100"/>
        <w:ind w:left="139" w:right="101" w:firstLine="0"/>
        <w:jc w:val="left"/>
        <w:rPr>
          <w:sz w:val="22"/>
        </w:rPr>
      </w:pPr>
      <w:r>
        <w:rPr/>
        <w:br w:type="column"/>
      </w:r>
      <w:r>
        <w:rPr>
          <w:rFonts w:ascii="Calibri"/>
          <w:b/>
          <w:color w:val="4C4D4F"/>
          <w:w w:val="110"/>
          <w:sz w:val="22"/>
        </w:rPr>
        <w:t>Refer to psychosocial services as appropriate. </w:t>
      </w:r>
      <w:r>
        <w:rPr>
          <w:color w:val="4C4D4F"/>
          <w:w w:val="110"/>
          <w:sz w:val="22"/>
        </w:rPr>
        <w:t>Get patient consent to share information and make provider introductions, just as referrals to other medical specialists would occur. Strategies include:</w:t>
      </w:r>
    </w:p>
    <w:p>
      <w:pPr>
        <w:pStyle w:val="ListParagraph"/>
        <w:numPr>
          <w:ilvl w:val="0"/>
          <w:numId w:val="29"/>
        </w:numPr>
        <w:tabs>
          <w:tab w:pos="410" w:val="left" w:leader="none"/>
        </w:tabs>
        <w:spacing w:line="264" w:lineRule="exact" w:before="106" w:after="0"/>
        <w:ind w:left="409" w:right="373" w:hanging="270"/>
        <w:jc w:val="left"/>
        <w:rPr>
          <w:rFonts w:ascii="Arial" w:hAnsi="Arial"/>
          <w:color w:val="147592"/>
          <w:sz w:val="28"/>
        </w:rPr>
      </w:pPr>
      <w:r>
        <w:rPr>
          <w:color w:val="4C4D4F"/>
          <w:w w:val="110"/>
          <w:sz w:val="22"/>
        </w:rPr>
        <w:t>Referring per program availability, afford- </w:t>
      </w:r>
      <w:r>
        <w:rPr>
          <w:color w:val="4C4D4F"/>
          <w:spacing w:val="-3"/>
          <w:w w:val="110"/>
          <w:sz w:val="22"/>
        </w:rPr>
        <w:t>ability, </w:t>
      </w:r>
      <w:r>
        <w:rPr>
          <w:color w:val="4C4D4F"/>
          <w:w w:val="110"/>
          <w:sz w:val="22"/>
        </w:rPr>
        <w:t>and patients’  needs,  preferences, and treatment responses. Ensure referrals</w:t>
      </w:r>
      <w:r>
        <w:rPr>
          <w:color w:val="4C4D4F"/>
          <w:spacing w:val="-35"/>
          <w:w w:val="110"/>
          <w:sz w:val="22"/>
        </w:rPr>
        <w:t> </w:t>
      </w:r>
      <w:r>
        <w:rPr>
          <w:color w:val="4C4D4F"/>
          <w:spacing w:val="-9"/>
          <w:w w:val="110"/>
          <w:sz w:val="22"/>
        </w:rPr>
        <w:t>to </w:t>
      </w:r>
      <w:r>
        <w:rPr>
          <w:color w:val="4C4D4F"/>
          <w:w w:val="110"/>
          <w:sz w:val="22"/>
        </w:rPr>
        <w:t>programs that accept and support patients receiving OUD</w:t>
      </w:r>
      <w:r>
        <w:rPr>
          <w:color w:val="4C4D4F"/>
          <w:spacing w:val="-12"/>
          <w:w w:val="110"/>
          <w:sz w:val="22"/>
        </w:rPr>
        <w:t> </w:t>
      </w:r>
      <w:r>
        <w:rPr>
          <w:color w:val="4C4D4F"/>
          <w:w w:val="110"/>
          <w:sz w:val="22"/>
        </w:rPr>
        <w:t>medication.</w:t>
      </w:r>
    </w:p>
    <w:p>
      <w:pPr>
        <w:pStyle w:val="ListParagraph"/>
        <w:numPr>
          <w:ilvl w:val="0"/>
          <w:numId w:val="29"/>
        </w:numPr>
        <w:tabs>
          <w:tab w:pos="410" w:val="left" w:leader="none"/>
        </w:tabs>
        <w:spacing w:line="264" w:lineRule="exact" w:before="43" w:after="0"/>
        <w:ind w:left="409" w:right="198" w:hanging="270"/>
        <w:jc w:val="left"/>
        <w:rPr>
          <w:rFonts w:ascii="Arial" w:hAnsi="Arial"/>
          <w:color w:val="147592"/>
          <w:sz w:val="28"/>
        </w:rPr>
      </w:pPr>
      <w:r>
        <w:rPr>
          <w:color w:val="4C4D4F"/>
          <w:w w:val="110"/>
          <w:sz w:val="22"/>
        </w:rPr>
        <w:t>If possible, personally introducing patients to the new behavioral health service providers</w:t>
      </w:r>
      <w:r>
        <w:rPr>
          <w:color w:val="4C4D4F"/>
          <w:spacing w:val="-35"/>
          <w:w w:val="110"/>
          <w:sz w:val="22"/>
        </w:rPr>
        <w:t> </w:t>
      </w:r>
      <w:r>
        <w:rPr>
          <w:color w:val="4C4D4F"/>
          <w:spacing w:val="-9"/>
          <w:w w:val="110"/>
          <w:sz w:val="22"/>
        </w:rPr>
        <w:t>or </w:t>
      </w:r>
      <w:r>
        <w:rPr>
          <w:color w:val="4C4D4F"/>
          <w:w w:val="110"/>
          <w:sz w:val="22"/>
        </w:rPr>
        <w:t>peer recovery support specialists if changing settings, to encourage a successful</w:t>
      </w:r>
      <w:r>
        <w:rPr>
          <w:color w:val="4C4D4F"/>
          <w:spacing w:val="47"/>
          <w:w w:val="110"/>
          <w:sz w:val="22"/>
        </w:rPr>
        <w:t> </w:t>
      </w:r>
      <w:r>
        <w:rPr>
          <w:color w:val="4C4D4F"/>
          <w:w w:val="110"/>
          <w:sz w:val="22"/>
        </w:rPr>
        <w:t>transition.</w:t>
      </w:r>
    </w:p>
    <w:p>
      <w:pPr>
        <w:pStyle w:val="ListParagraph"/>
        <w:numPr>
          <w:ilvl w:val="0"/>
          <w:numId w:val="29"/>
        </w:numPr>
        <w:tabs>
          <w:tab w:pos="410" w:val="left" w:leader="none"/>
        </w:tabs>
        <w:spacing w:line="208" w:lineRule="auto" w:before="61" w:after="0"/>
        <w:ind w:left="409" w:right="415" w:hanging="270"/>
        <w:jc w:val="left"/>
        <w:rPr>
          <w:rFonts w:ascii="Arial" w:hAnsi="Arial"/>
          <w:color w:val="147592"/>
          <w:sz w:val="28"/>
        </w:rPr>
      </w:pPr>
      <w:r>
        <w:rPr>
          <w:color w:val="4C4D4F"/>
          <w:w w:val="115"/>
          <w:sz w:val="22"/>
        </w:rPr>
        <w:t>Developing</w:t>
      </w:r>
      <w:r>
        <w:rPr>
          <w:color w:val="4C4D4F"/>
          <w:spacing w:val="-20"/>
          <w:w w:val="115"/>
          <w:sz w:val="22"/>
        </w:rPr>
        <w:t> </w:t>
      </w:r>
      <w:r>
        <w:rPr>
          <w:color w:val="4C4D4F"/>
          <w:w w:val="115"/>
          <w:sz w:val="22"/>
        </w:rPr>
        <w:t>and</w:t>
      </w:r>
      <w:r>
        <w:rPr>
          <w:color w:val="4C4D4F"/>
          <w:spacing w:val="-20"/>
          <w:w w:val="115"/>
          <w:sz w:val="22"/>
        </w:rPr>
        <w:t> </w:t>
      </w:r>
      <w:r>
        <w:rPr>
          <w:color w:val="4C4D4F"/>
          <w:w w:val="115"/>
          <w:sz w:val="22"/>
        </w:rPr>
        <w:t>maintaining</w:t>
      </w:r>
      <w:r>
        <w:rPr>
          <w:color w:val="4C4D4F"/>
          <w:spacing w:val="-20"/>
          <w:w w:val="115"/>
          <w:sz w:val="22"/>
        </w:rPr>
        <w:t> </w:t>
      </w:r>
      <w:r>
        <w:rPr>
          <w:color w:val="4C4D4F"/>
          <w:w w:val="115"/>
          <w:sz w:val="22"/>
        </w:rPr>
        <w:t>a</w:t>
      </w:r>
      <w:r>
        <w:rPr>
          <w:color w:val="4C4D4F"/>
          <w:spacing w:val="-19"/>
          <w:w w:val="115"/>
          <w:sz w:val="22"/>
        </w:rPr>
        <w:t> </w:t>
      </w:r>
      <w:r>
        <w:rPr>
          <w:color w:val="4C4D4F"/>
          <w:w w:val="115"/>
          <w:sz w:val="22"/>
        </w:rPr>
        <w:t>list</w:t>
      </w:r>
      <w:r>
        <w:rPr>
          <w:color w:val="4C4D4F"/>
          <w:spacing w:val="-20"/>
          <w:w w:val="115"/>
          <w:sz w:val="22"/>
        </w:rPr>
        <w:t> </w:t>
      </w:r>
      <w:r>
        <w:rPr>
          <w:color w:val="4C4D4F"/>
          <w:w w:val="115"/>
          <w:sz w:val="22"/>
        </w:rPr>
        <w:t>of</w:t>
      </w:r>
      <w:r>
        <w:rPr>
          <w:color w:val="4C4D4F"/>
          <w:spacing w:val="-20"/>
          <w:w w:val="115"/>
          <w:sz w:val="22"/>
        </w:rPr>
        <w:t> </w:t>
      </w:r>
      <w:r>
        <w:rPr>
          <w:color w:val="4C4D4F"/>
          <w:spacing w:val="-3"/>
          <w:w w:val="115"/>
          <w:sz w:val="22"/>
        </w:rPr>
        <w:t>referral </w:t>
      </w:r>
      <w:r>
        <w:rPr>
          <w:color w:val="4C4D4F"/>
          <w:w w:val="115"/>
          <w:sz w:val="22"/>
        </w:rPr>
        <w:t>resources,</w:t>
      </w:r>
      <w:r>
        <w:rPr>
          <w:color w:val="4C4D4F"/>
          <w:spacing w:val="-11"/>
          <w:w w:val="115"/>
          <w:sz w:val="22"/>
        </w:rPr>
        <w:t> </w:t>
      </w:r>
      <w:r>
        <w:rPr>
          <w:color w:val="4C4D4F"/>
          <w:w w:val="115"/>
          <w:sz w:val="22"/>
        </w:rPr>
        <w:t>including:</w:t>
      </w:r>
    </w:p>
    <w:p>
      <w:pPr>
        <w:pStyle w:val="ListParagraph"/>
        <w:numPr>
          <w:ilvl w:val="1"/>
          <w:numId w:val="29"/>
        </w:numPr>
        <w:tabs>
          <w:tab w:pos="716" w:val="left" w:leader="none"/>
        </w:tabs>
        <w:spacing w:line="240" w:lineRule="auto" w:before="37" w:after="0"/>
        <w:ind w:left="715" w:right="0" w:hanging="271"/>
        <w:jc w:val="left"/>
        <w:rPr>
          <w:rFonts w:ascii="Arial" w:hAnsi="Arial"/>
          <w:color w:val="147592"/>
          <w:sz w:val="24"/>
        </w:rPr>
      </w:pPr>
      <w:r>
        <w:rPr>
          <w:color w:val="4C4D4F"/>
          <w:w w:val="110"/>
          <w:sz w:val="22"/>
        </w:rPr>
        <w:t>Drug and alcohol</w:t>
      </w:r>
      <w:r>
        <w:rPr>
          <w:color w:val="4C4D4F"/>
          <w:spacing w:val="-17"/>
          <w:w w:val="110"/>
          <w:sz w:val="22"/>
        </w:rPr>
        <w:t> </w:t>
      </w:r>
      <w:r>
        <w:rPr>
          <w:color w:val="4C4D4F"/>
          <w:w w:val="110"/>
          <w:sz w:val="22"/>
        </w:rPr>
        <w:t>counselors.</w:t>
      </w:r>
    </w:p>
    <w:p>
      <w:pPr>
        <w:pStyle w:val="ListParagraph"/>
        <w:numPr>
          <w:ilvl w:val="1"/>
          <w:numId w:val="29"/>
        </w:numPr>
        <w:tabs>
          <w:tab w:pos="716" w:val="left" w:leader="none"/>
        </w:tabs>
        <w:spacing w:line="247" w:lineRule="auto" w:before="31" w:after="0"/>
        <w:ind w:left="715" w:right="834" w:hanging="270"/>
        <w:jc w:val="left"/>
        <w:rPr>
          <w:rFonts w:ascii="Arial" w:hAnsi="Arial"/>
          <w:color w:val="147592"/>
          <w:sz w:val="24"/>
        </w:rPr>
      </w:pPr>
      <w:r>
        <w:rPr>
          <w:color w:val="4C4D4F"/>
          <w:w w:val="115"/>
          <w:sz w:val="22"/>
        </w:rPr>
        <w:t>Inpatient,</w:t>
      </w:r>
      <w:r>
        <w:rPr>
          <w:color w:val="4C4D4F"/>
          <w:spacing w:val="-32"/>
          <w:w w:val="115"/>
          <w:sz w:val="22"/>
        </w:rPr>
        <w:t> </w:t>
      </w:r>
      <w:r>
        <w:rPr>
          <w:color w:val="4C4D4F"/>
          <w:w w:val="115"/>
          <w:sz w:val="22"/>
        </w:rPr>
        <w:t>residential,</w:t>
      </w:r>
      <w:r>
        <w:rPr>
          <w:color w:val="4C4D4F"/>
          <w:spacing w:val="-31"/>
          <w:w w:val="115"/>
          <w:sz w:val="22"/>
        </w:rPr>
        <w:t> </w:t>
      </w:r>
      <w:r>
        <w:rPr>
          <w:color w:val="4C4D4F"/>
          <w:w w:val="115"/>
          <w:sz w:val="22"/>
        </w:rPr>
        <w:t>and</w:t>
      </w:r>
      <w:r>
        <w:rPr>
          <w:color w:val="4C4D4F"/>
          <w:spacing w:val="-31"/>
          <w:w w:val="115"/>
          <w:sz w:val="22"/>
        </w:rPr>
        <w:t> </w:t>
      </w:r>
      <w:r>
        <w:rPr>
          <w:color w:val="4C4D4F"/>
          <w:w w:val="115"/>
          <w:sz w:val="22"/>
        </w:rPr>
        <w:t>outpatient addiction counseling</w:t>
      </w:r>
      <w:r>
        <w:rPr>
          <w:color w:val="4C4D4F"/>
          <w:spacing w:val="-27"/>
          <w:w w:val="115"/>
          <w:sz w:val="22"/>
        </w:rPr>
        <w:t> </w:t>
      </w:r>
      <w:r>
        <w:rPr>
          <w:color w:val="4C4D4F"/>
          <w:w w:val="115"/>
          <w:sz w:val="22"/>
        </w:rPr>
        <w:t>programs.</w:t>
      </w:r>
    </w:p>
    <w:p>
      <w:pPr>
        <w:pStyle w:val="ListParagraph"/>
        <w:numPr>
          <w:ilvl w:val="1"/>
          <w:numId w:val="29"/>
        </w:numPr>
        <w:tabs>
          <w:tab w:pos="716" w:val="left" w:leader="none"/>
        </w:tabs>
        <w:spacing w:line="240" w:lineRule="auto" w:before="25" w:after="0"/>
        <w:ind w:left="715" w:right="0" w:hanging="271"/>
        <w:jc w:val="left"/>
        <w:rPr>
          <w:rFonts w:ascii="Arial" w:hAnsi="Arial"/>
          <w:color w:val="147592"/>
          <w:sz w:val="24"/>
        </w:rPr>
      </w:pPr>
      <w:r>
        <w:rPr>
          <w:color w:val="4C4D4F"/>
          <w:w w:val="105"/>
          <w:sz w:val="22"/>
        </w:rPr>
        <w:t>OTPs.</w:t>
      </w:r>
    </w:p>
    <w:p>
      <w:pPr>
        <w:pStyle w:val="ListParagraph"/>
        <w:numPr>
          <w:ilvl w:val="1"/>
          <w:numId w:val="29"/>
        </w:numPr>
        <w:tabs>
          <w:tab w:pos="716" w:val="left" w:leader="none"/>
        </w:tabs>
        <w:spacing w:line="247" w:lineRule="auto" w:before="31" w:after="0"/>
        <w:ind w:left="715" w:right="687" w:hanging="270"/>
        <w:jc w:val="left"/>
        <w:rPr>
          <w:rFonts w:ascii="Arial" w:hAnsi="Arial"/>
          <w:color w:val="147592"/>
          <w:sz w:val="24"/>
        </w:rPr>
      </w:pPr>
      <w:r>
        <w:rPr>
          <w:color w:val="4C4D4F"/>
          <w:w w:val="115"/>
          <w:sz w:val="22"/>
        </w:rPr>
        <w:t>Inpatient/outpatient</w:t>
      </w:r>
      <w:r>
        <w:rPr>
          <w:color w:val="4C4D4F"/>
          <w:spacing w:val="-37"/>
          <w:w w:val="115"/>
          <w:sz w:val="22"/>
        </w:rPr>
        <w:t> </w:t>
      </w:r>
      <w:r>
        <w:rPr>
          <w:color w:val="4C4D4F"/>
          <w:w w:val="115"/>
          <w:sz w:val="22"/>
        </w:rPr>
        <w:t>behavioral</w:t>
      </w:r>
      <w:r>
        <w:rPr>
          <w:color w:val="4C4D4F"/>
          <w:spacing w:val="-36"/>
          <w:w w:val="115"/>
          <w:sz w:val="22"/>
        </w:rPr>
        <w:t> </w:t>
      </w:r>
      <w:r>
        <w:rPr>
          <w:color w:val="4C4D4F"/>
          <w:spacing w:val="-3"/>
          <w:w w:val="115"/>
          <w:sz w:val="22"/>
        </w:rPr>
        <w:t>health </w:t>
      </w:r>
      <w:r>
        <w:rPr>
          <w:color w:val="4C4D4F"/>
          <w:w w:val="115"/>
          <w:sz w:val="22"/>
        </w:rPr>
        <w:t>programs.</w:t>
      </w:r>
    </w:p>
    <w:p>
      <w:pPr>
        <w:pStyle w:val="ListParagraph"/>
        <w:numPr>
          <w:ilvl w:val="1"/>
          <w:numId w:val="29"/>
        </w:numPr>
        <w:tabs>
          <w:tab w:pos="716" w:val="left" w:leader="none"/>
        </w:tabs>
        <w:spacing w:line="240" w:lineRule="auto" w:before="24" w:after="0"/>
        <w:ind w:left="715" w:right="0" w:hanging="271"/>
        <w:jc w:val="left"/>
        <w:rPr>
          <w:rFonts w:ascii="Arial" w:hAnsi="Arial"/>
          <w:color w:val="147592"/>
          <w:sz w:val="24"/>
        </w:rPr>
      </w:pPr>
      <w:r>
        <w:rPr>
          <w:color w:val="4C4D4F"/>
          <w:w w:val="110"/>
          <w:sz w:val="22"/>
        </w:rPr>
        <w:t>Primary care and mental health</w:t>
      </w:r>
      <w:r>
        <w:rPr>
          <w:color w:val="4C4D4F"/>
          <w:spacing w:val="-17"/>
          <w:w w:val="110"/>
          <w:sz w:val="22"/>
        </w:rPr>
        <w:t> </w:t>
      </w:r>
      <w:r>
        <w:rPr>
          <w:color w:val="4C4D4F"/>
          <w:w w:val="110"/>
          <w:sz w:val="22"/>
        </w:rPr>
        <w:t>providers.</w:t>
      </w:r>
    </w:p>
    <w:p>
      <w:pPr>
        <w:pStyle w:val="ListParagraph"/>
        <w:numPr>
          <w:ilvl w:val="1"/>
          <w:numId w:val="29"/>
        </w:numPr>
        <w:tabs>
          <w:tab w:pos="716" w:val="left" w:leader="none"/>
        </w:tabs>
        <w:spacing w:line="240" w:lineRule="auto" w:before="31" w:after="0"/>
        <w:ind w:left="715" w:right="0" w:hanging="271"/>
        <w:jc w:val="left"/>
        <w:rPr>
          <w:rFonts w:ascii="Arial" w:hAnsi="Arial"/>
          <w:color w:val="147592"/>
          <w:sz w:val="24"/>
        </w:rPr>
      </w:pPr>
      <w:r>
        <w:rPr>
          <w:color w:val="4C4D4F"/>
          <w:w w:val="110"/>
          <w:sz w:val="22"/>
        </w:rPr>
        <w:t>Community-based</w:t>
      </w:r>
      <w:r>
        <w:rPr>
          <w:color w:val="4C4D4F"/>
          <w:spacing w:val="-6"/>
          <w:w w:val="110"/>
          <w:sz w:val="22"/>
        </w:rPr>
        <w:t> </w:t>
      </w:r>
      <w:r>
        <w:rPr>
          <w:color w:val="4C4D4F"/>
          <w:w w:val="110"/>
          <w:sz w:val="22"/>
        </w:rPr>
        <w:t>services.</w:t>
      </w:r>
    </w:p>
    <w:p>
      <w:pPr>
        <w:pStyle w:val="ListParagraph"/>
        <w:numPr>
          <w:ilvl w:val="1"/>
          <w:numId w:val="29"/>
        </w:numPr>
        <w:tabs>
          <w:tab w:pos="716" w:val="left" w:leader="none"/>
        </w:tabs>
        <w:spacing w:line="240" w:lineRule="auto" w:before="31" w:after="0"/>
        <w:ind w:left="715" w:right="0" w:hanging="271"/>
        <w:jc w:val="left"/>
        <w:rPr>
          <w:rFonts w:ascii="Arial" w:hAnsi="Arial"/>
          <w:color w:val="147592"/>
          <w:sz w:val="24"/>
        </w:rPr>
      </w:pPr>
      <w:r>
        <w:rPr>
          <w:color w:val="4C4D4F"/>
          <w:w w:val="110"/>
          <w:sz w:val="22"/>
        </w:rPr>
        <w:t>Recovery support</w:t>
      </w:r>
      <w:r>
        <w:rPr>
          <w:color w:val="4C4D4F"/>
          <w:spacing w:val="-12"/>
          <w:w w:val="110"/>
          <w:sz w:val="22"/>
        </w:rPr>
        <w:t> </w:t>
      </w:r>
      <w:r>
        <w:rPr>
          <w:color w:val="4C4D4F"/>
          <w:w w:val="110"/>
          <w:sz w:val="22"/>
        </w:rPr>
        <w:t>groups.</w:t>
      </w:r>
    </w:p>
    <w:p>
      <w:pPr>
        <w:spacing w:after="0" w:line="240" w:lineRule="auto"/>
        <w:jc w:val="left"/>
        <w:rPr>
          <w:rFonts w:ascii="Arial" w:hAnsi="Arial"/>
          <w:sz w:val="24"/>
        </w:rPr>
        <w:sectPr>
          <w:type w:val="continuous"/>
          <w:pgSz w:w="12240" w:h="15840"/>
          <w:pgMar w:top="540" w:bottom="280" w:left="940" w:right="920"/>
          <w:cols w:num="2" w:equalWidth="0">
            <w:col w:w="4978" w:space="242"/>
            <w:col w:w="5160"/>
          </w:cols>
        </w:sectPr>
      </w:pPr>
    </w:p>
    <w:p>
      <w:pPr>
        <w:pStyle w:val="BodyText"/>
        <w:rPr>
          <w:sz w:val="20"/>
        </w:rPr>
      </w:pPr>
    </w:p>
    <w:p>
      <w:pPr>
        <w:pStyle w:val="BodyText"/>
        <w:spacing w:before="1"/>
        <w:rPr>
          <w:sz w:val="20"/>
        </w:rPr>
      </w:pPr>
    </w:p>
    <w:p>
      <w:pPr>
        <w:pStyle w:val="BodyText"/>
        <w:ind w:left="140"/>
        <w:rPr>
          <w:sz w:val="20"/>
        </w:rPr>
      </w:pPr>
      <w:r>
        <w:rPr>
          <w:sz w:val="20"/>
        </w:rPr>
        <w:pict>
          <v:group style="width:503.95pt;height:250.65pt;mso-position-horizontal-relative:char;mso-position-vertical-relative:line" coordorigin="0,0" coordsize="10079,5013">
            <v:rect style="position:absolute;left:5;top:5;width:10069;height:5003" filled="true" fillcolor="#fff7f2" stroked="false">
              <v:fill type="solid"/>
            </v:rect>
            <v:line style="position:absolute" from="280,642" to="9798,642" stroked="true" strokeweight="2pt" strokecolor="#588da6">
              <v:stroke dashstyle="solid"/>
            </v:line>
            <v:shape style="position:absolute;left:290;top:3244;width:778;height:778" coordorigin="290,3244" coordsize="778,778" path="m679,3244l601,3252,528,3275,462,3310,404,3358,357,3416,321,3482,298,3555,290,3633,298,3711,321,3784,357,3850,404,3908,462,3955,528,3991,601,4014,679,4022,757,4014,830,3991,896,3955,954,3908,1001,3850,1037,3784,1060,3711,1068,3633,1060,3555,1037,3482,1001,3416,954,3358,896,3310,830,3275,757,3252,679,3244xe" filled="true" fillcolor="#b15551" stroked="false">
              <v:path arrowok="t"/>
              <v:fill type="solid"/>
            </v:shape>
            <v:shape style="position:absolute;left:473;top:3427;width:411;height:372" type="#_x0000_t75" stroked="false">
              <v:imagedata r:id="rId76" o:title=""/>
            </v:shape>
            <v:shape style="position:absolute;left:5;top:5;width:10069;height:5003" type="#_x0000_t202" filled="false" stroked="true" strokeweight=".5pt" strokecolor="#89aabe">
              <v:textbox inset="0,0,0,0">
                <w:txbxContent>
                  <w:p>
                    <w:pPr>
                      <w:spacing w:before="218"/>
                      <w:ind w:left="269" w:right="0" w:firstLine="0"/>
                      <w:jc w:val="left"/>
                      <w:rPr>
                        <w:rFonts w:ascii="Arial"/>
                        <w:b/>
                        <w:sz w:val="26"/>
                      </w:rPr>
                    </w:pPr>
                    <w:r>
                      <w:rPr>
                        <w:rFonts w:ascii="Arial"/>
                        <w:b/>
                        <w:color w:val="147592"/>
                        <w:w w:val="110"/>
                        <w:sz w:val="26"/>
                      </w:rPr>
                      <w:t>EXHIBIT 3E.2. Monitoring Recovery Activities</w:t>
                    </w:r>
                  </w:p>
                  <w:p>
                    <w:pPr>
                      <w:spacing w:line="240" w:lineRule="auto" w:before="9"/>
                      <w:rPr>
                        <w:rFonts w:ascii="Arial"/>
                        <w:b/>
                        <w:sz w:val="29"/>
                      </w:rPr>
                    </w:pPr>
                  </w:p>
                  <w:p>
                    <w:pPr>
                      <w:spacing w:line="261" w:lineRule="auto" w:before="1"/>
                      <w:ind w:left="269" w:right="698" w:firstLine="0"/>
                      <w:jc w:val="left"/>
                      <w:rPr>
                        <w:rFonts w:ascii="Calibri" w:hAnsi="Calibri"/>
                        <w:sz w:val="18"/>
                      </w:rPr>
                    </w:pPr>
                    <w:r>
                      <w:rPr>
                        <w:rFonts w:ascii="Calibri" w:hAnsi="Calibri"/>
                        <w:color w:val="414042"/>
                        <w:w w:val="125"/>
                        <w:sz w:val="18"/>
                      </w:rPr>
                      <w:t>At medical management visits, do not simply ask about attendance at recovery support meetings— explore the level of participation and engagement in those activities. Some activities include:</w:t>
                    </w:r>
                  </w:p>
                  <w:p>
                    <w:pPr>
                      <w:numPr>
                        <w:ilvl w:val="0"/>
                        <w:numId w:val="46"/>
                      </w:numPr>
                      <w:tabs>
                        <w:tab w:pos="450" w:val="left" w:leader="none"/>
                      </w:tabs>
                      <w:spacing w:line="295" w:lineRule="exact" w:before="39"/>
                      <w:ind w:left="450" w:right="0" w:hanging="181"/>
                      <w:jc w:val="left"/>
                      <w:rPr>
                        <w:rFonts w:ascii="Calibri"/>
                        <w:sz w:val="18"/>
                      </w:rPr>
                    </w:pPr>
                    <w:r>
                      <w:rPr>
                        <w:rFonts w:ascii="Calibri"/>
                        <w:color w:val="4C4D4F"/>
                        <w:w w:val="125"/>
                        <w:sz w:val="18"/>
                      </w:rPr>
                      <w:t>Finding and working closely with a</w:t>
                    </w:r>
                    <w:r>
                      <w:rPr>
                        <w:rFonts w:ascii="Calibri"/>
                        <w:color w:val="4C4D4F"/>
                        <w:spacing w:val="-26"/>
                        <w:w w:val="125"/>
                        <w:sz w:val="18"/>
                      </w:rPr>
                      <w:t> </w:t>
                    </w:r>
                    <w:r>
                      <w:rPr>
                        <w:rFonts w:ascii="Calibri"/>
                        <w:color w:val="4C4D4F"/>
                        <w:w w:val="125"/>
                        <w:sz w:val="18"/>
                      </w:rPr>
                      <w:t>sponsor.</w:t>
                    </w:r>
                  </w:p>
                  <w:p>
                    <w:pPr>
                      <w:numPr>
                        <w:ilvl w:val="0"/>
                        <w:numId w:val="46"/>
                      </w:numPr>
                      <w:tabs>
                        <w:tab w:pos="450" w:val="left" w:leader="none"/>
                      </w:tabs>
                      <w:spacing w:line="269" w:lineRule="exact" w:before="0"/>
                      <w:ind w:left="450" w:right="0" w:hanging="181"/>
                      <w:jc w:val="left"/>
                      <w:rPr>
                        <w:rFonts w:ascii="Calibri" w:hAnsi="Calibri"/>
                        <w:sz w:val="18"/>
                      </w:rPr>
                    </w:pPr>
                    <w:r>
                      <w:rPr>
                        <w:rFonts w:ascii="Calibri" w:hAnsi="Calibri"/>
                        <w:color w:val="4C4D4F"/>
                        <w:w w:val="120"/>
                        <w:sz w:val="18"/>
                      </w:rPr>
                      <w:t>“Working” the 12 Steps at 12-Step meetings and with a</w:t>
                    </w:r>
                    <w:r>
                      <w:rPr>
                        <w:rFonts w:ascii="Calibri" w:hAnsi="Calibri"/>
                        <w:color w:val="4C4D4F"/>
                        <w:spacing w:val="-19"/>
                        <w:w w:val="120"/>
                        <w:sz w:val="18"/>
                      </w:rPr>
                      <w:t> </w:t>
                    </w:r>
                    <w:r>
                      <w:rPr>
                        <w:rFonts w:ascii="Calibri" w:hAnsi="Calibri"/>
                        <w:color w:val="4C4D4F"/>
                        <w:w w:val="120"/>
                        <w:sz w:val="18"/>
                      </w:rPr>
                      <w:t>sponsor.</w:t>
                    </w:r>
                  </w:p>
                  <w:p>
                    <w:pPr>
                      <w:numPr>
                        <w:ilvl w:val="0"/>
                        <w:numId w:val="46"/>
                      </w:numPr>
                      <w:tabs>
                        <w:tab w:pos="450" w:val="left" w:leader="none"/>
                      </w:tabs>
                      <w:spacing w:line="213" w:lineRule="auto" w:before="0"/>
                      <w:ind w:left="449" w:right="375" w:hanging="180"/>
                      <w:jc w:val="left"/>
                      <w:rPr>
                        <w:rFonts w:ascii="Calibri" w:hAnsi="Calibri"/>
                        <w:sz w:val="18"/>
                      </w:rPr>
                    </w:pPr>
                    <w:r>
                      <w:rPr>
                        <w:rFonts w:ascii="Calibri" w:hAnsi="Calibri"/>
                        <w:color w:val="4C4D4F"/>
                        <w:w w:val="120"/>
                        <w:sz w:val="18"/>
                      </w:rPr>
                      <w:t>Doing service at meetings (e.g., setting up chairs, making coffee, going on a “commitment” to speak at    a meeting in a jail or an inpatient drug and alcohol</w:t>
                    </w:r>
                    <w:r>
                      <w:rPr>
                        <w:rFonts w:ascii="Calibri" w:hAnsi="Calibri"/>
                        <w:color w:val="4C4D4F"/>
                        <w:spacing w:val="-2"/>
                        <w:w w:val="120"/>
                        <w:sz w:val="18"/>
                      </w:rPr>
                      <w:t> </w:t>
                    </w:r>
                    <w:r>
                      <w:rPr>
                        <w:rFonts w:ascii="Calibri" w:hAnsi="Calibri"/>
                        <w:color w:val="4C4D4F"/>
                        <w:w w:val="120"/>
                        <w:sz w:val="18"/>
                      </w:rPr>
                      <w:t>program).</w:t>
                    </w:r>
                  </w:p>
                  <w:p>
                    <w:pPr>
                      <w:numPr>
                        <w:ilvl w:val="0"/>
                        <w:numId w:val="46"/>
                      </w:numPr>
                      <w:tabs>
                        <w:tab w:pos="450" w:val="left" w:leader="none"/>
                      </w:tabs>
                      <w:spacing w:before="0"/>
                      <w:ind w:left="450" w:right="0" w:hanging="181"/>
                      <w:jc w:val="left"/>
                      <w:rPr>
                        <w:rFonts w:ascii="Calibri" w:hAnsi="Calibri"/>
                        <w:sz w:val="10"/>
                      </w:rPr>
                    </w:pPr>
                    <w:r>
                      <w:rPr>
                        <w:rFonts w:ascii="Calibri" w:hAnsi="Calibri"/>
                        <w:color w:val="4C4D4F"/>
                        <w:w w:val="125"/>
                        <w:sz w:val="18"/>
                      </w:rPr>
                      <w:t>Having and frequently attending a regular “home”</w:t>
                    </w:r>
                    <w:r>
                      <w:rPr>
                        <w:rFonts w:ascii="Calibri" w:hAnsi="Calibri"/>
                        <w:color w:val="4C4D4F"/>
                        <w:spacing w:val="-33"/>
                        <w:w w:val="125"/>
                        <w:sz w:val="18"/>
                      </w:rPr>
                      <w:t> </w:t>
                    </w:r>
                    <w:r>
                      <w:rPr>
                        <w:rFonts w:ascii="Calibri" w:hAnsi="Calibri"/>
                        <w:color w:val="4C4D4F"/>
                        <w:w w:val="125"/>
                        <w:sz w:val="18"/>
                      </w:rPr>
                      <w:t>group.</w:t>
                    </w:r>
                    <w:r>
                      <w:rPr>
                        <w:rFonts w:ascii="Calibri" w:hAnsi="Calibri"/>
                        <w:color w:val="4C4D4F"/>
                        <w:w w:val="125"/>
                        <w:position w:val="6"/>
                        <w:sz w:val="10"/>
                      </w:rPr>
                      <w:t>365</w:t>
                    </w:r>
                  </w:p>
                  <w:p>
                    <w:pPr>
                      <w:spacing w:before="114"/>
                      <w:ind w:left="269" w:right="0" w:firstLine="0"/>
                      <w:jc w:val="left"/>
                      <w:rPr>
                        <w:rFonts w:ascii="Calibri"/>
                        <w:sz w:val="18"/>
                      </w:rPr>
                    </w:pPr>
                    <w:r>
                      <w:rPr>
                        <w:rFonts w:ascii="Calibri"/>
                        <w:color w:val="414042"/>
                        <w:w w:val="125"/>
                        <w:sz w:val="18"/>
                      </w:rPr>
                      <w:t>Remember this statement from recovery experts A. Thomas McLellan and William White:</w:t>
                    </w:r>
                  </w:p>
                  <w:p>
                    <w:pPr>
                      <w:spacing w:line="304" w:lineRule="auto" w:before="155"/>
                      <w:ind w:left="1170" w:right="330" w:firstLine="0"/>
                      <w:jc w:val="left"/>
                      <w:rPr>
                        <w:rFonts w:ascii="Arial" w:hAnsi="Arial"/>
                        <w:sz w:val="13"/>
                      </w:rPr>
                    </w:pPr>
                    <w:r>
                      <w:rPr>
                        <w:rFonts w:ascii="Arial" w:hAnsi="Arial"/>
                        <w:color w:val="414042"/>
                        <w:w w:val="115"/>
                        <w:sz w:val="22"/>
                      </w:rPr>
                      <w:t>Recovery status is best deﬁned by factors other than medication status. Neither medication-assisted treatment of opioid addiction nor the cessation of such treatment by itself constitutes recovery. Recovery status instead hinges on broader achievements in health and social functioning—with or without medication support.”</w:t>
                    </w:r>
                    <w:r>
                      <w:rPr>
                        <w:rFonts w:ascii="Arial" w:hAnsi="Arial"/>
                        <w:color w:val="414042"/>
                        <w:w w:val="115"/>
                        <w:position w:val="7"/>
                        <w:sz w:val="13"/>
                      </w:rPr>
                      <w:t>366</w:t>
                    </w:r>
                  </w:p>
                </w:txbxContent>
              </v:textbox>
              <v:stroke dashstyle="solid"/>
              <w10:wrap type="none"/>
            </v:shape>
          </v:group>
        </w:pict>
      </w:r>
      <w:r>
        <w:rPr>
          <w:sz w:val="20"/>
        </w:rPr>
      </w:r>
    </w:p>
    <w:p>
      <w:pPr>
        <w:spacing w:after="0"/>
        <w:rPr>
          <w:sz w:val="20"/>
        </w:rPr>
        <w:sectPr>
          <w:type w:val="continuous"/>
          <w:pgSz w:w="12240" w:h="15840"/>
          <w:pgMar w:top="540" w:bottom="280" w:left="940" w:right="920"/>
        </w:sectPr>
      </w:pPr>
    </w:p>
    <w:p>
      <w:pPr>
        <w:pStyle w:val="BodyText"/>
        <w:spacing w:before="6"/>
        <w:rPr>
          <w:sz w:val="26"/>
        </w:rPr>
      </w:pPr>
    </w:p>
    <w:p>
      <w:pPr>
        <w:spacing w:after="0"/>
        <w:rPr>
          <w:sz w:val="26"/>
        </w:rPr>
        <w:sectPr>
          <w:pgSz w:w="12240" w:h="15840"/>
          <w:pgMar w:header="576" w:footer="677" w:top="1340" w:bottom="860" w:left="940" w:right="920"/>
        </w:sectPr>
      </w:pPr>
    </w:p>
    <w:p>
      <w:pPr>
        <w:pStyle w:val="ListParagraph"/>
        <w:numPr>
          <w:ilvl w:val="0"/>
          <w:numId w:val="29"/>
        </w:numPr>
        <w:tabs>
          <w:tab w:pos="410" w:val="left" w:leader="none"/>
        </w:tabs>
        <w:spacing w:line="264" w:lineRule="exact" w:before="103" w:after="0"/>
        <w:ind w:left="410" w:right="185" w:hanging="270"/>
        <w:jc w:val="left"/>
        <w:rPr>
          <w:rFonts w:ascii="Arial" w:hAnsi="Arial"/>
          <w:color w:val="137692"/>
          <w:sz w:val="28"/>
        </w:rPr>
      </w:pPr>
      <w:r>
        <w:rPr>
          <w:color w:val="4D4D4F"/>
          <w:w w:val="110"/>
          <w:sz w:val="22"/>
        </w:rPr>
        <w:t>Using active referral procedures (e.g., </w:t>
      </w:r>
      <w:r>
        <w:rPr>
          <w:color w:val="4D4D4F"/>
          <w:spacing w:val="-3"/>
          <w:w w:val="110"/>
          <w:sz w:val="22"/>
        </w:rPr>
        <w:t>linking </w:t>
      </w:r>
      <w:r>
        <w:rPr>
          <w:color w:val="4D4D4F"/>
          <w:w w:val="110"/>
          <w:sz w:val="22"/>
        </w:rPr>
        <w:t>patients directly via phone to a speciﬁc program staff member) instead of passive ones (e.g., giving a patient a name and a phone number to</w:t>
      </w:r>
      <w:r>
        <w:rPr>
          <w:color w:val="4D4D4F"/>
          <w:spacing w:val="-17"/>
          <w:w w:val="110"/>
          <w:sz w:val="22"/>
        </w:rPr>
        <w:t> </w:t>
      </w:r>
      <w:r>
        <w:rPr>
          <w:color w:val="4D4D4F"/>
          <w:w w:val="110"/>
          <w:sz w:val="22"/>
        </w:rPr>
        <w:t>call).</w:t>
      </w:r>
    </w:p>
    <w:p>
      <w:pPr>
        <w:pStyle w:val="ListParagraph"/>
        <w:numPr>
          <w:ilvl w:val="0"/>
          <w:numId w:val="29"/>
        </w:numPr>
        <w:tabs>
          <w:tab w:pos="410" w:val="left" w:leader="none"/>
        </w:tabs>
        <w:spacing w:line="208" w:lineRule="auto" w:before="61" w:after="0"/>
        <w:ind w:left="410" w:right="397" w:hanging="270"/>
        <w:jc w:val="left"/>
        <w:rPr>
          <w:rFonts w:ascii="Arial" w:hAnsi="Arial"/>
          <w:color w:val="137692"/>
          <w:sz w:val="28"/>
        </w:rPr>
      </w:pPr>
      <w:r>
        <w:rPr>
          <w:color w:val="4D4D4F"/>
          <w:w w:val="110"/>
          <w:sz w:val="22"/>
        </w:rPr>
        <w:t>Avoiding leaving patients to ﬁnd their </w:t>
      </w:r>
      <w:r>
        <w:rPr>
          <w:color w:val="4D4D4F"/>
          <w:spacing w:val="-6"/>
          <w:w w:val="110"/>
          <w:sz w:val="22"/>
        </w:rPr>
        <w:t>own </w:t>
      </w:r>
      <w:r>
        <w:rPr>
          <w:color w:val="4D4D4F"/>
          <w:w w:val="110"/>
          <w:sz w:val="22"/>
        </w:rPr>
        <w:t>referrals.</w:t>
      </w:r>
    </w:p>
    <w:p>
      <w:pPr>
        <w:pStyle w:val="ListParagraph"/>
        <w:numPr>
          <w:ilvl w:val="0"/>
          <w:numId w:val="29"/>
        </w:numPr>
        <w:tabs>
          <w:tab w:pos="410" w:val="left" w:leader="none"/>
        </w:tabs>
        <w:spacing w:line="208" w:lineRule="auto" w:before="69" w:after="0"/>
        <w:ind w:left="410" w:right="38" w:hanging="270"/>
        <w:jc w:val="left"/>
        <w:rPr>
          <w:rFonts w:ascii="Arial" w:hAnsi="Arial"/>
          <w:color w:val="137692"/>
          <w:sz w:val="28"/>
        </w:rPr>
      </w:pPr>
      <w:r>
        <w:rPr>
          <w:color w:val="4D4D4F"/>
          <w:w w:val="110"/>
          <w:sz w:val="22"/>
        </w:rPr>
        <w:t>Monitoring patients’ follow-through via </w:t>
      </w:r>
      <w:r>
        <w:rPr>
          <w:color w:val="4D4D4F"/>
          <w:spacing w:val="-4"/>
          <w:w w:val="110"/>
          <w:sz w:val="22"/>
        </w:rPr>
        <w:t>phone </w:t>
      </w:r>
      <w:r>
        <w:rPr>
          <w:color w:val="4D4D4F"/>
          <w:w w:val="110"/>
          <w:sz w:val="22"/>
        </w:rPr>
        <w:t>contact or at the next ofﬁce</w:t>
      </w:r>
      <w:r>
        <w:rPr>
          <w:color w:val="4D4D4F"/>
          <w:spacing w:val="-37"/>
          <w:w w:val="110"/>
          <w:sz w:val="22"/>
        </w:rPr>
        <w:t> </w:t>
      </w:r>
      <w:r>
        <w:rPr>
          <w:color w:val="4D4D4F"/>
          <w:w w:val="110"/>
          <w:sz w:val="22"/>
        </w:rPr>
        <w:t>visit.</w:t>
      </w:r>
    </w:p>
    <w:p>
      <w:pPr>
        <w:spacing w:line="256" w:lineRule="auto" w:before="229"/>
        <w:ind w:left="140" w:right="201" w:firstLine="0"/>
        <w:jc w:val="left"/>
        <w:rPr>
          <w:rFonts w:ascii="Calibri"/>
          <w:b/>
          <w:sz w:val="22"/>
        </w:rPr>
      </w:pPr>
      <w:r>
        <w:rPr>
          <w:b/>
          <w:i/>
          <w:color w:val="137692"/>
          <w:w w:val="110"/>
          <w:sz w:val="24"/>
        </w:rPr>
        <w:t>Frequency</w:t>
      </w:r>
      <w:r>
        <w:rPr>
          <w:b/>
          <w:i/>
          <w:color w:val="137692"/>
          <w:spacing w:val="-43"/>
          <w:w w:val="110"/>
          <w:sz w:val="24"/>
        </w:rPr>
        <w:t> </w:t>
      </w:r>
      <w:r>
        <w:rPr>
          <w:b/>
          <w:i/>
          <w:color w:val="137692"/>
          <w:spacing w:val="-3"/>
          <w:w w:val="110"/>
          <w:sz w:val="24"/>
        </w:rPr>
        <w:t>of</w:t>
      </w:r>
      <w:r>
        <w:rPr>
          <w:b/>
          <w:i/>
          <w:color w:val="137692"/>
          <w:spacing w:val="-43"/>
          <w:w w:val="110"/>
          <w:sz w:val="24"/>
        </w:rPr>
        <w:t> </w:t>
      </w:r>
      <w:r>
        <w:rPr>
          <w:b/>
          <w:i/>
          <w:color w:val="137692"/>
          <w:w w:val="110"/>
          <w:sz w:val="24"/>
        </w:rPr>
        <w:t>medical</w:t>
      </w:r>
      <w:r>
        <w:rPr>
          <w:b/>
          <w:i/>
          <w:color w:val="137692"/>
          <w:spacing w:val="-42"/>
          <w:w w:val="110"/>
          <w:sz w:val="24"/>
        </w:rPr>
        <w:t> </w:t>
      </w:r>
      <w:r>
        <w:rPr>
          <w:b/>
          <w:i/>
          <w:color w:val="137692"/>
          <w:w w:val="110"/>
          <w:sz w:val="24"/>
        </w:rPr>
        <w:t>management</w:t>
      </w:r>
      <w:r>
        <w:rPr>
          <w:b/>
          <w:i/>
          <w:color w:val="137692"/>
          <w:spacing w:val="-43"/>
          <w:w w:val="110"/>
          <w:sz w:val="24"/>
        </w:rPr>
        <w:t> </w:t>
      </w:r>
      <w:r>
        <w:rPr>
          <w:b/>
          <w:i/>
          <w:color w:val="137692"/>
          <w:w w:val="110"/>
          <w:sz w:val="24"/>
        </w:rPr>
        <w:t>visits </w:t>
      </w:r>
      <w:r>
        <w:rPr>
          <w:rFonts w:ascii="Calibri"/>
          <w:b/>
          <w:color w:val="4D4D4F"/>
          <w:w w:val="110"/>
          <w:sz w:val="22"/>
        </w:rPr>
        <w:t>The TIP expert panel recommends that patients</w:t>
      </w:r>
      <w:r>
        <w:rPr>
          <w:rFonts w:ascii="Calibri"/>
          <w:b/>
          <w:color w:val="4D4D4F"/>
          <w:spacing w:val="28"/>
          <w:w w:val="110"/>
          <w:sz w:val="22"/>
        </w:rPr>
        <w:t> </w:t>
      </w:r>
      <w:r>
        <w:rPr>
          <w:rFonts w:ascii="Calibri"/>
          <w:b/>
          <w:color w:val="4D4D4F"/>
          <w:w w:val="110"/>
          <w:sz w:val="22"/>
        </w:rPr>
        <w:t>be</w:t>
      </w:r>
      <w:r>
        <w:rPr>
          <w:rFonts w:ascii="Calibri"/>
          <w:b/>
          <w:color w:val="4D4D4F"/>
          <w:spacing w:val="29"/>
          <w:w w:val="110"/>
          <w:sz w:val="22"/>
        </w:rPr>
        <w:t> </w:t>
      </w:r>
      <w:r>
        <w:rPr>
          <w:rFonts w:ascii="Calibri"/>
          <w:b/>
          <w:color w:val="4D4D4F"/>
          <w:w w:val="110"/>
          <w:sz w:val="22"/>
        </w:rPr>
        <w:t>seen</w:t>
      </w:r>
      <w:r>
        <w:rPr>
          <w:rFonts w:ascii="Calibri"/>
          <w:b/>
          <w:color w:val="4D4D4F"/>
          <w:spacing w:val="28"/>
          <w:w w:val="110"/>
          <w:sz w:val="22"/>
        </w:rPr>
        <w:t> </w:t>
      </w:r>
      <w:r>
        <w:rPr>
          <w:rFonts w:ascii="Calibri"/>
          <w:b/>
          <w:color w:val="4D4D4F"/>
          <w:w w:val="110"/>
          <w:sz w:val="22"/>
        </w:rPr>
        <w:t>approximately</w:t>
      </w:r>
      <w:r>
        <w:rPr>
          <w:rFonts w:ascii="Calibri"/>
          <w:b/>
          <w:color w:val="4D4D4F"/>
          <w:spacing w:val="29"/>
          <w:w w:val="110"/>
          <w:sz w:val="22"/>
        </w:rPr>
        <w:t> </w:t>
      </w:r>
      <w:r>
        <w:rPr>
          <w:rFonts w:ascii="Calibri"/>
          <w:b/>
          <w:color w:val="4D4D4F"/>
          <w:w w:val="110"/>
          <w:sz w:val="22"/>
        </w:rPr>
        <w:t>once</w:t>
      </w:r>
      <w:r>
        <w:rPr>
          <w:rFonts w:ascii="Calibri"/>
          <w:b/>
          <w:color w:val="4D4D4F"/>
          <w:spacing w:val="28"/>
          <w:w w:val="110"/>
          <w:sz w:val="22"/>
        </w:rPr>
        <w:t> </w:t>
      </w:r>
      <w:r>
        <w:rPr>
          <w:rFonts w:ascii="Calibri"/>
          <w:b/>
          <w:color w:val="4D4D4F"/>
          <w:w w:val="110"/>
          <w:sz w:val="22"/>
        </w:rPr>
        <w:t>a</w:t>
      </w:r>
      <w:r>
        <w:rPr>
          <w:rFonts w:ascii="Calibri"/>
          <w:b/>
          <w:color w:val="4D4D4F"/>
          <w:spacing w:val="29"/>
          <w:w w:val="110"/>
          <w:sz w:val="22"/>
        </w:rPr>
        <w:t> </w:t>
      </w:r>
      <w:r>
        <w:rPr>
          <w:rFonts w:ascii="Calibri"/>
          <w:b/>
          <w:color w:val="4D4D4F"/>
          <w:spacing w:val="-4"/>
          <w:w w:val="110"/>
          <w:sz w:val="22"/>
        </w:rPr>
        <w:t>week</w:t>
      </w:r>
    </w:p>
    <w:p>
      <w:pPr>
        <w:pStyle w:val="Heading7"/>
        <w:spacing w:line="243" w:lineRule="exact"/>
      </w:pPr>
      <w:r>
        <w:rPr>
          <w:color w:val="4D4D4F"/>
          <w:w w:val="110"/>
        </w:rPr>
        <w:t>until</w:t>
      </w:r>
      <w:r>
        <w:rPr>
          <w:color w:val="4D4D4F"/>
          <w:spacing w:val="33"/>
          <w:w w:val="110"/>
        </w:rPr>
        <w:t> </w:t>
      </w:r>
      <w:r>
        <w:rPr>
          <w:color w:val="4D4D4F"/>
          <w:w w:val="110"/>
        </w:rPr>
        <w:t>they</w:t>
      </w:r>
      <w:r>
        <w:rPr>
          <w:color w:val="4D4D4F"/>
          <w:spacing w:val="34"/>
          <w:w w:val="110"/>
        </w:rPr>
        <w:t> </w:t>
      </w:r>
      <w:r>
        <w:rPr>
          <w:color w:val="4D4D4F"/>
          <w:w w:val="110"/>
        </w:rPr>
        <w:t>demonstrate</w:t>
      </w:r>
      <w:r>
        <w:rPr>
          <w:color w:val="4D4D4F"/>
          <w:spacing w:val="33"/>
          <w:w w:val="110"/>
        </w:rPr>
        <w:t> </w:t>
      </w:r>
      <w:r>
        <w:rPr>
          <w:color w:val="4D4D4F"/>
          <w:w w:val="110"/>
        </w:rPr>
        <w:t>signiﬁcant</w:t>
      </w:r>
      <w:r>
        <w:rPr>
          <w:color w:val="4D4D4F"/>
          <w:spacing w:val="34"/>
          <w:w w:val="110"/>
        </w:rPr>
        <w:t> </w:t>
      </w:r>
      <w:r>
        <w:rPr>
          <w:color w:val="4D4D4F"/>
          <w:w w:val="110"/>
        </w:rPr>
        <w:t>reductions</w:t>
      </w:r>
    </w:p>
    <w:p>
      <w:pPr>
        <w:pStyle w:val="BodyText"/>
        <w:spacing w:line="247" w:lineRule="auto"/>
        <w:ind w:left="140" w:right="176" w:hanging="1"/>
      </w:pPr>
      <w:r>
        <w:rPr>
          <w:rFonts w:ascii="Calibri"/>
          <w:b/>
          <w:color w:val="4D4D4F"/>
          <w:w w:val="110"/>
        </w:rPr>
        <w:t>in or abstinence from illicit substance use.</w:t>
      </w:r>
      <w:r>
        <w:rPr>
          <w:rFonts w:ascii="Calibri"/>
          <w:b/>
          <w:color w:val="4D4D4F"/>
          <w:w w:val="110"/>
          <w:position w:val="7"/>
          <w:sz w:val="13"/>
        </w:rPr>
        <w:t>367 </w:t>
      </w:r>
      <w:r>
        <w:rPr>
          <w:color w:val="4D4D4F"/>
          <w:w w:val="110"/>
        </w:rPr>
        <w:t>This is also a time to ensure adherence to pharmacotherapy. Nonadherence to </w:t>
      </w:r>
      <w:r>
        <w:rPr>
          <w:color w:val="4D4D4F"/>
          <w:spacing w:val="-3"/>
          <w:w w:val="110"/>
        </w:rPr>
        <w:t>naltrexone </w:t>
      </w:r>
      <w:r>
        <w:rPr>
          <w:color w:val="4D4D4F"/>
          <w:w w:val="110"/>
        </w:rPr>
        <w:t>or buprenorphine prevents optimal treatment outcomes. In scheduling patient visits, be sensitive to treatment barriers such</w:t>
      </w:r>
      <w:r>
        <w:rPr>
          <w:color w:val="4D4D4F"/>
          <w:spacing w:val="-31"/>
          <w:w w:val="110"/>
        </w:rPr>
        <w:t> </w:t>
      </w:r>
      <w:r>
        <w:rPr>
          <w:color w:val="4D4D4F"/>
          <w:w w:val="110"/>
        </w:rPr>
        <w:t>as:</w:t>
      </w:r>
    </w:p>
    <w:p>
      <w:pPr>
        <w:pStyle w:val="ListParagraph"/>
        <w:numPr>
          <w:ilvl w:val="0"/>
          <w:numId w:val="29"/>
        </w:numPr>
        <w:tabs>
          <w:tab w:pos="410" w:val="left" w:leader="none"/>
        </w:tabs>
        <w:spacing w:line="315" w:lineRule="exact" w:before="93" w:after="0"/>
        <w:ind w:left="410" w:right="0" w:hanging="270"/>
        <w:jc w:val="left"/>
        <w:rPr>
          <w:rFonts w:ascii="Arial" w:hAnsi="Arial"/>
          <w:color w:val="137692"/>
          <w:sz w:val="28"/>
        </w:rPr>
      </w:pPr>
      <w:r>
        <w:rPr>
          <w:color w:val="4D4D4F"/>
          <w:spacing w:val="-4"/>
          <w:w w:val="110"/>
          <w:sz w:val="22"/>
        </w:rPr>
        <w:t>Work </w:t>
      </w:r>
      <w:r>
        <w:rPr>
          <w:color w:val="4D4D4F"/>
          <w:w w:val="110"/>
          <w:sz w:val="22"/>
        </w:rPr>
        <w:t>and childcare</w:t>
      </w:r>
      <w:r>
        <w:rPr>
          <w:color w:val="4D4D4F"/>
          <w:spacing w:val="7"/>
          <w:w w:val="110"/>
          <w:sz w:val="22"/>
        </w:rPr>
        <w:t> </w:t>
      </w:r>
      <w:r>
        <w:rPr>
          <w:color w:val="4D4D4F"/>
          <w:w w:val="110"/>
          <w:sz w:val="22"/>
        </w:rPr>
        <w:t>obligations.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Cost of care and lack of insurance</w:t>
      </w:r>
      <w:r>
        <w:rPr>
          <w:color w:val="4D4D4F"/>
          <w:spacing w:val="-6"/>
          <w:w w:val="110"/>
          <w:sz w:val="22"/>
        </w:rPr>
        <w:t> </w:t>
      </w:r>
      <w:r>
        <w:rPr>
          <w:color w:val="4D4D4F"/>
          <w:w w:val="110"/>
          <w:sz w:val="22"/>
        </w:rPr>
        <w:t>coverage.</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0"/>
          <w:sz w:val="22"/>
        </w:rPr>
        <w:t>Driving</w:t>
      </w:r>
      <w:r>
        <w:rPr>
          <w:color w:val="4D4D4F"/>
          <w:spacing w:val="-6"/>
          <w:w w:val="110"/>
          <w:sz w:val="22"/>
        </w:rPr>
        <w:t> </w:t>
      </w:r>
      <w:r>
        <w:rPr>
          <w:color w:val="4D4D4F"/>
          <w:w w:val="110"/>
          <w:sz w:val="22"/>
        </w:rPr>
        <w:t>time.</w:t>
      </w:r>
    </w:p>
    <w:p>
      <w:pPr>
        <w:pStyle w:val="ListParagraph"/>
        <w:numPr>
          <w:ilvl w:val="0"/>
          <w:numId w:val="29"/>
        </w:numPr>
        <w:tabs>
          <w:tab w:pos="410" w:val="left" w:leader="none"/>
        </w:tabs>
        <w:spacing w:line="225" w:lineRule="auto" w:before="6" w:after="0"/>
        <w:ind w:left="410" w:right="96" w:hanging="270"/>
        <w:jc w:val="left"/>
        <w:rPr>
          <w:rFonts w:ascii="Arial" w:hAnsi="Arial"/>
          <w:color w:val="137692"/>
          <w:sz w:val="28"/>
        </w:rPr>
      </w:pPr>
      <w:r>
        <w:rPr>
          <w:color w:val="4D4D4F"/>
          <w:w w:val="110"/>
          <w:sz w:val="22"/>
        </w:rPr>
        <w:t>Lack of public transportation to visits, which may be particularly challenging for patients </w:t>
      </w:r>
      <w:r>
        <w:rPr>
          <w:color w:val="4D4D4F"/>
          <w:spacing w:val="-9"/>
          <w:w w:val="110"/>
          <w:sz w:val="22"/>
        </w:rPr>
        <w:t>in </w:t>
      </w:r>
      <w:r>
        <w:rPr>
          <w:color w:val="4D4D4F"/>
          <w:w w:val="110"/>
          <w:sz w:val="22"/>
        </w:rPr>
        <w:t>rural</w:t>
      </w:r>
      <w:r>
        <w:rPr>
          <w:color w:val="4D4D4F"/>
          <w:spacing w:val="-7"/>
          <w:w w:val="110"/>
          <w:sz w:val="22"/>
        </w:rPr>
        <w:t> </w:t>
      </w:r>
      <w:r>
        <w:rPr>
          <w:color w:val="4D4D4F"/>
          <w:w w:val="110"/>
          <w:sz w:val="22"/>
        </w:rPr>
        <w:t>areas.</w:t>
      </w:r>
    </w:p>
    <w:p>
      <w:pPr>
        <w:pStyle w:val="Heading7"/>
        <w:spacing w:before="190"/>
      </w:pPr>
      <w:r>
        <w:rPr>
          <w:color w:val="4D4D4F"/>
          <w:w w:val="115"/>
        </w:rPr>
        <w:t>Goals of weekly visits include:</w:t>
      </w:r>
    </w:p>
    <w:p>
      <w:pPr>
        <w:pStyle w:val="ListParagraph"/>
        <w:numPr>
          <w:ilvl w:val="0"/>
          <w:numId w:val="29"/>
        </w:numPr>
        <w:tabs>
          <w:tab w:pos="410" w:val="left" w:leader="none"/>
        </w:tabs>
        <w:spacing w:line="208" w:lineRule="auto" w:before="126" w:after="0"/>
        <w:ind w:left="410" w:right="911" w:hanging="270"/>
        <w:jc w:val="left"/>
        <w:rPr>
          <w:rFonts w:ascii="Arial" w:hAnsi="Arial"/>
          <w:color w:val="137692"/>
          <w:sz w:val="28"/>
        </w:rPr>
      </w:pPr>
      <w:r>
        <w:rPr>
          <w:color w:val="4D4D4F"/>
          <w:w w:val="115"/>
          <w:sz w:val="22"/>
        </w:rPr>
        <w:t>Assessing</w:t>
      </w:r>
      <w:r>
        <w:rPr>
          <w:color w:val="4D4D4F"/>
          <w:spacing w:val="-14"/>
          <w:w w:val="115"/>
          <w:sz w:val="22"/>
        </w:rPr>
        <w:t> </w:t>
      </w:r>
      <w:r>
        <w:rPr>
          <w:color w:val="4D4D4F"/>
          <w:w w:val="115"/>
          <w:sz w:val="22"/>
        </w:rPr>
        <w:t>patients’</w:t>
      </w:r>
      <w:r>
        <w:rPr>
          <w:color w:val="4D4D4F"/>
          <w:spacing w:val="-14"/>
          <w:w w:val="115"/>
          <w:sz w:val="22"/>
        </w:rPr>
        <w:t> </w:t>
      </w:r>
      <w:r>
        <w:rPr>
          <w:color w:val="4D4D4F"/>
          <w:w w:val="115"/>
          <w:sz w:val="22"/>
        </w:rPr>
        <w:t>clinical</w:t>
      </w:r>
      <w:r>
        <w:rPr>
          <w:color w:val="4D4D4F"/>
          <w:spacing w:val="-14"/>
          <w:w w:val="115"/>
          <w:sz w:val="22"/>
        </w:rPr>
        <w:t> </w:t>
      </w:r>
      <w:r>
        <w:rPr>
          <w:color w:val="4D4D4F"/>
          <w:w w:val="115"/>
          <w:sz w:val="22"/>
        </w:rPr>
        <w:t>needs</w:t>
      </w:r>
      <w:r>
        <w:rPr>
          <w:color w:val="4D4D4F"/>
          <w:spacing w:val="-14"/>
          <w:w w:val="115"/>
          <w:sz w:val="22"/>
        </w:rPr>
        <w:t> </w:t>
      </w:r>
      <w:r>
        <w:rPr>
          <w:color w:val="4D4D4F"/>
          <w:spacing w:val="-6"/>
          <w:w w:val="115"/>
          <w:sz w:val="22"/>
        </w:rPr>
        <w:t>and </w:t>
      </w:r>
      <w:r>
        <w:rPr>
          <w:color w:val="4D4D4F"/>
          <w:w w:val="115"/>
          <w:sz w:val="22"/>
        </w:rPr>
        <w:t>challenges.</w:t>
      </w:r>
    </w:p>
    <w:p>
      <w:pPr>
        <w:pStyle w:val="ListParagraph"/>
        <w:numPr>
          <w:ilvl w:val="0"/>
          <w:numId w:val="29"/>
        </w:numPr>
        <w:tabs>
          <w:tab w:pos="410" w:val="left" w:leader="none"/>
        </w:tabs>
        <w:spacing w:line="208" w:lineRule="auto" w:before="69" w:after="0"/>
        <w:ind w:left="410" w:right="242" w:hanging="270"/>
        <w:jc w:val="left"/>
        <w:rPr>
          <w:rFonts w:ascii="Arial" w:hAnsi="Arial"/>
          <w:color w:val="137692"/>
          <w:sz w:val="28"/>
        </w:rPr>
      </w:pPr>
      <w:r>
        <w:rPr>
          <w:color w:val="4D4D4F"/>
          <w:w w:val="115"/>
          <w:sz w:val="22"/>
        </w:rPr>
        <w:t>Assessing</w:t>
      </w:r>
      <w:r>
        <w:rPr>
          <w:color w:val="4D4D4F"/>
          <w:spacing w:val="-19"/>
          <w:w w:val="115"/>
          <w:sz w:val="22"/>
        </w:rPr>
        <w:t> </w:t>
      </w:r>
      <w:r>
        <w:rPr>
          <w:color w:val="4D4D4F"/>
          <w:w w:val="115"/>
          <w:sz w:val="22"/>
        </w:rPr>
        <w:t>medication</w:t>
      </w:r>
      <w:r>
        <w:rPr>
          <w:color w:val="4D4D4F"/>
          <w:spacing w:val="-18"/>
          <w:w w:val="115"/>
          <w:sz w:val="22"/>
        </w:rPr>
        <w:t> </w:t>
      </w:r>
      <w:r>
        <w:rPr>
          <w:color w:val="4D4D4F"/>
          <w:w w:val="115"/>
          <w:sz w:val="22"/>
        </w:rPr>
        <w:t>effectiveness</w:t>
      </w:r>
      <w:r>
        <w:rPr>
          <w:color w:val="4D4D4F"/>
          <w:spacing w:val="-18"/>
          <w:w w:val="115"/>
          <w:sz w:val="22"/>
        </w:rPr>
        <w:t> </w:t>
      </w:r>
      <w:r>
        <w:rPr>
          <w:color w:val="4D4D4F"/>
          <w:w w:val="115"/>
          <w:sz w:val="22"/>
        </w:rPr>
        <w:t>and</w:t>
      </w:r>
      <w:r>
        <w:rPr>
          <w:color w:val="4D4D4F"/>
          <w:spacing w:val="-19"/>
          <w:w w:val="115"/>
          <w:sz w:val="22"/>
        </w:rPr>
        <w:t> </w:t>
      </w:r>
      <w:r>
        <w:rPr>
          <w:color w:val="4D4D4F"/>
          <w:spacing w:val="-5"/>
          <w:w w:val="115"/>
          <w:sz w:val="22"/>
        </w:rPr>
        <w:t>side </w:t>
      </w:r>
      <w:r>
        <w:rPr>
          <w:color w:val="4D4D4F"/>
          <w:w w:val="115"/>
          <w:sz w:val="22"/>
        </w:rPr>
        <w:t>effects.</w:t>
      </w:r>
    </w:p>
    <w:p>
      <w:pPr>
        <w:pStyle w:val="ListParagraph"/>
        <w:numPr>
          <w:ilvl w:val="0"/>
          <w:numId w:val="29"/>
        </w:numPr>
        <w:tabs>
          <w:tab w:pos="410" w:val="left" w:leader="none"/>
        </w:tabs>
        <w:spacing w:line="208" w:lineRule="auto" w:before="69" w:after="0"/>
        <w:ind w:left="410" w:right="115" w:hanging="270"/>
        <w:jc w:val="left"/>
        <w:rPr>
          <w:rFonts w:ascii="Arial" w:hAnsi="Arial"/>
          <w:color w:val="137692"/>
          <w:sz w:val="28"/>
        </w:rPr>
      </w:pPr>
      <w:r>
        <w:rPr>
          <w:color w:val="4D4D4F"/>
          <w:w w:val="110"/>
          <w:sz w:val="22"/>
        </w:rPr>
        <w:t>Assessing functional status (e.g., home, </w:t>
      </w:r>
      <w:r>
        <w:rPr>
          <w:color w:val="4D4D4F"/>
          <w:spacing w:val="-4"/>
          <w:w w:val="110"/>
          <w:sz w:val="22"/>
        </w:rPr>
        <w:t>work, </w:t>
      </w:r>
      <w:r>
        <w:rPr>
          <w:color w:val="4D4D4F"/>
          <w:w w:val="110"/>
          <w:sz w:val="22"/>
        </w:rPr>
        <w:t>school).</w:t>
      </w:r>
    </w:p>
    <w:p>
      <w:pPr>
        <w:pStyle w:val="ListParagraph"/>
        <w:numPr>
          <w:ilvl w:val="0"/>
          <w:numId w:val="29"/>
        </w:numPr>
        <w:tabs>
          <w:tab w:pos="410" w:val="left" w:leader="none"/>
        </w:tabs>
        <w:spacing w:line="225" w:lineRule="auto" w:before="54" w:after="0"/>
        <w:ind w:left="410" w:right="160" w:hanging="270"/>
        <w:jc w:val="left"/>
        <w:rPr>
          <w:rFonts w:ascii="Arial" w:hAnsi="Arial"/>
          <w:color w:val="137692"/>
          <w:sz w:val="28"/>
        </w:rPr>
      </w:pPr>
      <w:r>
        <w:rPr>
          <w:color w:val="4D4D4F"/>
          <w:w w:val="115"/>
          <w:sz w:val="22"/>
        </w:rPr>
        <w:t>Assessing and monitoring stress coping strategies</w:t>
      </w:r>
      <w:r>
        <w:rPr>
          <w:color w:val="4D4D4F"/>
          <w:spacing w:val="-30"/>
          <w:w w:val="115"/>
          <w:sz w:val="22"/>
        </w:rPr>
        <w:t> </w:t>
      </w:r>
      <w:r>
        <w:rPr>
          <w:color w:val="4D4D4F"/>
          <w:w w:val="115"/>
          <w:sz w:val="22"/>
        </w:rPr>
        <w:t>and</w:t>
      </w:r>
      <w:r>
        <w:rPr>
          <w:color w:val="4D4D4F"/>
          <w:spacing w:val="-30"/>
          <w:w w:val="115"/>
          <w:sz w:val="22"/>
        </w:rPr>
        <w:t> </w:t>
      </w:r>
      <w:r>
        <w:rPr>
          <w:color w:val="4D4D4F"/>
          <w:w w:val="115"/>
          <w:sz w:val="22"/>
        </w:rPr>
        <w:t>potential</w:t>
      </w:r>
      <w:r>
        <w:rPr>
          <w:color w:val="4D4D4F"/>
          <w:spacing w:val="-29"/>
          <w:w w:val="115"/>
          <w:sz w:val="22"/>
        </w:rPr>
        <w:t> </w:t>
      </w:r>
      <w:r>
        <w:rPr>
          <w:color w:val="4D4D4F"/>
          <w:w w:val="115"/>
          <w:sz w:val="22"/>
        </w:rPr>
        <w:t>triggers</w:t>
      </w:r>
      <w:r>
        <w:rPr>
          <w:color w:val="4D4D4F"/>
          <w:spacing w:val="-30"/>
          <w:w w:val="115"/>
          <w:sz w:val="22"/>
        </w:rPr>
        <w:t> </w:t>
      </w:r>
      <w:r>
        <w:rPr>
          <w:color w:val="4D4D4F"/>
          <w:w w:val="115"/>
          <w:sz w:val="22"/>
        </w:rPr>
        <w:t>for</w:t>
      </w:r>
      <w:r>
        <w:rPr>
          <w:color w:val="4D4D4F"/>
          <w:spacing w:val="-29"/>
          <w:w w:val="115"/>
          <w:sz w:val="22"/>
        </w:rPr>
        <w:t> </w:t>
      </w:r>
      <w:r>
        <w:rPr>
          <w:color w:val="4D4D4F"/>
          <w:w w:val="115"/>
          <w:sz w:val="22"/>
        </w:rPr>
        <w:t>return</w:t>
      </w:r>
      <w:r>
        <w:rPr>
          <w:color w:val="4D4D4F"/>
          <w:spacing w:val="-30"/>
          <w:w w:val="115"/>
          <w:sz w:val="22"/>
        </w:rPr>
        <w:t> </w:t>
      </w:r>
      <w:r>
        <w:rPr>
          <w:color w:val="4D4D4F"/>
          <w:spacing w:val="-9"/>
          <w:w w:val="115"/>
          <w:sz w:val="22"/>
        </w:rPr>
        <w:t>to </w:t>
      </w:r>
      <w:r>
        <w:rPr>
          <w:color w:val="4D4D4F"/>
          <w:w w:val="115"/>
          <w:sz w:val="22"/>
        </w:rPr>
        <w:t>substance</w:t>
      </w:r>
      <w:r>
        <w:rPr>
          <w:color w:val="4D4D4F"/>
          <w:spacing w:val="-10"/>
          <w:w w:val="115"/>
          <w:sz w:val="22"/>
        </w:rPr>
        <w:t> </w:t>
      </w:r>
      <w:r>
        <w:rPr>
          <w:color w:val="4D4D4F"/>
          <w:w w:val="115"/>
          <w:sz w:val="22"/>
        </w:rPr>
        <w:t>use.</w:t>
      </w:r>
    </w:p>
    <w:p>
      <w:pPr>
        <w:pStyle w:val="ListParagraph"/>
        <w:numPr>
          <w:ilvl w:val="0"/>
          <w:numId w:val="29"/>
        </w:numPr>
        <w:tabs>
          <w:tab w:pos="410" w:val="left" w:leader="none"/>
        </w:tabs>
        <w:spacing w:line="264" w:lineRule="exact" w:before="51" w:after="0"/>
        <w:ind w:left="410" w:right="108" w:hanging="270"/>
        <w:jc w:val="left"/>
        <w:rPr>
          <w:rFonts w:ascii="Arial" w:hAnsi="Arial"/>
          <w:color w:val="137692"/>
          <w:sz w:val="28"/>
        </w:rPr>
      </w:pPr>
      <w:r>
        <w:rPr>
          <w:color w:val="4D4D4F"/>
          <w:w w:val="110"/>
          <w:sz w:val="22"/>
        </w:rPr>
        <w:t>Assessing adherence to the recommended </w:t>
      </w:r>
      <w:r>
        <w:rPr>
          <w:color w:val="4D4D4F"/>
          <w:spacing w:val="-4"/>
          <w:w w:val="110"/>
          <w:sz w:val="22"/>
        </w:rPr>
        <w:t>frequency</w:t>
      </w:r>
      <w:r>
        <w:rPr>
          <w:color w:val="4D4D4F"/>
          <w:spacing w:val="-22"/>
          <w:w w:val="110"/>
          <w:sz w:val="22"/>
        </w:rPr>
        <w:t> </w:t>
      </w:r>
      <w:r>
        <w:rPr>
          <w:color w:val="4D4D4F"/>
          <w:w w:val="110"/>
          <w:sz w:val="22"/>
        </w:rPr>
        <w:t>of</w:t>
      </w:r>
      <w:r>
        <w:rPr>
          <w:color w:val="4D4D4F"/>
          <w:spacing w:val="-21"/>
          <w:w w:val="110"/>
          <w:sz w:val="22"/>
        </w:rPr>
        <w:t> </w:t>
      </w:r>
      <w:r>
        <w:rPr>
          <w:color w:val="4D4D4F"/>
          <w:spacing w:val="-3"/>
          <w:w w:val="110"/>
          <w:sz w:val="22"/>
        </w:rPr>
        <w:t>attendance</w:t>
      </w:r>
      <w:r>
        <w:rPr>
          <w:color w:val="4D4D4F"/>
          <w:spacing w:val="-21"/>
          <w:w w:val="110"/>
          <w:sz w:val="22"/>
        </w:rPr>
        <w:t> </w:t>
      </w:r>
      <w:r>
        <w:rPr>
          <w:color w:val="4D4D4F"/>
          <w:w w:val="110"/>
          <w:sz w:val="22"/>
        </w:rPr>
        <w:t>for</w:t>
      </w:r>
      <w:r>
        <w:rPr>
          <w:color w:val="4D4D4F"/>
          <w:spacing w:val="-22"/>
          <w:w w:val="110"/>
          <w:sz w:val="22"/>
        </w:rPr>
        <w:t> </w:t>
      </w:r>
      <w:r>
        <w:rPr>
          <w:color w:val="4D4D4F"/>
          <w:spacing w:val="-3"/>
          <w:w w:val="110"/>
          <w:sz w:val="22"/>
        </w:rPr>
        <w:t>XR-NTX</w:t>
      </w:r>
      <w:r>
        <w:rPr>
          <w:color w:val="4D4D4F"/>
          <w:spacing w:val="-21"/>
          <w:w w:val="110"/>
          <w:sz w:val="22"/>
        </w:rPr>
        <w:t> </w:t>
      </w:r>
      <w:r>
        <w:rPr>
          <w:color w:val="4D4D4F"/>
          <w:spacing w:val="-3"/>
          <w:w w:val="110"/>
          <w:sz w:val="22"/>
        </w:rPr>
        <w:t>injections </w:t>
      </w:r>
      <w:r>
        <w:rPr>
          <w:color w:val="4D4D4F"/>
          <w:w w:val="110"/>
          <w:sz w:val="22"/>
        </w:rPr>
        <w:t>or the prescribed buprenorphine </w:t>
      </w:r>
      <w:r>
        <w:rPr>
          <w:color w:val="4D4D4F"/>
          <w:spacing w:val="2"/>
          <w:w w:val="110"/>
          <w:sz w:val="22"/>
        </w:rPr>
        <w:t>dosing </w:t>
      </w:r>
      <w:r>
        <w:rPr>
          <w:color w:val="4D4D4F"/>
          <w:w w:val="110"/>
          <w:sz w:val="22"/>
        </w:rPr>
        <w:t>regimen and responsible handling of </w:t>
      </w:r>
      <w:r>
        <w:rPr>
          <w:color w:val="4D4D4F"/>
          <w:spacing w:val="2"/>
          <w:w w:val="110"/>
          <w:sz w:val="22"/>
        </w:rPr>
        <w:t>the </w:t>
      </w:r>
      <w:r>
        <w:rPr>
          <w:color w:val="4D4D4F"/>
          <w:w w:val="110"/>
          <w:sz w:val="22"/>
        </w:rPr>
        <w:t>medication (e.g., safely storing out of reach  of children, taking as prescribed, not sharing or losing</w:t>
      </w:r>
      <w:r>
        <w:rPr>
          <w:color w:val="4D4D4F"/>
          <w:spacing w:val="-13"/>
          <w:w w:val="110"/>
          <w:sz w:val="22"/>
        </w:rPr>
        <w:t> </w:t>
      </w:r>
      <w:r>
        <w:rPr>
          <w:color w:val="4D4D4F"/>
          <w:w w:val="110"/>
          <w:sz w:val="22"/>
        </w:rPr>
        <w:t>it).</w:t>
      </w:r>
    </w:p>
    <w:p>
      <w:pPr>
        <w:pStyle w:val="ListParagraph"/>
        <w:numPr>
          <w:ilvl w:val="0"/>
          <w:numId w:val="29"/>
        </w:numPr>
        <w:tabs>
          <w:tab w:pos="410" w:val="left" w:leader="none"/>
        </w:tabs>
        <w:spacing w:line="208" w:lineRule="auto" w:before="120" w:after="0"/>
        <w:ind w:left="409" w:right="545" w:hanging="270"/>
        <w:jc w:val="left"/>
        <w:rPr>
          <w:rFonts w:ascii="Arial" w:hAnsi="Arial"/>
          <w:color w:val="137692"/>
          <w:sz w:val="28"/>
        </w:rPr>
      </w:pPr>
      <w:r>
        <w:rPr>
          <w:color w:val="4D4D4F"/>
          <w:w w:val="111"/>
          <w:sz w:val="22"/>
        </w:rPr>
        <w:br w:type="column"/>
      </w:r>
      <w:r>
        <w:rPr>
          <w:color w:val="4D4D4F"/>
          <w:w w:val="115"/>
          <w:sz w:val="22"/>
        </w:rPr>
        <w:t>Monitoring</w:t>
      </w:r>
      <w:r>
        <w:rPr>
          <w:color w:val="4D4D4F"/>
          <w:spacing w:val="-20"/>
          <w:w w:val="115"/>
          <w:sz w:val="22"/>
        </w:rPr>
        <w:t> </w:t>
      </w:r>
      <w:r>
        <w:rPr>
          <w:color w:val="4D4D4F"/>
          <w:w w:val="115"/>
          <w:sz w:val="22"/>
        </w:rPr>
        <w:t>use</w:t>
      </w:r>
      <w:r>
        <w:rPr>
          <w:color w:val="4D4D4F"/>
          <w:spacing w:val="-20"/>
          <w:w w:val="115"/>
          <w:sz w:val="22"/>
        </w:rPr>
        <w:t> </w:t>
      </w:r>
      <w:r>
        <w:rPr>
          <w:color w:val="4D4D4F"/>
          <w:w w:val="115"/>
          <w:sz w:val="22"/>
        </w:rPr>
        <w:t>of</w:t>
      </w:r>
      <w:r>
        <w:rPr>
          <w:color w:val="4D4D4F"/>
          <w:spacing w:val="-20"/>
          <w:w w:val="115"/>
          <w:sz w:val="22"/>
        </w:rPr>
        <w:t> </w:t>
      </w:r>
      <w:r>
        <w:rPr>
          <w:color w:val="4D4D4F"/>
          <w:w w:val="115"/>
          <w:sz w:val="22"/>
        </w:rPr>
        <w:t>alcohol</w:t>
      </w:r>
      <w:r>
        <w:rPr>
          <w:color w:val="4D4D4F"/>
          <w:spacing w:val="-20"/>
          <w:w w:val="115"/>
          <w:sz w:val="22"/>
        </w:rPr>
        <w:t> </w:t>
      </w:r>
      <w:r>
        <w:rPr>
          <w:color w:val="4D4D4F"/>
          <w:w w:val="115"/>
          <w:sz w:val="22"/>
        </w:rPr>
        <w:t>and</w:t>
      </w:r>
      <w:r>
        <w:rPr>
          <w:color w:val="4D4D4F"/>
          <w:spacing w:val="-20"/>
          <w:w w:val="115"/>
          <w:sz w:val="22"/>
        </w:rPr>
        <w:t> </w:t>
      </w:r>
      <w:r>
        <w:rPr>
          <w:color w:val="4D4D4F"/>
          <w:w w:val="115"/>
          <w:sz w:val="22"/>
        </w:rPr>
        <w:t>illicit</w:t>
      </w:r>
      <w:r>
        <w:rPr>
          <w:color w:val="4D4D4F"/>
          <w:spacing w:val="-20"/>
          <w:w w:val="115"/>
          <w:sz w:val="22"/>
        </w:rPr>
        <w:t> </w:t>
      </w:r>
      <w:r>
        <w:rPr>
          <w:color w:val="4D4D4F"/>
          <w:w w:val="115"/>
          <w:sz w:val="22"/>
        </w:rPr>
        <w:t>drugs and ensuring adequate therapeutic</w:t>
      </w:r>
      <w:r>
        <w:rPr>
          <w:color w:val="4D4D4F"/>
          <w:spacing w:val="-47"/>
          <w:w w:val="115"/>
          <w:sz w:val="22"/>
        </w:rPr>
        <w:t> </w:t>
      </w:r>
      <w:r>
        <w:rPr>
          <w:color w:val="4D4D4F"/>
          <w:spacing w:val="-3"/>
          <w:w w:val="115"/>
          <w:sz w:val="22"/>
        </w:rPr>
        <w:t>dosing</w:t>
      </w:r>
    </w:p>
    <w:p>
      <w:pPr>
        <w:pStyle w:val="BodyText"/>
        <w:spacing w:line="247" w:lineRule="auto" w:before="16"/>
        <w:ind w:left="409"/>
      </w:pPr>
      <w:r>
        <w:rPr>
          <w:color w:val="4D4D4F"/>
          <w:w w:val="110"/>
        </w:rPr>
        <w:t>(e.g., opioid blockade if there is ongoing illicit opioid use and adherence to medication).</w:t>
      </w:r>
    </w:p>
    <w:p>
      <w:pPr>
        <w:pStyle w:val="ListParagraph"/>
        <w:numPr>
          <w:ilvl w:val="0"/>
          <w:numId w:val="29"/>
        </w:numPr>
        <w:tabs>
          <w:tab w:pos="410" w:val="left" w:leader="none"/>
        </w:tabs>
        <w:spacing w:line="264" w:lineRule="exact" w:before="38" w:after="0"/>
        <w:ind w:left="409" w:right="440" w:hanging="270"/>
        <w:jc w:val="left"/>
        <w:rPr>
          <w:rFonts w:ascii="Arial" w:hAnsi="Arial"/>
          <w:color w:val="137692"/>
          <w:sz w:val="28"/>
        </w:rPr>
      </w:pPr>
      <w:r>
        <w:rPr>
          <w:color w:val="4D4D4F"/>
          <w:w w:val="110"/>
          <w:sz w:val="22"/>
        </w:rPr>
        <w:t>Following up on any referrals made, such  as adjunctive counseling, recovery support groups, or other psychosocial services (the Chapter 3E Appendix has a sample </w:t>
      </w:r>
      <w:r>
        <w:rPr>
          <w:color w:val="4D4D4F"/>
          <w:spacing w:val="-3"/>
          <w:w w:val="110"/>
          <w:sz w:val="22"/>
        </w:rPr>
        <w:t>medical </w:t>
      </w:r>
      <w:r>
        <w:rPr>
          <w:color w:val="4D4D4F"/>
          <w:w w:val="110"/>
          <w:sz w:val="22"/>
        </w:rPr>
        <w:t>management visit</w:t>
      </w:r>
      <w:r>
        <w:rPr>
          <w:color w:val="4D4D4F"/>
          <w:spacing w:val="-10"/>
          <w:w w:val="110"/>
          <w:sz w:val="22"/>
        </w:rPr>
        <w:t> </w:t>
      </w:r>
      <w:r>
        <w:rPr>
          <w:color w:val="4D4D4F"/>
          <w:w w:val="110"/>
          <w:sz w:val="22"/>
        </w:rPr>
        <w:t>form).</w:t>
      </w:r>
    </w:p>
    <w:p>
      <w:pPr>
        <w:pStyle w:val="Heading7"/>
        <w:spacing w:line="235" w:lineRule="auto" w:before="186"/>
        <w:ind w:right="329"/>
      </w:pPr>
      <w:r>
        <w:rPr>
          <w:color w:val="4D4D4F"/>
          <w:w w:val="115"/>
        </w:rPr>
        <w:t>Once patients adhere to therapeutic doses of OUD medication, decrease illicit drug and alcohol use, and increase negative opioid toxicological samples, consider less frequent</w:t>
      </w:r>
    </w:p>
    <w:p>
      <w:pPr>
        <w:pStyle w:val="BodyText"/>
        <w:spacing w:line="244" w:lineRule="auto"/>
        <w:ind w:left="140" w:right="157"/>
        <w:jc w:val="both"/>
      </w:pPr>
      <w:r>
        <w:rPr>
          <w:rFonts w:ascii="Calibri"/>
          <w:b/>
          <w:color w:val="4D4D4F"/>
          <w:w w:val="110"/>
        </w:rPr>
        <w:t>visits. </w:t>
      </w:r>
      <w:r>
        <w:rPr>
          <w:color w:val="4D4D4F"/>
          <w:w w:val="110"/>
        </w:rPr>
        <w:t>Monthly visits (or less for carefully</w:t>
      </w:r>
      <w:r>
        <w:rPr>
          <w:color w:val="4D4D4F"/>
          <w:spacing w:val="-44"/>
          <w:w w:val="110"/>
        </w:rPr>
        <w:t> </w:t>
      </w:r>
      <w:r>
        <w:rPr>
          <w:color w:val="4D4D4F"/>
          <w:w w:val="110"/>
        </w:rPr>
        <w:t>selected patients who have been stable on </w:t>
      </w:r>
      <w:r>
        <w:rPr>
          <w:color w:val="4D4D4F"/>
          <w:spacing w:val="-3"/>
          <w:w w:val="110"/>
        </w:rPr>
        <w:t>buprenorphine </w:t>
      </w:r>
      <w:r>
        <w:rPr>
          <w:color w:val="4D4D4F"/>
          <w:w w:val="110"/>
        </w:rPr>
        <w:t>for extended periods with adequate</w:t>
      </w:r>
      <w:r>
        <w:rPr>
          <w:color w:val="4D4D4F"/>
          <w:spacing w:val="-6"/>
          <w:w w:val="110"/>
        </w:rPr>
        <w:t> </w:t>
      </w:r>
      <w:r>
        <w:rPr>
          <w:color w:val="4D4D4F"/>
          <w:w w:val="110"/>
        </w:rPr>
        <w:t>support)</w:t>
      </w:r>
    </w:p>
    <w:p>
      <w:pPr>
        <w:pStyle w:val="BodyText"/>
        <w:spacing w:line="247" w:lineRule="auto" w:before="2"/>
        <w:ind w:left="140" w:right="471"/>
      </w:pPr>
      <w:r>
        <w:rPr>
          <w:color w:val="4D4D4F"/>
          <w:w w:val="110"/>
        </w:rPr>
        <w:t>are reasonable for patients taking naltrexone or</w:t>
      </w:r>
      <w:r>
        <w:rPr>
          <w:color w:val="4D4D4F"/>
          <w:spacing w:val="-14"/>
          <w:w w:val="110"/>
        </w:rPr>
        <w:t> </w:t>
      </w:r>
      <w:r>
        <w:rPr>
          <w:color w:val="4D4D4F"/>
          <w:w w:val="110"/>
        </w:rPr>
        <w:t>buprenorphine</w:t>
      </w:r>
      <w:r>
        <w:rPr>
          <w:color w:val="4D4D4F"/>
          <w:spacing w:val="-14"/>
          <w:w w:val="110"/>
        </w:rPr>
        <w:t> </w:t>
      </w:r>
      <w:r>
        <w:rPr>
          <w:color w:val="4D4D4F"/>
          <w:w w:val="110"/>
        </w:rPr>
        <w:t>who</w:t>
      </w:r>
      <w:r>
        <w:rPr>
          <w:color w:val="4D4D4F"/>
          <w:spacing w:val="-13"/>
          <w:w w:val="110"/>
        </w:rPr>
        <w:t> </w:t>
      </w:r>
      <w:r>
        <w:rPr>
          <w:color w:val="4D4D4F"/>
          <w:w w:val="110"/>
        </w:rPr>
        <w:t>show</w:t>
      </w:r>
      <w:r>
        <w:rPr>
          <w:color w:val="4D4D4F"/>
          <w:spacing w:val="-14"/>
          <w:w w:val="110"/>
        </w:rPr>
        <w:t> </w:t>
      </w:r>
      <w:r>
        <w:rPr>
          <w:color w:val="4D4D4F"/>
          <w:w w:val="110"/>
        </w:rPr>
        <w:t>progress</w:t>
      </w:r>
      <w:r>
        <w:rPr>
          <w:color w:val="4D4D4F"/>
          <w:spacing w:val="-14"/>
          <w:w w:val="110"/>
        </w:rPr>
        <w:t> </w:t>
      </w:r>
      <w:r>
        <w:rPr>
          <w:color w:val="4D4D4F"/>
          <w:spacing w:val="-4"/>
          <w:w w:val="110"/>
        </w:rPr>
        <w:t>toward</w:t>
      </w:r>
    </w:p>
    <w:p>
      <w:pPr>
        <w:pStyle w:val="BodyText"/>
        <w:spacing w:line="247" w:lineRule="auto" w:before="2"/>
        <w:ind w:left="140"/>
      </w:pPr>
      <w:r>
        <w:rPr>
          <w:color w:val="4D4D4F"/>
          <w:w w:val="110"/>
        </w:rPr>
        <w:t>treatment objectives. Indications that a patient is ready to come less than weekly include:</w:t>
      </w:r>
    </w:p>
    <w:p>
      <w:pPr>
        <w:pStyle w:val="ListParagraph"/>
        <w:numPr>
          <w:ilvl w:val="0"/>
          <w:numId w:val="29"/>
        </w:numPr>
        <w:tabs>
          <w:tab w:pos="410" w:val="left" w:leader="none"/>
        </w:tabs>
        <w:spacing w:line="208" w:lineRule="auto" w:before="129" w:after="0"/>
        <w:ind w:left="409" w:right="284" w:hanging="270"/>
        <w:jc w:val="left"/>
        <w:rPr>
          <w:rFonts w:ascii="Arial" w:hAnsi="Arial"/>
          <w:color w:val="137692"/>
          <w:sz w:val="28"/>
        </w:rPr>
      </w:pPr>
      <w:r>
        <w:rPr>
          <w:color w:val="4D4D4F"/>
          <w:w w:val="115"/>
          <w:sz w:val="22"/>
        </w:rPr>
        <w:t>Several weeks of illicit opioid abstinence based</w:t>
      </w:r>
      <w:r>
        <w:rPr>
          <w:color w:val="4D4D4F"/>
          <w:spacing w:val="-16"/>
          <w:w w:val="115"/>
          <w:sz w:val="22"/>
        </w:rPr>
        <w:t> </w:t>
      </w:r>
      <w:r>
        <w:rPr>
          <w:color w:val="4D4D4F"/>
          <w:w w:val="115"/>
          <w:sz w:val="22"/>
        </w:rPr>
        <w:t>on</w:t>
      </w:r>
      <w:r>
        <w:rPr>
          <w:color w:val="4D4D4F"/>
          <w:spacing w:val="-16"/>
          <w:w w:val="115"/>
          <w:sz w:val="22"/>
        </w:rPr>
        <w:t> </w:t>
      </w:r>
      <w:r>
        <w:rPr>
          <w:color w:val="4D4D4F"/>
          <w:w w:val="115"/>
          <w:sz w:val="22"/>
        </w:rPr>
        <w:t>self-report</w:t>
      </w:r>
      <w:r>
        <w:rPr>
          <w:color w:val="4D4D4F"/>
          <w:spacing w:val="-16"/>
          <w:w w:val="115"/>
          <w:sz w:val="22"/>
        </w:rPr>
        <w:t> </w:t>
      </w:r>
      <w:r>
        <w:rPr>
          <w:color w:val="4D4D4F"/>
          <w:w w:val="115"/>
          <w:sz w:val="22"/>
        </w:rPr>
        <w:t>and</w:t>
      </w:r>
      <w:r>
        <w:rPr>
          <w:color w:val="4D4D4F"/>
          <w:spacing w:val="-16"/>
          <w:w w:val="115"/>
          <w:sz w:val="22"/>
        </w:rPr>
        <w:t> </w:t>
      </w:r>
      <w:r>
        <w:rPr>
          <w:color w:val="4D4D4F"/>
          <w:w w:val="115"/>
          <w:sz w:val="22"/>
        </w:rPr>
        <w:t>negative</w:t>
      </w:r>
      <w:r>
        <w:rPr>
          <w:color w:val="4D4D4F"/>
          <w:spacing w:val="-16"/>
          <w:w w:val="115"/>
          <w:sz w:val="22"/>
        </w:rPr>
        <w:t> </w:t>
      </w:r>
      <w:r>
        <w:rPr>
          <w:color w:val="4D4D4F"/>
          <w:w w:val="115"/>
          <w:sz w:val="22"/>
        </w:rPr>
        <w:t>drug</w:t>
      </w:r>
      <w:r>
        <w:rPr>
          <w:color w:val="4D4D4F"/>
          <w:spacing w:val="-16"/>
          <w:w w:val="115"/>
          <w:sz w:val="22"/>
        </w:rPr>
        <w:t> </w:t>
      </w:r>
      <w:r>
        <w:rPr>
          <w:color w:val="4D4D4F"/>
          <w:spacing w:val="-3"/>
          <w:w w:val="115"/>
          <w:sz w:val="22"/>
        </w:rPr>
        <w:t>tests.</w:t>
      </w:r>
    </w:p>
    <w:p>
      <w:pPr>
        <w:pStyle w:val="ListParagraph"/>
        <w:numPr>
          <w:ilvl w:val="0"/>
          <w:numId w:val="29"/>
        </w:numPr>
        <w:tabs>
          <w:tab w:pos="410" w:val="left" w:leader="none"/>
        </w:tabs>
        <w:spacing w:line="208" w:lineRule="auto" w:before="69" w:after="0"/>
        <w:ind w:left="409" w:right="585" w:hanging="270"/>
        <w:jc w:val="left"/>
        <w:rPr>
          <w:rFonts w:ascii="Arial" w:hAnsi="Arial"/>
          <w:color w:val="137692"/>
          <w:sz w:val="28"/>
        </w:rPr>
      </w:pPr>
      <w:r>
        <w:rPr>
          <w:color w:val="4D4D4F"/>
          <w:spacing w:val="-4"/>
          <w:w w:val="115"/>
          <w:sz w:val="22"/>
        </w:rPr>
        <w:t>Adherence</w:t>
      </w:r>
      <w:r>
        <w:rPr>
          <w:color w:val="4D4D4F"/>
          <w:spacing w:val="-39"/>
          <w:w w:val="115"/>
          <w:sz w:val="22"/>
        </w:rPr>
        <w:t> </w:t>
      </w:r>
      <w:r>
        <w:rPr>
          <w:color w:val="4D4D4F"/>
          <w:w w:val="115"/>
          <w:sz w:val="22"/>
        </w:rPr>
        <w:t>to</w:t>
      </w:r>
      <w:r>
        <w:rPr>
          <w:color w:val="4D4D4F"/>
          <w:spacing w:val="-38"/>
          <w:w w:val="115"/>
          <w:sz w:val="22"/>
        </w:rPr>
        <w:t> </w:t>
      </w:r>
      <w:r>
        <w:rPr>
          <w:color w:val="4D4D4F"/>
          <w:spacing w:val="-3"/>
          <w:w w:val="115"/>
          <w:sz w:val="22"/>
        </w:rPr>
        <w:t>appointments</w:t>
      </w:r>
      <w:r>
        <w:rPr>
          <w:color w:val="4D4D4F"/>
          <w:spacing w:val="-39"/>
          <w:w w:val="115"/>
          <w:sz w:val="22"/>
        </w:rPr>
        <w:t> </w:t>
      </w:r>
      <w:r>
        <w:rPr>
          <w:color w:val="4D4D4F"/>
          <w:w w:val="115"/>
          <w:sz w:val="22"/>
        </w:rPr>
        <w:t>and</w:t>
      </w:r>
      <w:r>
        <w:rPr>
          <w:color w:val="4D4D4F"/>
          <w:spacing w:val="-38"/>
          <w:w w:val="115"/>
          <w:sz w:val="22"/>
        </w:rPr>
        <w:t> </w:t>
      </w:r>
      <w:r>
        <w:rPr>
          <w:color w:val="4D4D4F"/>
          <w:spacing w:val="-4"/>
          <w:w w:val="115"/>
          <w:sz w:val="22"/>
        </w:rPr>
        <w:t>treatment </w:t>
      </w:r>
      <w:r>
        <w:rPr>
          <w:color w:val="4D4D4F"/>
          <w:spacing w:val="-3"/>
          <w:w w:val="115"/>
          <w:sz w:val="22"/>
        </w:rPr>
        <w:t>plan.</w:t>
      </w:r>
    </w:p>
    <w:p>
      <w:pPr>
        <w:pStyle w:val="ListParagraph"/>
        <w:numPr>
          <w:ilvl w:val="0"/>
          <w:numId w:val="29"/>
        </w:numPr>
        <w:tabs>
          <w:tab w:pos="410" w:val="left" w:leader="none"/>
        </w:tabs>
        <w:spacing w:line="208" w:lineRule="auto" w:before="69" w:after="0"/>
        <w:ind w:left="409" w:right="190" w:hanging="270"/>
        <w:jc w:val="left"/>
        <w:rPr>
          <w:rFonts w:ascii="Arial" w:hAnsi="Arial"/>
          <w:color w:val="137692"/>
          <w:sz w:val="28"/>
        </w:rPr>
      </w:pPr>
      <w:r>
        <w:rPr>
          <w:color w:val="4D4D4F"/>
          <w:w w:val="115"/>
          <w:sz w:val="22"/>
        </w:rPr>
        <w:t>No ongoing drug use that may risk patient </w:t>
      </w:r>
      <w:r>
        <w:rPr>
          <w:color w:val="4D4D4F"/>
          <w:spacing w:val="-3"/>
          <w:w w:val="115"/>
          <w:sz w:val="22"/>
        </w:rPr>
        <w:t>safety</w:t>
      </w:r>
      <w:r>
        <w:rPr>
          <w:color w:val="4D4D4F"/>
          <w:spacing w:val="-27"/>
          <w:w w:val="115"/>
          <w:sz w:val="22"/>
        </w:rPr>
        <w:t> </w:t>
      </w:r>
      <w:r>
        <w:rPr>
          <w:color w:val="4D4D4F"/>
          <w:spacing w:val="-3"/>
          <w:w w:val="115"/>
          <w:sz w:val="22"/>
        </w:rPr>
        <w:t>(e.g.,</w:t>
      </w:r>
      <w:r>
        <w:rPr>
          <w:color w:val="4D4D4F"/>
          <w:spacing w:val="-26"/>
          <w:w w:val="115"/>
          <w:sz w:val="22"/>
        </w:rPr>
        <w:t> </w:t>
      </w:r>
      <w:r>
        <w:rPr>
          <w:color w:val="4D4D4F"/>
          <w:spacing w:val="-3"/>
          <w:w w:val="115"/>
          <w:sz w:val="22"/>
        </w:rPr>
        <w:t>alcohol</w:t>
      </w:r>
      <w:r>
        <w:rPr>
          <w:color w:val="4D4D4F"/>
          <w:spacing w:val="-27"/>
          <w:w w:val="115"/>
          <w:sz w:val="22"/>
        </w:rPr>
        <w:t> </w:t>
      </w:r>
      <w:r>
        <w:rPr>
          <w:color w:val="4D4D4F"/>
          <w:w w:val="115"/>
          <w:sz w:val="22"/>
        </w:rPr>
        <w:t>or</w:t>
      </w:r>
      <w:r>
        <w:rPr>
          <w:color w:val="4D4D4F"/>
          <w:spacing w:val="-26"/>
          <w:w w:val="115"/>
          <w:sz w:val="22"/>
        </w:rPr>
        <w:t> </w:t>
      </w:r>
      <w:r>
        <w:rPr>
          <w:color w:val="4D4D4F"/>
          <w:spacing w:val="-3"/>
          <w:w w:val="115"/>
          <w:sz w:val="22"/>
        </w:rPr>
        <w:t>benzodiazepine</w:t>
      </w:r>
      <w:r>
        <w:rPr>
          <w:color w:val="4D4D4F"/>
          <w:spacing w:val="-26"/>
          <w:w w:val="115"/>
          <w:sz w:val="22"/>
        </w:rPr>
        <w:t> </w:t>
      </w:r>
      <w:r>
        <w:rPr>
          <w:color w:val="4D4D4F"/>
          <w:spacing w:val="-3"/>
          <w:w w:val="115"/>
          <w:sz w:val="22"/>
        </w:rPr>
        <w:t>misuse).</w:t>
      </w:r>
    </w:p>
    <w:p>
      <w:pPr>
        <w:pStyle w:val="ListParagraph"/>
        <w:numPr>
          <w:ilvl w:val="0"/>
          <w:numId w:val="29"/>
        </w:numPr>
        <w:tabs>
          <w:tab w:pos="410" w:val="left" w:leader="none"/>
        </w:tabs>
        <w:spacing w:line="315" w:lineRule="exact" w:before="40" w:after="0"/>
        <w:ind w:left="409" w:right="0" w:hanging="270"/>
        <w:jc w:val="left"/>
        <w:rPr>
          <w:rFonts w:ascii="Arial" w:hAnsi="Arial"/>
          <w:color w:val="137692"/>
          <w:sz w:val="28"/>
        </w:rPr>
      </w:pPr>
      <w:r>
        <w:rPr>
          <w:color w:val="4D4D4F"/>
          <w:w w:val="115"/>
          <w:sz w:val="22"/>
        </w:rPr>
        <w:t>Absence</w:t>
      </w:r>
      <w:r>
        <w:rPr>
          <w:color w:val="4D4D4F"/>
          <w:spacing w:val="-16"/>
          <w:w w:val="115"/>
          <w:sz w:val="22"/>
        </w:rPr>
        <w:t> </w:t>
      </w:r>
      <w:r>
        <w:rPr>
          <w:color w:val="4D4D4F"/>
          <w:w w:val="115"/>
          <w:sz w:val="22"/>
        </w:rPr>
        <w:t>of</w:t>
      </w:r>
      <w:r>
        <w:rPr>
          <w:color w:val="4D4D4F"/>
          <w:spacing w:val="-15"/>
          <w:w w:val="115"/>
          <w:sz w:val="22"/>
        </w:rPr>
        <w:t> </w:t>
      </w:r>
      <w:r>
        <w:rPr>
          <w:color w:val="4D4D4F"/>
          <w:w w:val="115"/>
          <w:sz w:val="22"/>
        </w:rPr>
        <w:t>signiﬁcant</w:t>
      </w:r>
      <w:r>
        <w:rPr>
          <w:color w:val="4D4D4F"/>
          <w:spacing w:val="-15"/>
          <w:w w:val="115"/>
          <w:sz w:val="22"/>
        </w:rPr>
        <w:t> </w:t>
      </w:r>
      <w:r>
        <w:rPr>
          <w:color w:val="4D4D4F"/>
          <w:w w:val="115"/>
          <w:sz w:val="22"/>
        </w:rPr>
        <w:t>medication</w:t>
      </w:r>
      <w:r>
        <w:rPr>
          <w:color w:val="4D4D4F"/>
          <w:spacing w:val="-16"/>
          <w:w w:val="115"/>
          <w:sz w:val="22"/>
        </w:rPr>
        <w:t> </w:t>
      </w:r>
      <w:r>
        <w:rPr>
          <w:color w:val="4D4D4F"/>
          <w:w w:val="115"/>
          <w:sz w:val="22"/>
        </w:rPr>
        <w:t>side</w:t>
      </w:r>
      <w:r>
        <w:rPr>
          <w:color w:val="4D4D4F"/>
          <w:spacing w:val="-15"/>
          <w:w w:val="115"/>
          <w:sz w:val="22"/>
        </w:rPr>
        <w:t> </w:t>
      </w:r>
      <w:r>
        <w:rPr>
          <w:color w:val="4D4D4F"/>
          <w:w w:val="115"/>
          <w:sz w:val="22"/>
        </w:rPr>
        <w:t>effects.</w:t>
      </w:r>
    </w:p>
    <w:p>
      <w:pPr>
        <w:pStyle w:val="ListParagraph"/>
        <w:numPr>
          <w:ilvl w:val="0"/>
          <w:numId w:val="29"/>
        </w:numPr>
        <w:tabs>
          <w:tab w:pos="410" w:val="left" w:leader="none"/>
        </w:tabs>
        <w:spacing w:line="307" w:lineRule="exact" w:before="0" w:after="0"/>
        <w:ind w:left="409" w:right="0" w:hanging="270"/>
        <w:jc w:val="left"/>
        <w:rPr>
          <w:rFonts w:ascii="Arial" w:hAnsi="Arial"/>
          <w:color w:val="137692"/>
          <w:sz w:val="28"/>
        </w:rPr>
      </w:pPr>
      <w:r>
        <w:rPr>
          <w:color w:val="4D4D4F"/>
          <w:w w:val="115"/>
          <w:sz w:val="22"/>
        </w:rPr>
        <w:t>Stable</w:t>
      </w:r>
      <w:r>
        <w:rPr>
          <w:color w:val="4D4D4F"/>
          <w:spacing w:val="-14"/>
          <w:w w:val="115"/>
          <w:sz w:val="22"/>
        </w:rPr>
        <w:t> </w:t>
      </w:r>
      <w:r>
        <w:rPr>
          <w:color w:val="4D4D4F"/>
          <w:w w:val="115"/>
          <w:sz w:val="22"/>
        </w:rPr>
        <w:t>mental</w:t>
      </w:r>
      <w:r>
        <w:rPr>
          <w:color w:val="4D4D4F"/>
          <w:spacing w:val="-14"/>
          <w:w w:val="115"/>
          <w:sz w:val="22"/>
        </w:rPr>
        <w:t> </w:t>
      </w:r>
      <w:r>
        <w:rPr>
          <w:color w:val="4D4D4F"/>
          <w:w w:val="115"/>
          <w:sz w:val="22"/>
        </w:rPr>
        <w:t>health</w:t>
      </w:r>
      <w:r>
        <w:rPr>
          <w:color w:val="4D4D4F"/>
          <w:spacing w:val="-14"/>
          <w:w w:val="115"/>
          <w:sz w:val="22"/>
        </w:rPr>
        <w:t> </w:t>
      </w:r>
      <w:r>
        <w:rPr>
          <w:color w:val="4D4D4F"/>
          <w:w w:val="115"/>
          <w:sz w:val="22"/>
        </w:rPr>
        <w:t>and</w:t>
      </w:r>
      <w:r>
        <w:rPr>
          <w:color w:val="4D4D4F"/>
          <w:spacing w:val="-13"/>
          <w:w w:val="115"/>
          <w:sz w:val="22"/>
        </w:rPr>
        <w:t> </w:t>
      </w:r>
      <w:r>
        <w:rPr>
          <w:color w:val="4D4D4F"/>
          <w:w w:val="115"/>
          <w:sz w:val="22"/>
        </w:rPr>
        <w:t>medical</w:t>
      </w:r>
      <w:r>
        <w:rPr>
          <w:color w:val="4D4D4F"/>
          <w:spacing w:val="-14"/>
          <w:w w:val="115"/>
          <w:sz w:val="22"/>
        </w:rPr>
        <w:t> </w:t>
      </w:r>
      <w:r>
        <w:rPr>
          <w:color w:val="4D4D4F"/>
          <w:w w:val="115"/>
          <w:sz w:val="22"/>
        </w:rPr>
        <w:t>conditions.</w:t>
      </w:r>
    </w:p>
    <w:p>
      <w:pPr>
        <w:pStyle w:val="ListParagraph"/>
        <w:numPr>
          <w:ilvl w:val="0"/>
          <w:numId w:val="29"/>
        </w:numPr>
        <w:tabs>
          <w:tab w:pos="410" w:val="left" w:leader="none"/>
        </w:tabs>
        <w:spacing w:line="208" w:lineRule="auto" w:before="22" w:after="0"/>
        <w:ind w:left="409" w:right="191" w:hanging="270"/>
        <w:jc w:val="left"/>
        <w:rPr>
          <w:rFonts w:ascii="Arial" w:hAnsi="Arial"/>
          <w:color w:val="137692"/>
          <w:sz w:val="28"/>
        </w:rPr>
      </w:pPr>
      <w:r>
        <w:rPr>
          <w:color w:val="4D4D4F"/>
          <w:w w:val="115"/>
          <w:sz w:val="22"/>
        </w:rPr>
        <w:t>Responsible handling of medication (e.g.,</w:t>
      </w:r>
      <w:r>
        <w:rPr>
          <w:color w:val="4D4D4F"/>
          <w:spacing w:val="-42"/>
          <w:w w:val="115"/>
          <w:sz w:val="22"/>
        </w:rPr>
        <w:t> </w:t>
      </w:r>
      <w:r>
        <w:rPr>
          <w:color w:val="4D4D4F"/>
          <w:spacing w:val="-5"/>
          <w:w w:val="115"/>
          <w:sz w:val="22"/>
        </w:rPr>
        <w:t>safe </w:t>
      </w:r>
      <w:r>
        <w:rPr>
          <w:color w:val="4D4D4F"/>
          <w:w w:val="115"/>
          <w:sz w:val="22"/>
        </w:rPr>
        <w:t>storage,</w:t>
      </w:r>
      <w:r>
        <w:rPr>
          <w:color w:val="4D4D4F"/>
          <w:spacing w:val="-17"/>
          <w:w w:val="115"/>
          <w:sz w:val="22"/>
        </w:rPr>
        <w:t> </w:t>
      </w:r>
      <w:r>
        <w:rPr>
          <w:color w:val="4D4D4F"/>
          <w:w w:val="115"/>
          <w:sz w:val="22"/>
        </w:rPr>
        <w:t>no</w:t>
      </w:r>
      <w:r>
        <w:rPr>
          <w:color w:val="4D4D4F"/>
          <w:spacing w:val="-17"/>
          <w:w w:val="115"/>
          <w:sz w:val="22"/>
        </w:rPr>
        <w:t> </w:t>
      </w:r>
      <w:r>
        <w:rPr>
          <w:color w:val="4D4D4F"/>
          <w:w w:val="115"/>
          <w:sz w:val="22"/>
        </w:rPr>
        <w:t>requests</w:t>
      </w:r>
      <w:r>
        <w:rPr>
          <w:color w:val="4D4D4F"/>
          <w:spacing w:val="-17"/>
          <w:w w:val="115"/>
          <w:sz w:val="22"/>
        </w:rPr>
        <w:t> </w:t>
      </w:r>
      <w:r>
        <w:rPr>
          <w:color w:val="4D4D4F"/>
          <w:w w:val="115"/>
          <w:sz w:val="22"/>
        </w:rPr>
        <w:t>for</w:t>
      </w:r>
      <w:r>
        <w:rPr>
          <w:color w:val="4D4D4F"/>
          <w:spacing w:val="-16"/>
          <w:w w:val="115"/>
          <w:sz w:val="22"/>
        </w:rPr>
        <w:t> </w:t>
      </w:r>
      <w:r>
        <w:rPr>
          <w:color w:val="4D4D4F"/>
          <w:w w:val="115"/>
          <w:sz w:val="22"/>
        </w:rPr>
        <w:t>early</w:t>
      </w:r>
      <w:r>
        <w:rPr>
          <w:color w:val="4D4D4F"/>
          <w:spacing w:val="-17"/>
          <w:w w:val="115"/>
          <w:sz w:val="22"/>
        </w:rPr>
        <w:t> </w:t>
      </w:r>
      <w:r>
        <w:rPr>
          <w:color w:val="4D4D4F"/>
          <w:w w:val="115"/>
          <w:sz w:val="22"/>
        </w:rPr>
        <w:t>reﬁlls).</w:t>
      </w:r>
    </w:p>
    <w:p>
      <w:pPr>
        <w:pStyle w:val="ListParagraph"/>
        <w:numPr>
          <w:ilvl w:val="0"/>
          <w:numId w:val="29"/>
        </w:numPr>
        <w:tabs>
          <w:tab w:pos="410" w:val="left" w:leader="none"/>
        </w:tabs>
        <w:spacing w:line="225" w:lineRule="auto" w:before="53" w:after="0"/>
        <w:ind w:left="409" w:right="170" w:hanging="270"/>
        <w:jc w:val="left"/>
        <w:rPr>
          <w:rFonts w:ascii="Arial" w:hAnsi="Arial"/>
          <w:color w:val="137692"/>
          <w:sz w:val="28"/>
        </w:rPr>
      </w:pPr>
      <w:r>
        <w:rPr>
          <w:color w:val="4D4D4F"/>
          <w:w w:val="110"/>
          <w:sz w:val="22"/>
        </w:rPr>
        <w:t>Absence of unexpected controlled medication prescriptions from other providers in the </w:t>
      </w:r>
      <w:r>
        <w:rPr>
          <w:color w:val="4D4D4F"/>
          <w:spacing w:val="-8"/>
          <w:w w:val="110"/>
          <w:sz w:val="22"/>
        </w:rPr>
        <w:t>PDMP.</w:t>
      </w:r>
    </w:p>
    <w:p>
      <w:pPr>
        <w:pStyle w:val="Heading7"/>
        <w:spacing w:line="235" w:lineRule="auto" w:before="194"/>
        <w:ind w:right="253"/>
      </w:pPr>
      <w:r>
        <w:rPr>
          <w:color w:val="4D4D4F"/>
          <w:w w:val="110"/>
        </w:rPr>
        <w:t>As visits become less frequent, consider random urine drug testing, medication counts (buprenorphine tablets or ﬁlms), and involve- ment of network supports if available.</w:t>
      </w:r>
    </w:p>
    <w:p>
      <w:pPr>
        <w:spacing w:line="235" w:lineRule="auto" w:before="183"/>
        <w:ind w:left="140" w:right="228" w:firstLine="0"/>
        <w:jc w:val="left"/>
        <w:rPr>
          <w:rFonts w:ascii="Calibri"/>
          <w:b/>
          <w:sz w:val="22"/>
        </w:rPr>
      </w:pPr>
      <w:r>
        <w:rPr>
          <w:rFonts w:ascii="Calibri"/>
          <w:b/>
          <w:color w:val="4D4D4F"/>
          <w:w w:val="115"/>
          <w:sz w:val="22"/>
        </w:rPr>
        <w:t>Buprenorphine</w:t>
      </w:r>
      <w:r>
        <w:rPr>
          <w:rFonts w:ascii="Calibri"/>
          <w:b/>
          <w:color w:val="4D4D4F"/>
          <w:spacing w:val="-16"/>
          <w:w w:val="115"/>
          <w:sz w:val="22"/>
        </w:rPr>
        <w:t> </w:t>
      </w:r>
      <w:r>
        <w:rPr>
          <w:rFonts w:ascii="Calibri"/>
          <w:b/>
          <w:color w:val="4D4D4F"/>
          <w:w w:val="115"/>
          <w:sz w:val="22"/>
        </w:rPr>
        <w:t>implants</w:t>
      </w:r>
      <w:r>
        <w:rPr>
          <w:rFonts w:ascii="Calibri"/>
          <w:b/>
          <w:color w:val="4D4D4F"/>
          <w:spacing w:val="-16"/>
          <w:w w:val="115"/>
          <w:sz w:val="22"/>
        </w:rPr>
        <w:t> </w:t>
      </w:r>
      <w:r>
        <w:rPr>
          <w:rFonts w:ascii="Calibri"/>
          <w:b/>
          <w:color w:val="4D4D4F"/>
          <w:w w:val="115"/>
          <w:sz w:val="22"/>
        </w:rPr>
        <w:t>are</w:t>
      </w:r>
      <w:r>
        <w:rPr>
          <w:rFonts w:ascii="Calibri"/>
          <w:b/>
          <w:color w:val="4D4D4F"/>
          <w:spacing w:val="-16"/>
          <w:w w:val="115"/>
          <w:sz w:val="22"/>
        </w:rPr>
        <w:t> </w:t>
      </w:r>
      <w:r>
        <w:rPr>
          <w:rFonts w:ascii="Calibri"/>
          <w:b/>
          <w:color w:val="4D4D4F"/>
          <w:w w:val="115"/>
          <w:sz w:val="22"/>
        </w:rPr>
        <w:t>indicated</w:t>
      </w:r>
      <w:r>
        <w:rPr>
          <w:rFonts w:ascii="Calibri"/>
          <w:b/>
          <w:color w:val="4D4D4F"/>
          <w:spacing w:val="-16"/>
          <w:w w:val="115"/>
          <w:sz w:val="22"/>
        </w:rPr>
        <w:t> </w:t>
      </w:r>
      <w:r>
        <w:rPr>
          <w:rFonts w:ascii="Calibri"/>
          <w:b/>
          <w:color w:val="4D4D4F"/>
          <w:w w:val="115"/>
          <w:sz w:val="22"/>
        </w:rPr>
        <w:t>only</w:t>
      </w:r>
      <w:r>
        <w:rPr>
          <w:rFonts w:ascii="Calibri"/>
          <w:b/>
          <w:color w:val="4D4D4F"/>
          <w:spacing w:val="-16"/>
          <w:w w:val="115"/>
          <w:sz w:val="22"/>
        </w:rPr>
        <w:t> </w:t>
      </w:r>
      <w:r>
        <w:rPr>
          <w:rFonts w:ascii="Calibri"/>
          <w:b/>
          <w:color w:val="4D4D4F"/>
          <w:spacing w:val="-6"/>
          <w:w w:val="115"/>
          <w:sz w:val="22"/>
        </w:rPr>
        <w:t>for </w:t>
      </w:r>
      <w:r>
        <w:rPr>
          <w:rFonts w:ascii="Calibri"/>
          <w:b/>
          <w:color w:val="4D4D4F"/>
          <w:w w:val="115"/>
          <w:sz w:val="22"/>
        </w:rPr>
        <w:t>stable patients already taking transmucosal buprenorphine with positive treatment response. Extended-release</w:t>
      </w:r>
      <w:r>
        <w:rPr>
          <w:rFonts w:ascii="Calibri"/>
          <w:b/>
          <w:color w:val="4D4D4F"/>
          <w:spacing w:val="-7"/>
          <w:w w:val="115"/>
          <w:sz w:val="22"/>
        </w:rPr>
        <w:t> </w:t>
      </w:r>
      <w:r>
        <w:rPr>
          <w:rFonts w:ascii="Calibri"/>
          <w:b/>
          <w:color w:val="4D4D4F"/>
          <w:w w:val="115"/>
          <w:sz w:val="22"/>
        </w:rPr>
        <w:t>buprenorphine</w:t>
      </w:r>
    </w:p>
    <w:p>
      <w:pPr>
        <w:pStyle w:val="Heading7"/>
        <w:spacing w:line="235" w:lineRule="auto" w:before="4"/>
        <w:rPr>
          <w:rFonts w:ascii="Gill Sans MT" w:hAnsi="Gill Sans MT"/>
          <w:b w:val="0"/>
        </w:rPr>
      </w:pPr>
      <w:r>
        <w:rPr>
          <w:color w:val="4D4D4F"/>
          <w:w w:val="115"/>
        </w:rPr>
        <w:t>is</w:t>
      </w:r>
      <w:r>
        <w:rPr>
          <w:color w:val="4D4D4F"/>
          <w:spacing w:val="-10"/>
          <w:w w:val="115"/>
        </w:rPr>
        <w:t> </w:t>
      </w:r>
      <w:r>
        <w:rPr>
          <w:color w:val="4D4D4F"/>
          <w:spacing w:val="-4"/>
          <w:w w:val="115"/>
        </w:rPr>
        <w:t>indicated</w:t>
      </w:r>
      <w:r>
        <w:rPr>
          <w:color w:val="4D4D4F"/>
          <w:spacing w:val="-15"/>
          <w:w w:val="115"/>
        </w:rPr>
        <w:t> </w:t>
      </w:r>
      <w:r>
        <w:rPr>
          <w:color w:val="4D4D4F"/>
          <w:spacing w:val="-3"/>
          <w:w w:val="115"/>
        </w:rPr>
        <w:t>for</w:t>
      </w:r>
      <w:r>
        <w:rPr>
          <w:color w:val="4D4D4F"/>
          <w:spacing w:val="-14"/>
          <w:w w:val="115"/>
        </w:rPr>
        <w:t> </w:t>
      </w:r>
      <w:r>
        <w:rPr>
          <w:color w:val="4D4D4F"/>
          <w:spacing w:val="-4"/>
          <w:w w:val="115"/>
        </w:rPr>
        <w:t>patients</w:t>
      </w:r>
      <w:r>
        <w:rPr>
          <w:color w:val="4D4D4F"/>
          <w:spacing w:val="-15"/>
          <w:w w:val="115"/>
        </w:rPr>
        <w:t> </w:t>
      </w:r>
      <w:r>
        <w:rPr>
          <w:color w:val="4D4D4F"/>
          <w:spacing w:val="-4"/>
          <w:w w:val="115"/>
        </w:rPr>
        <w:t>treated</w:t>
      </w:r>
      <w:r>
        <w:rPr>
          <w:color w:val="4D4D4F"/>
          <w:spacing w:val="-15"/>
          <w:w w:val="115"/>
        </w:rPr>
        <w:t> </w:t>
      </w:r>
      <w:r>
        <w:rPr>
          <w:color w:val="4D4D4F"/>
          <w:spacing w:val="-3"/>
          <w:w w:val="115"/>
        </w:rPr>
        <w:t>with</w:t>
      </w:r>
      <w:r>
        <w:rPr>
          <w:color w:val="4D4D4F"/>
          <w:spacing w:val="-14"/>
          <w:w w:val="115"/>
        </w:rPr>
        <w:t> </w:t>
      </w:r>
      <w:r>
        <w:rPr>
          <w:color w:val="4D4D4F"/>
          <w:spacing w:val="-4"/>
          <w:w w:val="115"/>
        </w:rPr>
        <w:t>transmu- cosal </w:t>
      </w:r>
      <w:r>
        <w:rPr>
          <w:color w:val="4D4D4F"/>
          <w:w w:val="115"/>
        </w:rPr>
        <w:t>buprenorphine for at least 1 week.</w:t>
      </w:r>
      <w:r>
        <w:rPr>
          <w:color w:val="4D4D4F"/>
          <w:spacing w:val="-17"/>
          <w:w w:val="115"/>
        </w:rPr>
        <w:t> </w:t>
      </w:r>
      <w:r>
        <w:rPr>
          <w:rFonts w:ascii="Gill Sans MT" w:hAnsi="Gill Sans MT"/>
          <w:b w:val="0"/>
          <w:color w:val="4D4D4F"/>
          <w:spacing w:val="-5"/>
          <w:w w:val="115"/>
        </w:rPr>
        <w:t>It’s</w:t>
      </w:r>
    </w:p>
    <w:p>
      <w:pPr>
        <w:spacing w:after="0" w:line="235" w:lineRule="auto"/>
        <w:rPr>
          <w:rFonts w:ascii="Gill Sans MT" w:hAnsi="Gill Sans MT"/>
        </w:rPr>
        <w:sectPr>
          <w:type w:val="continuous"/>
          <w:pgSz w:w="12240" w:h="15840"/>
          <w:pgMar w:top="540" w:bottom="280" w:left="940" w:right="920"/>
          <w:cols w:num="2" w:equalWidth="0">
            <w:col w:w="5012" w:space="208"/>
            <w:col w:w="5160"/>
          </w:cols>
        </w:sectPr>
      </w:pPr>
    </w:p>
    <w:p>
      <w:pPr>
        <w:pStyle w:val="BodyText"/>
        <w:spacing w:before="2"/>
        <w:rPr>
          <w:sz w:val="27"/>
        </w:rPr>
      </w:pPr>
    </w:p>
    <w:p>
      <w:pPr>
        <w:spacing w:after="0"/>
        <w:rPr>
          <w:sz w:val="27"/>
        </w:rPr>
        <w:sectPr>
          <w:pgSz w:w="12240" w:h="15840"/>
          <w:pgMar w:header="576" w:footer="677" w:top="1340" w:bottom="860" w:left="940" w:right="920"/>
        </w:sectPr>
      </w:pPr>
    </w:p>
    <w:p>
      <w:pPr>
        <w:spacing w:line="304" w:lineRule="auto" w:before="149"/>
        <w:ind w:left="438" w:right="127" w:firstLine="0"/>
        <w:jc w:val="left"/>
        <w:rPr>
          <w:rFonts w:ascii="Arial" w:hAnsi="Arial"/>
          <w:b/>
          <w:sz w:val="22"/>
        </w:rPr>
      </w:pPr>
      <w:r>
        <w:rPr/>
        <w:pict>
          <v:line style="position:absolute;mso-position-horizontal-relative:page;mso-position-vertical-relative:paragraph;z-index:15785984" from="54.5pt,161.767683pt" to="54.5pt,7.119683pt" stroked="true" strokeweight="1pt" strokecolor="#759eb4">
            <v:stroke dashstyle="solid"/>
            <w10:wrap type="none"/>
          </v:line>
        </w:pict>
      </w:r>
      <w:r>
        <w:rPr>
          <w:rFonts w:ascii="Arial" w:hAnsi="Arial"/>
          <w:b/>
          <w:color w:val="B15651"/>
          <w:w w:val="110"/>
          <w:sz w:val="22"/>
        </w:rPr>
        <w:t>Visit frequency should not depend only on dosing schedule for long- acting</w:t>
      </w:r>
      <w:r>
        <w:rPr>
          <w:rFonts w:ascii="Arial" w:hAnsi="Arial"/>
          <w:b/>
          <w:color w:val="B15651"/>
          <w:spacing w:val="-24"/>
          <w:w w:val="110"/>
          <w:sz w:val="22"/>
        </w:rPr>
        <w:t> </w:t>
      </w:r>
      <w:r>
        <w:rPr>
          <w:rFonts w:ascii="Arial" w:hAnsi="Arial"/>
          <w:b/>
          <w:color w:val="B15651"/>
          <w:w w:val="110"/>
          <w:sz w:val="22"/>
        </w:rPr>
        <w:t>OUD</w:t>
      </w:r>
      <w:r>
        <w:rPr>
          <w:rFonts w:ascii="Arial" w:hAnsi="Arial"/>
          <w:b/>
          <w:color w:val="B15651"/>
          <w:spacing w:val="-23"/>
          <w:w w:val="110"/>
          <w:sz w:val="22"/>
        </w:rPr>
        <w:t> </w:t>
      </w:r>
      <w:r>
        <w:rPr>
          <w:rFonts w:ascii="Arial" w:hAnsi="Arial"/>
          <w:b/>
          <w:color w:val="B15651"/>
          <w:w w:val="110"/>
          <w:sz w:val="22"/>
        </w:rPr>
        <w:t>medications.</w:t>
      </w:r>
      <w:r>
        <w:rPr>
          <w:rFonts w:ascii="Arial" w:hAnsi="Arial"/>
          <w:b/>
          <w:color w:val="B15651"/>
          <w:spacing w:val="-24"/>
          <w:w w:val="110"/>
          <w:sz w:val="22"/>
        </w:rPr>
        <w:t> </w:t>
      </w:r>
      <w:r>
        <w:rPr>
          <w:rFonts w:ascii="Arial" w:hAnsi="Arial"/>
          <w:b/>
          <w:color w:val="B15651"/>
          <w:w w:val="110"/>
          <w:sz w:val="22"/>
        </w:rPr>
        <w:t>Also</w:t>
      </w:r>
      <w:r>
        <w:rPr>
          <w:rFonts w:ascii="Arial" w:hAnsi="Arial"/>
          <w:b/>
          <w:color w:val="B15651"/>
          <w:spacing w:val="-23"/>
          <w:w w:val="110"/>
          <w:sz w:val="22"/>
        </w:rPr>
        <w:t> </w:t>
      </w:r>
      <w:r>
        <w:rPr>
          <w:rFonts w:ascii="Arial" w:hAnsi="Arial"/>
          <w:b/>
          <w:color w:val="B15651"/>
          <w:w w:val="110"/>
          <w:sz w:val="22"/>
        </w:rPr>
        <w:t>consider patients’ treatment needs,</w:t>
      </w:r>
      <w:r>
        <w:rPr>
          <w:rFonts w:ascii="Arial" w:hAnsi="Arial"/>
          <w:b/>
          <w:color w:val="B15651"/>
          <w:spacing w:val="-40"/>
          <w:w w:val="110"/>
          <w:sz w:val="22"/>
        </w:rPr>
        <w:t> </w:t>
      </w:r>
      <w:r>
        <w:rPr>
          <w:rFonts w:ascii="Arial" w:hAnsi="Arial"/>
          <w:b/>
          <w:color w:val="B15651"/>
          <w:w w:val="110"/>
          <w:sz w:val="22"/>
        </w:rPr>
        <w:t>preferences, and responses. </w:t>
      </w:r>
      <w:r>
        <w:rPr>
          <w:rFonts w:ascii="Arial" w:hAnsi="Arial"/>
          <w:b/>
          <w:color w:val="B15651"/>
          <w:spacing w:val="-7"/>
          <w:w w:val="110"/>
          <w:sz w:val="22"/>
        </w:rPr>
        <w:t>To </w:t>
      </w:r>
      <w:r>
        <w:rPr>
          <w:rFonts w:ascii="Arial" w:hAnsi="Arial"/>
          <w:b/>
          <w:color w:val="B15651"/>
          <w:w w:val="110"/>
          <w:sz w:val="22"/>
        </w:rPr>
        <w:t>ensure continued engagement, consider adding to the treatment agreement the  expected visit frequency and frequency</w:t>
      </w:r>
      <w:r>
        <w:rPr>
          <w:rFonts w:ascii="Arial" w:hAnsi="Arial"/>
          <w:b/>
          <w:color w:val="B15651"/>
          <w:spacing w:val="-30"/>
          <w:w w:val="110"/>
          <w:sz w:val="22"/>
        </w:rPr>
        <w:t> </w:t>
      </w:r>
      <w:r>
        <w:rPr>
          <w:rFonts w:ascii="Arial" w:hAnsi="Arial"/>
          <w:b/>
          <w:color w:val="B15651"/>
          <w:w w:val="110"/>
          <w:sz w:val="22"/>
        </w:rPr>
        <w:t>of</w:t>
      </w:r>
    </w:p>
    <w:p>
      <w:pPr>
        <w:pStyle w:val="Heading7"/>
        <w:spacing w:line="304" w:lineRule="auto"/>
        <w:ind w:left="438" w:right="115"/>
        <w:rPr>
          <w:rFonts w:ascii="Arial" w:hAnsi="Arial"/>
        </w:rPr>
      </w:pPr>
      <w:r>
        <w:rPr>
          <w:rFonts w:ascii="Arial" w:hAnsi="Arial"/>
          <w:color w:val="B15651"/>
          <w:w w:val="110"/>
        </w:rPr>
        <w:t>other ancillary treatments tailored to patients’</w:t>
      </w:r>
      <w:r>
        <w:rPr>
          <w:rFonts w:ascii="Arial" w:hAnsi="Arial"/>
          <w:color w:val="B15651"/>
          <w:spacing w:val="-34"/>
          <w:w w:val="110"/>
        </w:rPr>
        <w:t> </w:t>
      </w:r>
      <w:r>
        <w:rPr>
          <w:rFonts w:ascii="Arial" w:hAnsi="Arial"/>
          <w:color w:val="B15651"/>
          <w:w w:val="110"/>
        </w:rPr>
        <w:t>needs,</w:t>
      </w:r>
      <w:r>
        <w:rPr>
          <w:rFonts w:ascii="Arial" w:hAnsi="Arial"/>
          <w:color w:val="B15651"/>
          <w:spacing w:val="-33"/>
          <w:w w:val="110"/>
        </w:rPr>
        <w:t> </w:t>
      </w:r>
      <w:r>
        <w:rPr>
          <w:rFonts w:ascii="Arial" w:hAnsi="Arial"/>
          <w:color w:val="B15651"/>
          <w:w w:val="110"/>
        </w:rPr>
        <w:t>goals,</w:t>
      </w:r>
      <w:r>
        <w:rPr>
          <w:rFonts w:ascii="Arial" w:hAnsi="Arial"/>
          <w:color w:val="B15651"/>
          <w:spacing w:val="-33"/>
          <w:w w:val="110"/>
        </w:rPr>
        <w:t> </w:t>
      </w:r>
      <w:r>
        <w:rPr>
          <w:rFonts w:ascii="Arial" w:hAnsi="Arial"/>
          <w:color w:val="B15651"/>
          <w:w w:val="110"/>
        </w:rPr>
        <w:t>and</w:t>
      </w:r>
      <w:r>
        <w:rPr>
          <w:rFonts w:ascii="Arial" w:hAnsi="Arial"/>
          <w:color w:val="B15651"/>
          <w:spacing w:val="-33"/>
          <w:w w:val="110"/>
        </w:rPr>
        <w:t> </w:t>
      </w:r>
      <w:r>
        <w:rPr>
          <w:rFonts w:ascii="Arial" w:hAnsi="Arial"/>
          <w:color w:val="B15651"/>
          <w:w w:val="110"/>
        </w:rPr>
        <w:t>preferences.</w:t>
      </w:r>
    </w:p>
    <w:p>
      <w:pPr>
        <w:pStyle w:val="BodyText"/>
        <w:spacing w:before="9"/>
        <w:rPr>
          <w:rFonts w:ascii="Arial"/>
          <w:b/>
          <w:sz w:val="24"/>
        </w:rPr>
      </w:pPr>
    </w:p>
    <w:p>
      <w:pPr>
        <w:pStyle w:val="BodyText"/>
        <w:spacing w:line="247" w:lineRule="auto"/>
        <w:ind w:left="139" w:right="40"/>
      </w:pPr>
      <w:r>
        <w:rPr>
          <w:color w:val="4D4D4F"/>
          <w:w w:val="110"/>
        </w:rPr>
        <w:t>expected that patients with the implants or </w:t>
      </w:r>
      <w:r>
        <w:rPr>
          <w:color w:val="4D4D4F"/>
          <w:spacing w:val="-3"/>
          <w:w w:val="110"/>
        </w:rPr>
        <w:t>those </w:t>
      </w:r>
      <w:r>
        <w:rPr>
          <w:color w:val="4D4D4F"/>
          <w:w w:val="110"/>
        </w:rPr>
        <w:t>treated with extended-release buprenorphine will receive medication management services with visits approximately weekly at the</w:t>
      </w:r>
      <w:r>
        <w:rPr>
          <w:color w:val="4D4D4F"/>
          <w:spacing w:val="-39"/>
          <w:w w:val="110"/>
        </w:rPr>
        <w:t> </w:t>
      </w:r>
      <w:r>
        <w:rPr>
          <w:color w:val="4D4D4F"/>
          <w:w w:val="110"/>
        </w:rPr>
        <w:t>start</w:t>
      </w:r>
    </w:p>
    <w:p>
      <w:pPr>
        <w:pStyle w:val="BodyText"/>
        <w:spacing w:line="247" w:lineRule="auto" w:before="5"/>
        <w:ind w:left="139"/>
      </w:pPr>
      <w:r>
        <w:rPr>
          <w:color w:val="4D4D4F"/>
          <w:w w:val="110"/>
        </w:rPr>
        <w:t>and then less frequently as clinically indicated based on patient treatment response. Likewise, patients treated with XR-NTX should be seen more than once per month when initiating the medication to monitor progress and assess and address any side effects.</w:t>
      </w:r>
    </w:p>
    <w:p>
      <w:pPr>
        <w:spacing w:line="256" w:lineRule="auto" w:before="222"/>
        <w:ind w:left="140" w:right="87" w:firstLine="0"/>
        <w:jc w:val="left"/>
        <w:rPr>
          <w:rFonts w:ascii="Calibri" w:hAnsi="Calibri"/>
          <w:b/>
          <w:sz w:val="22"/>
        </w:rPr>
      </w:pPr>
      <w:r>
        <w:rPr>
          <w:b/>
          <w:i/>
          <w:color w:val="137692"/>
          <w:spacing w:val="-3"/>
          <w:w w:val="105"/>
          <w:sz w:val="24"/>
        </w:rPr>
        <w:t>Drug </w:t>
      </w:r>
      <w:r>
        <w:rPr>
          <w:b/>
          <w:i/>
          <w:color w:val="137692"/>
          <w:spacing w:val="-5"/>
          <w:w w:val="105"/>
          <w:sz w:val="24"/>
        </w:rPr>
        <w:t>testing </w:t>
      </w:r>
      <w:r>
        <w:rPr>
          <w:b/>
          <w:i/>
          <w:color w:val="137692"/>
          <w:w w:val="105"/>
          <w:sz w:val="24"/>
        </w:rPr>
        <w:t>in</w:t>
      </w:r>
      <w:r>
        <w:rPr>
          <w:b/>
          <w:i/>
          <w:color w:val="137692"/>
          <w:spacing w:val="-51"/>
          <w:w w:val="105"/>
          <w:sz w:val="24"/>
        </w:rPr>
        <w:t> </w:t>
      </w:r>
      <w:r>
        <w:rPr>
          <w:b/>
          <w:i/>
          <w:color w:val="137692"/>
          <w:spacing w:val="-4"/>
          <w:w w:val="105"/>
          <w:sz w:val="24"/>
        </w:rPr>
        <w:t>ongoing medical </w:t>
      </w:r>
      <w:r>
        <w:rPr>
          <w:b/>
          <w:i/>
          <w:color w:val="137692"/>
          <w:spacing w:val="-5"/>
          <w:w w:val="105"/>
          <w:sz w:val="24"/>
        </w:rPr>
        <w:t>management </w:t>
      </w:r>
      <w:r>
        <w:rPr>
          <w:rFonts w:ascii="Calibri" w:hAnsi="Calibri"/>
          <w:b/>
          <w:color w:val="4D4D4F"/>
          <w:w w:val="110"/>
          <w:sz w:val="22"/>
        </w:rPr>
        <w:t>Ongoing  clinical  monitoring  that  includes drug</w:t>
      </w:r>
      <w:r>
        <w:rPr>
          <w:rFonts w:ascii="Calibri" w:hAnsi="Calibri"/>
          <w:b/>
          <w:color w:val="4D4D4F"/>
          <w:spacing w:val="21"/>
          <w:w w:val="110"/>
          <w:sz w:val="22"/>
        </w:rPr>
        <w:t> </w:t>
      </w:r>
      <w:r>
        <w:rPr>
          <w:rFonts w:ascii="Calibri" w:hAnsi="Calibri"/>
          <w:b/>
          <w:color w:val="4D4D4F"/>
          <w:w w:val="110"/>
          <w:sz w:val="22"/>
        </w:rPr>
        <w:t>testing</w:t>
      </w:r>
      <w:r>
        <w:rPr>
          <w:rFonts w:ascii="Calibri" w:hAnsi="Calibri"/>
          <w:b/>
          <w:color w:val="4D4D4F"/>
          <w:spacing w:val="21"/>
          <w:w w:val="110"/>
          <w:sz w:val="22"/>
        </w:rPr>
        <w:t> </w:t>
      </w:r>
      <w:r>
        <w:rPr>
          <w:rFonts w:ascii="Calibri" w:hAnsi="Calibri"/>
          <w:b/>
          <w:color w:val="4D4D4F"/>
          <w:w w:val="110"/>
          <w:sz w:val="22"/>
        </w:rPr>
        <w:t>of</w:t>
      </w:r>
      <w:r>
        <w:rPr>
          <w:rFonts w:ascii="Calibri" w:hAnsi="Calibri"/>
          <w:b/>
          <w:color w:val="4D4D4F"/>
          <w:spacing w:val="21"/>
          <w:w w:val="110"/>
          <w:sz w:val="22"/>
        </w:rPr>
        <w:t> </w:t>
      </w:r>
      <w:r>
        <w:rPr>
          <w:rFonts w:ascii="Calibri" w:hAnsi="Calibri"/>
          <w:b/>
          <w:color w:val="4D4D4F"/>
          <w:w w:val="110"/>
          <w:sz w:val="22"/>
        </w:rPr>
        <w:t>urine</w:t>
      </w:r>
      <w:r>
        <w:rPr>
          <w:rFonts w:ascii="Calibri" w:hAnsi="Calibri"/>
          <w:b/>
          <w:color w:val="4D4D4F"/>
          <w:spacing w:val="22"/>
          <w:w w:val="110"/>
          <w:sz w:val="22"/>
        </w:rPr>
        <w:t> </w:t>
      </w:r>
      <w:r>
        <w:rPr>
          <w:rFonts w:ascii="Calibri" w:hAnsi="Calibri"/>
          <w:b/>
          <w:color w:val="4D4D4F"/>
          <w:w w:val="110"/>
          <w:sz w:val="22"/>
        </w:rPr>
        <w:t>or</w:t>
      </w:r>
      <w:r>
        <w:rPr>
          <w:rFonts w:ascii="Calibri" w:hAnsi="Calibri"/>
          <w:b/>
          <w:color w:val="4D4D4F"/>
          <w:spacing w:val="21"/>
          <w:w w:val="110"/>
          <w:sz w:val="22"/>
        </w:rPr>
        <w:t> </w:t>
      </w:r>
      <w:r>
        <w:rPr>
          <w:rFonts w:ascii="Calibri" w:hAnsi="Calibri"/>
          <w:b/>
          <w:color w:val="4D4D4F"/>
          <w:w w:val="110"/>
          <w:sz w:val="22"/>
        </w:rPr>
        <w:t>oral</w:t>
      </w:r>
      <w:r>
        <w:rPr>
          <w:rFonts w:ascii="Calibri" w:hAnsi="Calibri"/>
          <w:b/>
          <w:color w:val="4D4D4F"/>
          <w:spacing w:val="21"/>
          <w:w w:val="110"/>
          <w:sz w:val="22"/>
        </w:rPr>
        <w:t> </w:t>
      </w:r>
      <w:r>
        <w:rPr>
          <w:rFonts w:ascii="Calibri" w:hAnsi="Calibri"/>
          <w:b/>
          <w:color w:val="4D4D4F"/>
          <w:w w:val="110"/>
          <w:sz w:val="22"/>
        </w:rPr>
        <w:t>ﬂuid</w:t>
      </w:r>
      <w:r>
        <w:rPr>
          <w:rFonts w:ascii="Calibri" w:hAnsi="Calibri"/>
          <w:b/>
          <w:color w:val="4D4D4F"/>
          <w:spacing w:val="21"/>
          <w:w w:val="110"/>
          <w:sz w:val="22"/>
        </w:rPr>
        <w:t> </w:t>
      </w:r>
      <w:r>
        <w:rPr>
          <w:rFonts w:ascii="Calibri" w:hAnsi="Calibri"/>
          <w:b/>
          <w:color w:val="4D4D4F"/>
          <w:w w:val="110"/>
          <w:sz w:val="22"/>
        </w:rPr>
        <w:t>specimens</w:t>
      </w:r>
    </w:p>
    <w:p>
      <w:pPr>
        <w:spacing w:line="245" w:lineRule="exact" w:before="0"/>
        <w:ind w:left="140" w:right="0" w:firstLine="0"/>
        <w:jc w:val="left"/>
        <w:rPr>
          <w:sz w:val="22"/>
        </w:rPr>
      </w:pPr>
      <w:r>
        <w:rPr>
          <w:rFonts w:ascii="Calibri"/>
          <w:b/>
          <w:color w:val="4D4D4F"/>
          <w:w w:val="115"/>
          <w:sz w:val="22"/>
        </w:rPr>
        <w:t>is part of good practice. </w:t>
      </w:r>
      <w:r>
        <w:rPr>
          <w:color w:val="4D4D4F"/>
          <w:w w:val="115"/>
          <w:sz w:val="22"/>
        </w:rPr>
        <w:t>Objective evidence of</w:t>
      </w:r>
    </w:p>
    <w:p>
      <w:pPr>
        <w:pStyle w:val="BodyText"/>
        <w:spacing w:line="247" w:lineRule="auto"/>
        <w:ind w:left="140"/>
      </w:pPr>
      <w:r>
        <w:rPr>
          <w:color w:val="4D4D4F"/>
          <w:w w:val="110"/>
        </w:rPr>
        <w:t>any ongoing illicit substance use is important to consider along with patient reports. Patients may not wish to disclose recent drug use because</w:t>
      </w:r>
    </w:p>
    <w:p>
      <w:pPr>
        <w:pStyle w:val="BodyText"/>
        <w:spacing w:line="247" w:lineRule="auto" w:before="4"/>
        <w:ind w:left="140" w:right="437"/>
      </w:pPr>
      <w:r>
        <w:rPr>
          <w:color w:val="4D4D4F"/>
          <w:w w:val="115"/>
        </w:rPr>
        <w:t>of</w:t>
      </w:r>
      <w:r>
        <w:rPr>
          <w:color w:val="4D4D4F"/>
          <w:spacing w:val="-20"/>
          <w:w w:val="115"/>
        </w:rPr>
        <w:t> </w:t>
      </w:r>
      <w:r>
        <w:rPr>
          <w:color w:val="4D4D4F"/>
          <w:w w:val="115"/>
        </w:rPr>
        <w:t>shame,</w:t>
      </w:r>
      <w:r>
        <w:rPr>
          <w:color w:val="4D4D4F"/>
          <w:spacing w:val="-20"/>
          <w:w w:val="115"/>
        </w:rPr>
        <w:t> </w:t>
      </w:r>
      <w:r>
        <w:rPr>
          <w:color w:val="4D4D4F"/>
          <w:w w:val="115"/>
        </w:rPr>
        <w:t>fear</w:t>
      </w:r>
      <w:r>
        <w:rPr>
          <w:color w:val="4D4D4F"/>
          <w:spacing w:val="-20"/>
          <w:w w:val="115"/>
        </w:rPr>
        <w:t> </w:t>
      </w:r>
      <w:r>
        <w:rPr>
          <w:color w:val="4D4D4F"/>
          <w:w w:val="115"/>
        </w:rPr>
        <w:t>of</w:t>
      </w:r>
      <w:r>
        <w:rPr>
          <w:color w:val="4D4D4F"/>
          <w:spacing w:val="-20"/>
          <w:w w:val="115"/>
        </w:rPr>
        <w:t> </w:t>
      </w:r>
      <w:r>
        <w:rPr>
          <w:color w:val="4D4D4F"/>
          <w:w w:val="115"/>
        </w:rPr>
        <w:t>punishment,</w:t>
      </w:r>
      <w:r>
        <w:rPr>
          <w:color w:val="4D4D4F"/>
          <w:spacing w:val="-20"/>
          <w:w w:val="115"/>
        </w:rPr>
        <w:t> </w:t>
      </w:r>
      <w:r>
        <w:rPr>
          <w:color w:val="4D4D4F"/>
          <w:w w:val="115"/>
        </w:rPr>
        <w:t>or</w:t>
      </w:r>
      <w:r>
        <w:rPr>
          <w:color w:val="4D4D4F"/>
          <w:spacing w:val="-20"/>
          <w:w w:val="115"/>
        </w:rPr>
        <w:t> </w:t>
      </w:r>
      <w:r>
        <w:rPr>
          <w:color w:val="4D4D4F"/>
          <w:w w:val="115"/>
        </w:rPr>
        <w:t>even</w:t>
      </w:r>
      <w:r>
        <w:rPr>
          <w:color w:val="4D4D4F"/>
          <w:spacing w:val="-20"/>
          <w:w w:val="115"/>
        </w:rPr>
        <w:t> </w:t>
      </w:r>
      <w:r>
        <w:rPr>
          <w:color w:val="4D4D4F"/>
          <w:w w:val="115"/>
        </w:rPr>
        <w:t>fear</w:t>
      </w:r>
      <w:r>
        <w:rPr>
          <w:color w:val="4D4D4F"/>
          <w:spacing w:val="-20"/>
          <w:w w:val="115"/>
        </w:rPr>
        <w:t> </w:t>
      </w:r>
      <w:r>
        <w:rPr>
          <w:color w:val="4D4D4F"/>
          <w:spacing w:val="-9"/>
          <w:w w:val="115"/>
        </w:rPr>
        <w:t>of </w:t>
      </w:r>
      <w:r>
        <w:rPr>
          <w:color w:val="4D4D4F"/>
          <w:w w:val="115"/>
        </w:rPr>
        <w:t>discharge from</w:t>
      </w:r>
      <w:r>
        <w:rPr>
          <w:color w:val="4D4D4F"/>
          <w:spacing w:val="-24"/>
          <w:w w:val="115"/>
        </w:rPr>
        <w:t> </w:t>
      </w:r>
      <w:r>
        <w:rPr>
          <w:color w:val="4D4D4F"/>
          <w:w w:val="115"/>
        </w:rPr>
        <w:t>treatment.</w:t>
      </w:r>
    </w:p>
    <w:p>
      <w:pPr>
        <w:spacing w:line="237" w:lineRule="auto" w:before="180"/>
        <w:ind w:left="140" w:right="0" w:firstLine="0"/>
        <w:jc w:val="left"/>
        <w:rPr>
          <w:sz w:val="22"/>
        </w:rPr>
      </w:pPr>
      <w:r>
        <w:rPr>
          <w:rFonts w:ascii="Calibri"/>
          <w:b/>
          <w:color w:val="4D4D4F"/>
          <w:w w:val="110"/>
          <w:sz w:val="22"/>
        </w:rPr>
        <w:t>Explain to patients that testing will help them meet treatment goals </w:t>
      </w:r>
      <w:r>
        <w:rPr>
          <w:color w:val="4D4D4F"/>
          <w:w w:val="110"/>
          <w:sz w:val="22"/>
        </w:rPr>
        <w:t>and is not performed to render punishments. Results help:</w:t>
      </w:r>
    </w:p>
    <w:p>
      <w:pPr>
        <w:pStyle w:val="ListParagraph"/>
        <w:numPr>
          <w:ilvl w:val="0"/>
          <w:numId w:val="29"/>
        </w:numPr>
        <w:tabs>
          <w:tab w:pos="410" w:val="left" w:leader="none"/>
        </w:tabs>
        <w:spacing w:line="208" w:lineRule="auto" w:before="136" w:after="0"/>
        <w:ind w:left="410" w:right="261" w:hanging="270"/>
        <w:jc w:val="left"/>
        <w:rPr>
          <w:rFonts w:ascii="Arial" w:hAnsi="Arial"/>
          <w:color w:val="137692"/>
          <w:sz w:val="28"/>
        </w:rPr>
      </w:pPr>
      <w:r>
        <w:rPr>
          <w:color w:val="4D4D4F"/>
          <w:w w:val="110"/>
          <w:sz w:val="22"/>
        </w:rPr>
        <w:t>Detect medication nonadherence that </w:t>
      </w:r>
      <w:r>
        <w:rPr>
          <w:color w:val="4D4D4F"/>
          <w:spacing w:val="-4"/>
          <w:w w:val="110"/>
          <w:sz w:val="22"/>
        </w:rPr>
        <w:t>could </w:t>
      </w:r>
      <w:r>
        <w:rPr>
          <w:color w:val="4D4D4F"/>
          <w:w w:val="110"/>
          <w:sz w:val="22"/>
        </w:rPr>
        <w:t>cause harm (e.g., unintentional</w:t>
      </w:r>
      <w:r>
        <w:rPr>
          <w:color w:val="4D4D4F"/>
          <w:spacing w:val="6"/>
          <w:w w:val="110"/>
          <w:sz w:val="22"/>
        </w:rPr>
        <w:t> </w:t>
      </w:r>
      <w:r>
        <w:rPr>
          <w:color w:val="4D4D4F"/>
          <w:w w:val="110"/>
          <w:sz w:val="22"/>
        </w:rPr>
        <w:t>overdose).</w:t>
      </w:r>
    </w:p>
    <w:p>
      <w:pPr>
        <w:pStyle w:val="ListParagraph"/>
        <w:numPr>
          <w:ilvl w:val="0"/>
          <w:numId w:val="29"/>
        </w:numPr>
        <w:tabs>
          <w:tab w:pos="410" w:val="left" w:leader="none"/>
        </w:tabs>
        <w:spacing w:line="208" w:lineRule="auto" w:before="69" w:after="0"/>
        <w:ind w:left="410" w:right="200" w:hanging="270"/>
        <w:jc w:val="left"/>
        <w:rPr>
          <w:rFonts w:ascii="Arial" w:hAnsi="Arial"/>
          <w:color w:val="137692"/>
          <w:sz w:val="28"/>
        </w:rPr>
      </w:pPr>
      <w:r>
        <w:rPr>
          <w:color w:val="4D4D4F"/>
          <w:w w:val="110"/>
          <w:sz w:val="22"/>
        </w:rPr>
        <w:t>Monitor abstinence and response to </w:t>
      </w:r>
      <w:r>
        <w:rPr>
          <w:color w:val="4D4D4F"/>
          <w:spacing w:val="-3"/>
          <w:w w:val="110"/>
          <w:sz w:val="22"/>
        </w:rPr>
        <w:t>medica- </w:t>
      </w:r>
      <w:r>
        <w:rPr>
          <w:color w:val="4D4D4F"/>
          <w:w w:val="110"/>
          <w:sz w:val="22"/>
        </w:rPr>
        <w:t>tion</w:t>
      </w:r>
      <w:r>
        <w:rPr>
          <w:color w:val="4D4D4F"/>
          <w:spacing w:val="-7"/>
          <w:w w:val="110"/>
          <w:sz w:val="22"/>
        </w:rPr>
        <w:t> </w:t>
      </w:r>
      <w:r>
        <w:rPr>
          <w:color w:val="4D4D4F"/>
          <w:w w:val="110"/>
          <w:sz w:val="22"/>
        </w:rPr>
        <w:t>treatment.</w:t>
      </w:r>
    </w:p>
    <w:p>
      <w:pPr>
        <w:pStyle w:val="ListParagraph"/>
        <w:numPr>
          <w:ilvl w:val="0"/>
          <w:numId w:val="29"/>
        </w:numPr>
        <w:tabs>
          <w:tab w:pos="410" w:val="left" w:leader="none"/>
        </w:tabs>
        <w:spacing w:line="315" w:lineRule="exact" w:before="41" w:after="0"/>
        <w:ind w:left="410" w:right="0" w:hanging="270"/>
        <w:jc w:val="left"/>
        <w:rPr>
          <w:rFonts w:ascii="Arial" w:hAnsi="Arial"/>
          <w:color w:val="137692"/>
          <w:sz w:val="28"/>
        </w:rPr>
      </w:pPr>
      <w:r>
        <w:rPr>
          <w:color w:val="4D4D4F"/>
          <w:w w:val="110"/>
          <w:sz w:val="22"/>
        </w:rPr>
        <w:t>Counsel and improve treatment</w:t>
      </w:r>
      <w:r>
        <w:rPr>
          <w:color w:val="4D4D4F"/>
          <w:spacing w:val="-17"/>
          <w:w w:val="110"/>
          <w:sz w:val="22"/>
        </w:rPr>
        <w:t> </w:t>
      </w:r>
      <w:r>
        <w:rPr>
          <w:color w:val="4D4D4F"/>
          <w:w w:val="110"/>
          <w:sz w:val="22"/>
        </w:rPr>
        <w:t>plans.</w:t>
      </w:r>
    </w:p>
    <w:p>
      <w:pPr>
        <w:pStyle w:val="ListParagraph"/>
        <w:numPr>
          <w:ilvl w:val="0"/>
          <w:numId w:val="29"/>
        </w:numPr>
        <w:tabs>
          <w:tab w:pos="410" w:val="left" w:leader="none"/>
        </w:tabs>
        <w:spacing w:line="208" w:lineRule="auto" w:before="21" w:after="0"/>
        <w:ind w:left="410" w:right="392" w:hanging="270"/>
        <w:jc w:val="left"/>
        <w:rPr>
          <w:rFonts w:ascii="Arial" w:hAnsi="Arial"/>
          <w:color w:val="137692"/>
          <w:sz w:val="28"/>
        </w:rPr>
      </w:pPr>
      <w:r>
        <w:rPr>
          <w:color w:val="4D4D4F"/>
          <w:w w:val="115"/>
          <w:sz w:val="22"/>
        </w:rPr>
        <w:t>Detect</w:t>
      </w:r>
      <w:r>
        <w:rPr>
          <w:color w:val="4D4D4F"/>
          <w:spacing w:val="-37"/>
          <w:w w:val="115"/>
          <w:sz w:val="22"/>
        </w:rPr>
        <w:t> </w:t>
      </w:r>
      <w:r>
        <w:rPr>
          <w:color w:val="4D4D4F"/>
          <w:w w:val="115"/>
          <w:sz w:val="22"/>
        </w:rPr>
        <w:t>a</w:t>
      </w:r>
      <w:r>
        <w:rPr>
          <w:color w:val="4D4D4F"/>
          <w:spacing w:val="-36"/>
          <w:w w:val="115"/>
          <w:sz w:val="22"/>
        </w:rPr>
        <w:t> </w:t>
      </w:r>
      <w:r>
        <w:rPr>
          <w:color w:val="4D4D4F"/>
          <w:w w:val="115"/>
          <w:sz w:val="22"/>
        </w:rPr>
        <w:t>return</w:t>
      </w:r>
      <w:r>
        <w:rPr>
          <w:color w:val="4D4D4F"/>
          <w:spacing w:val="-37"/>
          <w:w w:val="115"/>
          <w:sz w:val="22"/>
        </w:rPr>
        <w:t> </w:t>
      </w:r>
      <w:r>
        <w:rPr>
          <w:color w:val="4D4D4F"/>
          <w:w w:val="115"/>
          <w:sz w:val="22"/>
        </w:rPr>
        <w:t>to</w:t>
      </w:r>
      <w:r>
        <w:rPr>
          <w:color w:val="4D4D4F"/>
          <w:spacing w:val="-36"/>
          <w:w w:val="115"/>
          <w:sz w:val="22"/>
        </w:rPr>
        <w:t> </w:t>
      </w:r>
      <w:r>
        <w:rPr>
          <w:color w:val="4D4D4F"/>
          <w:w w:val="115"/>
          <w:sz w:val="22"/>
        </w:rPr>
        <w:t>illicit</w:t>
      </w:r>
      <w:r>
        <w:rPr>
          <w:color w:val="4D4D4F"/>
          <w:spacing w:val="-37"/>
          <w:w w:val="115"/>
          <w:sz w:val="22"/>
        </w:rPr>
        <w:t> </w:t>
      </w:r>
      <w:r>
        <w:rPr>
          <w:color w:val="4D4D4F"/>
          <w:w w:val="115"/>
          <w:sz w:val="22"/>
        </w:rPr>
        <w:t>opioid</w:t>
      </w:r>
      <w:r>
        <w:rPr>
          <w:color w:val="4D4D4F"/>
          <w:spacing w:val="-36"/>
          <w:w w:val="115"/>
          <w:sz w:val="22"/>
        </w:rPr>
        <w:t> </w:t>
      </w:r>
      <w:r>
        <w:rPr>
          <w:color w:val="4D4D4F"/>
          <w:w w:val="115"/>
          <w:sz w:val="22"/>
        </w:rPr>
        <w:t>use</w:t>
      </w:r>
      <w:r>
        <w:rPr>
          <w:color w:val="4D4D4F"/>
          <w:spacing w:val="-37"/>
          <w:w w:val="115"/>
          <w:sz w:val="22"/>
        </w:rPr>
        <w:t> </w:t>
      </w:r>
      <w:r>
        <w:rPr>
          <w:color w:val="4D4D4F"/>
          <w:w w:val="115"/>
          <w:sz w:val="22"/>
        </w:rPr>
        <w:t>or</w:t>
      </w:r>
      <w:r>
        <w:rPr>
          <w:color w:val="4D4D4F"/>
          <w:spacing w:val="-36"/>
          <w:w w:val="115"/>
          <w:sz w:val="22"/>
        </w:rPr>
        <w:t> </w:t>
      </w:r>
      <w:r>
        <w:rPr>
          <w:color w:val="4D4D4F"/>
          <w:spacing w:val="-4"/>
          <w:w w:val="115"/>
          <w:sz w:val="22"/>
        </w:rPr>
        <w:t>other </w:t>
      </w:r>
      <w:r>
        <w:rPr>
          <w:color w:val="4D4D4F"/>
          <w:w w:val="115"/>
          <w:sz w:val="22"/>
        </w:rPr>
        <w:t>substance</w:t>
      </w:r>
      <w:r>
        <w:rPr>
          <w:color w:val="4D4D4F"/>
          <w:spacing w:val="-10"/>
          <w:w w:val="115"/>
          <w:sz w:val="22"/>
        </w:rPr>
        <w:t> </w:t>
      </w:r>
      <w:r>
        <w:rPr>
          <w:color w:val="4D4D4F"/>
          <w:w w:val="115"/>
          <w:sz w:val="22"/>
        </w:rPr>
        <w:t>use.</w:t>
      </w:r>
    </w:p>
    <w:p>
      <w:pPr>
        <w:pStyle w:val="BodyText"/>
        <w:spacing w:line="244" w:lineRule="auto" w:before="97"/>
        <w:ind w:left="139" w:right="253"/>
      </w:pPr>
      <w:r>
        <w:rPr/>
        <w:br w:type="column"/>
      </w:r>
      <w:r>
        <w:rPr>
          <w:rFonts w:ascii="Calibri" w:hAnsi="Calibri"/>
          <w:b/>
          <w:color w:val="4D4D4F"/>
          <w:w w:val="110"/>
        </w:rPr>
        <w:t>The TIP expert panel recommends periodic random testing. </w:t>
      </w:r>
      <w:r>
        <w:rPr>
          <w:color w:val="4D4D4F"/>
          <w:w w:val="110"/>
        </w:rPr>
        <w:t>Drug testing frequency should be clinically determined. It should occur at least at the time of the initial evaluation and initiation of medication (naltrexone, buprenorphine) and at a frequency consistent with ofﬁce visits (e.g., weekly initially).</w:t>
      </w:r>
    </w:p>
    <w:p>
      <w:pPr>
        <w:pStyle w:val="BodyText"/>
        <w:spacing w:line="244" w:lineRule="auto" w:before="179"/>
        <w:ind w:left="139" w:right="204"/>
      </w:pPr>
      <w:r>
        <w:rPr>
          <w:rFonts w:ascii="Calibri" w:hAnsi="Calibri"/>
          <w:b/>
          <w:color w:val="4D4D4F"/>
          <w:w w:val="110"/>
        </w:rPr>
        <w:t>Point-of-service tests give immediate results, allowing ﬁndings and implications to be discussed with patients during visits. </w:t>
      </w:r>
      <w:r>
        <w:rPr>
          <w:color w:val="4D4D4F"/>
          <w:spacing w:val="-3"/>
          <w:w w:val="110"/>
        </w:rPr>
        <w:t>However, </w:t>
      </w:r>
      <w:r>
        <w:rPr>
          <w:color w:val="4D4D4F"/>
          <w:w w:val="110"/>
        </w:rPr>
        <w:t>some circumstances require conﬁrmatory labo- ratory testing, such as when the patient contests the results and when testing for employment or legal monitoring. In these cases, samples may need to be collected and sent to a Department of Health and Human Services-certiﬁed labora- tory under strict chain-of-custody procedure. In addition, norbuprenorphine may not be available in point-of-service tests and therefore, periodi- </w:t>
      </w:r>
      <w:r>
        <w:rPr>
          <w:color w:val="4D4D4F"/>
          <w:spacing w:val="-3"/>
          <w:w w:val="110"/>
        </w:rPr>
        <w:t>cally, </w:t>
      </w:r>
      <w:r>
        <w:rPr>
          <w:color w:val="4D4D4F"/>
          <w:w w:val="110"/>
        </w:rPr>
        <w:t>a specimen should be sent to a laboratory for testing. Important aspects of testing</w:t>
      </w:r>
      <w:r>
        <w:rPr>
          <w:color w:val="4D4D4F"/>
          <w:spacing w:val="59"/>
          <w:w w:val="110"/>
        </w:rPr>
        <w:t> </w:t>
      </w:r>
      <w:r>
        <w:rPr>
          <w:color w:val="4D4D4F"/>
          <w:w w:val="110"/>
        </w:rPr>
        <w:t>include:</w:t>
      </w:r>
    </w:p>
    <w:p>
      <w:pPr>
        <w:pStyle w:val="ListParagraph"/>
        <w:numPr>
          <w:ilvl w:val="0"/>
          <w:numId w:val="29"/>
        </w:numPr>
        <w:tabs>
          <w:tab w:pos="410" w:val="left" w:leader="none"/>
        </w:tabs>
        <w:spacing w:line="315" w:lineRule="exact" w:before="114" w:after="0"/>
        <w:ind w:left="409" w:right="0" w:hanging="271"/>
        <w:jc w:val="left"/>
        <w:rPr>
          <w:rFonts w:ascii="Arial" w:hAnsi="Arial"/>
          <w:color w:val="137692"/>
          <w:sz w:val="28"/>
        </w:rPr>
      </w:pPr>
      <w:r>
        <w:rPr>
          <w:color w:val="4D4D4F"/>
          <w:spacing w:val="-4"/>
          <w:w w:val="115"/>
          <w:sz w:val="22"/>
        </w:rPr>
        <w:t>Testing</w:t>
      </w:r>
      <w:r>
        <w:rPr>
          <w:color w:val="4D4D4F"/>
          <w:spacing w:val="-11"/>
          <w:w w:val="115"/>
          <w:sz w:val="22"/>
        </w:rPr>
        <w:t> </w:t>
      </w:r>
      <w:r>
        <w:rPr>
          <w:color w:val="4D4D4F"/>
          <w:w w:val="115"/>
          <w:sz w:val="22"/>
        </w:rPr>
        <w:t>technology.</w:t>
      </w:r>
    </w:p>
    <w:p>
      <w:pPr>
        <w:pStyle w:val="ListParagraph"/>
        <w:numPr>
          <w:ilvl w:val="0"/>
          <w:numId w:val="29"/>
        </w:numPr>
        <w:tabs>
          <w:tab w:pos="410" w:val="left" w:leader="none"/>
        </w:tabs>
        <w:spacing w:line="307" w:lineRule="exact" w:before="0" w:after="0"/>
        <w:ind w:left="409" w:right="0" w:hanging="271"/>
        <w:jc w:val="left"/>
        <w:rPr>
          <w:rFonts w:ascii="Arial" w:hAnsi="Arial"/>
          <w:color w:val="137692"/>
          <w:sz w:val="28"/>
        </w:rPr>
      </w:pPr>
      <w:r>
        <w:rPr>
          <w:color w:val="4D4D4F"/>
          <w:w w:val="110"/>
          <w:sz w:val="22"/>
        </w:rPr>
        <w:t>The cutoffs for positive</w:t>
      </w:r>
      <w:r>
        <w:rPr>
          <w:color w:val="4D4D4F"/>
          <w:spacing w:val="-24"/>
          <w:w w:val="110"/>
          <w:sz w:val="22"/>
        </w:rPr>
        <w:t> </w:t>
      </w:r>
      <w:r>
        <w:rPr>
          <w:color w:val="4D4D4F"/>
          <w:w w:val="110"/>
          <w:sz w:val="22"/>
        </w:rPr>
        <w:t>tests.</w:t>
      </w:r>
    </w:p>
    <w:p>
      <w:pPr>
        <w:pStyle w:val="ListParagraph"/>
        <w:numPr>
          <w:ilvl w:val="0"/>
          <w:numId w:val="29"/>
        </w:numPr>
        <w:tabs>
          <w:tab w:pos="410" w:val="left" w:leader="none"/>
        </w:tabs>
        <w:spacing w:line="307" w:lineRule="exact" w:before="0" w:after="0"/>
        <w:ind w:left="409" w:right="0" w:hanging="271"/>
        <w:jc w:val="left"/>
        <w:rPr>
          <w:rFonts w:ascii="Arial" w:hAnsi="Arial"/>
          <w:color w:val="137692"/>
          <w:sz w:val="28"/>
        </w:rPr>
      </w:pPr>
      <w:r>
        <w:rPr>
          <w:color w:val="4D4D4F"/>
          <w:w w:val="110"/>
          <w:sz w:val="22"/>
        </w:rPr>
        <w:t>Any administrative</w:t>
      </w:r>
      <w:r>
        <w:rPr>
          <w:color w:val="4D4D4F"/>
          <w:spacing w:val="-12"/>
          <w:w w:val="110"/>
          <w:sz w:val="22"/>
        </w:rPr>
        <w:t> </w:t>
      </w:r>
      <w:r>
        <w:rPr>
          <w:color w:val="4D4D4F"/>
          <w:w w:val="110"/>
          <w:sz w:val="22"/>
        </w:rPr>
        <w:t>requirements.</w:t>
      </w:r>
    </w:p>
    <w:p>
      <w:pPr>
        <w:pStyle w:val="ListParagraph"/>
        <w:numPr>
          <w:ilvl w:val="0"/>
          <w:numId w:val="29"/>
        </w:numPr>
        <w:tabs>
          <w:tab w:pos="410" w:val="left" w:leader="none"/>
        </w:tabs>
        <w:spacing w:line="307" w:lineRule="exact" w:before="0" w:after="0"/>
        <w:ind w:left="409" w:right="0" w:hanging="271"/>
        <w:jc w:val="left"/>
        <w:rPr>
          <w:rFonts w:ascii="Arial" w:hAnsi="Arial"/>
          <w:color w:val="137692"/>
          <w:sz w:val="28"/>
        </w:rPr>
      </w:pPr>
      <w:r>
        <w:rPr>
          <w:color w:val="4D4D4F"/>
          <w:w w:val="110"/>
          <w:sz w:val="22"/>
        </w:rPr>
        <w:t>Time windows to detect a positive</w:t>
      </w:r>
      <w:r>
        <w:rPr>
          <w:color w:val="4D4D4F"/>
          <w:spacing w:val="-36"/>
          <w:w w:val="110"/>
          <w:sz w:val="22"/>
        </w:rPr>
        <w:t> </w:t>
      </w:r>
      <w:r>
        <w:rPr>
          <w:color w:val="4D4D4F"/>
          <w:w w:val="110"/>
          <w:sz w:val="22"/>
        </w:rPr>
        <w:t>result.</w:t>
      </w:r>
    </w:p>
    <w:p>
      <w:pPr>
        <w:pStyle w:val="ListParagraph"/>
        <w:numPr>
          <w:ilvl w:val="0"/>
          <w:numId w:val="29"/>
        </w:numPr>
        <w:tabs>
          <w:tab w:pos="410" w:val="left" w:leader="none"/>
        </w:tabs>
        <w:spacing w:line="307" w:lineRule="exact" w:before="0" w:after="0"/>
        <w:ind w:left="409" w:right="0" w:hanging="271"/>
        <w:jc w:val="left"/>
        <w:rPr>
          <w:rFonts w:ascii="Arial" w:hAnsi="Arial"/>
          <w:color w:val="137692"/>
          <w:sz w:val="28"/>
        </w:rPr>
      </w:pPr>
      <w:r>
        <w:rPr>
          <w:color w:val="4D4D4F"/>
          <w:w w:val="110"/>
          <w:sz w:val="22"/>
        </w:rPr>
        <w:t>Cross-reactivity, sensitivity, and</w:t>
      </w:r>
      <w:r>
        <w:rPr>
          <w:color w:val="4D4D4F"/>
          <w:spacing w:val="-29"/>
          <w:w w:val="110"/>
          <w:sz w:val="22"/>
        </w:rPr>
        <w:t> </w:t>
      </w:r>
      <w:r>
        <w:rPr>
          <w:color w:val="4D4D4F"/>
          <w:w w:val="110"/>
          <w:sz w:val="22"/>
        </w:rPr>
        <w:t>speciﬁcity.</w:t>
      </w:r>
    </w:p>
    <w:p>
      <w:pPr>
        <w:pStyle w:val="ListParagraph"/>
        <w:numPr>
          <w:ilvl w:val="0"/>
          <w:numId w:val="29"/>
        </w:numPr>
        <w:tabs>
          <w:tab w:pos="410" w:val="left" w:leader="none"/>
        </w:tabs>
        <w:spacing w:line="225" w:lineRule="auto" w:before="6" w:after="0"/>
        <w:ind w:left="409" w:right="773" w:hanging="270"/>
        <w:jc w:val="both"/>
        <w:rPr>
          <w:rFonts w:ascii="Arial" w:hAnsi="Arial"/>
          <w:color w:val="137692"/>
          <w:sz w:val="28"/>
        </w:rPr>
      </w:pPr>
      <w:r>
        <w:rPr>
          <w:color w:val="4D4D4F"/>
          <w:spacing w:val="-7"/>
          <w:w w:val="110"/>
          <w:sz w:val="22"/>
        </w:rPr>
        <w:t>Test</w:t>
      </w:r>
      <w:r>
        <w:rPr>
          <w:color w:val="4D4D4F"/>
          <w:spacing w:val="-13"/>
          <w:w w:val="110"/>
          <w:sz w:val="22"/>
        </w:rPr>
        <w:t> </w:t>
      </w:r>
      <w:r>
        <w:rPr>
          <w:color w:val="4D4D4F"/>
          <w:w w:val="110"/>
          <w:sz w:val="22"/>
        </w:rPr>
        <w:t>interpretation.</w:t>
      </w:r>
      <w:r>
        <w:rPr>
          <w:color w:val="4D4D4F"/>
          <w:spacing w:val="-12"/>
          <w:w w:val="110"/>
          <w:sz w:val="22"/>
        </w:rPr>
        <w:t> </w:t>
      </w:r>
      <w:r>
        <w:rPr>
          <w:color w:val="4D4D4F"/>
          <w:w w:val="110"/>
          <w:sz w:val="22"/>
        </w:rPr>
        <w:t>(See</w:t>
      </w:r>
      <w:r>
        <w:rPr>
          <w:color w:val="4D4D4F"/>
          <w:spacing w:val="-13"/>
          <w:w w:val="110"/>
          <w:sz w:val="22"/>
        </w:rPr>
        <w:t> </w:t>
      </w:r>
      <w:r>
        <w:rPr>
          <w:color w:val="4D4D4F"/>
          <w:w w:val="110"/>
          <w:sz w:val="22"/>
        </w:rPr>
        <w:t>Part</w:t>
      </w:r>
      <w:r>
        <w:rPr>
          <w:color w:val="4D4D4F"/>
          <w:spacing w:val="-12"/>
          <w:w w:val="110"/>
          <w:sz w:val="22"/>
        </w:rPr>
        <w:t> </w:t>
      </w:r>
      <w:r>
        <w:rPr>
          <w:color w:val="4D4D4F"/>
          <w:w w:val="110"/>
          <w:sz w:val="22"/>
        </w:rPr>
        <w:t>2</w:t>
      </w:r>
      <w:r>
        <w:rPr>
          <w:color w:val="4D4D4F"/>
          <w:spacing w:val="-13"/>
          <w:w w:val="110"/>
          <w:sz w:val="22"/>
        </w:rPr>
        <w:t> </w:t>
      </w:r>
      <w:r>
        <w:rPr>
          <w:color w:val="4D4D4F"/>
          <w:w w:val="110"/>
          <w:sz w:val="22"/>
        </w:rPr>
        <w:t>for</w:t>
      </w:r>
      <w:r>
        <w:rPr>
          <w:color w:val="4D4D4F"/>
          <w:spacing w:val="-12"/>
          <w:w w:val="110"/>
          <w:sz w:val="22"/>
        </w:rPr>
        <w:t> </w:t>
      </w:r>
      <w:r>
        <w:rPr>
          <w:color w:val="4D4D4F"/>
          <w:w w:val="110"/>
          <w:sz w:val="22"/>
        </w:rPr>
        <w:t>more information about how to interpret</w:t>
      </w:r>
      <w:r>
        <w:rPr>
          <w:color w:val="4D4D4F"/>
          <w:spacing w:val="-26"/>
          <w:w w:val="110"/>
          <w:sz w:val="22"/>
        </w:rPr>
        <w:t> </w:t>
      </w:r>
      <w:r>
        <w:rPr>
          <w:color w:val="4D4D4F"/>
          <w:spacing w:val="-5"/>
          <w:w w:val="110"/>
          <w:sz w:val="22"/>
        </w:rPr>
        <w:t>drug </w:t>
      </w:r>
      <w:r>
        <w:rPr>
          <w:color w:val="4D4D4F"/>
          <w:w w:val="110"/>
          <w:sz w:val="22"/>
        </w:rPr>
        <w:t>testing</w:t>
      </w:r>
      <w:r>
        <w:rPr>
          <w:color w:val="4D4D4F"/>
          <w:spacing w:val="-6"/>
          <w:w w:val="110"/>
          <w:sz w:val="22"/>
        </w:rPr>
        <w:t> </w:t>
      </w:r>
      <w:r>
        <w:rPr>
          <w:color w:val="4D4D4F"/>
          <w:w w:val="110"/>
          <w:sz w:val="22"/>
        </w:rPr>
        <w:t>results.)</w:t>
      </w:r>
    </w:p>
    <w:p>
      <w:pPr>
        <w:pStyle w:val="ListParagraph"/>
        <w:numPr>
          <w:ilvl w:val="0"/>
          <w:numId w:val="29"/>
        </w:numPr>
        <w:tabs>
          <w:tab w:pos="410" w:val="left" w:leader="none"/>
        </w:tabs>
        <w:spacing w:line="208" w:lineRule="auto" w:before="68" w:after="0"/>
        <w:ind w:left="409" w:right="251" w:hanging="270"/>
        <w:jc w:val="both"/>
        <w:rPr>
          <w:rFonts w:ascii="Arial" w:hAnsi="Arial"/>
          <w:color w:val="137692"/>
          <w:sz w:val="28"/>
        </w:rPr>
      </w:pPr>
      <w:r>
        <w:rPr>
          <w:color w:val="4D4D4F"/>
          <w:w w:val="110"/>
          <w:sz w:val="22"/>
        </w:rPr>
        <w:t>Consideration of panels based on drugs </w:t>
      </w:r>
      <w:r>
        <w:rPr>
          <w:color w:val="4D4D4F"/>
          <w:spacing w:val="-4"/>
          <w:w w:val="110"/>
          <w:sz w:val="22"/>
        </w:rPr>
        <w:t>most </w:t>
      </w:r>
      <w:r>
        <w:rPr>
          <w:color w:val="4D4D4F"/>
          <w:w w:val="110"/>
          <w:sz w:val="22"/>
        </w:rPr>
        <w:t>commonly used in the</w:t>
      </w:r>
      <w:r>
        <w:rPr>
          <w:color w:val="4D4D4F"/>
          <w:spacing w:val="-19"/>
          <w:w w:val="110"/>
          <w:sz w:val="22"/>
        </w:rPr>
        <w:t> </w:t>
      </w:r>
      <w:r>
        <w:rPr>
          <w:color w:val="4D4D4F"/>
          <w:w w:val="110"/>
          <w:sz w:val="22"/>
        </w:rPr>
        <w:t>region.</w:t>
      </w:r>
    </w:p>
    <w:p>
      <w:pPr>
        <w:pStyle w:val="BodyText"/>
        <w:spacing w:line="247" w:lineRule="auto" w:before="195"/>
        <w:ind w:left="139" w:right="274"/>
      </w:pPr>
      <w:r>
        <w:rPr>
          <w:color w:val="4D4D4F"/>
          <w:w w:val="110"/>
        </w:rPr>
        <w:t>Conduct point-of-service drug tests following the manufacturer’s instructions. Use Clinical Laboratory Improvement Amendments-waived testing kits. A provider’s ofﬁce must enroll and pay a modest fee for certiﬁcation. The applica- tion is available online (</w:t>
      </w:r>
      <w:hyperlink r:id="rId77">
        <w:r>
          <w:rPr>
            <w:color w:val="205E9F"/>
            <w:w w:val="110"/>
            <w:u w:val="single" w:color="205E9F"/>
          </w:rPr>
          <w:t>www.cms.gov/Medicare</w:t>
        </w:r>
      </w:hyperlink>
    </w:p>
    <w:p>
      <w:pPr>
        <w:pStyle w:val="BodyText"/>
        <w:spacing w:before="8"/>
        <w:ind w:left="139"/>
      </w:pPr>
      <w:r>
        <w:rPr>
          <w:color w:val="205E9F"/>
          <w:w w:val="110"/>
          <w:u w:val="single" w:color="205E9F"/>
        </w:rPr>
        <w:t>/CMS-Forms/CMS-Forms/downloads/cms116</w:t>
      </w:r>
    </w:p>
    <w:p>
      <w:pPr>
        <w:pStyle w:val="BodyText"/>
        <w:spacing w:before="9"/>
        <w:ind w:left="139"/>
      </w:pPr>
      <w:r>
        <w:rPr>
          <w:color w:val="205E9F"/>
          <w:w w:val="115"/>
          <w:u w:val="single" w:color="205E9F"/>
        </w:rPr>
        <w:t>.pdf</w:t>
      </w:r>
      <w:r>
        <w:rPr>
          <w:color w:val="4D4D4F"/>
          <w:w w:val="115"/>
        </w:rPr>
        <w:t>).</w:t>
      </w:r>
    </w:p>
    <w:p>
      <w:pPr>
        <w:spacing w:after="0"/>
        <w:sectPr>
          <w:type w:val="continuous"/>
          <w:pgSz w:w="12240" w:h="15840"/>
          <w:pgMar w:top="540" w:bottom="280" w:left="940" w:right="920"/>
          <w:cols w:num="2" w:equalWidth="0">
            <w:col w:w="5040" w:space="180"/>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spacing w:line="242" w:lineRule="auto" w:before="106"/>
        <w:ind w:left="140" w:right="0" w:firstLine="0"/>
        <w:jc w:val="left"/>
        <w:rPr>
          <w:sz w:val="22"/>
        </w:rPr>
      </w:pPr>
      <w:r>
        <w:rPr>
          <w:color w:val="4D4D4F"/>
          <w:spacing w:val="-3"/>
          <w:w w:val="110"/>
          <w:sz w:val="22"/>
        </w:rPr>
        <w:t>Sample collection </w:t>
      </w:r>
      <w:r>
        <w:rPr>
          <w:color w:val="4D4D4F"/>
          <w:w w:val="110"/>
          <w:sz w:val="22"/>
        </w:rPr>
        <w:t>via </w:t>
      </w:r>
      <w:r>
        <w:rPr>
          <w:color w:val="4D4D4F"/>
          <w:spacing w:val="-3"/>
          <w:w w:val="110"/>
          <w:sz w:val="22"/>
        </w:rPr>
        <w:t>oral swab </w:t>
      </w:r>
      <w:r>
        <w:rPr>
          <w:color w:val="4D4D4F"/>
          <w:w w:val="110"/>
          <w:sz w:val="22"/>
        </w:rPr>
        <w:t>is </w:t>
      </w:r>
      <w:r>
        <w:rPr>
          <w:color w:val="4D4D4F"/>
          <w:spacing w:val="-4"/>
          <w:w w:val="110"/>
          <w:sz w:val="22"/>
        </w:rPr>
        <w:t>straightforward; follow </w:t>
      </w:r>
      <w:r>
        <w:rPr>
          <w:color w:val="4D4D4F"/>
          <w:spacing w:val="-3"/>
          <w:w w:val="110"/>
          <w:sz w:val="22"/>
        </w:rPr>
        <w:t>the </w:t>
      </w:r>
      <w:r>
        <w:rPr>
          <w:color w:val="4D4D4F"/>
          <w:spacing w:val="-6"/>
          <w:w w:val="110"/>
          <w:sz w:val="22"/>
        </w:rPr>
        <w:t>manufacturer’s </w:t>
      </w:r>
      <w:r>
        <w:rPr>
          <w:color w:val="4D4D4F"/>
          <w:spacing w:val="-4"/>
          <w:w w:val="110"/>
          <w:sz w:val="22"/>
        </w:rPr>
        <w:t>directions. </w:t>
      </w:r>
      <w:r>
        <w:rPr>
          <w:rFonts w:ascii="Calibri" w:hAnsi="Calibri"/>
          <w:b/>
          <w:color w:val="4D4D4F"/>
          <w:w w:val="110"/>
          <w:sz w:val="22"/>
        </w:rPr>
        <w:t>If </w:t>
      </w:r>
      <w:r>
        <w:rPr>
          <w:rFonts w:ascii="Calibri" w:hAnsi="Calibri"/>
          <w:b/>
          <w:color w:val="4D4D4F"/>
          <w:spacing w:val="-4"/>
          <w:w w:val="110"/>
          <w:sz w:val="22"/>
        </w:rPr>
        <w:t>collecting </w:t>
      </w:r>
      <w:r>
        <w:rPr>
          <w:rFonts w:ascii="Calibri" w:hAnsi="Calibri"/>
          <w:b/>
          <w:color w:val="4D4D4F"/>
          <w:w w:val="110"/>
          <w:sz w:val="22"/>
        </w:rPr>
        <w:t>urine samples, take steps to reduce the likelihood of tampering. </w:t>
      </w:r>
      <w:r>
        <w:rPr>
          <w:color w:val="4D4D4F"/>
          <w:w w:val="110"/>
          <w:sz w:val="22"/>
        </w:rPr>
        <w:t>In settings that treat </w:t>
      </w:r>
      <w:r>
        <w:rPr>
          <w:color w:val="4D4D4F"/>
          <w:spacing w:val="-3"/>
          <w:w w:val="110"/>
          <w:sz w:val="22"/>
        </w:rPr>
        <w:t>many patients </w:t>
      </w:r>
      <w:r>
        <w:rPr>
          <w:color w:val="4D4D4F"/>
          <w:w w:val="110"/>
          <w:sz w:val="22"/>
        </w:rPr>
        <w:t>or </w:t>
      </w:r>
      <w:r>
        <w:rPr>
          <w:color w:val="4D4D4F"/>
          <w:spacing w:val="-4"/>
          <w:w w:val="110"/>
          <w:sz w:val="22"/>
        </w:rPr>
        <w:t>treat </w:t>
      </w:r>
      <w:r>
        <w:rPr>
          <w:color w:val="4D4D4F"/>
          <w:spacing w:val="-3"/>
          <w:w w:val="110"/>
          <w:sz w:val="22"/>
        </w:rPr>
        <w:t>patients potentially facing </w:t>
      </w:r>
      <w:r>
        <w:rPr>
          <w:color w:val="4D4D4F"/>
          <w:w w:val="110"/>
          <w:sz w:val="22"/>
        </w:rPr>
        <w:t>criminal justice sanctions, consider taking these measures:</w:t>
      </w:r>
    </w:p>
    <w:p>
      <w:pPr>
        <w:pStyle w:val="ListParagraph"/>
        <w:numPr>
          <w:ilvl w:val="0"/>
          <w:numId w:val="29"/>
        </w:numPr>
        <w:tabs>
          <w:tab w:pos="410" w:val="left" w:leader="none"/>
        </w:tabs>
        <w:spacing w:line="225" w:lineRule="auto" w:before="114" w:after="0"/>
        <w:ind w:left="410" w:right="740" w:hanging="270"/>
        <w:jc w:val="both"/>
        <w:rPr>
          <w:rFonts w:ascii="Arial" w:hAnsi="Arial"/>
          <w:color w:val="137692"/>
          <w:sz w:val="28"/>
        </w:rPr>
      </w:pPr>
      <w:r>
        <w:rPr>
          <w:color w:val="4D4D4F"/>
          <w:w w:val="110"/>
          <w:sz w:val="22"/>
        </w:rPr>
        <w:t>Have patients visit the bathroom </w:t>
      </w:r>
      <w:r>
        <w:rPr>
          <w:color w:val="4D4D4F"/>
          <w:spacing w:val="-3"/>
          <w:w w:val="110"/>
          <w:sz w:val="22"/>
        </w:rPr>
        <w:t>alone, </w:t>
      </w:r>
      <w:r>
        <w:rPr>
          <w:color w:val="4D4D4F"/>
          <w:w w:val="110"/>
          <w:sz w:val="22"/>
        </w:rPr>
        <w:t>without bags or jackets, to deter use </w:t>
      </w:r>
      <w:r>
        <w:rPr>
          <w:color w:val="4D4D4F"/>
          <w:spacing w:val="-7"/>
          <w:w w:val="110"/>
          <w:sz w:val="22"/>
        </w:rPr>
        <w:t>of </w:t>
      </w:r>
      <w:r>
        <w:rPr>
          <w:color w:val="4D4D4F"/>
          <w:w w:val="110"/>
          <w:sz w:val="22"/>
        </w:rPr>
        <w:t>another </w:t>
      </w:r>
      <w:r>
        <w:rPr>
          <w:color w:val="4D4D4F"/>
          <w:spacing w:val="-3"/>
          <w:w w:val="110"/>
          <w:sz w:val="22"/>
        </w:rPr>
        <w:t>person’s </w:t>
      </w:r>
      <w:r>
        <w:rPr>
          <w:color w:val="4D4D4F"/>
          <w:w w:val="110"/>
          <w:sz w:val="22"/>
        </w:rPr>
        <w:t>urine</w:t>
      </w:r>
      <w:r>
        <w:rPr>
          <w:color w:val="4D4D4F"/>
          <w:spacing w:val="-7"/>
          <w:w w:val="110"/>
          <w:sz w:val="22"/>
        </w:rPr>
        <w:t> </w:t>
      </w:r>
      <w:r>
        <w:rPr>
          <w:color w:val="4D4D4F"/>
          <w:w w:val="110"/>
          <w:sz w:val="22"/>
        </w:rPr>
        <w:t>specimen.</w:t>
      </w:r>
    </w:p>
    <w:p>
      <w:pPr>
        <w:pStyle w:val="ListParagraph"/>
        <w:numPr>
          <w:ilvl w:val="0"/>
          <w:numId w:val="29"/>
        </w:numPr>
        <w:tabs>
          <w:tab w:pos="410" w:val="left" w:leader="none"/>
        </w:tabs>
        <w:spacing w:line="225" w:lineRule="auto" w:before="52" w:after="0"/>
        <w:ind w:left="410" w:right="183" w:hanging="270"/>
        <w:jc w:val="both"/>
        <w:rPr>
          <w:rFonts w:ascii="Arial" w:hAnsi="Arial"/>
          <w:color w:val="137692"/>
          <w:sz w:val="28"/>
        </w:rPr>
      </w:pPr>
      <w:r>
        <w:rPr>
          <w:color w:val="4D4D4F"/>
          <w:w w:val="115"/>
          <w:sz w:val="22"/>
        </w:rPr>
        <w:t>Set</w:t>
      </w:r>
      <w:r>
        <w:rPr>
          <w:color w:val="4D4D4F"/>
          <w:spacing w:val="-23"/>
          <w:w w:val="115"/>
          <w:sz w:val="22"/>
        </w:rPr>
        <w:t> </w:t>
      </w:r>
      <w:r>
        <w:rPr>
          <w:color w:val="4D4D4F"/>
          <w:w w:val="115"/>
          <w:sz w:val="22"/>
        </w:rPr>
        <w:t>the</w:t>
      </w:r>
      <w:r>
        <w:rPr>
          <w:color w:val="4D4D4F"/>
          <w:spacing w:val="-22"/>
          <w:w w:val="115"/>
          <w:sz w:val="22"/>
        </w:rPr>
        <w:t> </w:t>
      </w:r>
      <w:r>
        <w:rPr>
          <w:color w:val="4D4D4F"/>
          <w:w w:val="115"/>
          <w:sz w:val="22"/>
        </w:rPr>
        <w:t>sink</w:t>
      </w:r>
      <w:r>
        <w:rPr>
          <w:color w:val="4D4D4F"/>
          <w:spacing w:val="-22"/>
          <w:w w:val="115"/>
          <w:sz w:val="22"/>
        </w:rPr>
        <w:t> </w:t>
      </w:r>
      <w:r>
        <w:rPr>
          <w:color w:val="4D4D4F"/>
          <w:w w:val="115"/>
          <w:sz w:val="22"/>
        </w:rPr>
        <w:t>to</w:t>
      </w:r>
      <w:r>
        <w:rPr>
          <w:color w:val="4D4D4F"/>
          <w:spacing w:val="-22"/>
          <w:w w:val="115"/>
          <w:sz w:val="22"/>
        </w:rPr>
        <w:t> </w:t>
      </w:r>
      <w:r>
        <w:rPr>
          <w:color w:val="4D4D4F"/>
          <w:w w:val="115"/>
          <w:sz w:val="22"/>
        </w:rPr>
        <w:t>run</w:t>
      </w:r>
      <w:r>
        <w:rPr>
          <w:color w:val="4D4D4F"/>
          <w:spacing w:val="-22"/>
          <w:w w:val="115"/>
          <w:sz w:val="22"/>
        </w:rPr>
        <w:t> </w:t>
      </w:r>
      <w:r>
        <w:rPr>
          <w:color w:val="4D4D4F"/>
          <w:w w:val="115"/>
          <w:sz w:val="22"/>
        </w:rPr>
        <w:t>only</w:t>
      </w:r>
      <w:r>
        <w:rPr>
          <w:color w:val="4D4D4F"/>
          <w:spacing w:val="-22"/>
          <w:w w:val="115"/>
          <w:sz w:val="22"/>
        </w:rPr>
        <w:t> </w:t>
      </w:r>
      <w:r>
        <w:rPr>
          <w:color w:val="4D4D4F"/>
          <w:w w:val="115"/>
          <w:sz w:val="22"/>
        </w:rPr>
        <w:t>cold</w:t>
      </w:r>
      <w:r>
        <w:rPr>
          <w:color w:val="4D4D4F"/>
          <w:spacing w:val="-23"/>
          <w:w w:val="115"/>
          <w:sz w:val="22"/>
        </w:rPr>
        <w:t> </w:t>
      </w:r>
      <w:r>
        <w:rPr>
          <w:color w:val="4D4D4F"/>
          <w:w w:val="115"/>
          <w:sz w:val="22"/>
        </w:rPr>
        <w:t>water</w:t>
      </w:r>
      <w:r>
        <w:rPr>
          <w:color w:val="4D4D4F"/>
          <w:spacing w:val="-22"/>
          <w:w w:val="115"/>
          <w:sz w:val="22"/>
        </w:rPr>
        <w:t> </w:t>
      </w:r>
      <w:r>
        <w:rPr>
          <w:color w:val="4D4D4F"/>
          <w:w w:val="115"/>
          <w:sz w:val="22"/>
        </w:rPr>
        <w:t>and</w:t>
      </w:r>
      <w:r>
        <w:rPr>
          <w:color w:val="4D4D4F"/>
          <w:spacing w:val="-22"/>
          <w:w w:val="115"/>
          <w:sz w:val="22"/>
        </w:rPr>
        <w:t> </w:t>
      </w:r>
      <w:r>
        <w:rPr>
          <w:color w:val="4D4D4F"/>
          <w:w w:val="115"/>
          <w:sz w:val="22"/>
        </w:rPr>
        <w:t>use</w:t>
      </w:r>
      <w:r>
        <w:rPr>
          <w:color w:val="4D4D4F"/>
          <w:spacing w:val="-22"/>
          <w:w w:val="115"/>
          <w:sz w:val="22"/>
        </w:rPr>
        <w:t> </w:t>
      </w:r>
      <w:r>
        <w:rPr>
          <w:color w:val="4D4D4F"/>
          <w:w w:val="115"/>
          <w:sz w:val="22"/>
        </w:rPr>
        <w:t>a </w:t>
      </w:r>
      <w:r>
        <w:rPr>
          <w:color w:val="4D4D4F"/>
          <w:spacing w:val="-4"/>
          <w:w w:val="115"/>
          <w:sz w:val="22"/>
        </w:rPr>
        <w:t>colored</w:t>
      </w:r>
      <w:r>
        <w:rPr>
          <w:color w:val="4D4D4F"/>
          <w:spacing w:val="-40"/>
          <w:w w:val="115"/>
          <w:sz w:val="22"/>
        </w:rPr>
        <w:t> </w:t>
      </w:r>
      <w:r>
        <w:rPr>
          <w:color w:val="4D4D4F"/>
          <w:spacing w:val="-3"/>
          <w:w w:val="115"/>
          <w:sz w:val="22"/>
        </w:rPr>
        <w:t>toilet</w:t>
      </w:r>
      <w:r>
        <w:rPr>
          <w:color w:val="4D4D4F"/>
          <w:spacing w:val="-40"/>
          <w:w w:val="115"/>
          <w:sz w:val="22"/>
        </w:rPr>
        <w:t> </w:t>
      </w:r>
      <w:r>
        <w:rPr>
          <w:color w:val="4D4D4F"/>
          <w:spacing w:val="-3"/>
          <w:w w:val="115"/>
          <w:sz w:val="22"/>
        </w:rPr>
        <w:t>bowl</w:t>
      </w:r>
      <w:r>
        <w:rPr>
          <w:color w:val="4D4D4F"/>
          <w:spacing w:val="-40"/>
          <w:w w:val="115"/>
          <w:sz w:val="22"/>
        </w:rPr>
        <w:t> </w:t>
      </w:r>
      <w:r>
        <w:rPr>
          <w:color w:val="4D4D4F"/>
          <w:spacing w:val="-3"/>
          <w:w w:val="115"/>
          <w:sz w:val="22"/>
        </w:rPr>
        <w:t>cleaner</w:t>
      </w:r>
      <w:r>
        <w:rPr>
          <w:color w:val="4D4D4F"/>
          <w:spacing w:val="-39"/>
          <w:w w:val="115"/>
          <w:sz w:val="22"/>
        </w:rPr>
        <w:t> </w:t>
      </w:r>
      <w:r>
        <w:rPr>
          <w:color w:val="4D4D4F"/>
          <w:w w:val="115"/>
          <w:sz w:val="22"/>
        </w:rPr>
        <w:t>to</w:t>
      </w:r>
      <w:r>
        <w:rPr>
          <w:color w:val="4D4D4F"/>
          <w:spacing w:val="-40"/>
          <w:w w:val="115"/>
          <w:sz w:val="22"/>
        </w:rPr>
        <w:t> </w:t>
      </w:r>
      <w:r>
        <w:rPr>
          <w:color w:val="4D4D4F"/>
          <w:spacing w:val="-4"/>
          <w:w w:val="115"/>
          <w:sz w:val="22"/>
        </w:rPr>
        <w:t>prevent</w:t>
      </w:r>
      <w:r>
        <w:rPr>
          <w:color w:val="4D4D4F"/>
          <w:spacing w:val="-40"/>
          <w:w w:val="115"/>
          <w:sz w:val="22"/>
        </w:rPr>
        <w:t> </w:t>
      </w:r>
      <w:r>
        <w:rPr>
          <w:color w:val="4D4D4F"/>
          <w:spacing w:val="-3"/>
          <w:w w:val="115"/>
          <w:sz w:val="22"/>
        </w:rPr>
        <w:t>dilution </w:t>
      </w:r>
      <w:r>
        <w:rPr>
          <w:color w:val="4D4D4F"/>
          <w:w w:val="115"/>
          <w:sz w:val="22"/>
        </w:rPr>
        <w:t>of urine</w:t>
      </w:r>
      <w:r>
        <w:rPr>
          <w:color w:val="4D4D4F"/>
          <w:spacing w:val="-21"/>
          <w:w w:val="115"/>
          <w:sz w:val="22"/>
        </w:rPr>
        <w:t> </w:t>
      </w:r>
      <w:r>
        <w:rPr>
          <w:color w:val="4D4D4F"/>
          <w:w w:val="115"/>
          <w:sz w:val="22"/>
        </w:rPr>
        <w:t>specimens.</w:t>
      </w:r>
    </w:p>
    <w:p>
      <w:pPr>
        <w:pStyle w:val="ListParagraph"/>
        <w:numPr>
          <w:ilvl w:val="0"/>
          <w:numId w:val="29"/>
        </w:numPr>
        <w:tabs>
          <w:tab w:pos="410" w:val="left" w:leader="none"/>
        </w:tabs>
        <w:spacing w:line="225" w:lineRule="auto" w:before="53" w:after="0"/>
        <w:ind w:left="410" w:right="729" w:hanging="270"/>
        <w:jc w:val="left"/>
        <w:rPr>
          <w:rFonts w:ascii="Arial" w:hAnsi="Arial"/>
          <w:color w:val="137692"/>
          <w:sz w:val="28"/>
        </w:rPr>
      </w:pPr>
      <w:r>
        <w:rPr>
          <w:color w:val="4D4D4F"/>
          <w:w w:val="115"/>
          <w:sz w:val="22"/>
        </w:rPr>
        <w:t>Use</w:t>
      </w:r>
      <w:r>
        <w:rPr>
          <w:color w:val="4D4D4F"/>
          <w:spacing w:val="-28"/>
          <w:w w:val="115"/>
          <w:sz w:val="22"/>
        </w:rPr>
        <w:t> </w:t>
      </w:r>
      <w:r>
        <w:rPr>
          <w:color w:val="4D4D4F"/>
          <w:w w:val="115"/>
          <w:sz w:val="22"/>
        </w:rPr>
        <w:t>specimen</w:t>
      </w:r>
      <w:r>
        <w:rPr>
          <w:color w:val="4D4D4F"/>
          <w:spacing w:val="-27"/>
          <w:w w:val="115"/>
          <w:sz w:val="22"/>
        </w:rPr>
        <w:t> </w:t>
      </w:r>
      <w:r>
        <w:rPr>
          <w:color w:val="4D4D4F"/>
          <w:w w:val="115"/>
          <w:sz w:val="22"/>
        </w:rPr>
        <w:t>cups</w:t>
      </w:r>
      <w:r>
        <w:rPr>
          <w:color w:val="4D4D4F"/>
          <w:spacing w:val="-28"/>
          <w:w w:val="115"/>
          <w:sz w:val="22"/>
        </w:rPr>
        <w:t> </w:t>
      </w:r>
      <w:r>
        <w:rPr>
          <w:color w:val="4D4D4F"/>
          <w:w w:val="115"/>
          <w:sz w:val="22"/>
        </w:rPr>
        <w:t>with</w:t>
      </w:r>
      <w:r>
        <w:rPr>
          <w:color w:val="4D4D4F"/>
          <w:spacing w:val="-27"/>
          <w:w w:val="115"/>
          <w:sz w:val="22"/>
        </w:rPr>
        <w:t> </w:t>
      </w:r>
      <w:r>
        <w:rPr>
          <w:color w:val="4D4D4F"/>
          <w:w w:val="115"/>
          <w:sz w:val="22"/>
        </w:rPr>
        <w:t>speciﬁc</w:t>
      </w:r>
      <w:r>
        <w:rPr>
          <w:color w:val="4D4D4F"/>
          <w:spacing w:val="-27"/>
          <w:w w:val="115"/>
          <w:sz w:val="22"/>
        </w:rPr>
        <w:t> </w:t>
      </w:r>
      <w:r>
        <w:rPr>
          <w:color w:val="4D4D4F"/>
          <w:spacing w:val="-3"/>
          <w:w w:val="115"/>
          <w:sz w:val="22"/>
        </w:rPr>
        <w:t>gravity </w:t>
      </w:r>
      <w:r>
        <w:rPr>
          <w:color w:val="4D4D4F"/>
          <w:w w:val="115"/>
          <w:sz w:val="22"/>
        </w:rPr>
        <w:t>testing, if possible, to identify diluted samples.</w:t>
      </w:r>
    </w:p>
    <w:p>
      <w:pPr>
        <w:pStyle w:val="ListParagraph"/>
        <w:numPr>
          <w:ilvl w:val="0"/>
          <w:numId w:val="29"/>
        </w:numPr>
        <w:tabs>
          <w:tab w:pos="410" w:val="left" w:leader="none"/>
        </w:tabs>
        <w:spacing w:line="208" w:lineRule="auto" w:before="69" w:after="0"/>
        <w:ind w:left="410" w:right="199" w:hanging="270"/>
        <w:jc w:val="left"/>
        <w:rPr>
          <w:rFonts w:ascii="Arial" w:hAnsi="Arial"/>
          <w:color w:val="137692"/>
          <w:sz w:val="28"/>
        </w:rPr>
      </w:pPr>
      <w:r>
        <w:rPr>
          <w:color w:val="4D4D4F"/>
          <w:w w:val="110"/>
          <w:sz w:val="22"/>
        </w:rPr>
        <w:t>Use</w:t>
      </w:r>
      <w:r>
        <w:rPr>
          <w:color w:val="4D4D4F"/>
          <w:spacing w:val="-13"/>
          <w:w w:val="110"/>
          <w:sz w:val="22"/>
        </w:rPr>
        <w:t> </w:t>
      </w:r>
      <w:r>
        <w:rPr>
          <w:color w:val="4D4D4F"/>
          <w:w w:val="110"/>
          <w:sz w:val="22"/>
        </w:rPr>
        <w:t>temperature-sensitive</w:t>
      </w:r>
      <w:r>
        <w:rPr>
          <w:color w:val="4D4D4F"/>
          <w:spacing w:val="-13"/>
          <w:w w:val="110"/>
          <w:sz w:val="22"/>
        </w:rPr>
        <w:t> </w:t>
      </w:r>
      <w:r>
        <w:rPr>
          <w:color w:val="4D4D4F"/>
          <w:w w:val="110"/>
          <w:sz w:val="22"/>
        </w:rPr>
        <w:t>strips</w:t>
      </w:r>
      <w:r>
        <w:rPr>
          <w:color w:val="4D4D4F"/>
          <w:spacing w:val="-13"/>
          <w:w w:val="110"/>
          <w:sz w:val="22"/>
        </w:rPr>
        <w:t> </w:t>
      </w:r>
      <w:r>
        <w:rPr>
          <w:color w:val="4D4D4F"/>
          <w:w w:val="110"/>
          <w:sz w:val="22"/>
        </w:rPr>
        <w:t>in</w:t>
      </w:r>
      <w:r>
        <w:rPr>
          <w:color w:val="4D4D4F"/>
          <w:spacing w:val="-13"/>
          <w:w w:val="110"/>
          <w:sz w:val="22"/>
        </w:rPr>
        <w:t> </w:t>
      </w:r>
      <w:r>
        <w:rPr>
          <w:color w:val="4D4D4F"/>
          <w:w w:val="110"/>
          <w:sz w:val="22"/>
        </w:rPr>
        <w:t>collection cups to identify tampered</w:t>
      </w:r>
      <w:r>
        <w:rPr>
          <w:color w:val="4D4D4F"/>
          <w:spacing w:val="-1"/>
          <w:w w:val="110"/>
          <w:sz w:val="22"/>
        </w:rPr>
        <w:t> </w:t>
      </w:r>
      <w:r>
        <w:rPr>
          <w:color w:val="4D4D4F"/>
          <w:w w:val="110"/>
          <w:sz w:val="22"/>
        </w:rPr>
        <w:t>specimens.</w:t>
      </w:r>
    </w:p>
    <w:p>
      <w:pPr>
        <w:pStyle w:val="Heading7"/>
        <w:spacing w:line="235" w:lineRule="auto" w:before="194"/>
        <w:ind w:right="443"/>
      </w:pPr>
      <w:r>
        <w:rPr>
          <w:color w:val="4D4D4F"/>
          <w:w w:val="115"/>
        </w:rPr>
        <w:t>Ongoing positive opioid tests during treatment indicate the need to reassess the patient and revise the treatment plan.</w:t>
      </w:r>
    </w:p>
    <w:p>
      <w:pPr>
        <w:pStyle w:val="BodyText"/>
        <w:spacing w:before="3"/>
        <w:ind w:left="140"/>
      </w:pPr>
      <w:r>
        <w:rPr>
          <w:color w:val="4D4D4F"/>
          <w:w w:val="115"/>
        </w:rPr>
        <w:t>Repeated positives may indicate that patients:</w:t>
      </w:r>
    </w:p>
    <w:p>
      <w:pPr>
        <w:pStyle w:val="ListParagraph"/>
        <w:numPr>
          <w:ilvl w:val="0"/>
          <w:numId w:val="29"/>
        </w:numPr>
        <w:tabs>
          <w:tab w:pos="410" w:val="left" w:leader="none"/>
        </w:tabs>
        <w:spacing w:line="208" w:lineRule="auto" w:before="135" w:after="0"/>
        <w:ind w:left="410" w:right="124" w:hanging="270"/>
        <w:jc w:val="left"/>
        <w:rPr>
          <w:rFonts w:ascii="Arial" w:hAnsi="Arial"/>
          <w:color w:val="137692"/>
          <w:sz w:val="28"/>
        </w:rPr>
      </w:pPr>
      <w:r>
        <w:rPr>
          <w:color w:val="4D4D4F"/>
          <w:w w:val="110"/>
          <w:sz w:val="22"/>
        </w:rPr>
        <w:t>Are not taking some or all of their</w:t>
      </w:r>
      <w:r>
        <w:rPr>
          <w:color w:val="4D4D4F"/>
          <w:spacing w:val="-49"/>
          <w:w w:val="110"/>
          <w:sz w:val="22"/>
        </w:rPr>
        <w:t> </w:t>
      </w:r>
      <w:r>
        <w:rPr>
          <w:color w:val="4D4D4F"/>
          <w:w w:val="110"/>
          <w:sz w:val="22"/>
        </w:rPr>
        <w:t>medication or may be taking the medication</w:t>
      </w:r>
      <w:r>
        <w:rPr>
          <w:color w:val="4D4D4F"/>
          <w:spacing w:val="-20"/>
          <w:w w:val="110"/>
          <w:sz w:val="22"/>
        </w:rPr>
        <w:t> </w:t>
      </w:r>
      <w:r>
        <w:rPr>
          <w:color w:val="4D4D4F"/>
          <w:w w:val="110"/>
          <w:sz w:val="22"/>
        </w:rPr>
        <w:t>incorrectly.</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5"/>
          <w:sz w:val="22"/>
        </w:rPr>
        <w:t>Need a different</w:t>
      </w:r>
      <w:r>
        <w:rPr>
          <w:color w:val="4D4D4F"/>
          <w:spacing w:val="-33"/>
          <w:w w:val="115"/>
          <w:sz w:val="22"/>
        </w:rPr>
        <w:t> </w:t>
      </w:r>
      <w:r>
        <w:rPr>
          <w:color w:val="4D4D4F"/>
          <w:w w:val="115"/>
          <w:sz w:val="22"/>
        </w:rPr>
        <w:t>medication.</w:t>
      </w:r>
    </w:p>
    <w:p>
      <w:pPr>
        <w:pStyle w:val="ListParagraph"/>
        <w:numPr>
          <w:ilvl w:val="0"/>
          <w:numId w:val="29"/>
        </w:numPr>
        <w:tabs>
          <w:tab w:pos="410" w:val="left" w:leader="none"/>
        </w:tabs>
        <w:spacing w:line="208" w:lineRule="auto" w:before="22" w:after="0"/>
        <w:ind w:left="410" w:right="248" w:hanging="270"/>
        <w:jc w:val="left"/>
        <w:rPr>
          <w:rFonts w:ascii="Arial" w:hAnsi="Arial"/>
          <w:color w:val="137692"/>
          <w:sz w:val="28"/>
        </w:rPr>
      </w:pPr>
      <w:r>
        <w:rPr>
          <w:color w:val="4D4D4F"/>
          <w:w w:val="110"/>
          <w:sz w:val="22"/>
        </w:rPr>
        <w:t>Need directly observed medication </w:t>
      </w:r>
      <w:r>
        <w:rPr>
          <w:color w:val="4D4D4F"/>
          <w:spacing w:val="-3"/>
          <w:w w:val="110"/>
          <w:sz w:val="22"/>
        </w:rPr>
        <w:t>adminis- </w:t>
      </w:r>
      <w:r>
        <w:rPr>
          <w:color w:val="4D4D4F"/>
          <w:w w:val="110"/>
          <w:sz w:val="22"/>
        </w:rPr>
        <w:t>tration</w:t>
      </w:r>
      <w:r>
        <w:rPr>
          <w:color w:val="4D4D4F"/>
          <w:spacing w:val="-8"/>
          <w:w w:val="110"/>
          <w:sz w:val="22"/>
        </w:rPr>
        <w:t> </w:t>
      </w:r>
      <w:r>
        <w:rPr>
          <w:color w:val="4D4D4F"/>
          <w:w w:val="110"/>
          <w:sz w:val="22"/>
        </w:rPr>
        <w:t>in</w:t>
      </w:r>
      <w:r>
        <w:rPr>
          <w:color w:val="4D4D4F"/>
          <w:spacing w:val="-7"/>
          <w:w w:val="110"/>
          <w:sz w:val="22"/>
        </w:rPr>
        <w:t> </w:t>
      </w:r>
      <w:r>
        <w:rPr>
          <w:color w:val="4D4D4F"/>
          <w:w w:val="110"/>
          <w:sz w:val="22"/>
        </w:rPr>
        <w:t>the</w:t>
      </w:r>
      <w:r>
        <w:rPr>
          <w:color w:val="4D4D4F"/>
          <w:spacing w:val="-7"/>
          <w:w w:val="110"/>
          <w:sz w:val="22"/>
        </w:rPr>
        <w:t> </w:t>
      </w:r>
      <w:r>
        <w:rPr>
          <w:color w:val="4D4D4F"/>
          <w:w w:val="110"/>
          <w:sz w:val="22"/>
        </w:rPr>
        <w:t>ofﬁce</w:t>
      </w:r>
      <w:r>
        <w:rPr>
          <w:color w:val="4D4D4F"/>
          <w:spacing w:val="-7"/>
          <w:w w:val="110"/>
          <w:sz w:val="22"/>
        </w:rPr>
        <w:t> </w:t>
      </w:r>
      <w:r>
        <w:rPr>
          <w:color w:val="4D4D4F"/>
          <w:w w:val="110"/>
          <w:sz w:val="22"/>
        </w:rPr>
        <w:t>or</w:t>
      </w:r>
      <w:r>
        <w:rPr>
          <w:color w:val="4D4D4F"/>
          <w:spacing w:val="-7"/>
          <w:w w:val="110"/>
          <w:sz w:val="22"/>
        </w:rPr>
        <w:t> </w:t>
      </w:r>
      <w:r>
        <w:rPr>
          <w:color w:val="4D4D4F"/>
          <w:w w:val="110"/>
          <w:sz w:val="22"/>
        </w:rPr>
        <w:t>at</w:t>
      </w:r>
      <w:r>
        <w:rPr>
          <w:color w:val="4D4D4F"/>
          <w:spacing w:val="-7"/>
          <w:w w:val="110"/>
          <w:sz w:val="22"/>
        </w:rPr>
        <w:t> </w:t>
      </w:r>
      <w:r>
        <w:rPr>
          <w:color w:val="4D4D4F"/>
          <w:w w:val="110"/>
          <w:sz w:val="22"/>
        </w:rPr>
        <w:t>an</w:t>
      </w:r>
      <w:r>
        <w:rPr>
          <w:color w:val="4D4D4F"/>
          <w:spacing w:val="-7"/>
          <w:w w:val="110"/>
          <w:sz w:val="22"/>
        </w:rPr>
        <w:t> </w:t>
      </w:r>
      <w:r>
        <w:rPr>
          <w:color w:val="4D4D4F"/>
          <w:spacing w:val="-10"/>
          <w:w w:val="110"/>
          <w:sz w:val="22"/>
        </w:rPr>
        <w:t>OTP.</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Need a buprenorphine dose</w:t>
      </w:r>
      <w:r>
        <w:rPr>
          <w:color w:val="4D4D4F"/>
          <w:spacing w:val="33"/>
          <w:w w:val="110"/>
          <w:sz w:val="22"/>
        </w:rPr>
        <w:t> </w:t>
      </w:r>
      <w:r>
        <w:rPr>
          <w:color w:val="4D4D4F"/>
          <w:w w:val="110"/>
          <w:sz w:val="22"/>
        </w:rPr>
        <w:t>increase.</w:t>
      </w:r>
    </w:p>
    <w:p>
      <w:pPr>
        <w:pStyle w:val="ListParagraph"/>
        <w:numPr>
          <w:ilvl w:val="0"/>
          <w:numId w:val="29"/>
        </w:numPr>
        <w:tabs>
          <w:tab w:pos="410" w:val="left" w:leader="none"/>
        </w:tabs>
        <w:spacing w:line="208" w:lineRule="auto" w:before="22" w:after="0"/>
        <w:ind w:left="410" w:right="459" w:hanging="270"/>
        <w:jc w:val="left"/>
        <w:rPr>
          <w:rFonts w:ascii="Arial" w:hAnsi="Arial"/>
          <w:color w:val="137692"/>
          <w:sz w:val="28"/>
        </w:rPr>
      </w:pPr>
      <w:r>
        <w:rPr>
          <w:color w:val="4D4D4F"/>
          <w:w w:val="115"/>
          <w:sz w:val="22"/>
        </w:rPr>
        <w:t>Need</w:t>
      </w:r>
      <w:r>
        <w:rPr>
          <w:color w:val="4D4D4F"/>
          <w:spacing w:val="-25"/>
          <w:w w:val="115"/>
          <w:sz w:val="22"/>
        </w:rPr>
        <w:t> </w:t>
      </w:r>
      <w:r>
        <w:rPr>
          <w:color w:val="4D4D4F"/>
          <w:w w:val="115"/>
          <w:sz w:val="22"/>
        </w:rPr>
        <w:t>more</w:t>
      </w:r>
      <w:r>
        <w:rPr>
          <w:color w:val="4D4D4F"/>
          <w:spacing w:val="-24"/>
          <w:w w:val="115"/>
          <w:sz w:val="22"/>
        </w:rPr>
        <w:t> </w:t>
      </w:r>
      <w:r>
        <w:rPr>
          <w:color w:val="4D4D4F"/>
          <w:w w:val="115"/>
          <w:sz w:val="22"/>
        </w:rPr>
        <w:t>counseling</w:t>
      </w:r>
      <w:r>
        <w:rPr>
          <w:color w:val="4D4D4F"/>
          <w:spacing w:val="-24"/>
          <w:w w:val="115"/>
          <w:sz w:val="22"/>
        </w:rPr>
        <w:t> </w:t>
      </w:r>
      <w:r>
        <w:rPr>
          <w:color w:val="4D4D4F"/>
          <w:w w:val="115"/>
          <w:sz w:val="22"/>
        </w:rPr>
        <w:t>or</w:t>
      </w:r>
      <w:r>
        <w:rPr>
          <w:color w:val="4D4D4F"/>
          <w:spacing w:val="-24"/>
          <w:w w:val="115"/>
          <w:sz w:val="22"/>
        </w:rPr>
        <w:t> </w:t>
      </w:r>
      <w:r>
        <w:rPr>
          <w:color w:val="4D4D4F"/>
          <w:w w:val="115"/>
          <w:sz w:val="22"/>
        </w:rPr>
        <w:t>a</w:t>
      </w:r>
      <w:r>
        <w:rPr>
          <w:color w:val="4D4D4F"/>
          <w:spacing w:val="-24"/>
          <w:w w:val="115"/>
          <w:sz w:val="22"/>
        </w:rPr>
        <w:t> </w:t>
      </w:r>
      <w:r>
        <w:rPr>
          <w:color w:val="4D4D4F"/>
          <w:w w:val="115"/>
          <w:sz w:val="22"/>
        </w:rPr>
        <w:t>higher</w:t>
      </w:r>
      <w:r>
        <w:rPr>
          <w:color w:val="4D4D4F"/>
          <w:spacing w:val="-25"/>
          <w:w w:val="115"/>
          <w:sz w:val="22"/>
        </w:rPr>
        <w:t> </w:t>
      </w:r>
      <w:r>
        <w:rPr>
          <w:color w:val="4D4D4F"/>
          <w:w w:val="115"/>
          <w:sz w:val="22"/>
        </w:rPr>
        <w:t>level</w:t>
      </w:r>
      <w:r>
        <w:rPr>
          <w:color w:val="4D4D4F"/>
          <w:spacing w:val="-24"/>
          <w:w w:val="115"/>
          <w:sz w:val="22"/>
        </w:rPr>
        <w:t> </w:t>
      </w:r>
      <w:r>
        <w:rPr>
          <w:color w:val="4D4D4F"/>
          <w:spacing w:val="-9"/>
          <w:w w:val="115"/>
          <w:sz w:val="22"/>
        </w:rPr>
        <w:t>of </w:t>
      </w:r>
      <w:r>
        <w:rPr>
          <w:color w:val="4D4D4F"/>
          <w:w w:val="115"/>
          <w:sz w:val="22"/>
        </w:rPr>
        <w:t>a</w:t>
      </w:r>
      <w:r>
        <w:rPr>
          <w:color w:val="4D4D4F"/>
          <w:spacing w:val="-24"/>
          <w:w w:val="115"/>
          <w:sz w:val="22"/>
        </w:rPr>
        <w:t> </w:t>
      </w:r>
      <w:r>
        <w:rPr>
          <w:color w:val="4D4D4F"/>
          <w:w w:val="115"/>
          <w:sz w:val="22"/>
        </w:rPr>
        <w:t>specialty</w:t>
      </w:r>
      <w:r>
        <w:rPr>
          <w:color w:val="4D4D4F"/>
          <w:spacing w:val="-23"/>
          <w:w w:val="115"/>
          <w:sz w:val="22"/>
        </w:rPr>
        <w:t> </w:t>
      </w:r>
      <w:r>
        <w:rPr>
          <w:color w:val="4D4D4F"/>
          <w:w w:val="115"/>
          <w:sz w:val="22"/>
        </w:rPr>
        <w:t>addiction</w:t>
      </w:r>
      <w:r>
        <w:rPr>
          <w:color w:val="4D4D4F"/>
          <w:spacing w:val="-23"/>
          <w:w w:val="115"/>
          <w:sz w:val="22"/>
        </w:rPr>
        <w:t> </w:t>
      </w:r>
      <w:r>
        <w:rPr>
          <w:color w:val="4D4D4F"/>
          <w:w w:val="115"/>
          <w:sz w:val="22"/>
        </w:rPr>
        <w:t>treatment</w:t>
      </w:r>
      <w:r>
        <w:rPr>
          <w:color w:val="4D4D4F"/>
          <w:spacing w:val="-23"/>
          <w:w w:val="115"/>
          <w:sz w:val="22"/>
        </w:rPr>
        <w:t> </w:t>
      </w:r>
      <w:r>
        <w:rPr>
          <w:color w:val="4D4D4F"/>
          <w:w w:val="115"/>
          <w:sz w:val="22"/>
        </w:rPr>
        <w:t>program.</w:t>
      </w:r>
    </w:p>
    <w:p>
      <w:pPr>
        <w:pStyle w:val="ListParagraph"/>
        <w:numPr>
          <w:ilvl w:val="0"/>
          <w:numId w:val="29"/>
        </w:numPr>
        <w:tabs>
          <w:tab w:pos="410" w:val="left" w:leader="none"/>
        </w:tabs>
        <w:spacing w:line="208" w:lineRule="auto" w:before="69" w:after="0"/>
        <w:ind w:left="410" w:right="703" w:hanging="270"/>
        <w:jc w:val="left"/>
        <w:rPr>
          <w:rFonts w:ascii="Arial" w:hAnsi="Arial"/>
          <w:color w:val="137692"/>
          <w:sz w:val="28"/>
        </w:rPr>
      </w:pPr>
      <w:r>
        <w:rPr>
          <w:color w:val="4D4D4F"/>
          <w:w w:val="110"/>
          <w:sz w:val="22"/>
        </w:rPr>
        <w:t>Need to participate in recovery</w:t>
      </w:r>
      <w:r>
        <w:rPr>
          <w:color w:val="4D4D4F"/>
          <w:spacing w:val="-23"/>
          <w:w w:val="110"/>
          <w:sz w:val="22"/>
        </w:rPr>
        <w:t> </w:t>
      </w:r>
      <w:r>
        <w:rPr>
          <w:color w:val="4D4D4F"/>
          <w:spacing w:val="-3"/>
          <w:w w:val="110"/>
          <w:sz w:val="22"/>
        </w:rPr>
        <w:t>support </w:t>
      </w:r>
      <w:r>
        <w:rPr>
          <w:color w:val="4D4D4F"/>
          <w:w w:val="110"/>
          <w:sz w:val="22"/>
        </w:rPr>
        <w:t>services.</w:t>
      </w:r>
    </w:p>
    <w:p>
      <w:pPr>
        <w:spacing w:line="247" w:lineRule="auto" w:before="195"/>
        <w:ind w:left="140" w:right="279" w:firstLine="0"/>
        <w:jc w:val="left"/>
        <w:rPr>
          <w:sz w:val="22"/>
        </w:rPr>
      </w:pPr>
      <w:r>
        <w:rPr>
          <w:color w:val="4D4D4F"/>
          <w:w w:val="110"/>
          <w:sz w:val="22"/>
        </w:rPr>
        <w:t>For more information on drug testing in the primary care setting, see </w:t>
      </w:r>
      <w:r>
        <w:rPr>
          <w:color w:val="4D4D4F"/>
          <w:spacing w:val="-3"/>
          <w:w w:val="110"/>
          <w:sz w:val="22"/>
        </w:rPr>
        <w:t>Technical </w:t>
      </w:r>
      <w:r>
        <w:rPr>
          <w:color w:val="4D4D4F"/>
          <w:w w:val="110"/>
          <w:sz w:val="22"/>
        </w:rPr>
        <w:t>Assistance Publication</w:t>
      </w:r>
      <w:r>
        <w:rPr>
          <w:color w:val="4D4D4F"/>
          <w:spacing w:val="-41"/>
          <w:w w:val="110"/>
          <w:sz w:val="22"/>
        </w:rPr>
        <w:t> </w:t>
      </w:r>
      <w:r>
        <w:rPr>
          <w:color w:val="4D4D4F"/>
          <w:w w:val="110"/>
          <w:sz w:val="22"/>
        </w:rPr>
        <w:t>32,</w:t>
      </w:r>
      <w:r>
        <w:rPr>
          <w:color w:val="4D4D4F"/>
          <w:spacing w:val="-41"/>
          <w:w w:val="110"/>
          <w:sz w:val="22"/>
        </w:rPr>
        <w:t> </w:t>
      </w:r>
      <w:r>
        <w:rPr>
          <w:rFonts w:ascii="Arial"/>
          <w:i/>
          <w:color w:val="4D4D4F"/>
          <w:w w:val="110"/>
          <w:sz w:val="22"/>
        </w:rPr>
        <w:t>Clinical</w:t>
      </w:r>
      <w:r>
        <w:rPr>
          <w:rFonts w:ascii="Arial"/>
          <w:i/>
          <w:color w:val="4D4D4F"/>
          <w:spacing w:val="-40"/>
          <w:w w:val="110"/>
          <w:sz w:val="22"/>
        </w:rPr>
        <w:t> </w:t>
      </w:r>
      <w:r>
        <w:rPr>
          <w:rFonts w:ascii="Arial"/>
          <w:i/>
          <w:color w:val="4D4D4F"/>
          <w:w w:val="110"/>
          <w:sz w:val="22"/>
        </w:rPr>
        <w:t>Drug</w:t>
      </w:r>
      <w:r>
        <w:rPr>
          <w:rFonts w:ascii="Arial"/>
          <w:i/>
          <w:color w:val="4D4D4F"/>
          <w:spacing w:val="-41"/>
          <w:w w:val="110"/>
          <w:sz w:val="22"/>
        </w:rPr>
        <w:t> </w:t>
      </w:r>
      <w:r>
        <w:rPr>
          <w:rFonts w:ascii="Arial"/>
          <w:i/>
          <w:color w:val="4D4D4F"/>
          <w:spacing w:val="-4"/>
          <w:w w:val="110"/>
          <w:sz w:val="22"/>
        </w:rPr>
        <w:t>Testing</w:t>
      </w:r>
      <w:r>
        <w:rPr>
          <w:rFonts w:ascii="Arial"/>
          <w:i/>
          <w:color w:val="4D4D4F"/>
          <w:spacing w:val="-40"/>
          <w:w w:val="110"/>
          <w:sz w:val="22"/>
        </w:rPr>
        <w:t> </w:t>
      </w:r>
      <w:r>
        <w:rPr>
          <w:rFonts w:ascii="Arial"/>
          <w:i/>
          <w:color w:val="4D4D4F"/>
          <w:w w:val="110"/>
          <w:sz w:val="22"/>
        </w:rPr>
        <w:t>in</w:t>
      </w:r>
      <w:r>
        <w:rPr>
          <w:rFonts w:ascii="Arial"/>
          <w:i/>
          <w:color w:val="4D4D4F"/>
          <w:spacing w:val="-41"/>
          <w:w w:val="110"/>
          <w:sz w:val="22"/>
        </w:rPr>
        <w:t> </w:t>
      </w:r>
      <w:r>
        <w:rPr>
          <w:rFonts w:ascii="Arial"/>
          <w:i/>
          <w:color w:val="4D4D4F"/>
          <w:spacing w:val="-3"/>
          <w:w w:val="110"/>
          <w:sz w:val="22"/>
        </w:rPr>
        <w:t>Primary </w:t>
      </w:r>
      <w:r>
        <w:rPr>
          <w:rFonts w:ascii="Arial"/>
          <w:i/>
          <w:color w:val="4D4D4F"/>
          <w:w w:val="110"/>
          <w:sz w:val="22"/>
        </w:rPr>
        <w:t>Care</w:t>
      </w:r>
      <w:r>
        <w:rPr>
          <w:rFonts w:ascii="Arial"/>
          <w:i/>
          <w:color w:val="4D4D4F"/>
          <w:w w:val="110"/>
          <w:position w:val="7"/>
          <w:sz w:val="13"/>
        </w:rPr>
        <w:t>368</w:t>
      </w:r>
      <w:r>
        <w:rPr>
          <w:rFonts w:ascii="Arial"/>
          <w:i/>
          <w:color w:val="4D4D4F"/>
          <w:spacing w:val="22"/>
          <w:w w:val="110"/>
          <w:position w:val="7"/>
          <w:sz w:val="13"/>
        </w:rPr>
        <w:t> </w:t>
      </w:r>
      <w:r>
        <w:rPr>
          <w:color w:val="4D4D4F"/>
          <w:w w:val="110"/>
          <w:sz w:val="22"/>
        </w:rPr>
        <w:t>(</w:t>
      </w:r>
      <w:r>
        <w:rPr>
          <w:color w:val="205E9F"/>
          <w:w w:val="110"/>
          <w:sz w:val="22"/>
          <w:u w:val="single" w:color="205E9F"/>
        </w:rPr>
        <w:t>https://store.samhsa.gov/product/</w:t>
      </w:r>
    </w:p>
    <w:p>
      <w:pPr>
        <w:pStyle w:val="BodyText"/>
        <w:spacing w:line="247" w:lineRule="auto" w:before="1"/>
        <w:ind w:left="140"/>
      </w:pPr>
      <w:r>
        <w:rPr>
          <w:color w:val="205E9F"/>
          <w:w w:val="110"/>
          <w:u w:val="single" w:color="205E9F"/>
        </w:rPr>
        <w:t>tap-32-clinical-drug-testing-primary-care/sma12-</w:t>
      </w:r>
      <w:r>
        <w:rPr>
          <w:color w:val="205E9F"/>
          <w:w w:val="110"/>
        </w:rPr>
        <w:t> </w:t>
      </w:r>
      <w:r>
        <w:rPr>
          <w:color w:val="205E9F"/>
          <w:w w:val="110"/>
          <w:u w:val="single" w:color="205E9F"/>
        </w:rPr>
        <w:t>4668</w:t>
      </w:r>
      <w:r>
        <w:rPr>
          <w:color w:val="4D4D4F"/>
          <w:w w:val="110"/>
        </w:rPr>
        <w:t>) and </w:t>
      </w:r>
      <w:r>
        <w:rPr>
          <w:color w:val="4D4D4F"/>
          <w:spacing w:val="-3"/>
          <w:w w:val="110"/>
        </w:rPr>
        <w:t>ASAM’s </w:t>
      </w:r>
      <w:r>
        <w:rPr>
          <w:color w:val="4D4D4F"/>
          <w:w w:val="110"/>
        </w:rPr>
        <w:t>Consensus Statement on Appropriate Use of Drug</w:t>
      </w:r>
      <w:r>
        <w:rPr>
          <w:color w:val="4D4D4F"/>
          <w:spacing w:val="-23"/>
          <w:w w:val="110"/>
        </w:rPr>
        <w:t> </w:t>
      </w:r>
      <w:r>
        <w:rPr>
          <w:color w:val="4D4D4F"/>
          <w:spacing w:val="-4"/>
          <w:w w:val="110"/>
        </w:rPr>
        <w:t>Testing</w:t>
      </w:r>
    </w:p>
    <w:p>
      <w:pPr>
        <w:pStyle w:val="BodyText"/>
        <w:spacing w:before="4"/>
        <w:ind w:left="140"/>
        <w:rPr>
          <w:sz w:val="13"/>
        </w:rPr>
      </w:pPr>
      <w:r>
        <w:rPr>
          <w:color w:val="4D4D4F"/>
          <w:w w:val="110"/>
        </w:rPr>
        <w:t>in Clinical Addiction</w:t>
      </w:r>
      <w:r>
        <w:rPr>
          <w:color w:val="4D4D4F"/>
          <w:spacing w:val="29"/>
          <w:w w:val="110"/>
        </w:rPr>
        <w:t> </w:t>
      </w:r>
      <w:r>
        <w:rPr>
          <w:color w:val="4D4D4F"/>
          <w:w w:val="110"/>
        </w:rPr>
        <w:t>Medicine.</w:t>
      </w:r>
      <w:r>
        <w:rPr>
          <w:color w:val="4D4D4F"/>
          <w:w w:val="110"/>
          <w:position w:val="7"/>
          <w:sz w:val="13"/>
        </w:rPr>
        <w:t>369</w:t>
      </w:r>
    </w:p>
    <w:p>
      <w:pPr>
        <w:spacing w:line="256" w:lineRule="auto" w:before="223"/>
        <w:ind w:left="140" w:right="13" w:firstLine="0"/>
        <w:jc w:val="left"/>
        <w:rPr>
          <w:rFonts w:ascii="Calibri"/>
          <w:b/>
          <w:sz w:val="22"/>
        </w:rPr>
      </w:pPr>
      <w:r>
        <w:rPr>
          <w:b/>
          <w:i/>
          <w:color w:val="137692"/>
          <w:w w:val="105"/>
          <w:sz w:val="24"/>
        </w:rPr>
        <w:t>Opioids and opiates in point-of-service tests </w:t>
      </w:r>
      <w:r>
        <w:rPr>
          <w:rFonts w:ascii="Calibri"/>
          <w:b/>
          <w:color w:val="4D4D4F"/>
          <w:w w:val="110"/>
          <w:sz w:val="22"/>
        </w:rPr>
        <w:t>Point-of-service and laboratory screening tests for opiates only test for opioids metabolized to</w:t>
      </w:r>
    </w:p>
    <w:p>
      <w:pPr>
        <w:pStyle w:val="BodyText"/>
        <w:spacing w:line="247" w:lineRule="auto" w:before="101"/>
        <w:ind w:left="140" w:right="253"/>
      </w:pPr>
      <w:r>
        <w:rPr/>
        <w:br w:type="column"/>
      </w:r>
      <w:r>
        <w:rPr>
          <w:rFonts w:ascii="Calibri" w:hAnsi="Calibri"/>
          <w:b/>
          <w:color w:val="4D4D4F"/>
          <w:w w:val="110"/>
        </w:rPr>
        <w:t>morphine </w:t>
      </w:r>
      <w:r>
        <w:rPr>
          <w:color w:val="4D4D4F"/>
          <w:w w:val="110"/>
        </w:rPr>
        <w:t>(e.g., codeine, heroin). Semisynthetic and synthetic opioids, such as methadone, buprenorphine, and others (e.g., fentanyl, oxycodone), are not metabolized to morphine and do not test positive on most opiate tests. Speciﬁc point-of-service tests exist for these opioids.</w:t>
      </w:r>
    </w:p>
    <w:p>
      <w:pPr>
        <w:spacing w:line="242" w:lineRule="auto" w:before="174"/>
        <w:ind w:left="140" w:right="200" w:firstLine="0"/>
        <w:jc w:val="left"/>
        <w:rPr>
          <w:sz w:val="22"/>
        </w:rPr>
      </w:pPr>
      <w:r>
        <w:rPr>
          <w:rFonts w:ascii="Calibri" w:hAnsi="Calibri"/>
          <w:b/>
          <w:color w:val="4D4D4F"/>
          <w:w w:val="110"/>
          <w:sz w:val="22"/>
        </w:rPr>
        <w:t>Some point-of-service and laboratory tests can detect methadone, buprenorphine, and other opioids. </w:t>
      </w:r>
      <w:r>
        <w:rPr>
          <w:color w:val="4D4D4F"/>
          <w:w w:val="110"/>
          <w:sz w:val="22"/>
        </w:rPr>
        <w:t>Patients taking buprenorphine should have buprenorphine speciﬁcally included in their urine test panel to assure the prescriber that the patient is indeed taking the medication. Some patients may put some of their buprenorphine</w:t>
      </w:r>
    </w:p>
    <w:p>
      <w:pPr>
        <w:pStyle w:val="BodyText"/>
        <w:spacing w:line="247" w:lineRule="auto" w:before="9"/>
        <w:ind w:left="140" w:right="318"/>
      </w:pPr>
      <w:r>
        <w:rPr>
          <w:color w:val="4D4D4F"/>
          <w:w w:val="110"/>
        </w:rPr>
        <w:t>in the urine to mask nonadherence. Periodically testing for a buprenorphine metabolite (e.g., norbuprenorphine, buprenorphine glucuronide) is advised.</w:t>
      </w:r>
    </w:p>
    <w:p>
      <w:pPr>
        <w:spacing w:line="256" w:lineRule="auto" w:before="219"/>
        <w:ind w:left="140" w:right="0" w:firstLine="0"/>
        <w:jc w:val="left"/>
        <w:rPr>
          <w:sz w:val="22"/>
        </w:rPr>
      </w:pPr>
      <w:r>
        <w:rPr>
          <w:b/>
          <w:i/>
          <w:color w:val="137692"/>
          <w:w w:val="110"/>
          <w:sz w:val="24"/>
        </w:rPr>
        <w:t>Assessing buprenorphine adherence </w:t>
      </w:r>
      <w:r>
        <w:rPr>
          <w:rFonts w:ascii="Calibri"/>
          <w:b/>
          <w:color w:val="4D4D4F"/>
          <w:w w:val="110"/>
          <w:sz w:val="22"/>
        </w:rPr>
        <w:t>Medication nonadherence and diversion can signal inadequately treated OUD </w:t>
      </w:r>
      <w:r>
        <w:rPr>
          <w:color w:val="4D4D4F"/>
          <w:w w:val="110"/>
          <w:sz w:val="22"/>
        </w:rPr>
        <w:t>(e.g., return</w:t>
      </w:r>
    </w:p>
    <w:p>
      <w:pPr>
        <w:pStyle w:val="BodyText"/>
        <w:spacing w:line="236" w:lineRule="exact"/>
        <w:ind w:left="140"/>
      </w:pPr>
      <w:r>
        <w:rPr>
          <w:color w:val="4D4D4F"/>
          <w:w w:val="110"/>
        </w:rPr>
        <w:t>to use with positive urine drug tests). Assess</w:t>
      </w:r>
    </w:p>
    <w:p>
      <w:pPr>
        <w:pStyle w:val="BodyText"/>
        <w:spacing w:line="247" w:lineRule="auto" w:before="9"/>
        <w:ind w:left="140"/>
      </w:pPr>
      <w:r>
        <w:rPr>
          <w:color w:val="4D4D4F"/>
          <w:w w:val="110"/>
        </w:rPr>
        <w:t>such behaviors clinically and develop therapeutic responses to them.</w:t>
      </w:r>
    </w:p>
    <w:p>
      <w:pPr>
        <w:pStyle w:val="BodyText"/>
        <w:spacing w:line="247" w:lineRule="auto" w:before="182"/>
        <w:ind w:left="140" w:right="202"/>
      </w:pPr>
      <w:r>
        <w:rPr>
          <w:color w:val="4D4D4F"/>
          <w:w w:val="110"/>
        </w:rPr>
        <w:t>Remember that nonadherence, misuse, and diversion occur with other medications as well—those with and without abuse potential. For instance, </w:t>
      </w:r>
      <w:r>
        <w:rPr>
          <w:color w:val="4D4D4F"/>
          <w:spacing w:val="-5"/>
          <w:w w:val="110"/>
        </w:rPr>
        <w:t>it’s </w:t>
      </w:r>
      <w:r>
        <w:rPr>
          <w:color w:val="4D4D4F"/>
          <w:w w:val="110"/>
        </w:rPr>
        <w:t>clear that opioid analgesics  have been overprescribed for  pain,  misused, and diverted; they have contributed to deaths among individuals prescribed as well as those not </w:t>
      </w:r>
      <w:r>
        <w:rPr>
          <w:color w:val="4D4D4F"/>
          <w:spacing w:val="-4"/>
          <w:w w:val="110"/>
        </w:rPr>
        <w:t>prescribed </w:t>
      </w:r>
      <w:r>
        <w:rPr>
          <w:color w:val="4D4D4F"/>
          <w:spacing w:val="-3"/>
          <w:w w:val="110"/>
        </w:rPr>
        <w:t>these medications. Antibiotics for </w:t>
      </w:r>
      <w:r>
        <w:rPr>
          <w:color w:val="4D4D4F"/>
          <w:w w:val="110"/>
        </w:rPr>
        <w:t>bacterial infections are also overprescribed, and patient nonadherence (e.g., not completing the full course), misuse (e.g., saving leftover medi- cation for a later self-diagnosed and self-treated infection), and diversion (e.g., giving leftover medication to ill family members or friends) can cause signiﬁcant public health harm, given the spread of drug-resistant bacteria. </w:t>
      </w:r>
      <w:r>
        <w:rPr>
          <w:rFonts w:ascii="Calibri" w:hAnsi="Calibri"/>
          <w:b/>
          <w:color w:val="4D4D4F"/>
          <w:w w:val="110"/>
        </w:rPr>
        <w:t>Medication nonadherence has largely fueled development of longer acting medications </w:t>
      </w:r>
      <w:r>
        <w:rPr>
          <w:color w:val="4D4D4F"/>
          <w:w w:val="110"/>
        </w:rPr>
        <w:t>(e.g., depot anti- psychotics, long-acting contraceptives, XR-NTX, buprenorphine</w:t>
      </w:r>
      <w:r>
        <w:rPr>
          <w:color w:val="4D4D4F"/>
          <w:spacing w:val="-6"/>
          <w:w w:val="110"/>
        </w:rPr>
        <w:t> </w:t>
      </w:r>
      <w:r>
        <w:rPr>
          <w:color w:val="4D4D4F"/>
          <w:w w:val="110"/>
        </w:rPr>
        <w:t>implants).</w:t>
      </w:r>
    </w:p>
    <w:p>
      <w:pPr>
        <w:spacing w:after="0" w:line="247" w:lineRule="auto"/>
        <w:sectPr>
          <w:type w:val="continuous"/>
          <w:pgSz w:w="12240" w:h="15840"/>
          <w:pgMar w:top="540" w:bottom="280" w:left="940" w:right="920"/>
          <w:cols w:num="2" w:equalWidth="0">
            <w:col w:w="5034" w:space="186"/>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spacing w:line="242" w:lineRule="auto" w:before="101"/>
        <w:ind w:left="140" w:right="248" w:firstLine="0"/>
        <w:jc w:val="left"/>
        <w:rPr>
          <w:sz w:val="22"/>
        </w:rPr>
      </w:pPr>
      <w:r>
        <w:rPr>
          <w:rFonts w:ascii="Calibri"/>
          <w:b/>
          <w:color w:val="4D4D4F"/>
          <w:w w:val="110"/>
          <w:sz w:val="22"/>
        </w:rPr>
        <w:t>Strategies for addressing medication non- adherence and diversion include carefully assessing the patient to understand </w:t>
      </w:r>
      <w:r>
        <w:rPr>
          <w:rFonts w:ascii="Calibri"/>
          <w:b/>
          <w:color w:val="4D4D4F"/>
          <w:spacing w:val="-3"/>
          <w:w w:val="110"/>
          <w:sz w:val="22"/>
        </w:rPr>
        <w:t>under- </w:t>
      </w:r>
      <w:r>
        <w:rPr>
          <w:rFonts w:ascii="Calibri"/>
          <w:b/>
          <w:color w:val="4D4D4F"/>
          <w:w w:val="110"/>
          <w:sz w:val="22"/>
        </w:rPr>
        <w:t>lying causes of the </w:t>
      </w:r>
      <w:r>
        <w:rPr>
          <w:rFonts w:ascii="Calibri"/>
          <w:b/>
          <w:color w:val="4D4D4F"/>
          <w:spacing w:val="-3"/>
          <w:w w:val="110"/>
          <w:sz w:val="22"/>
        </w:rPr>
        <w:t>behavior. </w:t>
      </w:r>
      <w:r>
        <w:rPr>
          <w:color w:val="4D4D4F"/>
          <w:w w:val="110"/>
          <w:sz w:val="22"/>
        </w:rPr>
        <w:t>Address these causes and monitor adherence. For instance,  if a patient gives his or her medication to a relative on a waiting list for treatment, getting the </w:t>
      </w:r>
      <w:r>
        <w:rPr>
          <w:color w:val="4D4D4F"/>
          <w:spacing w:val="-4"/>
          <w:w w:val="110"/>
          <w:sz w:val="22"/>
        </w:rPr>
        <w:t>relative </w:t>
      </w:r>
      <w:r>
        <w:rPr>
          <w:color w:val="4D4D4F"/>
          <w:spacing w:val="-3"/>
          <w:w w:val="110"/>
          <w:sz w:val="22"/>
        </w:rPr>
        <w:t>into </w:t>
      </w:r>
      <w:r>
        <w:rPr>
          <w:color w:val="4D4D4F"/>
          <w:spacing w:val="-4"/>
          <w:w w:val="110"/>
          <w:sz w:val="22"/>
        </w:rPr>
        <w:t>treatment </w:t>
      </w:r>
      <w:r>
        <w:rPr>
          <w:color w:val="4D4D4F"/>
          <w:w w:val="110"/>
          <w:sz w:val="22"/>
        </w:rPr>
        <w:t>can </w:t>
      </w:r>
      <w:r>
        <w:rPr>
          <w:color w:val="4D4D4F"/>
          <w:spacing w:val="-3"/>
          <w:w w:val="110"/>
          <w:sz w:val="22"/>
        </w:rPr>
        <w:t>help that patient </w:t>
      </w:r>
      <w:r>
        <w:rPr>
          <w:color w:val="4D4D4F"/>
          <w:w w:val="110"/>
          <w:sz w:val="22"/>
        </w:rPr>
        <w:t>become adherent. Monitor adherence by:</w:t>
      </w:r>
    </w:p>
    <w:p>
      <w:pPr>
        <w:pStyle w:val="ListParagraph"/>
        <w:numPr>
          <w:ilvl w:val="0"/>
          <w:numId w:val="29"/>
        </w:numPr>
        <w:tabs>
          <w:tab w:pos="410" w:val="left" w:leader="none"/>
        </w:tabs>
        <w:spacing w:line="208" w:lineRule="auto" w:before="133" w:after="0"/>
        <w:ind w:left="410" w:right="46" w:hanging="270"/>
        <w:jc w:val="left"/>
        <w:rPr>
          <w:rFonts w:ascii="Arial" w:hAnsi="Arial"/>
          <w:color w:val="137692"/>
          <w:sz w:val="28"/>
        </w:rPr>
      </w:pPr>
      <w:r>
        <w:rPr>
          <w:color w:val="4D4D4F"/>
          <w:w w:val="115"/>
          <w:sz w:val="22"/>
        </w:rPr>
        <w:t>Asking</w:t>
      </w:r>
      <w:r>
        <w:rPr>
          <w:color w:val="4D4D4F"/>
          <w:spacing w:val="-22"/>
          <w:w w:val="115"/>
          <w:sz w:val="22"/>
        </w:rPr>
        <w:t> </w:t>
      </w:r>
      <w:r>
        <w:rPr>
          <w:color w:val="4D4D4F"/>
          <w:w w:val="115"/>
          <w:sz w:val="22"/>
        </w:rPr>
        <w:t>patients</w:t>
      </w:r>
      <w:r>
        <w:rPr>
          <w:color w:val="4D4D4F"/>
          <w:spacing w:val="-22"/>
          <w:w w:val="115"/>
          <w:sz w:val="22"/>
        </w:rPr>
        <w:t> </w:t>
      </w:r>
      <w:r>
        <w:rPr>
          <w:color w:val="4D4D4F"/>
          <w:w w:val="115"/>
          <w:sz w:val="22"/>
        </w:rPr>
        <w:t>to</w:t>
      </w:r>
      <w:r>
        <w:rPr>
          <w:color w:val="4D4D4F"/>
          <w:spacing w:val="-22"/>
          <w:w w:val="115"/>
          <w:sz w:val="22"/>
        </w:rPr>
        <w:t> </w:t>
      </w:r>
      <w:r>
        <w:rPr>
          <w:color w:val="4D4D4F"/>
          <w:w w:val="115"/>
          <w:sz w:val="22"/>
        </w:rPr>
        <w:t>bring</w:t>
      </w:r>
      <w:r>
        <w:rPr>
          <w:color w:val="4D4D4F"/>
          <w:spacing w:val="-22"/>
          <w:w w:val="115"/>
          <w:sz w:val="22"/>
        </w:rPr>
        <w:t> </w:t>
      </w:r>
      <w:r>
        <w:rPr>
          <w:color w:val="4D4D4F"/>
          <w:w w:val="115"/>
          <w:sz w:val="22"/>
        </w:rPr>
        <w:t>their</w:t>
      </w:r>
      <w:r>
        <w:rPr>
          <w:color w:val="4D4D4F"/>
          <w:spacing w:val="-22"/>
          <w:w w:val="115"/>
          <w:sz w:val="22"/>
        </w:rPr>
        <w:t> </w:t>
      </w:r>
      <w:r>
        <w:rPr>
          <w:color w:val="4D4D4F"/>
          <w:w w:val="115"/>
          <w:sz w:val="22"/>
        </w:rPr>
        <w:t>unused</w:t>
      </w:r>
      <w:r>
        <w:rPr>
          <w:color w:val="4D4D4F"/>
          <w:spacing w:val="-21"/>
          <w:w w:val="115"/>
          <w:sz w:val="22"/>
        </w:rPr>
        <w:t> </w:t>
      </w:r>
      <w:r>
        <w:rPr>
          <w:color w:val="4D4D4F"/>
          <w:spacing w:val="-3"/>
          <w:w w:val="115"/>
          <w:sz w:val="22"/>
        </w:rPr>
        <w:t>medica- </w:t>
      </w:r>
      <w:r>
        <w:rPr>
          <w:color w:val="4D4D4F"/>
          <w:w w:val="115"/>
          <w:sz w:val="22"/>
        </w:rPr>
        <w:t>tion</w:t>
      </w:r>
      <w:r>
        <w:rPr>
          <w:color w:val="4D4D4F"/>
          <w:spacing w:val="-13"/>
          <w:w w:val="115"/>
          <w:sz w:val="22"/>
        </w:rPr>
        <w:t> </w:t>
      </w:r>
      <w:r>
        <w:rPr>
          <w:color w:val="4D4D4F"/>
          <w:w w:val="115"/>
          <w:sz w:val="22"/>
        </w:rPr>
        <w:t>into</w:t>
      </w:r>
      <w:r>
        <w:rPr>
          <w:color w:val="4D4D4F"/>
          <w:spacing w:val="-13"/>
          <w:w w:val="115"/>
          <w:sz w:val="22"/>
        </w:rPr>
        <w:t> </w:t>
      </w:r>
      <w:r>
        <w:rPr>
          <w:color w:val="4D4D4F"/>
          <w:w w:val="115"/>
          <w:sz w:val="22"/>
        </w:rPr>
        <w:t>the</w:t>
      </w:r>
      <w:r>
        <w:rPr>
          <w:color w:val="4D4D4F"/>
          <w:spacing w:val="-13"/>
          <w:w w:val="115"/>
          <w:sz w:val="22"/>
        </w:rPr>
        <w:t> </w:t>
      </w:r>
      <w:r>
        <w:rPr>
          <w:color w:val="4D4D4F"/>
          <w:w w:val="115"/>
          <w:sz w:val="22"/>
        </w:rPr>
        <w:t>ofﬁce</w:t>
      </w:r>
      <w:r>
        <w:rPr>
          <w:color w:val="4D4D4F"/>
          <w:spacing w:val="-13"/>
          <w:w w:val="115"/>
          <w:sz w:val="22"/>
        </w:rPr>
        <w:t> </w:t>
      </w:r>
      <w:r>
        <w:rPr>
          <w:color w:val="4D4D4F"/>
          <w:w w:val="115"/>
          <w:sz w:val="22"/>
        </w:rPr>
        <w:t>for</w:t>
      </w:r>
      <w:r>
        <w:rPr>
          <w:color w:val="4D4D4F"/>
          <w:spacing w:val="-13"/>
          <w:w w:val="115"/>
          <w:sz w:val="22"/>
        </w:rPr>
        <w:t> </w:t>
      </w:r>
      <w:r>
        <w:rPr>
          <w:color w:val="4D4D4F"/>
          <w:w w:val="115"/>
          <w:sz w:val="22"/>
        </w:rPr>
        <w:t>counting.</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Increasing the frequency of ofﬁce</w:t>
      </w:r>
      <w:r>
        <w:rPr>
          <w:color w:val="4D4D4F"/>
          <w:spacing w:val="-12"/>
          <w:w w:val="110"/>
          <w:sz w:val="22"/>
        </w:rPr>
        <w:t> </w:t>
      </w:r>
      <w:r>
        <w:rPr>
          <w:color w:val="4D4D4F"/>
          <w:w w:val="110"/>
          <w:sz w:val="22"/>
        </w:rPr>
        <w:t>visits.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Increasing urine drug</w:t>
      </w:r>
      <w:r>
        <w:rPr>
          <w:color w:val="4D4D4F"/>
          <w:spacing w:val="-32"/>
          <w:w w:val="115"/>
          <w:sz w:val="22"/>
        </w:rPr>
        <w:t> </w:t>
      </w:r>
      <w:r>
        <w:rPr>
          <w:color w:val="4D4D4F"/>
          <w:w w:val="115"/>
          <w:sz w:val="22"/>
        </w:rPr>
        <w:t>testing.</w:t>
      </w:r>
    </w:p>
    <w:p>
      <w:pPr>
        <w:pStyle w:val="ListParagraph"/>
        <w:numPr>
          <w:ilvl w:val="0"/>
          <w:numId w:val="29"/>
        </w:numPr>
        <w:tabs>
          <w:tab w:pos="410" w:val="left" w:leader="none"/>
        </w:tabs>
        <w:spacing w:line="208" w:lineRule="auto" w:before="22" w:after="0"/>
        <w:ind w:left="410" w:right="446" w:hanging="270"/>
        <w:jc w:val="left"/>
        <w:rPr>
          <w:rFonts w:ascii="Arial" w:hAnsi="Arial"/>
          <w:color w:val="137692"/>
          <w:sz w:val="28"/>
        </w:rPr>
      </w:pPr>
      <w:r>
        <w:rPr>
          <w:color w:val="4D4D4F"/>
          <w:spacing w:val="-4"/>
          <w:w w:val="110"/>
          <w:sz w:val="22"/>
        </w:rPr>
        <w:t>Talking </w:t>
      </w:r>
      <w:r>
        <w:rPr>
          <w:color w:val="4D4D4F"/>
          <w:w w:val="110"/>
          <w:sz w:val="22"/>
        </w:rPr>
        <w:t>with family members or signiﬁcant others.</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Writing</w:t>
      </w:r>
      <w:r>
        <w:rPr>
          <w:color w:val="4D4D4F"/>
          <w:spacing w:val="-14"/>
          <w:w w:val="110"/>
          <w:sz w:val="22"/>
        </w:rPr>
        <w:t> </w:t>
      </w:r>
      <w:r>
        <w:rPr>
          <w:color w:val="4D4D4F"/>
          <w:w w:val="110"/>
          <w:sz w:val="22"/>
        </w:rPr>
        <w:t>prescriptions</w:t>
      </w:r>
      <w:r>
        <w:rPr>
          <w:color w:val="4D4D4F"/>
          <w:spacing w:val="-13"/>
          <w:w w:val="110"/>
          <w:sz w:val="22"/>
        </w:rPr>
        <w:t> </w:t>
      </w:r>
      <w:r>
        <w:rPr>
          <w:color w:val="4D4D4F"/>
          <w:w w:val="110"/>
          <w:sz w:val="22"/>
        </w:rPr>
        <w:t>for</w:t>
      </w:r>
      <w:r>
        <w:rPr>
          <w:color w:val="4D4D4F"/>
          <w:spacing w:val="-14"/>
          <w:w w:val="110"/>
          <w:sz w:val="22"/>
        </w:rPr>
        <w:t> </w:t>
      </w:r>
      <w:r>
        <w:rPr>
          <w:color w:val="4D4D4F"/>
          <w:w w:val="110"/>
          <w:sz w:val="22"/>
        </w:rPr>
        <w:t>shorter</w:t>
      </w:r>
      <w:r>
        <w:rPr>
          <w:color w:val="4D4D4F"/>
          <w:spacing w:val="-13"/>
          <w:w w:val="110"/>
          <w:sz w:val="22"/>
        </w:rPr>
        <w:t> </w:t>
      </w:r>
      <w:r>
        <w:rPr>
          <w:color w:val="4D4D4F"/>
          <w:w w:val="110"/>
          <w:sz w:val="22"/>
        </w:rPr>
        <w:t>duration.</w:t>
      </w:r>
    </w:p>
    <w:p>
      <w:pPr>
        <w:pStyle w:val="ListParagraph"/>
        <w:numPr>
          <w:ilvl w:val="0"/>
          <w:numId w:val="29"/>
        </w:numPr>
        <w:tabs>
          <w:tab w:pos="410" w:val="left" w:leader="none"/>
        </w:tabs>
        <w:spacing w:line="208" w:lineRule="auto" w:before="22" w:after="0"/>
        <w:ind w:left="410" w:right="270" w:hanging="270"/>
        <w:jc w:val="left"/>
        <w:rPr>
          <w:rFonts w:ascii="Arial" w:hAnsi="Arial"/>
          <w:color w:val="137692"/>
          <w:sz w:val="28"/>
        </w:rPr>
      </w:pPr>
      <w:r>
        <w:rPr>
          <w:color w:val="4D4D4F"/>
          <w:w w:val="110"/>
          <w:sz w:val="22"/>
        </w:rPr>
        <w:t>Observing medication administration at </w:t>
      </w:r>
      <w:r>
        <w:rPr>
          <w:color w:val="4D4D4F"/>
          <w:spacing w:val="-6"/>
          <w:w w:val="110"/>
          <w:sz w:val="22"/>
        </w:rPr>
        <w:t>the </w:t>
      </w:r>
      <w:r>
        <w:rPr>
          <w:color w:val="4D4D4F"/>
          <w:w w:val="110"/>
          <w:sz w:val="22"/>
        </w:rPr>
        <w:t>ofﬁce, pharmacy, or</w:t>
      </w:r>
      <w:r>
        <w:rPr>
          <w:color w:val="4D4D4F"/>
          <w:spacing w:val="-20"/>
          <w:w w:val="110"/>
          <w:sz w:val="22"/>
        </w:rPr>
        <w:t> </w:t>
      </w:r>
      <w:r>
        <w:rPr>
          <w:color w:val="4D4D4F"/>
          <w:spacing w:val="-10"/>
          <w:w w:val="110"/>
          <w:sz w:val="22"/>
        </w:rPr>
        <w:t>OTP.</w:t>
      </w:r>
    </w:p>
    <w:p>
      <w:pPr>
        <w:pStyle w:val="ListParagraph"/>
        <w:numPr>
          <w:ilvl w:val="0"/>
          <w:numId w:val="29"/>
        </w:numPr>
        <w:tabs>
          <w:tab w:pos="410" w:val="left" w:leader="none"/>
        </w:tabs>
        <w:spacing w:line="208" w:lineRule="auto" w:before="69" w:after="0"/>
        <w:ind w:left="410" w:right="494" w:hanging="270"/>
        <w:jc w:val="left"/>
        <w:rPr>
          <w:rFonts w:ascii="Arial" w:hAnsi="Arial"/>
          <w:color w:val="137692"/>
          <w:sz w:val="28"/>
        </w:rPr>
      </w:pPr>
      <w:r>
        <w:rPr>
          <w:color w:val="4D4D4F"/>
          <w:w w:val="110"/>
          <w:sz w:val="22"/>
        </w:rPr>
        <w:t>Checking urine for buprenorphine and </w:t>
      </w:r>
      <w:r>
        <w:rPr>
          <w:color w:val="4D4D4F"/>
          <w:spacing w:val="-6"/>
          <w:w w:val="110"/>
          <w:sz w:val="22"/>
        </w:rPr>
        <w:t>its </w:t>
      </w:r>
      <w:r>
        <w:rPr>
          <w:color w:val="4D4D4F"/>
          <w:w w:val="110"/>
          <w:sz w:val="22"/>
        </w:rPr>
        <w:t>metabolites.</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5"/>
          <w:sz w:val="22"/>
        </w:rPr>
        <w:t>Checking the</w:t>
      </w:r>
      <w:r>
        <w:rPr>
          <w:color w:val="4D4D4F"/>
          <w:spacing w:val="-21"/>
          <w:w w:val="115"/>
          <w:sz w:val="22"/>
        </w:rPr>
        <w:t> </w:t>
      </w:r>
      <w:r>
        <w:rPr>
          <w:color w:val="4D4D4F"/>
          <w:spacing w:val="-8"/>
          <w:w w:val="115"/>
          <w:sz w:val="22"/>
        </w:rPr>
        <w:t>PDMP.</w:t>
      </w:r>
    </w:p>
    <w:p>
      <w:pPr>
        <w:pStyle w:val="ListParagraph"/>
        <w:numPr>
          <w:ilvl w:val="0"/>
          <w:numId w:val="29"/>
        </w:numPr>
        <w:tabs>
          <w:tab w:pos="410" w:val="left" w:leader="none"/>
        </w:tabs>
        <w:spacing w:line="208" w:lineRule="auto" w:before="22" w:after="0"/>
        <w:ind w:left="410" w:right="615" w:hanging="270"/>
        <w:jc w:val="left"/>
        <w:rPr>
          <w:rFonts w:ascii="Arial" w:hAnsi="Arial"/>
          <w:color w:val="137692"/>
          <w:sz w:val="28"/>
        </w:rPr>
      </w:pPr>
      <w:r>
        <w:rPr>
          <w:color w:val="4D4D4F"/>
          <w:w w:val="115"/>
          <w:sz w:val="22"/>
        </w:rPr>
        <w:t>Avoiding</w:t>
      </w:r>
      <w:r>
        <w:rPr>
          <w:color w:val="4D4D4F"/>
          <w:spacing w:val="-24"/>
          <w:w w:val="115"/>
          <w:sz w:val="22"/>
        </w:rPr>
        <w:t> </w:t>
      </w:r>
      <w:r>
        <w:rPr>
          <w:color w:val="4D4D4F"/>
          <w:w w:val="115"/>
          <w:sz w:val="22"/>
        </w:rPr>
        <w:t>doses</w:t>
      </w:r>
      <w:r>
        <w:rPr>
          <w:color w:val="4D4D4F"/>
          <w:spacing w:val="-24"/>
          <w:w w:val="115"/>
          <w:sz w:val="22"/>
        </w:rPr>
        <w:t> </w:t>
      </w:r>
      <w:r>
        <w:rPr>
          <w:color w:val="4D4D4F"/>
          <w:w w:val="115"/>
          <w:sz w:val="22"/>
        </w:rPr>
        <w:t>over</w:t>
      </w:r>
      <w:r>
        <w:rPr>
          <w:color w:val="4D4D4F"/>
          <w:spacing w:val="-24"/>
          <w:w w:val="115"/>
          <w:sz w:val="22"/>
        </w:rPr>
        <w:t> </w:t>
      </w:r>
      <w:r>
        <w:rPr>
          <w:color w:val="4D4D4F"/>
          <w:w w:val="115"/>
          <w:sz w:val="22"/>
        </w:rPr>
        <w:t>24</w:t>
      </w:r>
      <w:r>
        <w:rPr>
          <w:color w:val="4D4D4F"/>
          <w:spacing w:val="-23"/>
          <w:w w:val="115"/>
          <w:sz w:val="22"/>
        </w:rPr>
        <w:t> </w:t>
      </w:r>
      <w:r>
        <w:rPr>
          <w:color w:val="4D4D4F"/>
          <w:w w:val="115"/>
          <w:sz w:val="22"/>
        </w:rPr>
        <w:t>mg</w:t>
      </w:r>
      <w:r>
        <w:rPr>
          <w:color w:val="4D4D4F"/>
          <w:spacing w:val="-24"/>
          <w:w w:val="115"/>
          <w:sz w:val="22"/>
        </w:rPr>
        <w:t> </w:t>
      </w:r>
      <w:r>
        <w:rPr>
          <w:color w:val="4D4D4F"/>
          <w:w w:val="115"/>
          <w:sz w:val="22"/>
        </w:rPr>
        <w:t>(save</w:t>
      </w:r>
      <w:r>
        <w:rPr>
          <w:color w:val="4D4D4F"/>
          <w:spacing w:val="-24"/>
          <w:w w:val="115"/>
          <w:sz w:val="22"/>
        </w:rPr>
        <w:t> </w:t>
      </w:r>
      <w:r>
        <w:rPr>
          <w:color w:val="4D4D4F"/>
          <w:w w:val="115"/>
          <w:sz w:val="22"/>
        </w:rPr>
        <w:t>in</w:t>
      </w:r>
      <w:r>
        <w:rPr>
          <w:color w:val="4D4D4F"/>
          <w:spacing w:val="-23"/>
          <w:w w:val="115"/>
          <w:sz w:val="22"/>
        </w:rPr>
        <w:t> </w:t>
      </w:r>
      <w:r>
        <w:rPr>
          <w:color w:val="4D4D4F"/>
          <w:spacing w:val="-6"/>
          <w:w w:val="115"/>
          <w:sz w:val="22"/>
        </w:rPr>
        <w:t>rare </w:t>
      </w:r>
      <w:r>
        <w:rPr>
          <w:color w:val="4D4D4F"/>
          <w:w w:val="115"/>
          <w:sz w:val="22"/>
        </w:rPr>
        <w:t>cases).</w:t>
      </w:r>
    </w:p>
    <w:p>
      <w:pPr>
        <w:pStyle w:val="BodyText"/>
        <w:spacing w:line="247" w:lineRule="auto" w:before="195"/>
        <w:ind w:left="140" w:right="38"/>
        <w:jc w:val="both"/>
      </w:pPr>
      <w:r>
        <w:rPr>
          <w:color w:val="4D4D4F"/>
          <w:w w:val="110"/>
        </w:rPr>
        <w:t>Chapter 3D Appendix includes a sample patient urine drug screen and medication count form, as well as a pharmacy tablet/ﬁlm count form.</w:t>
      </w:r>
    </w:p>
    <w:p>
      <w:pPr>
        <w:pStyle w:val="BodyText"/>
        <w:spacing w:line="247" w:lineRule="auto" w:before="183"/>
        <w:ind w:left="140" w:right="46"/>
      </w:pPr>
      <w:r>
        <w:rPr>
          <w:color w:val="4D4D4F"/>
          <w:w w:val="110"/>
        </w:rPr>
        <w:t>If these steps have no positive effect, patients may need referral to higher levels of care</w:t>
      </w:r>
    </w:p>
    <w:p>
      <w:pPr>
        <w:pStyle w:val="BodyText"/>
        <w:spacing w:line="247" w:lineRule="auto" w:before="3"/>
        <w:ind w:left="140" w:right="46"/>
      </w:pPr>
      <w:r>
        <w:rPr>
          <w:color w:val="4D4D4F"/>
          <w:w w:val="110"/>
        </w:rPr>
        <w:t>at OTPs or residential addiction treatment programs. Different formulations or pharma- cotherapy may need to be considered.</w:t>
      </w:r>
      <w:r>
        <w:rPr>
          <w:color w:val="4D4D4F"/>
          <w:w w:val="110"/>
          <w:position w:val="7"/>
          <w:sz w:val="13"/>
        </w:rPr>
        <w:t>370 </w:t>
      </w:r>
      <w:r>
        <w:rPr>
          <w:color w:val="4D4D4F"/>
          <w:w w:val="110"/>
        </w:rPr>
        <w:t>If a change in setting is required, consider patients for return to OBOT once they stabilize.</w:t>
      </w:r>
    </w:p>
    <w:p>
      <w:pPr>
        <w:spacing w:line="256" w:lineRule="auto" w:before="220"/>
        <w:ind w:left="140" w:right="369" w:firstLine="0"/>
        <w:jc w:val="left"/>
        <w:rPr>
          <w:rFonts w:ascii="Calibri"/>
          <w:b/>
          <w:sz w:val="22"/>
        </w:rPr>
      </w:pPr>
      <w:r>
        <w:rPr>
          <w:b/>
          <w:i/>
          <w:color w:val="137692"/>
          <w:w w:val="110"/>
          <w:sz w:val="24"/>
        </w:rPr>
        <w:t>Discontinuing medication for OUD </w:t>
      </w:r>
      <w:r>
        <w:rPr>
          <w:rFonts w:ascii="Calibri"/>
          <w:b/>
          <w:color w:val="4D4D4F"/>
          <w:w w:val="110"/>
          <w:sz w:val="22"/>
        </w:rPr>
        <w:t>Patients should decide whether to taper off or discontinue pharmacotherapy with the</w:t>
      </w:r>
    </w:p>
    <w:p>
      <w:pPr>
        <w:pStyle w:val="Heading7"/>
        <w:spacing w:line="243" w:lineRule="exact"/>
      </w:pPr>
      <w:r>
        <w:rPr>
          <w:color w:val="4D4D4F"/>
          <w:w w:val="115"/>
        </w:rPr>
        <w:t>support of their healthcare professional and,</w:t>
      </w:r>
    </w:p>
    <w:p>
      <w:pPr>
        <w:spacing w:line="237" w:lineRule="auto" w:before="0"/>
        <w:ind w:left="140" w:right="94" w:firstLine="0"/>
        <w:jc w:val="both"/>
        <w:rPr>
          <w:sz w:val="22"/>
        </w:rPr>
      </w:pPr>
      <w:r>
        <w:rPr>
          <w:rFonts w:ascii="Calibri"/>
          <w:b/>
          <w:color w:val="4D4D4F"/>
          <w:w w:val="115"/>
          <w:sz w:val="22"/>
        </w:rPr>
        <w:t>if</w:t>
      </w:r>
      <w:r>
        <w:rPr>
          <w:rFonts w:ascii="Calibri"/>
          <w:b/>
          <w:color w:val="4D4D4F"/>
          <w:spacing w:val="-11"/>
          <w:w w:val="115"/>
          <w:sz w:val="22"/>
        </w:rPr>
        <w:t> </w:t>
      </w:r>
      <w:r>
        <w:rPr>
          <w:rFonts w:ascii="Calibri"/>
          <w:b/>
          <w:color w:val="4D4D4F"/>
          <w:w w:val="115"/>
          <w:sz w:val="22"/>
        </w:rPr>
        <w:t>applicable,</w:t>
      </w:r>
      <w:r>
        <w:rPr>
          <w:rFonts w:ascii="Calibri"/>
          <w:b/>
          <w:color w:val="4D4D4F"/>
          <w:spacing w:val="-10"/>
          <w:w w:val="115"/>
          <w:sz w:val="22"/>
        </w:rPr>
        <w:t> </w:t>
      </w:r>
      <w:r>
        <w:rPr>
          <w:rFonts w:ascii="Calibri"/>
          <w:b/>
          <w:color w:val="4D4D4F"/>
          <w:w w:val="115"/>
          <w:sz w:val="22"/>
        </w:rPr>
        <w:t>their</w:t>
      </w:r>
      <w:r>
        <w:rPr>
          <w:rFonts w:ascii="Calibri"/>
          <w:b/>
          <w:color w:val="4D4D4F"/>
          <w:spacing w:val="-11"/>
          <w:w w:val="115"/>
          <w:sz w:val="22"/>
        </w:rPr>
        <w:t> </w:t>
      </w:r>
      <w:r>
        <w:rPr>
          <w:rFonts w:ascii="Calibri"/>
          <w:b/>
          <w:color w:val="4D4D4F"/>
          <w:w w:val="115"/>
          <w:sz w:val="22"/>
        </w:rPr>
        <w:t>addiction</w:t>
      </w:r>
      <w:r>
        <w:rPr>
          <w:rFonts w:ascii="Calibri"/>
          <w:b/>
          <w:color w:val="4D4D4F"/>
          <w:spacing w:val="-10"/>
          <w:w w:val="115"/>
          <w:sz w:val="22"/>
        </w:rPr>
        <w:t> </w:t>
      </w:r>
      <w:r>
        <w:rPr>
          <w:rFonts w:ascii="Calibri"/>
          <w:b/>
          <w:color w:val="4D4D4F"/>
          <w:w w:val="115"/>
          <w:sz w:val="22"/>
        </w:rPr>
        <w:t>or</w:t>
      </w:r>
      <w:r>
        <w:rPr>
          <w:rFonts w:ascii="Calibri"/>
          <w:b/>
          <w:color w:val="4D4D4F"/>
          <w:spacing w:val="-10"/>
          <w:w w:val="115"/>
          <w:sz w:val="22"/>
        </w:rPr>
        <w:t> </w:t>
      </w:r>
      <w:r>
        <w:rPr>
          <w:rFonts w:ascii="Calibri"/>
          <w:b/>
          <w:color w:val="4D4D4F"/>
          <w:w w:val="115"/>
          <w:sz w:val="22"/>
        </w:rPr>
        <w:t>mental</w:t>
      </w:r>
      <w:r>
        <w:rPr>
          <w:rFonts w:ascii="Calibri"/>
          <w:b/>
          <w:color w:val="4D4D4F"/>
          <w:spacing w:val="-11"/>
          <w:w w:val="115"/>
          <w:sz w:val="22"/>
        </w:rPr>
        <w:t> </w:t>
      </w:r>
      <w:r>
        <w:rPr>
          <w:rFonts w:ascii="Calibri"/>
          <w:b/>
          <w:color w:val="4D4D4F"/>
          <w:w w:val="115"/>
          <w:sz w:val="22"/>
        </w:rPr>
        <w:t>health </w:t>
      </w:r>
      <w:r>
        <w:rPr>
          <w:rFonts w:ascii="Calibri"/>
          <w:b/>
          <w:color w:val="4D4D4F"/>
          <w:spacing w:val="-3"/>
          <w:w w:val="115"/>
          <w:sz w:val="22"/>
        </w:rPr>
        <w:t>counselor, family, </w:t>
      </w:r>
      <w:r>
        <w:rPr>
          <w:rFonts w:ascii="Calibri"/>
          <w:b/>
          <w:color w:val="4D4D4F"/>
          <w:w w:val="115"/>
          <w:sz w:val="22"/>
        </w:rPr>
        <w:t>and peer recovery</w:t>
      </w:r>
      <w:r>
        <w:rPr>
          <w:rFonts w:ascii="Calibri"/>
          <w:b/>
          <w:color w:val="4D4D4F"/>
          <w:spacing w:val="-31"/>
          <w:w w:val="115"/>
          <w:sz w:val="22"/>
        </w:rPr>
        <w:t> </w:t>
      </w:r>
      <w:r>
        <w:rPr>
          <w:rFonts w:ascii="Calibri"/>
          <w:b/>
          <w:color w:val="4D4D4F"/>
          <w:w w:val="115"/>
          <w:sz w:val="22"/>
        </w:rPr>
        <w:t>supports </w:t>
      </w:r>
      <w:r>
        <w:rPr>
          <w:color w:val="4D4D4F"/>
          <w:w w:val="115"/>
          <w:sz w:val="22"/>
        </w:rPr>
        <w:t>(e.g.,</w:t>
      </w:r>
      <w:r>
        <w:rPr>
          <w:color w:val="4D4D4F"/>
          <w:spacing w:val="-25"/>
          <w:w w:val="115"/>
          <w:sz w:val="22"/>
        </w:rPr>
        <w:t> </w:t>
      </w:r>
      <w:r>
        <w:rPr>
          <w:color w:val="4D4D4F"/>
          <w:w w:val="115"/>
          <w:sz w:val="22"/>
        </w:rPr>
        <w:t>peer</w:t>
      </w:r>
      <w:r>
        <w:rPr>
          <w:color w:val="4D4D4F"/>
          <w:spacing w:val="-24"/>
          <w:w w:val="115"/>
          <w:sz w:val="22"/>
        </w:rPr>
        <w:t> </w:t>
      </w:r>
      <w:r>
        <w:rPr>
          <w:color w:val="4D4D4F"/>
          <w:w w:val="115"/>
          <w:sz w:val="22"/>
        </w:rPr>
        <w:t>support</w:t>
      </w:r>
      <w:r>
        <w:rPr>
          <w:color w:val="4D4D4F"/>
          <w:spacing w:val="-25"/>
          <w:w w:val="115"/>
          <w:sz w:val="22"/>
        </w:rPr>
        <w:t> </w:t>
      </w:r>
      <w:r>
        <w:rPr>
          <w:color w:val="4D4D4F"/>
          <w:w w:val="115"/>
          <w:sz w:val="22"/>
        </w:rPr>
        <w:t>specialist,</w:t>
      </w:r>
      <w:r>
        <w:rPr>
          <w:color w:val="4D4D4F"/>
          <w:spacing w:val="-24"/>
          <w:w w:val="115"/>
          <w:sz w:val="22"/>
        </w:rPr>
        <w:t> </w:t>
      </w:r>
      <w:r>
        <w:rPr>
          <w:color w:val="4D4D4F"/>
          <w:w w:val="115"/>
          <w:sz w:val="22"/>
        </w:rPr>
        <w:t>recovery</w:t>
      </w:r>
      <w:r>
        <w:rPr>
          <w:color w:val="4D4D4F"/>
          <w:spacing w:val="-24"/>
          <w:w w:val="115"/>
          <w:sz w:val="22"/>
        </w:rPr>
        <w:t> </w:t>
      </w:r>
      <w:r>
        <w:rPr>
          <w:color w:val="4D4D4F"/>
          <w:w w:val="115"/>
          <w:sz w:val="22"/>
        </w:rPr>
        <w:t>coach).</w:t>
      </w:r>
    </w:p>
    <w:p>
      <w:pPr>
        <w:pStyle w:val="BodyText"/>
        <w:spacing w:line="247" w:lineRule="auto" w:before="11"/>
        <w:ind w:left="140" w:right="203"/>
      </w:pPr>
      <w:r>
        <w:rPr>
          <w:color w:val="4D4D4F"/>
          <w:w w:val="115"/>
        </w:rPr>
        <w:t>If patients’ goals include stopping medication, </w:t>
      </w:r>
      <w:r>
        <w:rPr>
          <w:color w:val="4D4D4F"/>
          <w:spacing w:val="-3"/>
          <w:w w:val="115"/>
        </w:rPr>
        <w:t>discuss </w:t>
      </w:r>
      <w:r>
        <w:rPr>
          <w:color w:val="4D4D4F"/>
          <w:w w:val="115"/>
        </w:rPr>
        <w:t>the </w:t>
      </w:r>
      <w:r>
        <w:rPr>
          <w:color w:val="4D4D4F"/>
          <w:spacing w:val="-3"/>
          <w:w w:val="115"/>
        </w:rPr>
        <w:t>risks </w:t>
      </w:r>
      <w:r>
        <w:rPr>
          <w:color w:val="4D4D4F"/>
          <w:w w:val="115"/>
        </w:rPr>
        <w:t>and </w:t>
      </w:r>
      <w:r>
        <w:rPr>
          <w:color w:val="4D4D4F"/>
          <w:spacing w:val="-3"/>
          <w:w w:val="115"/>
        </w:rPr>
        <w:t>beneﬁts </w:t>
      </w:r>
      <w:r>
        <w:rPr>
          <w:color w:val="4D4D4F"/>
          <w:w w:val="115"/>
        </w:rPr>
        <w:t>of </w:t>
      </w:r>
      <w:r>
        <w:rPr>
          <w:color w:val="4D4D4F"/>
          <w:spacing w:val="-3"/>
          <w:w w:val="115"/>
        </w:rPr>
        <w:t>discontinuing. </w:t>
      </w:r>
      <w:r>
        <w:rPr>
          <w:color w:val="4D4D4F"/>
          <w:w w:val="115"/>
        </w:rPr>
        <w:t>Work </w:t>
      </w:r>
      <w:r>
        <w:rPr>
          <w:color w:val="4D4D4F"/>
          <w:spacing w:val="2"/>
          <w:w w:val="115"/>
        </w:rPr>
        <w:t>closely with patients </w:t>
      </w:r>
      <w:r>
        <w:rPr>
          <w:color w:val="4D4D4F"/>
          <w:w w:val="115"/>
        </w:rPr>
        <w:t>to </w:t>
      </w:r>
      <w:r>
        <w:rPr>
          <w:color w:val="4D4D4F"/>
          <w:spacing w:val="2"/>
          <w:w w:val="115"/>
        </w:rPr>
        <w:t>develop </w:t>
      </w:r>
      <w:r>
        <w:rPr>
          <w:color w:val="4D4D4F"/>
          <w:w w:val="115"/>
        </w:rPr>
        <w:t>a</w:t>
      </w:r>
    </w:p>
    <w:p>
      <w:pPr>
        <w:pStyle w:val="BodyText"/>
        <w:spacing w:line="247" w:lineRule="auto" w:before="106"/>
        <w:ind w:left="140" w:right="372"/>
      </w:pPr>
      <w:r>
        <w:rPr/>
        <w:br w:type="column"/>
      </w:r>
      <w:r>
        <w:rPr>
          <w:color w:val="4D4D4F"/>
          <w:w w:val="110"/>
        </w:rPr>
        <w:t>buprenorphine dose taper plan, if needed, </w:t>
      </w:r>
      <w:r>
        <w:rPr>
          <w:color w:val="4D4D4F"/>
          <w:spacing w:val="-5"/>
          <w:w w:val="110"/>
        </w:rPr>
        <w:t>and </w:t>
      </w:r>
      <w:r>
        <w:rPr>
          <w:color w:val="4D4D4F"/>
          <w:w w:val="110"/>
        </w:rPr>
        <w:t>a robust plan to sustain recovery and </w:t>
      </w:r>
      <w:r>
        <w:rPr>
          <w:color w:val="4D4D4F"/>
          <w:spacing w:val="-3"/>
          <w:w w:val="110"/>
        </w:rPr>
        <w:t>reengage </w:t>
      </w:r>
      <w:r>
        <w:rPr>
          <w:color w:val="4D4D4F"/>
          <w:w w:val="110"/>
        </w:rPr>
        <w:t>in treatment before any return to substance use. Before patients begin a buprenorphine dose</w:t>
      </w:r>
      <w:r>
        <w:rPr>
          <w:color w:val="4D4D4F"/>
          <w:spacing w:val="-18"/>
          <w:w w:val="110"/>
        </w:rPr>
        <w:t> </w:t>
      </w:r>
      <w:r>
        <w:rPr>
          <w:color w:val="4D4D4F"/>
          <w:w w:val="110"/>
        </w:rPr>
        <w:t>taper</w:t>
      </w:r>
      <w:r>
        <w:rPr>
          <w:color w:val="4D4D4F"/>
          <w:spacing w:val="-17"/>
          <w:w w:val="110"/>
        </w:rPr>
        <w:t> </w:t>
      </w:r>
      <w:r>
        <w:rPr>
          <w:color w:val="4D4D4F"/>
          <w:w w:val="110"/>
        </w:rPr>
        <w:t>or</w:t>
      </w:r>
      <w:r>
        <w:rPr>
          <w:color w:val="4D4D4F"/>
          <w:spacing w:val="-18"/>
          <w:w w:val="110"/>
        </w:rPr>
        <w:t> </w:t>
      </w:r>
      <w:r>
        <w:rPr>
          <w:color w:val="4D4D4F"/>
          <w:w w:val="110"/>
        </w:rPr>
        <w:t>discontinue</w:t>
      </w:r>
      <w:r>
        <w:rPr>
          <w:color w:val="4D4D4F"/>
          <w:spacing w:val="-17"/>
          <w:w w:val="110"/>
        </w:rPr>
        <w:t> </w:t>
      </w:r>
      <w:r>
        <w:rPr>
          <w:color w:val="4D4D4F"/>
          <w:w w:val="110"/>
        </w:rPr>
        <w:t>XR-NTX,</w:t>
      </w:r>
      <w:r>
        <w:rPr>
          <w:color w:val="4D4D4F"/>
          <w:spacing w:val="-18"/>
          <w:w w:val="110"/>
        </w:rPr>
        <w:t> </w:t>
      </w:r>
      <w:r>
        <w:rPr>
          <w:color w:val="4D4D4F"/>
          <w:w w:val="110"/>
        </w:rPr>
        <w:t>they</w:t>
      </w:r>
      <w:r>
        <w:rPr>
          <w:color w:val="4D4D4F"/>
          <w:spacing w:val="-17"/>
          <w:w w:val="110"/>
        </w:rPr>
        <w:t> </w:t>
      </w:r>
      <w:r>
        <w:rPr>
          <w:color w:val="4D4D4F"/>
          <w:spacing w:val="-4"/>
          <w:w w:val="110"/>
        </w:rPr>
        <w:t>should </w:t>
      </w:r>
      <w:r>
        <w:rPr>
          <w:color w:val="4D4D4F"/>
          <w:w w:val="110"/>
        </w:rPr>
        <w:t>demonstrate:</w:t>
      </w:r>
    </w:p>
    <w:p>
      <w:pPr>
        <w:pStyle w:val="ListParagraph"/>
        <w:numPr>
          <w:ilvl w:val="0"/>
          <w:numId w:val="29"/>
        </w:numPr>
        <w:tabs>
          <w:tab w:pos="411" w:val="left" w:leader="none"/>
        </w:tabs>
        <w:spacing w:line="315" w:lineRule="exact" w:before="169" w:after="0"/>
        <w:ind w:left="410" w:right="0" w:hanging="271"/>
        <w:jc w:val="left"/>
        <w:rPr>
          <w:rFonts w:ascii="Arial" w:hAnsi="Arial"/>
          <w:color w:val="137692"/>
          <w:sz w:val="28"/>
        </w:rPr>
      </w:pPr>
      <w:r>
        <w:rPr>
          <w:color w:val="4D4D4F"/>
          <w:w w:val="115"/>
          <w:sz w:val="22"/>
        </w:rPr>
        <w:t>Medication</w:t>
      </w:r>
      <w:r>
        <w:rPr>
          <w:color w:val="4D4D4F"/>
          <w:spacing w:val="-10"/>
          <w:w w:val="115"/>
          <w:sz w:val="22"/>
        </w:rPr>
        <w:t> </w:t>
      </w:r>
      <w:r>
        <w:rPr>
          <w:color w:val="4D4D4F"/>
          <w:w w:val="115"/>
          <w:sz w:val="22"/>
        </w:rPr>
        <w:t>adherence.</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0"/>
          <w:sz w:val="22"/>
        </w:rPr>
        <w:t>Abstinence from illicit opioid</w:t>
      </w:r>
      <w:r>
        <w:rPr>
          <w:color w:val="4D4D4F"/>
          <w:spacing w:val="-20"/>
          <w:w w:val="110"/>
          <w:sz w:val="22"/>
        </w:rPr>
        <w:t> </w:t>
      </w:r>
      <w:r>
        <w:rPr>
          <w:color w:val="4D4D4F"/>
          <w:w w:val="110"/>
          <w:sz w:val="22"/>
        </w:rPr>
        <w:t>use.</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0"/>
          <w:sz w:val="22"/>
        </w:rPr>
        <w:t>A stable living</w:t>
      </w:r>
      <w:r>
        <w:rPr>
          <w:color w:val="4D4D4F"/>
          <w:spacing w:val="-15"/>
          <w:w w:val="110"/>
          <w:sz w:val="22"/>
        </w:rPr>
        <w:t> </w:t>
      </w:r>
      <w:r>
        <w:rPr>
          <w:color w:val="4D4D4F"/>
          <w:w w:val="110"/>
          <w:sz w:val="22"/>
        </w:rPr>
        <w:t>environment.</w:t>
      </w:r>
    </w:p>
    <w:p>
      <w:pPr>
        <w:pStyle w:val="ListParagraph"/>
        <w:numPr>
          <w:ilvl w:val="0"/>
          <w:numId w:val="29"/>
        </w:numPr>
        <w:tabs>
          <w:tab w:pos="411" w:val="left" w:leader="none"/>
        </w:tabs>
        <w:spacing w:line="307" w:lineRule="exact" w:before="0" w:after="0"/>
        <w:ind w:left="410" w:right="0" w:hanging="271"/>
        <w:jc w:val="left"/>
        <w:rPr>
          <w:rFonts w:ascii="Arial" w:hAnsi="Arial"/>
          <w:color w:val="137692"/>
          <w:sz w:val="28"/>
        </w:rPr>
      </w:pPr>
      <w:r>
        <w:rPr>
          <w:color w:val="4D4D4F"/>
          <w:w w:val="115"/>
          <w:sz w:val="22"/>
        </w:rPr>
        <w:t>Social</w:t>
      </w:r>
      <w:r>
        <w:rPr>
          <w:color w:val="4D4D4F"/>
          <w:spacing w:val="-10"/>
          <w:w w:val="115"/>
          <w:sz w:val="22"/>
        </w:rPr>
        <w:t> </w:t>
      </w:r>
      <w:r>
        <w:rPr>
          <w:color w:val="4D4D4F"/>
          <w:w w:val="115"/>
          <w:sz w:val="22"/>
        </w:rPr>
        <w:t>support.</w:t>
      </w:r>
    </w:p>
    <w:p>
      <w:pPr>
        <w:pStyle w:val="ListParagraph"/>
        <w:numPr>
          <w:ilvl w:val="0"/>
          <w:numId w:val="29"/>
        </w:numPr>
        <w:tabs>
          <w:tab w:pos="411" w:val="left" w:leader="none"/>
        </w:tabs>
        <w:spacing w:line="208" w:lineRule="auto" w:before="21" w:after="0"/>
        <w:ind w:left="410" w:right="651" w:hanging="270"/>
        <w:jc w:val="left"/>
        <w:rPr>
          <w:rFonts w:ascii="Arial" w:hAnsi="Arial"/>
          <w:color w:val="137692"/>
          <w:sz w:val="28"/>
        </w:rPr>
      </w:pPr>
      <w:r>
        <w:rPr>
          <w:color w:val="4D4D4F"/>
          <w:w w:val="110"/>
          <w:sz w:val="22"/>
        </w:rPr>
        <w:t>Sustained improvements in functioning </w:t>
      </w:r>
      <w:r>
        <w:rPr>
          <w:color w:val="4D4D4F"/>
          <w:spacing w:val="-9"/>
          <w:w w:val="110"/>
          <w:sz w:val="22"/>
        </w:rPr>
        <w:t>at </w:t>
      </w:r>
      <w:r>
        <w:rPr>
          <w:color w:val="4D4D4F"/>
          <w:w w:val="110"/>
          <w:sz w:val="22"/>
        </w:rPr>
        <w:t>home and at school or</w:t>
      </w:r>
      <w:r>
        <w:rPr>
          <w:color w:val="4D4D4F"/>
          <w:spacing w:val="-35"/>
          <w:w w:val="110"/>
          <w:sz w:val="22"/>
        </w:rPr>
        <w:t> </w:t>
      </w:r>
      <w:r>
        <w:rPr>
          <w:color w:val="4D4D4F"/>
          <w:w w:val="110"/>
          <w:sz w:val="22"/>
        </w:rPr>
        <w:t>work.</w:t>
      </w:r>
    </w:p>
    <w:p>
      <w:pPr>
        <w:pStyle w:val="BodyText"/>
        <w:spacing w:line="247" w:lineRule="auto" w:before="195"/>
        <w:ind w:left="140" w:right="186"/>
      </w:pPr>
      <w:r>
        <w:rPr>
          <w:color w:val="4D4D4F"/>
          <w:w w:val="115"/>
        </w:rPr>
        <w:t>Consider treatment with XR-NTX following successful</w:t>
      </w:r>
      <w:r>
        <w:rPr>
          <w:color w:val="4D4D4F"/>
          <w:spacing w:val="-26"/>
          <w:w w:val="115"/>
        </w:rPr>
        <w:t> </w:t>
      </w:r>
      <w:r>
        <w:rPr>
          <w:color w:val="4D4D4F"/>
          <w:w w:val="115"/>
        </w:rPr>
        <w:t>taper</w:t>
      </w:r>
      <w:r>
        <w:rPr>
          <w:color w:val="4D4D4F"/>
          <w:spacing w:val="-25"/>
          <w:w w:val="115"/>
        </w:rPr>
        <w:t> </w:t>
      </w:r>
      <w:r>
        <w:rPr>
          <w:color w:val="4D4D4F"/>
          <w:w w:val="115"/>
        </w:rPr>
        <w:t>from</w:t>
      </w:r>
      <w:r>
        <w:rPr>
          <w:color w:val="4D4D4F"/>
          <w:spacing w:val="-26"/>
          <w:w w:val="115"/>
        </w:rPr>
        <w:t> </w:t>
      </w:r>
      <w:r>
        <w:rPr>
          <w:color w:val="4D4D4F"/>
          <w:w w:val="115"/>
        </w:rPr>
        <w:t>an</w:t>
      </w:r>
      <w:r>
        <w:rPr>
          <w:color w:val="4D4D4F"/>
          <w:spacing w:val="-25"/>
          <w:w w:val="115"/>
        </w:rPr>
        <w:t> </w:t>
      </w:r>
      <w:r>
        <w:rPr>
          <w:color w:val="4D4D4F"/>
          <w:w w:val="115"/>
        </w:rPr>
        <w:t>opioid</w:t>
      </w:r>
      <w:r>
        <w:rPr>
          <w:color w:val="4D4D4F"/>
          <w:spacing w:val="-26"/>
          <w:w w:val="115"/>
        </w:rPr>
        <w:t> </w:t>
      </w:r>
      <w:r>
        <w:rPr>
          <w:color w:val="4D4D4F"/>
          <w:w w:val="115"/>
        </w:rPr>
        <w:t>agonist</w:t>
      </w:r>
      <w:r>
        <w:rPr>
          <w:color w:val="4D4D4F"/>
          <w:spacing w:val="-25"/>
          <w:w w:val="115"/>
        </w:rPr>
        <w:t> </w:t>
      </w:r>
      <w:r>
        <w:rPr>
          <w:color w:val="4D4D4F"/>
          <w:w w:val="115"/>
        </w:rPr>
        <w:t>or</w:t>
      </w:r>
      <w:r>
        <w:rPr>
          <w:color w:val="4D4D4F"/>
          <w:spacing w:val="-26"/>
          <w:w w:val="115"/>
        </w:rPr>
        <w:t> </w:t>
      </w:r>
      <w:r>
        <w:rPr>
          <w:color w:val="4D4D4F"/>
          <w:spacing w:val="-3"/>
          <w:w w:val="115"/>
        </w:rPr>
        <w:t>partial </w:t>
      </w:r>
      <w:r>
        <w:rPr>
          <w:color w:val="4D4D4F"/>
          <w:w w:val="115"/>
        </w:rPr>
        <w:t>agonist (after an appropriate period of absti- nence).</w:t>
      </w:r>
      <w:r>
        <w:rPr>
          <w:color w:val="4D4D4F"/>
          <w:spacing w:val="-22"/>
          <w:w w:val="115"/>
        </w:rPr>
        <w:t> </w:t>
      </w:r>
      <w:r>
        <w:rPr>
          <w:color w:val="4D4D4F"/>
          <w:w w:val="115"/>
        </w:rPr>
        <w:t>Data</w:t>
      </w:r>
      <w:r>
        <w:rPr>
          <w:color w:val="4D4D4F"/>
          <w:spacing w:val="-22"/>
          <w:w w:val="115"/>
        </w:rPr>
        <w:t> </w:t>
      </w:r>
      <w:r>
        <w:rPr>
          <w:color w:val="4D4D4F"/>
          <w:w w:val="115"/>
        </w:rPr>
        <w:t>are</w:t>
      </w:r>
      <w:r>
        <w:rPr>
          <w:color w:val="4D4D4F"/>
          <w:spacing w:val="-22"/>
          <w:w w:val="115"/>
        </w:rPr>
        <w:t> </w:t>
      </w:r>
      <w:r>
        <w:rPr>
          <w:color w:val="4D4D4F"/>
          <w:w w:val="115"/>
        </w:rPr>
        <w:t>limited</w:t>
      </w:r>
      <w:r>
        <w:rPr>
          <w:color w:val="4D4D4F"/>
          <w:spacing w:val="-22"/>
          <w:w w:val="115"/>
        </w:rPr>
        <w:t> </w:t>
      </w:r>
      <w:r>
        <w:rPr>
          <w:color w:val="4D4D4F"/>
          <w:w w:val="115"/>
        </w:rPr>
        <w:t>on</w:t>
      </w:r>
      <w:r>
        <w:rPr>
          <w:color w:val="4D4D4F"/>
          <w:spacing w:val="-22"/>
          <w:w w:val="115"/>
        </w:rPr>
        <w:t> </w:t>
      </w:r>
      <w:r>
        <w:rPr>
          <w:color w:val="4D4D4F"/>
          <w:w w:val="115"/>
        </w:rPr>
        <w:t>the</w:t>
      </w:r>
      <w:r>
        <w:rPr>
          <w:color w:val="4D4D4F"/>
          <w:spacing w:val="-22"/>
          <w:w w:val="115"/>
        </w:rPr>
        <w:t> </w:t>
      </w:r>
      <w:r>
        <w:rPr>
          <w:color w:val="4D4D4F"/>
          <w:w w:val="115"/>
        </w:rPr>
        <w:t>effectiveness</w:t>
      </w:r>
      <w:r>
        <w:rPr>
          <w:color w:val="4D4D4F"/>
          <w:spacing w:val="-22"/>
          <w:w w:val="115"/>
        </w:rPr>
        <w:t> </w:t>
      </w:r>
      <w:r>
        <w:rPr>
          <w:color w:val="4D4D4F"/>
          <w:w w:val="115"/>
        </w:rPr>
        <w:t>of this</w:t>
      </w:r>
      <w:r>
        <w:rPr>
          <w:color w:val="4D4D4F"/>
          <w:spacing w:val="-10"/>
          <w:w w:val="115"/>
        </w:rPr>
        <w:t> </w:t>
      </w:r>
      <w:r>
        <w:rPr>
          <w:color w:val="4D4D4F"/>
          <w:w w:val="115"/>
        </w:rPr>
        <w:t>approach.</w:t>
      </w:r>
    </w:p>
    <w:p>
      <w:pPr>
        <w:pStyle w:val="Heading7"/>
        <w:spacing w:line="235" w:lineRule="auto" w:before="186"/>
        <w:ind w:right="594"/>
        <w:rPr>
          <w:rFonts w:ascii="Gill Sans MT" w:hAnsi="Gill Sans MT"/>
          <w:b w:val="0"/>
        </w:rPr>
      </w:pPr>
      <w:r>
        <w:rPr>
          <w:color w:val="4D4D4F"/>
          <w:w w:val="110"/>
        </w:rPr>
        <w:t>The TIP expert panel recommends that providers not discharge patients from treatment solely  because  of  continued illicit opioid use if the beneﬁts of </w:t>
      </w:r>
      <w:r>
        <w:rPr>
          <w:color w:val="4D4D4F"/>
          <w:spacing w:val="-3"/>
          <w:w w:val="110"/>
        </w:rPr>
        <w:t>treatment </w:t>
      </w:r>
      <w:r>
        <w:rPr>
          <w:color w:val="4D4D4F"/>
          <w:w w:val="110"/>
        </w:rPr>
        <w:t>continue to outweigh the risks. </w:t>
      </w:r>
      <w:r>
        <w:rPr>
          <w:rFonts w:ascii="Gill Sans MT" w:hAnsi="Gill Sans MT"/>
          <w:b w:val="0"/>
          <w:color w:val="4D4D4F"/>
          <w:w w:val="110"/>
        </w:rPr>
        <w:t>If</w:t>
      </w:r>
      <w:r>
        <w:rPr>
          <w:rFonts w:ascii="Gill Sans MT" w:hAnsi="Gill Sans MT"/>
          <w:b w:val="0"/>
          <w:color w:val="4D4D4F"/>
          <w:spacing w:val="64"/>
          <w:w w:val="110"/>
        </w:rPr>
        <w:t> </w:t>
      </w:r>
      <w:r>
        <w:rPr>
          <w:rFonts w:ascii="Gill Sans MT" w:hAnsi="Gill Sans MT"/>
          <w:b w:val="0"/>
          <w:color w:val="4D4D4F"/>
          <w:w w:val="110"/>
        </w:rPr>
        <w:t>risks</w:t>
      </w:r>
    </w:p>
    <w:p>
      <w:pPr>
        <w:pStyle w:val="BodyText"/>
        <w:spacing w:line="247" w:lineRule="auto" w:before="5"/>
        <w:ind w:left="140" w:right="263"/>
      </w:pPr>
      <w:r>
        <w:rPr>
          <w:color w:val="4D4D4F"/>
          <w:w w:val="115"/>
        </w:rPr>
        <w:t>outweigh</w:t>
      </w:r>
      <w:r>
        <w:rPr>
          <w:color w:val="4D4D4F"/>
          <w:spacing w:val="-39"/>
          <w:w w:val="115"/>
        </w:rPr>
        <w:t> </w:t>
      </w:r>
      <w:r>
        <w:rPr>
          <w:color w:val="4D4D4F"/>
          <w:w w:val="115"/>
        </w:rPr>
        <w:t>beneﬁts</w:t>
      </w:r>
      <w:r>
        <w:rPr>
          <w:color w:val="4D4D4F"/>
          <w:spacing w:val="-39"/>
          <w:w w:val="115"/>
        </w:rPr>
        <w:t> </w:t>
      </w:r>
      <w:r>
        <w:rPr>
          <w:color w:val="4D4D4F"/>
          <w:w w:val="115"/>
        </w:rPr>
        <w:t>or</w:t>
      </w:r>
      <w:r>
        <w:rPr>
          <w:color w:val="4D4D4F"/>
          <w:spacing w:val="-39"/>
          <w:w w:val="115"/>
        </w:rPr>
        <w:t> </w:t>
      </w:r>
      <w:r>
        <w:rPr>
          <w:color w:val="4D4D4F"/>
          <w:w w:val="115"/>
        </w:rPr>
        <w:t>alternative</w:t>
      </w:r>
      <w:r>
        <w:rPr>
          <w:color w:val="4D4D4F"/>
          <w:spacing w:val="-39"/>
          <w:w w:val="115"/>
        </w:rPr>
        <w:t> </w:t>
      </w:r>
      <w:r>
        <w:rPr>
          <w:color w:val="4D4D4F"/>
          <w:w w:val="115"/>
        </w:rPr>
        <w:t>treatments</w:t>
      </w:r>
      <w:r>
        <w:rPr>
          <w:color w:val="4D4D4F"/>
          <w:spacing w:val="-39"/>
          <w:w w:val="115"/>
        </w:rPr>
        <w:t> </w:t>
      </w:r>
      <w:r>
        <w:rPr>
          <w:color w:val="4D4D4F"/>
          <w:spacing w:val="-6"/>
          <w:w w:val="115"/>
        </w:rPr>
        <w:t>may </w:t>
      </w:r>
      <w:r>
        <w:rPr>
          <w:color w:val="4D4D4F"/>
          <w:w w:val="115"/>
        </w:rPr>
        <w:t>offer</w:t>
      </w:r>
      <w:r>
        <w:rPr>
          <w:color w:val="4D4D4F"/>
          <w:spacing w:val="-30"/>
          <w:w w:val="115"/>
        </w:rPr>
        <w:t> </w:t>
      </w:r>
      <w:r>
        <w:rPr>
          <w:color w:val="4D4D4F"/>
          <w:w w:val="115"/>
        </w:rPr>
        <w:t>more</w:t>
      </w:r>
      <w:r>
        <w:rPr>
          <w:color w:val="4D4D4F"/>
          <w:spacing w:val="-30"/>
          <w:w w:val="115"/>
        </w:rPr>
        <w:t> </w:t>
      </w:r>
      <w:r>
        <w:rPr>
          <w:color w:val="4D4D4F"/>
          <w:w w:val="115"/>
        </w:rPr>
        <w:t>beneﬁt,</w:t>
      </w:r>
      <w:r>
        <w:rPr>
          <w:color w:val="4D4D4F"/>
          <w:spacing w:val="-30"/>
          <w:w w:val="115"/>
        </w:rPr>
        <w:t> </w:t>
      </w:r>
      <w:r>
        <w:rPr>
          <w:color w:val="4D4D4F"/>
          <w:w w:val="115"/>
        </w:rPr>
        <w:t>refer</w:t>
      </w:r>
      <w:r>
        <w:rPr>
          <w:color w:val="4D4D4F"/>
          <w:spacing w:val="-30"/>
          <w:w w:val="115"/>
        </w:rPr>
        <w:t> </w:t>
      </w:r>
      <w:r>
        <w:rPr>
          <w:color w:val="4D4D4F"/>
          <w:w w:val="115"/>
        </w:rPr>
        <w:t>patients</w:t>
      </w:r>
      <w:r>
        <w:rPr>
          <w:color w:val="4D4D4F"/>
          <w:spacing w:val="-29"/>
          <w:w w:val="115"/>
        </w:rPr>
        <w:t> </w:t>
      </w:r>
      <w:r>
        <w:rPr>
          <w:color w:val="4D4D4F"/>
          <w:w w:val="115"/>
        </w:rPr>
        <w:t>to</w:t>
      </w:r>
      <w:r>
        <w:rPr>
          <w:color w:val="4D4D4F"/>
          <w:spacing w:val="-30"/>
          <w:w w:val="115"/>
        </w:rPr>
        <w:t> </w:t>
      </w:r>
      <w:r>
        <w:rPr>
          <w:color w:val="4D4D4F"/>
          <w:w w:val="115"/>
        </w:rPr>
        <w:t>alternative treatment (e.g., OTP). Discharging patients without attempting meaningful referral when illicit opioid use is ongoing can worsen the patient’s condition and may be considered patient</w:t>
      </w:r>
      <w:r>
        <w:rPr>
          <w:color w:val="4D4D4F"/>
          <w:spacing w:val="-10"/>
          <w:w w:val="115"/>
        </w:rPr>
        <w:t> </w:t>
      </w:r>
      <w:r>
        <w:rPr>
          <w:color w:val="4D4D4F"/>
          <w:w w:val="115"/>
        </w:rPr>
        <w:t>abandonment.</w:t>
      </w:r>
    </w:p>
    <w:p>
      <w:pPr>
        <w:spacing w:before="222"/>
        <w:ind w:left="140" w:right="0" w:firstLine="0"/>
        <w:jc w:val="left"/>
        <w:rPr>
          <w:rFonts w:ascii="Arial"/>
          <w:sz w:val="23"/>
        </w:rPr>
      </w:pPr>
      <w:r>
        <w:rPr>
          <w:rFonts w:ascii="Arial"/>
          <w:color w:val="137692"/>
          <w:sz w:val="23"/>
        </w:rPr>
        <w:t>Forced tapers or abrupt discontinuation</w:t>
      </w:r>
    </w:p>
    <w:p>
      <w:pPr>
        <w:pStyle w:val="Heading7"/>
        <w:spacing w:line="235" w:lineRule="auto" w:before="67"/>
        <w:ind w:right="176"/>
      </w:pPr>
      <w:r>
        <w:rPr>
          <w:color w:val="4D4D4F"/>
          <w:w w:val="115"/>
        </w:rPr>
        <w:t>Forcing a patient to taper off of medication for nonmedical reasons or because of ongoing substance misuse is generally inappropriate.</w:t>
      </w:r>
    </w:p>
    <w:p>
      <w:pPr>
        <w:pStyle w:val="BodyText"/>
        <w:spacing w:line="247" w:lineRule="auto" w:before="4"/>
        <w:ind w:left="140" w:right="253"/>
      </w:pPr>
      <w:r>
        <w:rPr>
          <w:color w:val="4D4D4F"/>
          <w:w w:val="110"/>
        </w:rPr>
        <w:t>Many patients are abruptly discontinued or tapered from OUD medication against their will</w:t>
      </w:r>
    </w:p>
    <w:p>
      <w:pPr>
        <w:pStyle w:val="BodyText"/>
        <w:spacing w:before="1"/>
        <w:rPr>
          <w:sz w:val="36"/>
        </w:rPr>
      </w:pPr>
    </w:p>
    <w:p>
      <w:pPr>
        <w:pStyle w:val="Heading7"/>
        <w:spacing w:line="304" w:lineRule="auto"/>
        <w:ind w:left="438" w:right="1006"/>
        <w:rPr>
          <w:rFonts w:ascii="Arial"/>
        </w:rPr>
      </w:pPr>
      <w:r>
        <w:rPr/>
        <w:pict>
          <v:line style="position:absolute;mso-position-horizontal-relative:page;mso-position-vertical-relative:paragraph;z-index:15786496" from="315.501007pt,90.319878pt" to="315.501007pt,-.328122pt" stroked="true" strokeweight="1pt" strokecolor="#759eb4">
            <v:stroke dashstyle="solid"/>
            <w10:wrap type="none"/>
          </v:line>
        </w:pict>
      </w:r>
      <w:r>
        <w:rPr>
          <w:rFonts w:ascii="Arial"/>
          <w:color w:val="B15651"/>
          <w:w w:val="110"/>
        </w:rPr>
        <w:t>Do not require discontinuation of pharmacotherapy because of</w:t>
      </w:r>
    </w:p>
    <w:p>
      <w:pPr>
        <w:spacing w:line="304" w:lineRule="auto" w:before="0"/>
        <w:ind w:left="438" w:right="73" w:firstLine="0"/>
        <w:jc w:val="left"/>
        <w:rPr>
          <w:rFonts w:ascii="Arial"/>
          <w:b/>
          <w:sz w:val="22"/>
        </w:rPr>
      </w:pPr>
      <w:r>
        <w:rPr>
          <w:rFonts w:ascii="Arial"/>
          <w:b/>
          <w:color w:val="B15651"/>
          <w:w w:val="110"/>
          <w:sz w:val="22"/>
        </w:rPr>
        <w:t>incomplete treatment response. Doing so is not a rational therapeutic </w:t>
      </w:r>
      <w:r>
        <w:rPr>
          <w:rFonts w:ascii="Arial"/>
          <w:b/>
          <w:color w:val="B15651"/>
          <w:spacing w:val="-3"/>
          <w:w w:val="110"/>
          <w:sz w:val="22"/>
        </w:rPr>
        <w:t>response </w:t>
      </w:r>
      <w:r>
        <w:rPr>
          <w:rFonts w:ascii="Arial"/>
          <w:b/>
          <w:color w:val="B15651"/>
          <w:w w:val="110"/>
          <w:sz w:val="22"/>
        </w:rPr>
        <w:t>to the predicted course of a chronic condition.</w:t>
      </w:r>
    </w:p>
    <w:p>
      <w:pPr>
        <w:spacing w:after="0" w:line="304" w:lineRule="auto"/>
        <w:jc w:val="left"/>
        <w:rPr>
          <w:rFonts w:ascii="Arial"/>
          <w:sz w:val="22"/>
        </w:rPr>
        <w:sectPr>
          <w:type w:val="continuous"/>
          <w:pgSz w:w="12240" w:h="15840"/>
          <w:pgMar w:top="540" w:bottom="280" w:left="940" w:right="920"/>
          <w:cols w:num="2" w:equalWidth="0">
            <w:col w:w="4979" w:space="241"/>
            <w:col w:w="5160"/>
          </w:cols>
        </w:sectPr>
      </w:pPr>
    </w:p>
    <w:p>
      <w:pPr>
        <w:pStyle w:val="BodyText"/>
        <w:spacing w:before="8"/>
        <w:rPr>
          <w:rFonts w:ascii="Arial"/>
          <w:b/>
          <w:sz w:val="26"/>
        </w:rPr>
      </w:pPr>
    </w:p>
    <w:p>
      <w:pPr>
        <w:spacing w:after="0"/>
        <w:rPr>
          <w:rFonts w:ascii="Arial"/>
          <w:sz w:val="26"/>
        </w:rPr>
        <w:sectPr>
          <w:pgSz w:w="12240" w:h="15840"/>
          <w:pgMar w:header="576" w:footer="677" w:top="1340" w:bottom="860" w:left="940" w:right="920"/>
        </w:sectPr>
      </w:pPr>
    </w:p>
    <w:p>
      <w:pPr>
        <w:pStyle w:val="BodyText"/>
        <w:spacing w:line="247" w:lineRule="auto" w:before="110"/>
        <w:ind w:left="140" w:right="38"/>
      </w:pPr>
      <w:r>
        <w:rPr>
          <w:color w:val="4D4D4F"/>
          <w:w w:val="110"/>
        </w:rPr>
        <w:t>while detained or awaiting trial. A randomized trial of continuing versus tapering off methadone for detainees found that those who kept taking medication in detention were signiﬁcantly more likely to return to treatment on release.</w:t>
      </w:r>
      <w:r>
        <w:rPr>
          <w:color w:val="4D4D4F"/>
          <w:w w:val="110"/>
          <w:position w:val="7"/>
          <w:sz w:val="13"/>
        </w:rPr>
        <w:t>371 </w:t>
      </w:r>
      <w:r>
        <w:rPr>
          <w:color w:val="4D4D4F"/>
          <w:w w:val="110"/>
        </w:rPr>
        <w:t>It is likely that the same holds true for forced discon- tinuation from buprenorphine during detention.</w:t>
      </w:r>
    </w:p>
    <w:p>
      <w:pPr>
        <w:spacing w:line="242" w:lineRule="auto" w:before="189"/>
        <w:ind w:left="140" w:right="323" w:firstLine="0"/>
        <w:jc w:val="left"/>
        <w:rPr>
          <w:sz w:val="22"/>
        </w:rPr>
      </w:pPr>
      <w:r>
        <w:rPr>
          <w:color w:val="4D4D4F"/>
          <w:w w:val="110"/>
          <w:sz w:val="22"/>
        </w:rPr>
        <w:t>As is sometimes the case in general medical practice, </w:t>
      </w:r>
      <w:r>
        <w:rPr>
          <w:rFonts w:ascii="Calibri" w:hAnsi="Calibri"/>
          <w:b/>
          <w:color w:val="4D4D4F"/>
          <w:w w:val="110"/>
          <w:sz w:val="22"/>
        </w:rPr>
        <w:t>patients who are unable to pay  their bills should not be discontinued from treatment without attempting meaningful referral. </w:t>
      </w:r>
      <w:r>
        <w:rPr>
          <w:color w:val="4D4D4F"/>
          <w:w w:val="110"/>
          <w:sz w:val="22"/>
        </w:rPr>
        <w:t>Attempt referrals to publicly funded addiction treatment services (e.g., specialty treatment programs, federally qualiﬁed health centers). If patients cannot continue</w:t>
      </w:r>
      <w:r>
        <w:rPr>
          <w:color w:val="4D4D4F"/>
          <w:spacing w:val="-1"/>
          <w:w w:val="110"/>
          <w:sz w:val="22"/>
        </w:rPr>
        <w:t> </w:t>
      </w:r>
      <w:r>
        <w:rPr>
          <w:color w:val="4D4D4F"/>
          <w:spacing w:val="-3"/>
          <w:w w:val="110"/>
          <w:sz w:val="22"/>
        </w:rPr>
        <w:t>treatment</w:t>
      </w:r>
    </w:p>
    <w:p>
      <w:pPr>
        <w:pStyle w:val="BodyText"/>
        <w:spacing w:line="247" w:lineRule="auto"/>
        <w:ind w:left="140" w:right="76"/>
      </w:pPr>
      <w:r>
        <w:rPr>
          <w:color w:val="4D4D4F"/>
          <w:w w:val="115"/>
        </w:rPr>
        <w:t>because</w:t>
      </w:r>
      <w:r>
        <w:rPr>
          <w:color w:val="4D4D4F"/>
          <w:spacing w:val="-22"/>
          <w:w w:val="115"/>
        </w:rPr>
        <w:t> </w:t>
      </w:r>
      <w:r>
        <w:rPr>
          <w:color w:val="4D4D4F"/>
          <w:w w:val="115"/>
        </w:rPr>
        <w:t>of</w:t>
      </w:r>
      <w:r>
        <w:rPr>
          <w:color w:val="4D4D4F"/>
          <w:spacing w:val="-22"/>
          <w:w w:val="115"/>
        </w:rPr>
        <w:t> </w:t>
      </w:r>
      <w:r>
        <w:rPr>
          <w:color w:val="4D4D4F"/>
          <w:w w:val="115"/>
        </w:rPr>
        <w:t>inability</w:t>
      </w:r>
      <w:r>
        <w:rPr>
          <w:color w:val="4D4D4F"/>
          <w:spacing w:val="-22"/>
          <w:w w:val="115"/>
        </w:rPr>
        <w:t> </w:t>
      </w:r>
      <w:r>
        <w:rPr>
          <w:color w:val="4D4D4F"/>
          <w:w w:val="115"/>
        </w:rPr>
        <w:t>to</w:t>
      </w:r>
      <w:r>
        <w:rPr>
          <w:color w:val="4D4D4F"/>
          <w:spacing w:val="-21"/>
          <w:w w:val="115"/>
        </w:rPr>
        <w:t> </w:t>
      </w:r>
      <w:r>
        <w:rPr>
          <w:color w:val="4D4D4F"/>
          <w:spacing w:val="-5"/>
          <w:w w:val="115"/>
        </w:rPr>
        <w:t>pay,</w:t>
      </w:r>
      <w:r>
        <w:rPr>
          <w:color w:val="4D4D4F"/>
          <w:spacing w:val="-22"/>
          <w:w w:val="115"/>
        </w:rPr>
        <w:t> </w:t>
      </w:r>
      <w:r>
        <w:rPr>
          <w:color w:val="4D4D4F"/>
          <w:w w:val="115"/>
        </w:rPr>
        <w:t>providers</w:t>
      </w:r>
      <w:r>
        <w:rPr>
          <w:color w:val="4D4D4F"/>
          <w:spacing w:val="-22"/>
          <w:w w:val="115"/>
        </w:rPr>
        <w:t> </w:t>
      </w:r>
      <w:r>
        <w:rPr>
          <w:color w:val="4D4D4F"/>
          <w:w w:val="115"/>
        </w:rPr>
        <w:t>can</w:t>
      </w:r>
      <w:r>
        <w:rPr>
          <w:color w:val="4D4D4F"/>
          <w:spacing w:val="-22"/>
          <w:w w:val="115"/>
        </w:rPr>
        <w:t> </w:t>
      </w:r>
      <w:r>
        <w:rPr>
          <w:color w:val="4D4D4F"/>
          <w:spacing w:val="-3"/>
          <w:w w:val="115"/>
        </w:rPr>
        <w:t>contact </w:t>
      </w:r>
      <w:r>
        <w:rPr>
          <w:color w:val="4D4D4F"/>
          <w:w w:val="115"/>
        </w:rPr>
        <w:t>the pharmaceutical company about patient assistance programs to help defer the cost of medications.</w:t>
      </w:r>
    </w:p>
    <w:p>
      <w:pPr>
        <w:pStyle w:val="BodyText"/>
        <w:spacing w:line="247" w:lineRule="auto" w:before="181"/>
        <w:ind w:left="140" w:right="313"/>
      </w:pPr>
      <w:r>
        <w:rPr>
          <w:color w:val="4D4D4F"/>
          <w:w w:val="110"/>
        </w:rPr>
        <w:t>Forced dose tapers against the patient’s  desire may be clinically indicated when risks</w:t>
      </w:r>
      <w:r>
        <w:rPr>
          <w:color w:val="4D4D4F"/>
          <w:spacing w:val="17"/>
          <w:w w:val="110"/>
        </w:rPr>
        <w:t> </w:t>
      </w:r>
      <w:r>
        <w:rPr>
          <w:color w:val="4D4D4F"/>
          <w:spacing w:val="-9"/>
          <w:w w:val="110"/>
        </w:rPr>
        <w:t>of</w:t>
      </w:r>
    </w:p>
    <w:p>
      <w:pPr>
        <w:pStyle w:val="BodyText"/>
        <w:spacing w:line="247" w:lineRule="auto" w:before="2"/>
        <w:ind w:left="140" w:right="78"/>
      </w:pPr>
      <w:r>
        <w:rPr>
          <w:color w:val="4D4D4F"/>
          <w:w w:val="110"/>
        </w:rPr>
        <w:t>treatment outweigh beneﬁts </w:t>
      </w:r>
      <w:r>
        <w:rPr>
          <w:color w:val="4D4D4F"/>
          <w:spacing w:val="-7"/>
          <w:w w:val="110"/>
        </w:rPr>
        <w:t>or, </w:t>
      </w:r>
      <w:r>
        <w:rPr>
          <w:color w:val="4D4D4F"/>
          <w:w w:val="110"/>
        </w:rPr>
        <w:t>in unusual </w:t>
      </w:r>
      <w:r>
        <w:rPr>
          <w:color w:val="4D4D4F"/>
          <w:spacing w:val="-3"/>
          <w:w w:val="110"/>
        </w:rPr>
        <w:t>cases, </w:t>
      </w:r>
      <w:r>
        <w:rPr>
          <w:color w:val="4D4D4F"/>
          <w:w w:val="110"/>
        </w:rPr>
        <w:t>where the patient has been violent toward staff or other patients. In these cases, attempt to place the patient in a higher level of care and document the attempt. In some circumstances, forced tapering or abrupt discontinuation may violate the Americans with Disabilities</w:t>
      </w:r>
      <w:r>
        <w:rPr>
          <w:color w:val="4D4D4F"/>
          <w:spacing w:val="-29"/>
          <w:w w:val="110"/>
        </w:rPr>
        <w:t> </w:t>
      </w:r>
      <w:r>
        <w:rPr>
          <w:color w:val="4D4D4F"/>
          <w:w w:val="110"/>
        </w:rPr>
        <w:t>Act.</w:t>
      </w:r>
    </w:p>
    <w:p>
      <w:pPr>
        <w:pStyle w:val="BodyText"/>
        <w:spacing w:line="247" w:lineRule="auto" w:before="9"/>
        <w:ind w:left="140" w:right="317"/>
      </w:pPr>
      <w:r>
        <w:rPr>
          <w:color w:val="4D4D4F"/>
          <w:w w:val="110"/>
        </w:rPr>
        <w:t>The Legal Action Center (</w:t>
      </w:r>
      <w:r>
        <w:rPr>
          <w:color w:val="205E9F"/>
          <w:w w:val="110"/>
          <w:u w:val="single" w:color="205E9F"/>
        </w:rPr>
        <w:t>www.lac.org</w:t>
      </w:r>
      <w:r>
        <w:rPr>
          <w:color w:val="4D4D4F"/>
          <w:w w:val="110"/>
        </w:rPr>
        <w:t>) and the National Alliance for Medication Assisted Recovery</w:t>
      </w:r>
      <w:r>
        <w:rPr>
          <w:color w:val="4D4D4F"/>
          <w:spacing w:val="-27"/>
          <w:w w:val="110"/>
        </w:rPr>
        <w:t> </w:t>
      </w:r>
      <w:r>
        <w:rPr>
          <w:color w:val="4D4D4F"/>
          <w:w w:val="110"/>
        </w:rPr>
        <w:t>(</w:t>
      </w:r>
      <w:r>
        <w:rPr>
          <w:color w:val="205E9F"/>
          <w:w w:val="110"/>
          <w:u w:val="single" w:color="205E9F"/>
        </w:rPr>
        <w:t>www.methadone.org</w:t>
      </w:r>
      <w:r>
        <w:rPr>
          <w:color w:val="4D4D4F"/>
          <w:w w:val="110"/>
        </w:rPr>
        <w:t>)</w:t>
      </w:r>
      <w:r>
        <w:rPr>
          <w:color w:val="4D4D4F"/>
          <w:spacing w:val="-27"/>
          <w:w w:val="110"/>
        </w:rPr>
        <w:t> </w:t>
      </w:r>
      <w:r>
        <w:rPr>
          <w:color w:val="4D4D4F"/>
          <w:w w:val="110"/>
        </w:rPr>
        <w:t>offer</w:t>
      </w:r>
      <w:r>
        <w:rPr>
          <w:color w:val="4D4D4F"/>
          <w:spacing w:val="-26"/>
          <w:w w:val="110"/>
        </w:rPr>
        <w:t> </w:t>
      </w:r>
      <w:r>
        <w:rPr>
          <w:color w:val="4D4D4F"/>
          <w:w w:val="110"/>
        </w:rPr>
        <w:t>informa- tion on how to legally manage forced</w:t>
      </w:r>
      <w:r>
        <w:rPr>
          <w:color w:val="4D4D4F"/>
          <w:spacing w:val="34"/>
          <w:w w:val="110"/>
        </w:rPr>
        <w:t> </w:t>
      </w:r>
      <w:r>
        <w:rPr>
          <w:color w:val="4D4D4F"/>
          <w:w w:val="110"/>
        </w:rPr>
        <w:t>tapers.</w:t>
      </w:r>
    </w:p>
    <w:p>
      <w:pPr>
        <w:pStyle w:val="Heading5"/>
        <w:spacing w:before="219"/>
        <w:rPr>
          <w:i/>
        </w:rPr>
      </w:pPr>
      <w:r>
        <w:rPr>
          <w:i/>
          <w:color w:val="137692"/>
          <w:w w:val="105"/>
        </w:rPr>
        <w:t>Patient follow-up</w:t>
      </w:r>
    </w:p>
    <w:p>
      <w:pPr>
        <w:spacing w:line="242" w:lineRule="auto" w:before="42"/>
        <w:ind w:left="140" w:right="38" w:firstLine="0"/>
        <w:jc w:val="left"/>
        <w:rPr>
          <w:sz w:val="22"/>
        </w:rPr>
      </w:pPr>
      <w:r>
        <w:rPr>
          <w:rFonts w:ascii="Calibri"/>
          <w:b/>
          <w:color w:val="4D4D4F"/>
          <w:w w:val="110"/>
          <w:sz w:val="22"/>
        </w:rPr>
        <w:t>Medical management should not end when patients taper off of medication.  The  TIP expert panel recommends regular follow-up visits </w:t>
      </w:r>
      <w:r>
        <w:rPr>
          <w:color w:val="4D4D4F"/>
          <w:w w:val="110"/>
          <w:sz w:val="22"/>
        </w:rPr>
        <w:t>(or phone checkups by clinical staff or recovery support specialists) to help patients manage their condition, address potential concerns about returning to illicit opioid use, </w:t>
      </w:r>
      <w:r>
        <w:rPr>
          <w:color w:val="4D4D4F"/>
          <w:spacing w:val="-5"/>
          <w:w w:val="110"/>
          <w:sz w:val="22"/>
        </w:rPr>
        <w:t>and </w:t>
      </w:r>
      <w:r>
        <w:rPr>
          <w:color w:val="4D4D4F"/>
          <w:w w:val="110"/>
          <w:sz w:val="22"/>
        </w:rPr>
        <w:t>discuss reinitiating OUD maintenance medication if warranted. Attendance at drug</w:t>
      </w:r>
      <w:r>
        <w:rPr>
          <w:color w:val="4D4D4F"/>
          <w:spacing w:val="8"/>
          <w:w w:val="110"/>
          <w:sz w:val="22"/>
        </w:rPr>
        <w:t> </w:t>
      </w:r>
      <w:r>
        <w:rPr>
          <w:color w:val="4D4D4F"/>
          <w:w w:val="110"/>
          <w:sz w:val="22"/>
        </w:rPr>
        <w:t>counseling</w:t>
      </w:r>
    </w:p>
    <w:p>
      <w:pPr>
        <w:pStyle w:val="BodyText"/>
        <w:spacing w:line="247" w:lineRule="auto" w:before="8"/>
        <w:ind w:left="140" w:right="503"/>
      </w:pPr>
      <w:r>
        <w:rPr>
          <w:color w:val="4D4D4F"/>
          <w:w w:val="115"/>
        </w:rPr>
        <w:t>or</w:t>
      </w:r>
      <w:r>
        <w:rPr>
          <w:color w:val="4D4D4F"/>
          <w:spacing w:val="-17"/>
          <w:w w:val="115"/>
        </w:rPr>
        <w:t> </w:t>
      </w:r>
      <w:r>
        <w:rPr>
          <w:color w:val="4D4D4F"/>
          <w:w w:val="115"/>
        </w:rPr>
        <w:t>mutual-help</w:t>
      </w:r>
      <w:r>
        <w:rPr>
          <w:color w:val="4D4D4F"/>
          <w:spacing w:val="-16"/>
          <w:w w:val="115"/>
        </w:rPr>
        <w:t> </w:t>
      </w:r>
      <w:r>
        <w:rPr>
          <w:color w:val="4D4D4F"/>
          <w:w w:val="115"/>
        </w:rPr>
        <w:t>groups</w:t>
      </w:r>
      <w:r>
        <w:rPr>
          <w:color w:val="4D4D4F"/>
          <w:spacing w:val="-16"/>
          <w:w w:val="115"/>
        </w:rPr>
        <w:t> </w:t>
      </w:r>
      <w:r>
        <w:rPr>
          <w:color w:val="4D4D4F"/>
          <w:w w:val="115"/>
        </w:rPr>
        <w:t>can</w:t>
      </w:r>
      <w:r>
        <w:rPr>
          <w:color w:val="4D4D4F"/>
          <w:spacing w:val="-17"/>
          <w:w w:val="115"/>
        </w:rPr>
        <w:t> </w:t>
      </w:r>
      <w:r>
        <w:rPr>
          <w:color w:val="4D4D4F"/>
          <w:w w:val="115"/>
        </w:rPr>
        <w:t>be</w:t>
      </w:r>
      <w:r>
        <w:rPr>
          <w:color w:val="4D4D4F"/>
          <w:spacing w:val="-16"/>
          <w:w w:val="115"/>
        </w:rPr>
        <w:t> </w:t>
      </w:r>
      <w:r>
        <w:rPr>
          <w:color w:val="4D4D4F"/>
          <w:w w:val="115"/>
        </w:rPr>
        <w:t>helpful,</w:t>
      </w:r>
      <w:r>
        <w:rPr>
          <w:color w:val="4D4D4F"/>
          <w:spacing w:val="-16"/>
          <w:w w:val="115"/>
        </w:rPr>
        <w:t> </w:t>
      </w:r>
      <w:r>
        <w:rPr>
          <w:color w:val="4D4D4F"/>
          <w:w w:val="115"/>
        </w:rPr>
        <w:t>as</w:t>
      </w:r>
      <w:r>
        <w:rPr>
          <w:color w:val="4D4D4F"/>
          <w:spacing w:val="-17"/>
          <w:w w:val="115"/>
        </w:rPr>
        <w:t> </w:t>
      </w:r>
      <w:r>
        <w:rPr>
          <w:color w:val="4D4D4F"/>
          <w:spacing w:val="-6"/>
          <w:w w:val="115"/>
        </w:rPr>
        <w:t>can </w:t>
      </w:r>
      <w:r>
        <w:rPr>
          <w:color w:val="4D4D4F"/>
          <w:w w:val="115"/>
        </w:rPr>
        <w:t>periodic drug</w:t>
      </w:r>
      <w:r>
        <w:rPr>
          <w:color w:val="4D4D4F"/>
          <w:spacing w:val="-20"/>
          <w:w w:val="115"/>
        </w:rPr>
        <w:t> </w:t>
      </w:r>
      <w:r>
        <w:rPr>
          <w:color w:val="4D4D4F"/>
          <w:w w:val="115"/>
        </w:rPr>
        <w:t>testing.</w:t>
      </w:r>
    </w:p>
    <w:p>
      <w:pPr>
        <w:pStyle w:val="Heading2"/>
        <w:spacing w:before="86"/>
      </w:pPr>
      <w:bookmarkStart w:name="_TOC_250023" w:id="92"/>
      <w:r>
        <w:rPr>
          <w:b w:val="0"/>
        </w:rPr>
        <w:br w:type="column"/>
      </w:r>
      <w:bookmarkEnd w:id="92"/>
      <w:r>
        <w:rPr>
          <w:color w:val="137692"/>
          <w:w w:val="110"/>
        </w:rPr>
        <w:t>Administrative Considerations</w:t>
      </w:r>
    </w:p>
    <w:p>
      <w:pPr>
        <w:pStyle w:val="Heading3"/>
        <w:spacing w:before="114"/>
      </w:pPr>
      <w:bookmarkStart w:name="_TOC_250022" w:id="93"/>
      <w:bookmarkEnd w:id="93"/>
      <w:r>
        <w:rPr>
          <w:color w:val="137692"/>
          <w:w w:val="105"/>
        </w:rPr>
        <w:t>Patient Limits</w:t>
      </w:r>
    </w:p>
    <w:p>
      <w:pPr>
        <w:spacing w:line="237" w:lineRule="auto" w:before="45"/>
        <w:ind w:left="140" w:right="280" w:firstLine="0"/>
        <w:jc w:val="left"/>
        <w:rPr>
          <w:sz w:val="22"/>
        </w:rPr>
      </w:pPr>
      <w:r>
        <w:rPr>
          <w:rFonts w:ascii="Calibri" w:hAnsi="Calibri"/>
          <w:b/>
          <w:color w:val="4D4D4F"/>
          <w:w w:val="110"/>
          <w:sz w:val="22"/>
        </w:rPr>
        <w:t>Individual healthcare practitioners can prescribe buprenorphine in any medical setting, as long as they apply for and receive waivers </w:t>
      </w:r>
      <w:r>
        <w:rPr>
          <w:color w:val="4D4D4F"/>
          <w:w w:val="110"/>
          <w:sz w:val="22"/>
        </w:rPr>
        <w:t>of the special registration requirements deﬁned in the Controlled Substances Act.</w:t>
      </w:r>
    </w:p>
    <w:p>
      <w:pPr>
        <w:pStyle w:val="BodyText"/>
        <w:spacing w:line="247" w:lineRule="auto" w:before="7"/>
        <w:ind w:left="140" w:right="155"/>
      </w:pPr>
      <w:r>
        <w:rPr>
          <w:color w:val="4D4D4F"/>
          <w:w w:val="110"/>
        </w:rPr>
        <w:t>Several laws and regulations contain information about which healthcare practitioners are eligible to apply for a waiver and how to qualify (</w:t>
      </w:r>
      <w:r>
        <w:rPr>
          <w:color w:val="205E9F"/>
          <w:w w:val="110"/>
          <w:u w:val="single" w:color="205E9F"/>
        </w:rPr>
        <w:t>https://</w:t>
      </w:r>
      <w:r>
        <w:rPr>
          <w:color w:val="205E9F"/>
          <w:w w:val="110"/>
        </w:rPr>
        <w:t> </w:t>
      </w:r>
      <w:hyperlink r:id="rId78">
        <w:r>
          <w:rPr>
            <w:color w:val="205E9F"/>
            <w:w w:val="110"/>
            <w:u w:val="single" w:color="205E9F"/>
          </w:rPr>
          <w:t>www.samhsa.gov/medication-assisted-treatment/</w:t>
        </w:r>
      </w:hyperlink>
      <w:r>
        <w:rPr>
          <w:color w:val="205E9F"/>
          <w:w w:val="110"/>
        </w:rPr>
        <w:t> </w:t>
      </w:r>
      <w:r>
        <w:rPr>
          <w:color w:val="205E9F"/>
          <w:w w:val="110"/>
          <w:u w:val="single" w:color="205E9F"/>
        </w:rPr>
        <w:t>training-materials-resources/apply-for-practi-</w:t>
      </w:r>
      <w:r>
        <w:rPr>
          <w:color w:val="205E9F"/>
          <w:w w:val="110"/>
        </w:rPr>
        <w:t> </w:t>
      </w:r>
      <w:r>
        <w:rPr>
          <w:color w:val="205E9F"/>
          <w:w w:val="110"/>
          <w:u w:val="single" w:color="205E9F"/>
        </w:rPr>
        <w:t>tioner-waiver</w:t>
      </w:r>
      <w:r>
        <w:rPr>
          <w:color w:val="4D4D4F"/>
          <w:w w:val="110"/>
        </w:rPr>
        <w:t>). This information is summarized below.</w:t>
      </w:r>
    </w:p>
    <w:p>
      <w:pPr>
        <w:pStyle w:val="BodyText"/>
        <w:spacing w:line="247" w:lineRule="auto" w:before="188"/>
        <w:ind w:left="140" w:right="223"/>
      </w:pPr>
      <w:r>
        <w:rPr>
          <w:color w:val="4D4D4F"/>
          <w:w w:val="110"/>
        </w:rPr>
        <w:t>Eligible physicians, nurse practitioners, physician assistants, and other qualifying practitioners (clinical nurse specialists, certiﬁed registered nurse anesthetists, and certiﬁed nurse midwives) can apply for a</w:t>
      </w:r>
      <w:r>
        <w:rPr>
          <w:color w:val="4D4D4F"/>
          <w:spacing w:val="-21"/>
          <w:w w:val="110"/>
        </w:rPr>
        <w:t> </w:t>
      </w:r>
      <w:r>
        <w:rPr>
          <w:color w:val="4D4D4F"/>
          <w:spacing w:val="-3"/>
          <w:w w:val="110"/>
        </w:rPr>
        <w:t>waiver.</w:t>
      </w:r>
    </w:p>
    <w:p>
      <w:pPr>
        <w:pStyle w:val="BodyText"/>
        <w:spacing w:line="247" w:lineRule="auto" w:before="186"/>
        <w:ind w:left="140" w:right="101"/>
      </w:pPr>
      <w:r>
        <w:rPr>
          <w:color w:val="4D4D4F"/>
          <w:w w:val="110"/>
        </w:rPr>
        <w:t>At present, clinical nurse specialists, certiﬁed registered nurse anesthetists, and certiﬁed </w:t>
      </w:r>
      <w:r>
        <w:rPr>
          <w:color w:val="4D4D4F"/>
          <w:spacing w:val="-4"/>
          <w:w w:val="110"/>
        </w:rPr>
        <w:t>nurse </w:t>
      </w:r>
      <w:r>
        <w:rPr>
          <w:color w:val="4D4D4F"/>
          <w:w w:val="110"/>
        </w:rPr>
        <w:t>midwives are only eligible to apply for a waiver until October 1,</w:t>
      </w:r>
      <w:r>
        <w:rPr>
          <w:color w:val="4D4D4F"/>
          <w:spacing w:val="-19"/>
          <w:w w:val="110"/>
        </w:rPr>
        <w:t> </w:t>
      </w:r>
      <w:r>
        <w:rPr>
          <w:color w:val="4D4D4F"/>
          <w:w w:val="110"/>
        </w:rPr>
        <w:t>2023.</w:t>
      </w:r>
    </w:p>
    <w:p>
      <w:pPr>
        <w:pStyle w:val="BodyText"/>
        <w:spacing w:line="244" w:lineRule="auto" w:before="180"/>
        <w:ind w:left="140" w:right="199"/>
      </w:pPr>
      <w:r>
        <w:rPr>
          <w:color w:val="4D4D4F"/>
          <w:w w:val="110"/>
        </w:rPr>
        <w:t>For the ﬁrst year of waiver use, </w:t>
      </w:r>
      <w:r>
        <w:rPr>
          <w:rFonts w:ascii="Calibri" w:hAnsi="Calibri"/>
          <w:b/>
          <w:color w:val="4D4D4F"/>
          <w:w w:val="110"/>
        </w:rPr>
        <w:t>all providers </w:t>
      </w:r>
      <w:r>
        <w:rPr>
          <w:color w:val="4D4D4F"/>
          <w:w w:val="110"/>
        </w:rPr>
        <w:t>can treat up to 30 patients at one time. However, providers who satisfy additional practice and reporting requirements, and physicians who</w:t>
      </w:r>
    </w:p>
    <w:p>
      <w:pPr>
        <w:pStyle w:val="BodyText"/>
        <w:spacing w:line="247" w:lineRule="auto" w:before="6"/>
        <w:ind w:left="140" w:right="255"/>
      </w:pPr>
      <w:r>
        <w:rPr>
          <w:color w:val="4D4D4F"/>
          <w:w w:val="115"/>
        </w:rPr>
        <w:t>are board certiﬁed in addiction psychiatry or addiction</w:t>
      </w:r>
      <w:r>
        <w:rPr>
          <w:color w:val="4D4D4F"/>
          <w:spacing w:val="-22"/>
          <w:w w:val="115"/>
        </w:rPr>
        <w:t> </w:t>
      </w:r>
      <w:r>
        <w:rPr>
          <w:color w:val="4D4D4F"/>
          <w:w w:val="115"/>
        </w:rPr>
        <w:t>medicine,</w:t>
      </w:r>
      <w:r>
        <w:rPr>
          <w:color w:val="4D4D4F"/>
          <w:spacing w:val="-22"/>
          <w:w w:val="115"/>
        </w:rPr>
        <w:t> </w:t>
      </w:r>
      <w:r>
        <w:rPr>
          <w:color w:val="4D4D4F"/>
          <w:w w:val="115"/>
        </w:rPr>
        <w:t>may</w:t>
      </w:r>
      <w:r>
        <w:rPr>
          <w:color w:val="4D4D4F"/>
          <w:spacing w:val="-22"/>
          <w:w w:val="115"/>
        </w:rPr>
        <w:t> </w:t>
      </w:r>
      <w:r>
        <w:rPr>
          <w:color w:val="4D4D4F"/>
          <w:w w:val="115"/>
        </w:rPr>
        <w:t>request</w:t>
      </w:r>
      <w:r>
        <w:rPr>
          <w:color w:val="4D4D4F"/>
          <w:spacing w:val="-21"/>
          <w:w w:val="115"/>
        </w:rPr>
        <w:t> </w:t>
      </w:r>
      <w:r>
        <w:rPr>
          <w:color w:val="4D4D4F"/>
          <w:w w:val="115"/>
        </w:rPr>
        <w:t>to</w:t>
      </w:r>
      <w:r>
        <w:rPr>
          <w:color w:val="4D4D4F"/>
          <w:spacing w:val="-22"/>
          <w:w w:val="115"/>
        </w:rPr>
        <w:t> </w:t>
      </w:r>
      <w:r>
        <w:rPr>
          <w:color w:val="4D4D4F"/>
          <w:w w:val="115"/>
        </w:rPr>
        <w:t>treat</w:t>
      </w:r>
      <w:r>
        <w:rPr>
          <w:color w:val="4D4D4F"/>
          <w:spacing w:val="-22"/>
          <w:w w:val="115"/>
        </w:rPr>
        <w:t> </w:t>
      </w:r>
      <w:r>
        <w:rPr>
          <w:color w:val="4D4D4F"/>
          <w:w w:val="115"/>
        </w:rPr>
        <w:t>up</w:t>
      </w:r>
      <w:r>
        <w:rPr>
          <w:color w:val="4D4D4F"/>
          <w:spacing w:val="-22"/>
          <w:w w:val="115"/>
        </w:rPr>
        <w:t> </w:t>
      </w:r>
      <w:r>
        <w:rPr>
          <w:color w:val="4D4D4F"/>
          <w:w w:val="115"/>
        </w:rPr>
        <w:t>to 100</w:t>
      </w:r>
      <w:r>
        <w:rPr>
          <w:color w:val="4D4D4F"/>
          <w:spacing w:val="-23"/>
          <w:w w:val="115"/>
        </w:rPr>
        <w:t> </w:t>
      </w:r>
      <w:r>
        <w:rPr>
          <w:color w:val="4D4D4F"/>
          <w:w w:val="115"/>
        </w:rPr>
        <w:t>patients</w:t>
      </w:r>
      <w:r>
        <w:rPr>
          <w:color w:val="4D4D4F"/>
          <w:spacing w:val="-22"/>
          <w:w w:val="115"/>
        </w:rPr>
        <w:t> </w:t>
      </w:r>
      <w:r>
        <w:rPr>
          <w:color w:val="4D4D4F"/>
          <w:w w:val="115"/>
        </w:rPr>
        <w:t>at</w:t>
      </w:r>
      <w:r>
        <w:rPr>
          <w:color w:val="4D4D4F"/>
          <w:spacing w:val="-22"/>
          <w:w w:val="115"/>
        </w:rPr>
        <w:t> </w:t>
      </w:r>
      <w:r>
        <w:rPr>
          <w:color w:val="4D4D4F"/>
          <w:w w:val="115"/>
        </w:rPr>
        <w:t>a</w:t>
      </w:r>
      <w:r>
        <w:rPr>
          <w:color w:val="4D4D4F"/>
          <w:spacing w:val="-22"/>
          <w:w w:val="115"/>
        </w:rPr>
        <w:t> </w:t>
      </w:r>
      <w:r>
        <w:rPr>
          <w:color w:val="4D4D4F"/>
          <w:w w:val="115"/>
        </w:rPr>
        <w:t>time</w:t>
      </w:r>
      <w:r>
        <w:rPr>
          <w:color w:val="4D4D4F"/>
          <w:spacing w:val="-22"/>
          <w:w w:val="115"/>
        </w:rPr>
        <w:t> </w:t>
      </w:r>
      <w:r>
        <w:rPr>
          <w:color w:val="4D4D4F"/>
          <w:w w:val="115"/>
        </w:rPr>
        <w:t>in</w:t>
      </w:r>
      <w:r>
        <w:rPr>
          <w:color w:val="4D4D4F"/>
          <w:spacing w:val="-22"/>
          <w:w w:val="115"/>
        </w:rPr>
        <w:t> </w:t>
      </w:r>
      <w:r>
        <w:rPr>
          <w:color w:val="4D4D4F"/>
          <w:w w:val="115"/>
        </w:rPr>
        <w:t>the</w:t>
      </w:r>
      <w:r>
        <w:rPr>
          <w:color w:val="4D4D4F"/>
          <w:spacing w:val="-22"/>
          <w:w w:val="115"/>
        </w:rPr>
        <w:t> </w:t>
      </w:r>
      <w:r>
        <w:rPr>
          <w:color w:val="4D4D4F"/>
          <w:w w:val="115"/>
        </w:rPr>
        <w:t>ﬁrst</w:t>
      </w:r>
      <w:r>
        <w:rPr>
          <w:color w:val="4D4D4F"/>
          <w:spacing w:val="-22"/>
          <w:w w:val="115"/>
        </w:rPr>
        <w:t> </w:t>
      </w:r>
      <w:r>
        <w:rPr>
          <w:color w:val="4D4D4F"/>
          <w:w w:val="115"/>
        </w:rPr>
        <w:t>year</w:t>
      </w:r>
      <w:r>
        <w:rPr>
          <w:color w:val="4D4D4F"/>
          <w:spacing w:val="-22"/>
          <w:w w:val="115"/>
        </w:rPr>
        <w:t> </w:t>
      </w:r>
      <w:r>
        <w:rPr>
          <w:color w:val="4D4D4F"/>
          <w:w w:val="115"/>
        </w:rPr>
        <w:t>of</w:t>
      </w:r>
      <w:r>
        <w:rPr>
          <w:color w:val="4D4D4F"/>
          <w:spacing w:val="-22"/>
          <w:w w:val="115"/>
        </w:rPr>
        <w:t> </w:t>
      </w:r>
      <w:r>
        <w:rPr>
          <w:color w:val="4D4D4F"/>
          <w:w w:val="115"/>
        </w:rPr>
        <w:t>waiver use. Additionally, practitioners who provide </w:t>
      </w:r>
      <w:r>
        <w:rPr>
          <w:color w:val="4D4D4F"/>
          <w:spacing w:val="-7"/>
          <w:w w:val="115"/>
        </w:rPr>
        <w:t>MAT</w:t>
      </w:r>
      <w:r>
        <w:rPr>
          <w:color w:val="4D4D4F"/>
          <w:spacing w:val="-16"/>
          <w:w w:val="115"/>
        </w:rPr>
        <w:t> </w:t>
      </w:r>
      <w:r>
        <w:rPr>
          <w:color w:val="4D4D4F"/>
          <w:w w:val="115"/>
        </w:rPr>
        <w:t>in</w:t>
      </w:r>
      <w:r>
        <w:rPr>
          <w:color w:val="4D4D4F"/>
          <w:spacing w:val="-16"/>
          <w:w w:val="115"/>
        </w:rPr>
        <w:t> </w:t>
      </w:r>
      <w:r>
        <w:rPr>
          <w:color w:val="4D4D4F"/>
          <w:w w:val="115"/>
        </w:rPr>
        <w:t>“qualiﬁed</w:t>
      </w:r>
      <w:r>
        <w:rPr>
          <w:color w:val="4D4D4F"/>
          <w:spacing w:val="-15"/>
          <w:w w:val="115"/>
        </w:rPr>
        <w:t> </w:t>
      </w:r>
      <w:r>
        <w:rPr>
          <w:color w:val="4D4D4F"/>
          <w:w w:val="115"/>
        </w:rPr>
        <w:t>practice</w:t>
      </w:r>
      <w:r>
        <w:rPr>
          <w:color w:val="4D4D4F"/>
          <w:spacing w:val="-16"/>
          <w:w w:val="115"/>
        </w:rPr>
        <w:t> </w:t>
      </w:r>
      <w:r>
        <w:rPr>
          <w:color w:val="4D4D4F"/>
          <w:w w:val="115"/>
        </w:rPr>
        <w:t>settings,”</w:t>
      </w:r>
      <w:r>
        <w:rPr>
          <w:color w:val="4D4D4F"/>
          <w:spacing w:val="-15"/>
          <w:w w:val="115"/>
        </w:rPr>
        <w:t> </w:t>
      </w:r>
      <w:r>
        <w:rPr>
          <w:color w:val="4D4D4F"/>
          <w:w w:val="115"/>
        </w:rPr>
        <w:t>as</w:t>
      </w:r>
      <w:r>
        <w:rPr>
          <w:color w:val="4D4D4F"/>
          <w:spacing w:val="-16"/>
          <w:w w:val="115"/>
        </w:rPr>
        <w:t> </w:t>
      </w:r>
      <w:r>
        <w:rPr>
          <w:color w:val="4D4D4F"/>
          <w:w w:val="115"/>
        </w:rPr>
        <w:t>deﬁned in</w:t>
      </w:r>
      <w:r>
        <w:rPr>
          <w:color w:val="4D4D4F"/>
          <w:spacing w:val="-21"/>
          <w:w w:val="115"/>
        </w:rPr>
        <w:t> </w:t>
      </w:r>
      <w:r>
        <w:rPr>
          <w:color w:val="4D4D4F"/>
          <w:w w:val="115"/>
        </w:rPr>
        <w:t>title</w:t>
      </w:r>
      <w:r>
        <w:rPr>
          <w:color w:val="4D4D4F"/>
          <w:spacing w:val="-21"/>
          <w:w w:val="115"/>
        </w:rPr>
        <w:t> </w:t>
      </w:r>
      <w:r>
        <w:rPr>
          <w:color w:val="4D4D4F"/>
          <w:w w:val="115"/>
        </w:rPr>
        <w:t>42,</w:t>
      </w:r>
      <w:r>
        <w:rPr>
          <w:color w:val="4D4D4F"/>
          <w:spacing w:val="-20"/>
          <w:w w:val="115"/>
        </w:rPr>
        <w:t> </w:t>
      </w:r>
      <w:r>
        <w:rPr>
          <w:color w:val="4D4D4F"/>
          <w:w w:val="115"/>
        </w:rPr>
        <w:t>section</w:t>
      </w:r>
      <w:r>
        <w:rPr>
          <w:color w:val="4D4D4F"/>
          <w:spacing w:val="-21"/>
          <w:w w:val="115"/>
        </w:rPr>
        <w:t> </w:t>
      </w:r>
      <w:r>
        <w:rPr>
          <w:color w:val="4D4D4F"/>
          <w:w w:val="115"/>
        </w:rPr>
        <w:t>8.615</w:t>
      </w:r>
      <w:r>
        <w:rPr>
          <w:color w:val="4D4D4F"/>
          <w:spacing w:val="-21"/>
          <w:w w:val="115"/>
        </w:rPr>
        <w:t> </w:t>
      </w:r>
      <w:r>
        <w:rPr>
          <w:color w:val="4D4D4F"/>
          <w:w w:val="115"/>
        </w:rPr>
        <w:t>of</w:t>
      </w:r>
      <w:r>
        <w:rPr>
          <w:color w:val="4D4D4F"/>
          <w:spacing w:val="-20"/>
          <w:w w:val="115"/>
        </w:rPr>
        <w:t> </w:t>
      </w:r>
      <w:r>
        <w:rPr>
          <w:color w:val="4D4D4F"/>
          <w:w w:val="115"/>
        </w:rPr>
        <w:t>the</w:t>
      </w:r>
      <w:r>
        <w:rPr>
          <w:color w:val="4D4D4F"/>
          <w:spacing w:val="-21"/>
          <w:w w:val="115"/>
        </w:rPr>
        <w:t> </w:t>
      </w:r>
      <w:r>
        <w:rPr>
          <w:color w:val="4D4D4F"/>
          <w:w w:val="115"/>
        </w:rPr>
        <w:t>Code</w:t>
      </w:r>
      <w:r>
        <w:rPr>
          <w:color w:val="4D4D4F"/>
          <w:spacing w:val="-21"/>
          <w:w w:val="115"/>
        </w:rPr>
        <w:t> </w:t>
      </w:r>
      <w:r>
        <w:rPr>
          <w:color w:val="4D4D4F"/>
          <w:w w:val="115"/>
        </w:rPr>
        <w:t>of</w:t>
      </w:r>
      <w:r>
        <w:rPr>
          <w:color w:val="4D4D4F"/>
          <w:spacing w:val="-20"/>
          <w:w w:val="115"/>
        </w:rPr>
        <w:t> </w:t>
      </w:r>
      <w:r>
        <w:rPr>
          <w:color w:val="4D4D4F"/>
          <w:w w:val="115"/>
        </w:rPr>
        <w:t>Federal Regulations,</w:t>
      </w:r>
      <w:r>
        <w:rPr>
          <w:color w:val="4D4D4F"/>
          <w:spacing w:val="-25"/>
          <w:w w:val="115"/>
        </w:rPr>
        <w:t> </w:t>
      </w:r>
      <w:r>
        <w:rPr>
          <w:color w:val="4D4D4F"/>
          <w:w w:val="115"/>
        </w:rPr>
        <w:t>may</w:t>
      </w:r>
      <w:r>
        <w:rPr>
          <w:color w:val="4D4D4F"/>
          <w:spacing w:val="-25"/>
          <w:w w:val="115"/>
        </w:rPr>
        <w:t> </w:t>
      </w:r>
      <w:r>
        <w:rPr>
          <w:color w:val="4D4D4F"/>
          <w:w w:val="115"/>
        </w:rPr>
        <w:t>also</w:t>
      </w:r>
      <w:r>
        <w:rPr>
          <w:color w:val="4D4D4F"/>
          <w:spacing w:val="-25"/>
          <w:w w:val="115"/>
        </w:rPr>
        <w:t> </w:t>
      </w:r>
      <w:r>
        <w:rPr>
          <w:color w:val="4D4D4F"/>
          <w:w w:val="115"/>
        </w:rPr>
        <w:t>request</w:t>
      </w:r>
      <w:r>
        <w:rPr>
          <w:color w:val="4D4D4F"/>
          <w:spacing w:val="-25"/>
          <w:w w:val="115"/>
        </w:rPr>
        <w:t> </w:t>
      </w:r>
      <w:r>
        <w:rPr>
          <w:color w:val="4D4D4F"/>
          <w:w w:val="115"/>
        </w:rPr>
        <w:t>to</w:t>
      </w:r>
      <w:r>
        <w:rPr>
          <w:color w:val="4D4D4F"/>
          <w:spacing w:val="-25"/>
          <w:w w:val="115"/>
        </w:rPr>
        <w:t> </w:t>
      </w:r>
      <w:r>
        <w:rPr>
          <w:color w:val="4D4D4F"/>
          <w:w w:val="115"/>
        </w:rPr>
        <w:t>treat</w:t>
      </w:r>
      <w:r>
        <w:rPr>
          <w:color w:val="4D4D4F"/>
          <w:spacing w:val="-25"/>
          <w:w w:val="115"/>
        </w:rPr>
        <w:t> </w:t>
      </w:r>
      <w:r>
        <w:rPr>
          <w:color w:val="4D4D4F"/>
          <w:w w:val="115"/>
        </w:rPr>
        <w:t>up</w:t>
      </w:r>
      <w:r>
        <w:rPr>
          <w:color w:val="4D4D4F"/>
          <w:spacing w:val="-25"/>
          <w:w w:val="115"/>
        </w:rPr>
        <w:t> </w:t>
      </w:r>
      <w:r>
        <w:rPr>
          <w:color w:val="4D4D4F"/>
          <w:w w:val="115"/>
        </w:rPr>
        <w:t>to</w:t>
      </w:r>
      <w:r>
        <w:rPr>
          <w:color w:val="4D4D4F"/>
          <w:spacing w:val="-25"/>
          <w:w w:val="115"/>
        </w:rPr>
        <w:t> </w:t>
      </w:r>
      <w:r>
        <w:rPr>
          <w:color w:val="4D4D4F"/>
          <w:spacing w:val="-6"/>
          <w:w w:val="115"/>
        </w:rPr>
        <w:t>100 </w:t>
      </w:r>
      <w:r>
        <w:rPr>
          <w:color w:val="4D4D4F"/>
          <w:w w:val="115"/>
        </w:rPr>
        <w:t>patients within the ﬁrst</w:t>
      </w:r>
      <w:r>
        <w:rPr>
          <w:color w:val="4D4D4F"/>
          <w:spacing w:val="-49"/>
          <w:w w:val="115"/>
        </w:rPr>
        <w:t> </w:t>
      </w:r>
      <w:r>
        <w:rPr>
          <w:color w:val="4D4D4F"/>
          <w:spacing w:val="-5"/>
          <w:w w:val="115"/>
        </w:rPr>
        <w:t>year.</w:t>
      </w:r>
    </w:p>
    <w:p>
      <w:pPr>
        <w:pStyle w:val="BodyText"/>
        <w:spacing w:line="244" w:lineRule="auto" w:before="185"/>
        <w:ind w:left="140" w:right="253"/>
      </w:pPr>
      <w:r>
        <w:rPr>
          <w:color w:val="4D4D4F"/>
          <w:w w:val="110"/>
        </w:rPr>
        <w:t>After the ﬁrst year of waiver use, </w:t>
      </w:r>
      <w:r>
        <w:rPr>
          <w:rFonts w:ascii="Calibri" w:hAnsi="Calibri"/>
          <w:b/>
          <w:color w:val="4D4D4F"/>
          <w:w w:val="110"/>
        </w:rPr>
        <w:t>all providers </w:t>
      </w:r>
      <w:r>
        <w:rPr>
          <w:color w:val="4D4D4F"/>
          <w:w w:val="110"/>
        </w:rPr>
        <w:t>may request to increase their patient limit to 100.</w:t>
      </w:r>
    </w:p>
    <w:p>
      <w:pPr>
        <w:spacing w:after="0" w:line="244" w:lineRule="auto"/>
        <w:sectPr>
          <w:type w:val="continuous"/>
          <w:pgSz w:w="12240" w:h="15840"/>
          <w:pgMar w:top="540" w:bottom="280" w:left="940" w:right="920"/>
          <w:cols w:num="2" w:equalWidth="0">
            <w:col w:w="5041" w:space="179"/>
            <w:col w:w="5160"/>
          </w:cols>
        </w:sectPr>
      </w:pPr>
    </w:p>
    <w:p>
      <w:pPr>
        <w:pStyle w:val="BodyText"/>
        <w:spacing w:before="6"/>
        <w:rPr>
          <w:sz w:val="26"/>
        </w:rPr>
      </w:pPr>
    </w:p>
    <w:p>
      <w:pPr>
        <w:spacing w:after="0"/>
        <w:rPr>
          <w:sz w:val="26"/>
        </w:rPr>
        <w:sectPr>
          <w:pgSz w:w="12240" w:h="15840"/>
          <w:pgMar w:header="576" w:footer="677" w:top="1340" w:bottom="860" w:left="940" w:right="920"/>
        </w:sectPr>
      </w:pPr>
    </w:p>
    <w:p>
      <w:pPr>
        <w:pStyle w:val="BodyText"/>
        <w:spacing w:line="247" w:lineRule="auto" w:before="110"/>
        <w:ind w:left="140" w:right="274"/>
        <w:jc w:val="both"/>
      </w:pPr>
      <w:r>
        <w:rPr>
          <w:color w:val="4D4D4F"/>
          <w:w w:val="110"/>
        </w:rPr>
        <w:t>Physicians who are board certiﬁed in addiction psychiatry or addiction medicine or who </w:t>
      </w:r>
      <w:r>
        <w:rPr>
          <w:color w:val="4D4D4F"/>
          <w:spacing w:val="-3"/>
          <w:w w:val="110"/>
        </w:rPr>
        <w:t>satisfy </w:t>
      </w:r>
      <w:r>
        <w:rPr>
          <w:color w:val="4D4D4F"/>
          <w:w w:val="110"/>
        </w:rPr>
        <w:t>additional practice and reporting </w:t>
      </w:r>
      <w:r>
        <w:rPr>
          <w:color w:val="4D4D4F"/>
          <w:spacing w:val="-3"/>
          <w:w w:val="110"/>
        </w:rPr>
        <w:t>requirements </w:t>
      </w:r>
      <w:r>
        <w:rPr>
          <w:color w:val="4D4D4F"/>
          <w:w w:val="110"/>
        </w:rPr>
        <w:t>may apply to increase their patient limit to 275 after a year at the 100-patient limit.</w:t>
      </w:r>
    </w:p>
    <w:p>
      <w:pPr>
        <w:pStyle w:val="BodyText"/>
        <w:spacing w:before="2"/>
        <w:rPr>
          <w:sz w:val="24"/>
        </w:rPr>
      </w:pPr>
    </w:p>
    <w:p>
      <w:pPr>
        <w:pStyle w:val="Heading3"/>
        <w:spacing w:line="228" w:lineRule="auto" w:before="1"/>
      </w:pPr>
      <w:bookmarkStart w:name="_TOC_250021" w:id="94"/>
      <w:bookmarkEnd w:id="94"/>
      <w:r>
        <w:rPr>
          <w:color w:val="137692"/>
          <w:w w:val="105"/>
        </w:rPr>
        <w:t>Diversion Control Policies for OBOT With Buprenorphine</w:t>
      </w:r>
    </w:p>
    <w:p>
      <w:pPr>
        <w:pStyle w:val="BodyText"/>
        <w:spacing w:line="244" w:lineRule="auto" w:before="49"/>
        <w:ind w:left="140" w:right="277"/>
        <w:rPr>
          <w:rFonts w:ascii="Calibri"/>
          <w:b/>
        </w:rPr>
      </w:pPr>
      <w:r>
        <w:rPr>
          <w:color w:val="4D4D4F"/>
          <w:w w:val="110"/>
        </w:rPr>
        <w:t>Controlled substance diversion refers to unau- thorized provision of medication to someone for whom it was not prescribed.</w:t>
      </w:r>
      <w:r>
        <w:rPr>
          <w:color w:val="4D4D4F"/>
          <w:w w:val="110"/>
          <w:position w:val="7"/>
          <w:sz w:val="13"/>
        </w:rPr>
        <w:t>372 </w:t>
      </w:r>
      <w:r>
        <w:rPr>
          <w:rFonts w:ascii="Calibri"/>
          <w:b/>
          <w:color w:val="4D4D4F"/>
          <w:w w:val="110"/>
        </w:rPr>
        <w:t>Patients</w:t>
      </w:r>
    </w:p>
    <w:p>
      <w:pPr>
        <w:pStyle w:val="Heading7"/>
        <w:spacing w:line="235" w:lineRule="auto"/>
      </w:pPr>
      <w:r>
        <w:rPr>
          <w:color w:val="4D4D4F"/>
          <w:w w:val="110"/>
        </w:rPr>
        <w:t>may divert buprenorphine for various reasons, such as:</w:t>
      </w:r>
    </w:p>
    <w:p>
      <w:pPr>
        <w:pStyle w:val="ListParagraph"/>
        <w:numPr>
          <w:ilvl w:val="0"/>
          <w:numId w:val="29"/>
        </w:numPr>
        <w:tabs>
          <w:tab w:pos="410" w:val="left" w:leader="none"/>
        </w:tabs>
        <w:spacing w:line="208" w:lineRule="auto" w:before="125" w:after="0"/>
        <w:ind w:left="410" w:right="145" w:hanging="270"/>
        <w:jc w:val="left"/>
        <w:rPr>
          <w:rFonts w:ascii="Arial" w:hAnsi="Arial"/>
          <w:color w:val="137692"/>
          <w:sz w:val="28"/>
        </w:rPr>
      </w:pPr>
      <w:r>
        <w:rPr>
          <w:color w:val="4D4D4F"/>
          <w:spacing w:val="-13"/>
          <w:w w:val="110"/>
          <w:sz w:val="22"/>
        </w:rPr>
        <w:t>To </w:t>
      </w:r>
      <w:r>
        <w:rPr>
          <w:color w:val="4D4D4F"/>
          <w:w w:val="110"/>
          <w:sz w:val="22"/>
        </w:rPr>
        <w:t>“help” someone who needs medically su- pervised withdrawal or awaits</w:t>
      </w:r>
      <w:r>
        <w:rPr>
          <w:color w:val="4D4D4F"/>
          <w:spacing w:val="7"/>
          <w:w w:val="110"/>
          <w:sz w:val="22"/>
        </w:rPr>
        <w:t> </w:t>
      </w:r>
      <w:r>
        <w:rPr>
          <w:color w:val="4D4D4F"/>
          <w:spacing w:val="-3"/>
          <w:w w:val="110"/>
          <w:sz w:val="22"/>
        </w:rPr>
        <w:t>treatment.</w:t>
      </w:r>
      <w:r>
        <w:rPr>
          <w:color w:val="4D4D4F"/>
          <w:spacing w:val="-3"/>
          <w:w w:val="110"/>
          <w:position w:val="7"/>
          <w:sz w:val="13"/>
        </w:rPr>
        <w:t>373,374</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spacing w:val="-13"/>
          <w:w w:val="110"/>
          <w:sz w:val="22"/>
        </w:rPr>
        <w:t>To </w:t>
      </w:r>
      <w:r>
        <w:rPr>
          <w:color w:val="4D4D4F"/>
          <w:w w:val="110"/>
          <w:sz w:val="22"/>
        </w:rPr>
        <w:t>provide income for the</w:t>
      </w:r>
      <w:r>
        <w:rPr>
          <w:color w:val="4D4D4F"/>
          <w:spacing w:val="-21"/>
          <w:w w:val="110"/>
          <w:sz w:val="22"/>
        </w:rPr>
        <w:t> </w:t>
      </w:r>
      <w:r>
        <w:rPr>
          <w:color w:val="4D4D4F"/>
          <w:spacing w:val="-3"/>
          <w:w w:val="110"/>
          <w:sz w:val="22"/>
        </w:rPr>
        <w:t>seller.</w:t>
      </w:r>
    </w:p>
    <w:p>
      <w:pPr>
        <w:pStyle w:val="ListParagraph"/>
        <w:numPr>
          <w:ilvl w:val="0"/>
          <w:numId w:val="29"/>
        </w:numPr>
        <w:tabs>
          <w:tab w:pos="410" w:val="left" w:leader="none"/>
        </w:tabs>
        <w:spacing w:line="208" w:lineRule="auto" w:before="22" w:after="0"/>
        <w:ind w:left="410" w:right="436" w:hanging="270"/>
        <w:jc w:val="left"/>
        <w:rPr>
          <w:rFonts w:ascii="Arial" w:hAnsi="Arial"/>
          <w:color w:val="137692"/>
          <w:sz w:val="28"/>
        </w:rPr>
      </w:pPr>
      <w:r>
        <w:rPr>
          <w:color w:val="4D4D4F"/>
          <w:spacing w:val="-13"/>
          <w:w w:val="110"/>
          <w:sz w:val="22"/>
        </w:rPr>
        <w:t>To </w:t>
      </w:r>
      <w:r>
        <w:rPr>
          <w:color w:val="4D4D4F"/>
          <w:w w:val="110"/>
          <w:sz w:val="22"/>
        </w:rPr>
        <w:t>enable someone else to experience </w:t>
      </w:r>
      <w:r>
        <w:rPr>
          <w:color w:val="4D4D4F"/>
          <w:spacing w:val="-6"/>
          <w:w w:val="110"/>
          <w:sz w:val="22"/>
        </w:rPr>
        <w:t>the </w:t>
      </w:r>
      <w:r>
        <w:rPr>
          <w:color w:val="4D4D4F"/>
          <w:w w:val="110"/>
          <w:sz w:val="22"/>
        </w:rPr>
        <w:t>euphoric effect of the</w:t>
      </w:r>
      <w:r>
        <w:rPr>
          <w:color w:val="4D4D4F"/>
          <w:spacing w:val="-6"/>
          <w:w w:val="110"/>
          <w:sz w:val="22"/>
        </w:rPr>
        <w:t> </w:t>
      </w:r>
      <w:r>
        <w:rPr>
          <w:color w:val="4D4D4F"/>
          <w:w w:val="110"/>
          <w:sz w:val="22"/>
        </w:rPr>
        <w:t>medication.</w:t>
      </w:r>
      <w:r>
        <w:rPr>
          <w:color w:val="4D4D4F"/>
          <w:w w:val="110"/>
          <w:position w:val="7"/>
          <w:sz w:val="13"/>
        </w:rPr>
        <w:t>375</w:t>
      </w:r>
    </w:p>
    <w:p>
      <w:pPr>
        <w:pStyle w:val="Heading7"/>
        <w:spacing w:before="190"/>
      </w:pPr>
      <w:r>
        <w:rPr>
          <w:color w:val="4D4D4F"/>
          <w:w w:val="115"/>
        </w:rPr>
        <w:t>Address diversion of controlled substances</w:t>
      </w:r>
    </w:p>
    <w:p>
      <w:pPr>
        <w:pStyle w:val="BodyText"/>
        <w:spacing w:before="1"/>
        <w:ind w:left="140"/>
      </w:pPr>
      <w:r>
        <w:rPr>
          <w:color w:val="4D4D4F"/>
          <w:w w:val="115"/>
        </w:rPr>
        <w:t>with patients using the following strategies:</w:t>
      </w:r>
    </w:p>
    <w:p>
      <w:pPr>
        <w:pStyle w:val="ListParagraph"/>
        <w:numPr>
          <w:ilvl w:val="0"/>
          <w:numId w:val="29"/>
        </w:numPr>
        <w:tabs>
          <w:tab w:pos="410" w:val="left" w:leader="none"/>
        </w:tabs>
        <w:spacing w:line="264" w:lineRule="exact" w:before="117" w:after="0"/>
        <w:ind w:left="410" w:right="445" w:hanging="270"/>
        <w:jc w:val="left"/>
        <w:rPr>
          <w:rFonts w:ascii="Arial" w:hAnsi="Arial"/>
          <w:color w:val="137692"/>
          <w:sz w:val="28"/>
        </w:rPr>
      </w:pPr>
      <w:r>
        <w:rPr>
          <w:color w:val="4D4D4F"/>
          <w:w w:val="110"/>
          <w:sz w:val="22"/>
        </w:rPr>
        <w:t>Clarify that continuing in ofﬁce-based treatment depends largely on taking </w:t>
      </w:r>
      <w:r>
        <w:rPr>
          <w:color w:val="4D4D4F"/>
          <w:spacing w:val="-5"/>
          <w:w w:val="110"/>
          <w:sz w:val="22"/>
        </w:rPr>
        <w:t>med- </w:t>
      </w:r>
      <w:r>
        <w:rPr>
          <w:color w:val="4D4D4F"/>
          <w:w w:val="110"/>
          <w:sz w:val="22"/>
        </w:rPr>
        <w:t>ication as prescribed; nonadherence and diversion are thus</w:t>
      </w:r>
      <w:r>
        <w:rPr>
          <w:color w:val="4D4D4F"/>
          <w:spacing w:val="-16"/>
          <w:w w:val="110"/>
          <w:sz w:val="22"/>
        </w:rPr>
        <w:t> </w:t>
      </w:r>
      <w:r>
        <w:rPr>
          <w:color w:val="4D4D4F"/>
          <w:w w:val="110"/>
          <w:sz w:val="22"/>
        </w:rPr>
        <w:t>problematic.</w:t>
      </w:r>
    </w:p>
    <w:p>
      <w:pPr>
        <w:pStyle w:val="ListParagraph"/>
        <w:numPr>
          <w:ilvl w:val="0"/>
          <w:numId w:val="29"/>
        </w:numPr>
        <w:tabs>
          <w:tab w:pos="410" w:val="left" w:leader="none"/>
        </w:tabs>
        <w:spacing w:line="264" w:lineRule="exact" w:before="43" w:after="0"/>
        <w:ind w:left="410" w:right="372" w:hanging="270"/>
        <w:jc w:val="left"/>
        <w:rPr>
          <w:rFonts w:ascii="Arial" w:hAnsi="Arial"/>
          <w:color w:val="137692"/>
          <w:sz w:val="28"/>
        </w:rPr>
      </w:pPr>
      <w:r>
        <w:rPr>
          <w:color w:val="4D4D4F"/>
          <w:w w:val="115"/>
          <w:sz w:val="22"/>
        </w:rPr>
        <w:t>In a nonjudgmental </w:t>
      </w:r>
      <w:r>
        <w:rPr>
          <w:color w:val="4D4D4F"/>
          <w:spacing w:val="-5"/>
          <w:w w:val="115"/>
          <w:sz w:val="22"/>
        </w:rPr>
        <w:t>way, </w:t>
      </w:r>
      <w:r>
        <w:rPr>
          <w:color w:val="4D4D4F"/>
          <w:w w:val="115"/>
          <w:sz w:val="22"/>
        </w:rPr>
        <w:t>discuss to whom within</w:t>
      </w:r>
      <w:r>
        <w:rPr>
          <w:color w:val="4D4D4F"/>
          <w:spacing w:val="-29"/>
          <w:w w:val="115"/>
          <w:sz w:val="22"/>
        </w:rPr>
        <w:t> </w:t>
      </w:r>
      <w:r>
        <w:rPr>
          <w:color w:val="4D4D4F"/>
          <w:w w:val="115"/>
          <w:sz w:val="22"/>
        </w:rPr>
        <w:t>their</w:t>
      </w:r>
      <w:r>
        <w:rPr>
          <w:color w:val="4D4D4F"/>
          <w:spacing w:val="-29"/>
          <w:w w:val="115"/>
          <w:sz w:val="22"/>
        </w:rPr>
        <w:t> </w:t>
      </w:r>
      <w:r>
        <w:rPr>
          <w:color w:val="4D4D4F"/>
          <w:w w:val="115"/>
          <w:sz w:val="22"/>
        </w:rPr>
        <w:t>network</w:t>
      </w:r>
      <w:r>
        <w:rPr>
          <w:color w:val="4D4D4F"/>
          <w:spacing w:val="-28"/>
          <w:w w:val="115"/>
          <w:sz w:val="22"/>
        </w:rPr>
        <w:t> </w:t>
      </w:r>
      <w:r>
        <w:rPr>
          <w:color w:val="4D4D4F"/>
          <w:w w:val="115"/>
          <w:sz w:val="22"/>
        </w:rPr>
        <w:t>of</w:t>
      </w:r>
      <w:r>
        <w:rPr>
          <w:color w:val="4D4D4F"/>
          <w:spacing w:val="-29"/>
          <w:w w:val="115"/>
          <w:sz w:val="22"/>
        </w:rPr>
        <w:t> </w:t>
      </w:r>
      <w:r>
        <w:rPr>
          <w:color w:val="4D4D4F"/>
          <w:spacing w:val="-3"/>
          <w:w w:val="115"/>
          <w:sz w:val="22"/>
        </w:rPr>
        <w:t>family,</w:t>
      </w:r>
      <w:r>
        <w:rPr>
          <w:color w:val="4D4D4F"/>
          <w:spacing w:val="-28"/>
          <w:w w:val="115"/>
          <w:sz w:val="22"/>
        </w:rPr>
        <w:t> </w:t>
      </w:r>
      <w:r>
        <w:rPr>
          <w:color w:val="4D4D4F"/>
          <w:w w:val="115"/>
          <w:sz w:val="22"/>
        </w:rPr>
        <w:t>friends,</w:t>
      </w:r>
      <w:r>
        <w:rPr>
          <w:color w:val="4D4D4F"/>
          <w:spacing w:val="-29"/>
          <w:w w:val="115"/>
          <w:sz w:val="22"/>
        </w:rPr>
        <w:t> </w:t>
      </w:r>
      <w:r>
        <w:rPr>
          <w:color w:val="4D4D4F"/>
          <w:w w:val="115"/>
          <w:sz w:val="22"/>
        </w:rPr>
        <w:t>and acquaintances they might be tempted to divert</w:t>
      </w:r>
      <w:r>
        <w:rPr>
          <w:color w:val="4D4D4F"/>
          <w:spacing w:val="-28"/>
          <w:w w:val="115"/>
          <w:sz w:val="22"/>
        </w:rPr>
        <w:t> </w:t>
      </w:r>
      <w:r>
        <w:rPr>
          <w:color w:val="4D4D4F"/>
          <w:w w:val="115"/>
          <w:sz w:val="22"/>
        </w:rPr>
        <w:t>their</w:t>
      </w:r>
      <w:r>
        <w:rPr>
          <w:color w:val="4D4D4F"/>
          <w:spacing w:val="-28"/>
          <w:w w:val="115"/>
          <w:sz w:val="22"/>
        </w:rPr>
        <w:t> </w:t>
      </w:r>
      <w:r>
        <w:rPr>
          <w:color w:val="4D4D4F"/>
          <w:w w:val="115"/>
          <w:sz w:val="22"/>
        </w:rPr>
        <w:t>medication</w:t>
      </w:r>
      <w:r>
        <w:rPr>
          <w:color w:val="4D4D4F"/>
          <w:spacing w:val="-28"/>
          <w:w w:val="115"/>
          <w:sz w:val="22"/>
        </w:rPr>
        <w:t> </w:t>
      </w:r>
      <w:r>
        <w:rPr>
          <w:color w:val="4D4D4F"/>
          <w:w w:val="115"/>
          <w:sz w:val="22"/>
        </w:rPr>
        <w:t>and</w:t>
      </w:r>
      <w:r>
        <w:rPr>
          <w:color w:val="4D4D4F"/>
          <w:spacing w:val="-28"/>
          <w:w w:val="115"/>
          <w:sz w:val="22"/>
        </w:rPr>
        <w:t> </w:t>
      </w:r>
      <w:r>
        <w:rPr>
          <w:color w:val="4D4D4F"/>
          <w:w w:val="115"/>
          <w:sz w:val="22"/>
        </w:rPr>
        <w:t>why</w:t>
      </w:r>
      <w:r>
        <w:rPr>
          <w:color w:val="4D4D4F"/>
          <w:spacing w:val="-27"/>
          <w:w w:val="115"/>
          <w:sz w:val="22"/>
        </w:rPr>
        <w:t> </w:t>
      </w:r>
      <w:r>
        <w:rPr>
          <w:color w:val="4D4D4F"/>
          <w:w w:val="115"/>
          <w:sz w:val="22"/>
        </w:rPr>
        <w:t>they</w:t>
      </w:r>
      <w:r>
        <w:rPr>
          <w:color w:val="4D4D4F"/>
          <w:spacing w:val="-28"/>
          <w:w w:val="115"/>
          <w:sz w:val="22"/>
        </w:rPr>
        <w:t> </w:t>
      </w:r>
      <w:r>
        <w:rPr>
          <w:color w:val="4D4D4F"/>
          <w:spacing w:val="-4"/>
          <w:w w:val="115"/>
          <w:sz w:val="22"/>
        </w:rPr>
        <w:t>might </w:t>
      </w:r>
      <w:r>
        <w:rPr>
          <w:color w:val="4D4D4F"/>
          <w:w w:val="115"/>
          <w:sz w:val="22"/>
        </w:rPr>
        <w:t>be tempted to do</w:t>
      </w:r>
      <w:r>
        <w:rPr>
          <w:color w:val="4D4D4F"/>
          <w:spacing w:val="-39"/>
          <w:w w:val="115"/>
          <w:sz w:val="22"/>
        </w:rPr>
        <w:t> </w:t>
      </w:r>
      <w:r>
        <w:rPr>
          <w:color w:val="4D4D4F"/>
          <w:w w:val="115"/>
          <w:sz w:val="22"/>
        </w:rPr>
        <w:t>so.</w:t>
      </w:r>
    </w:p>
    <w:p>
      <w:pPr>
        <w:pStyle w:val="ListParagraph"/>
        <w:numPr>
          <w:ilvl w:val="0"/>
          <w:numId w:val="29"/>
        </w:numPr>
        <w:tabs>
          <w:tab w:pos="410" w:val="left" w:leader="none"/>
        </w:tabs>
        <w:spacing w:line="264" w:lineRule="exact" w:before="43" w:after="0"/>
        <w:ind w:left="410" w:right="193" w:hanging="270"/>
        <w:jc w:val="left"/>
        <w:rPr>
          <w:rFonts w:ascii="Arial" w:hAnsi="Arial"/>
          <w:color w:val="137692"/>
          <w:sz w:val="28"/>
        </w:rPr>
      </w:pPr>
      <w:r>
        <w:rPr>
          <w:rFonts w:ascii="Calibri" w:hAnsi="Calibri"/>
          <w:b/>
          <w:color w:val="4D4D4F"/>
          <w:w w:val="110"/>
          <w:sz w:val="22"/>
        </w:rPr>
        <w:t>Instruct patients to store medication securely </w:t>
      </w:r>
      <w:r>
        <w:rPr>
          <w:color w:val="4D4D4F"/>
          <w:w w:val="110"/>
          <w:sz w:val="22"/>
        </w:rPr>
        <w:t>(children may inadvertently ingest </w:t>
      </w:r>
      <w:r>
        <w:rPr>
          <w:color w:val="4D4D4F"/>
          <w:spacing w:val="-9"/>
          <w:w w:val="110"/>
          <w:sz w:val="22"/>
        </w:rPr>
        <w:t>it </w:t>
      </w:r>
      <w:r>
        <w:rPr>
          <w:color w:val="4D4D4F"/>
          <w:w w:val="110"/>
          <w:sz w:val="22"/>
        </w:rPr>
        <w:t>and overdose, or other people may take the medication</w:t>
      </w:r>
      <w:r>
        <w:rPr>
          <w:color w:val="4D4D4F"/>
          <w:spacing w:val="-10"/>
          <w:w w:val="110"/>
          <w:sz w:val="22"/>
        </w:rPr>
        <w:t> </w:t>
      </w:r>
      <w:r>
        <w:rPr>
          <w:color w:val="4D4D4F"/>
          <w:w w:val="110"/>
          <w:sz w:val="22"/>
        </w:rPr>
        <w:t>for</w:t>
      </w:r>
      <w:r>
        <w:rPr>
          <w:color w:val="4D4D4F"/>
          <w:spacing w:val="-9"/>
          <w:w w:val="110"/>
          <w:sz w:val="22"/>
        </w:rPr>
        <w:t> </w:t>
      </w:r>
      <w:r>
        <w:rPr>
          <w:color w:val="4D4D4F"/>
          <w:w w:val="110"/>
          <w:sz w:val="22"/>
        </w:rPr>
        <w:t>their</w:t>
      </w:r>
      <w:r>
        <w:rPr>
          <w:color w:val="4D4D4F"/>
          <w:spacing w:val="-9"/>
          <w:w w:val="110"/>
          <w:sz w:val="22"/>
        </w:rPr>
        <w:t> </w:t>
      </w:r>
      <w:r>
        <w:rPr>
          <w:color w:val="4D4D4F"/>
          <w:w w:val="110"/>
          <w:sz w:val="22"/>
        </w:rPr>
        <w:t>own</w:t>
      </w:r>
      <w:r>
        <w:rPr>
          <w:color w:val="4D4D4F"/>
          <w:spacing w:val="-9"/>
          <w:w w:val="110"/>
          <w:sz w:val="22"/>
        </w:rPr>
        <w:t> </w:t>
      </w:r>
      <w:r>
        <w:rPr>
          <w:color w:val="4D4D4F"/>
          <w:w w:val="110"/>
          <w:sz w:val="22"/>
        </w:rPr>
        <w:t>use</w:t>
      </w:r>
      <w:r>
        <w:rPr>
          <w:color w:val="4D4D4F"/>
          <w:spacing w:val="-9"/>
          <w:w w:val="110"/>
          <w:sz w:val="22"/>
        </w:rPr>
        <w:t> </w:t>
      </w:r>
      <w:r>
        <w:rPr>
          <w:color w:val="4D4D4F"/>
          <w:w w:val="110"/>
          <w:sz w:val="22"/>
        </w:rPr>
        <w:t>or</w:t>
      </w:r>
      <w:r>
        <w:rPr>
          <w:color w:val="4D4D4F"/>
          <w:spacing w:val="-9"/>
          <w:w w:val="110"/>
          <w:sz w:val="22"/>
        </w:rPr>
        <w:t> </w:t>
      </w:r>
      <w:r>
        <w:rPr>
          <w:color w:val="4D4D4F"/>
          <w:w w:val="110"/>
          <w:sz w:val="22"/>
        </w:rPr>
        <w:t>to</w:t>
      </w:r>
      <w:r>
        <w:rPr>
          <w:color w:val="4D4D4F"/>
          <w:spacing w:val="-9"/>
          <w:w w:val="110"/>
          <w:sz w:val="22"/>
        </w:rPr>
        <w:t> </w:t>
      </w:r>
      <w:r>
        <w:rPr>
          <w:color w:val="4D4D4F"/>
          <w:w w:val="110"/>
          <w:sz w:val="22"/>
        </w:rPr>
        <w:t>sell).</w:t>
      </w:r>
      <w:r>
        <w:rPr>
          <w:color w:val="4D4D4F"/>
          <w:w w:val="110"/>
          <w:position w:val="7"/>
          <w:sz w:val="13"/>
        </w:rPr>
        <w:t>376</w:t>
      </w:r>
    </w:p>
    <w:p>
      <w:pPr>
        <w:pStyle w:val="ListParagraph"/>
        <w:numPr>
          <w:ilvl w:val="1"/>
          <w:numId w:val="29"/>
        </w:numPr>
        <w:tabs>
          <w:tab w:pos="716" w:val="left" w:leader="none"/>
        </w:tabs>
        <w:spacing w:line="247" w:lineRule="auto" w:before="30" w:after="0"/>
        <w:ind w:left="716" w:right="335" w:hanging="270"/>
        <w:jc w:val="left"/>
        <w:rPr>
          <w:rFonts w:ascii="Arial" w:hAnsi="Arial"/>
          <w:color w:val="137692"/>
          <w:sz w:val="24"/>
        </w:rPr>
      </w:pPr>
      <w:r>
        <w:rPr>
          <w:color w:val="4D4D4F"/>
          <w:w w:val="110"/>
          <w:sz w:val="22"/>
        </w:rPr>
        <w:t>Discuss patients’ plans to safely store buprenorphine. Advise patients to keep the medication in the original packaging and out of the reach of</w:t>
      </w:r>
      <w:r>
        <w:rPr>
          <w:color w:val="4D4D4F"/>
          <w:spacing w:val="-23"/>
          <w:w w:val="110"/>
          <w:sz w:val="22"/>
        </w:rPr>
        <w:t> </w:t>
      </w:r>
      <w:r>
        <w:rPr>
          <w:color w:val="4D4D4F"/>
          <w:w w:val="110"/>
          <w:sz w:val="22"/>
        </w:rPr>
        <w:t>children.</w:t>
      </w:r>
      <w:r>
        <w:rPr>
          <w:color w:val="4D4D4F"/>
          <w:w w:val="110"/>
          <w:position w:val="7"/>
          <w:sz w:val="13"/>
        </w:rPr>
        <w:t>377</w:t>
      </w:r>
    </w:p>
    <w:p>
      <w:pPr>
        <w:pStyle w:val="ListParagraph"/>
        <w:numPr>
          <w:ilvl w:val="1"/>
          <w:numId w:val="29"/>
        </w:numPr>
        <w:tabs>
          <w:tab w:pos="716" w:val="left" w:leader="none"/>
        </w:tabs>
        <w:spacing w:line="247" w:lineRule="auto" w:before="26" w:after="0"/>
        <w:ind w:left="716" w:right="150" w:hanging="270"/>
        <w:jc w:val="left"/>
        <w:rPr>
          <w:rFonts w:ascii="Arial" w:hAnsi="Arial"/>
          <w:color w:val="137692"/>
          <w:sz w:val="24"/>
        </w:rPr>
      </w:pPr>
      <w:r>
        <w:rPr>
          <w:color w:val="4D4D4F"/>
          <w:spacing w:val="-7"/>
          <w:w w:val="110"/>
          <w:sz w:val="22"/>
        </w:rPr>
        <w:t>Tell </w:t>
      </w:r>
      <w:r>
        <w:rPr>
          <w:color w:val="4D4D4F"/>
          <w:w w:val="110"/>
          <w:sz w:val="22"/>
        </w:rPr>
        <w:t>patients not to store their medication in common areas (e.g., kitchen, </w:t>
      </w:r>
      <w:r>
        <w:rPr>
          <w:color w:val="4D4D4F"/>
          <w:spacing w:val="-3"/>
          <w:w w:val="110"/>
          <w:sz w:val="22"/>
        </w:rPr>
        <w:t>bathroom) </w:t>
      </w:r>
      <w:r>
        <w:rPr>
          <w:color w:val="4D4D4F"/>
          <w:w w:val="110"/>
          <w:sz w:val="22"/>
        </w:rPr>
        <w:t>where others may access</w:t>
      </w:r>
      <w:r>
        <w:rPr>
          <w:color w:val="4D4D4F"/>
          <w:spacing w:val="-25"/>
          <w:w w:val="110"/>
          <w:sz w:val="22"/>
        </w:rPr>
        <w:t> </w:t>
      </w:r>
      <w:r>
        <w:rPr>
          <w:color w:val="4D4D4F"/>
          <w:w w:val="110"/>
          <w:sz w:val="22"/>
        </w:rPr>
        <w:t>it.</w:t>
      </w:r>
    </w:p>
    <w:p>
      <w:pPr>
        <w:pStyle w:val="ListParagraph"/>
        <w:numPr>
          <w:ilvl w:val="1"/>
          <w:numId w:val="29"/>
        </w:numPr>
        <w:tabs>
          <w:tab w:pos="716" w:val="left" w:leader="none"/>
        </w:tabs>
        <w:spacing w:line="247" w:lineRule="auto" w:before="25" w:after="0"/>
        <w:ind w:left="716" w:right="38" w:hanging="270"/>
        <w:jc w:val="left"/>
        <w:rPr>
          <w:rFonts w:ascii="Arial" w:hAnsi="Arial"/>
          <w:color w:val="137692"/>
          <w:sz w:val="24"/>
        </w:rPr>
      </w:pPr>
      <w:r>
        <w:rPr>
          <w:color w:val="4D4D4F"/>
          <w:w w:val="115"/>
          <w:sz w:val="22"/>
        </w:rPr>
        <w:t>Educate</w:t>
      </w:r>
      <w:r>
        <w:rPr>
          <w:color w:val="4D4D4F"/>
          <w:spacing w:val="-20"/>
          <w:w w:val="115"/>
          <w:sz w:val="22"/>
        </w:rPr>
        <w:t> </w:t>
      </w:r>
      <w:r>
        <w:rPr>
          <w:color w:val="4D4D4F"/>
          <w:w w:val="115"/>
          <w:sz w:val="22"/>
        </w:rPr>
        <w:t>patients</w:t>
      </w:r>
      <w:r>
        <w:rPr>
          <w:color w:val="4D4D4F"/>
          <w:spacing w:val="-20"/>
          <w:w w:val="115"/>
          <w:sz w:val="22"/>
        </w:rPr>
        <w:t> </w:t>
      </w:r>
      <w:r>
        <w:rPr>
          <w:color w:val="4D4D4F"/>
          <w:w w:val="115"/>
          <w:sz w:val="22"/>
        </w:rPr>
        <w:t>that</w:t>
      </w:r>
      <w:r>
        <w:rPr>
          <w:color w:val="4D4D4F"/>
          <w:spacing w:val="-20"/>
          <w:w w:val="115"/>
          <w:sz w:val="22"/>
        </w:rPr>
        <w:t> </w:t>
      </w:r>
      <w:r>
        <w:rPr>
          <w:color w:val="4D4D4F"/>
          <w:w w:val="115"/>
          <w:sz w:val="22"/>
        </w:rPr>
        <w:t>any</w:t>
      </w:r>
      <w:r>
        <w:rPr>
          <w:color w:val="4D4D4F"/>
          <w:spacing w:val="-20"/>
          <w:w w:val="115"/>
          <w:sz w:val="22"/>
        </w:rPr>
        <w:t> </w:t>
      </w:r>
      <w:r>
        <w:rPr>
          <w:color w:val="4D4D4F"/>
          <w:w w:val="115"/>
          <w:sz w:val="22"/>
        </w:rPr>
        <w:t>portion</w:t>
      </w:r>
      <w:r>
        <w:rPr>
          <w:color w:val="4D4D4F"/>
          <w:spacing w:val="-20"/>
          <w:w w:val="115"/>
          <w:sz w:val="22"/>
        </w:rPr>
        <w:t> </w:t>
      </w:r>
      <w:r>
        <w:rPr>
          <w:color w:val="4D4D4F"/>
          <w:w w:val="115"/>
          <w:sz w:val="22"/>
        </w:rPr>
        <w:t>of</w:t>
      </w:r>
      <w:r>
        <w:rPr>
          <w:color w:val="4D4D4F"/>
          <w:spacing w:val="-19"/>
          <w:w w:val="115"/>
          <w:sz w:val="22"/>
        </w:rPr>
        <w:t> </w:t>
      </w:r>
      <w:r>
        <w:rPr>
          <w:color w:val="4D4D4F"/>
          <w:w w:val="115"/>
          <w:sz w:val="22"/>
        </w:rPr>
        <w:t>a</w:t>
      </w:r>
      <w:r>
        <w:rPr>
          <w:color w:val="4D4D4F"/>
          <w:spacing w:val="-20"/>
          <w:w w:val="115"/>
          <w:sz w:val="22"/>
        </w:rPr>
        <w:t> </w:t>
      </w:r>
      <w:r>
        <w:rPr>
          <w:color w:val="4D4D4F"/>
          <w:spacing w:val="-3"/>
          <w:w w:val="115"/>
          <w:sz w:val="22"/>
        </w:rPr>
        <w:t>dose </w:t>
      </w:r>
      <w:r>
        <w:rPr>
          <w:color w:val="4D4D4F"/>
          <w:w w:val="115"/>
          <w:sz w:val="22"/>
        </w:rPr>
        <w:t>taken by a child or pet can be deadly and that they should call 9-1-1 immediately if this</w:t>
      </w:r>
      <w:r>
        <w:rPr>
          <w:color w:val="4D4D4F"/>
          <w:spacing w:val="-11"/>
          <w:w w:val="115"/>
          <w:sz w:val="22"/>
        </w:rPr>
        <w:t> </w:t>
      </w:r>
      <w:r>
        <w:rPr>
          <w:color w:val="4D4D4F"/>
          <w:w w:val="115"/>
          <w:sz w:val="22"/>
        </w:rPr>
        <w:t>occurs.</w:t>
      </w:r>
    </w:p>
    <w:p>
      <w:pPr>
        <w:pStyle w:val="ListParagraph"/>
        <w:numPr>
          <w:ilvl w:val="0"/>
          <w:numId w:val="29"/>
        </w:numPr>
        <w:tabs>
          <w:tab w:pos="410" w:val="left" w:leader="none"/>
        </w:tabs>
        <w:spacing w:line="264" w:lineRule="exact" w:before="103" w:after="0"/>
        <w:ind w:left="409" w:right="179" w:hanging="270"/>
        <w:jc w:val="left"/>
        <w:rPr>
          <w:rFonts w:ascii="Arial" w:hAnsi="Arial"/>
          <w:color w:val="137692"/>
          <w:sz w:val="28"/>
        </w:rPr>
      </w:pPr>
      <w:r>
        <w:rPr>
          <w:color w:val="4D4D4F"/>
          <w:w w:val="113"/>
          <w:sz w:val="22"/>
        </w:rPr>
        <w:br w:type="column"/>
      </w:r>
      <w:r>
        <w:rPr>
          <w:color w:val="4D4D4F"/>
          <w:w w:val="110"/>
          <w:sz w:val="22"/>
        </w:rPr>
        <w:t>Explain how diversion causes negative views of treatment, leading to discrimination </w:t>
      </w:r>
      <w:r>
        <w:rPr>
          <w:color w:val="4D4D4F"/>
          <w:spacing w:val="-3"/>
          <w:w w:val="110"/>
          <w:sz w:val="22"/>
        </w:rPr>
        <w:t>against </w:t>
      </w:r>
      <w:r>
        <w:rPr>
          <w:color w:val="4D4D4F"/>
          <w:w w:val="110"/>
          <w:sz w:val="22"/>
        </w:rPr>
        <w:t>people with OUD. Therefore, healthcare pro- fessionals must proactively address diversion to help prevent</w:t>
      </w:r>
      <w:r>
        <w:rPr>
          <w:color w:val="4D4D4F"/>
          <w:spacing w:val="-17"/>
          <w:w w:val="110"/>
          <w:sz w:val="22"/>
        </w:rPr>
        <w:t> </w:t>
      </w:r>
      <w:r>
        <w:rPr>
          <w:color w:val="4D4D4F"/>
          <w:w w:val="110"/>
          <w:sz w:val="22"/>
        </w:rPr>
        <w:t>it.</w:t>
      </w:r>
    </w:p>
    <w:p>
      <w:pPr>
        <w:pStyle w:val="BodyText"/>
        <w:spacing w:line="247" w:lineRule="auto" w:before="187"/>
        <w:ind w:left="140" w:right="594"/>
      </w:pPr>
      <w:r>
        <w:rPr>
          <w:color w:val="4D4D4F"/>
          <w:w w:val="110"/>
        </w:rPr>
        <w:t>Possible signs that a patient is diverting bu- prenorphine</w:t>
      </w:r>
      <w:r>
        <w:rPr>
          <w:color w:val="4D4D4F"/>
          <w:w w:val="110"/>
          <w:position w:val="7"/>
          <w:sz w:val="13"/>
        </w:rPr>
        <w:t>378 </w:t>
      </w:r>
      <w:r>
        <w:rPr>
          <w:color w:val="4D4D4F"/>
          <w:w w:val="110"/>
        </w:rPr>
        <w:t>include:</w:t>
      </w:r>
    </w:p>
    <w:p>
      <w:pPr>
        <w:pStyle w:val="ListParagraph"/>
        <w:numPr>
          <w:ilvl w:val="0"/>
          <w:numId w:val="29"/>
        </w:numPr>
        <w:tabs>
          <w:tab w:pos="410" w:val="left" w:leader="none"/>
        </w:tabs>
        <w:spacing w:line="315" w:lineRule="exact" w:before="99" w:after="0"/>
        <w:ind w:left="409" w:right="0" w:hanging="270"/>
        <w:jc w:val="left"/>
        <w:rPr>
          <w:rFonts w:ascii="Arial" w:hAnsi="Arial"/>
          <w:color w:val="137692"/>
          <w:sz w:val="28"/>
        </w:rPr>
      </w:pPr>
      <w:r>
        <w:rPr>
          <w:color w:val="4D4D4F"/>
          <w:w w:val="115"/>
          <w:sz w:val="22"/>
        </w:rPr>
        <w:t>Frequently missed</w:t>
      </w:r>
      <w:r>
        <w:rPr>
          <w:color w:val="4D4D4F"/>
          <w:spacing w:val="-24"/>
          <w:w w:val="115"/>
          <w:sz w:val="22"/>
        </w:rPr>
        <w:t> </w:t>
      </w:r>
      <w:r>
        <w:rPr>
          <w:color w:val="4D4D4F"/>
          <w:w w:val="115"/>
          <w:sz w:val="22"/>
        </w:rPr>
        <w:t>appointments.</w:t>
      </w:r>
    </w:p>
    <w:p>
      <w:pPr>
        <w:pStyle w:val="ListParagraph"/>
        <w:numPr>
          <w:ilvl w:val="0"/>
          <w:numId w:val="29"/>
        </w:numPr>
        <w:tabs>
          <w:tab w:pos="410" w:val="left" w:leader="none"/>
        </w:tabs>
        <w:spacing w:line="208" w:lineRule="auto" w:before="22" w:after="0"/>
        <w:ind w:left="409" w:right="362" w:hanging="270"/>
        <w:jc w:val="left"/>
        <w:rPr>
          <w:rFonts w:ascii="Arial" w:hAnsi="Arial"/>
          <w:color w:val="137692"/>
          <w:sz w:val="28"/>
        </w:rPr>
      </w:pPr>
      <w:r>
        <w:rPr>
          <w:color w:val="4D4D4F"/>
          <w:w w:val="110"/>
          <w:sz w:val="22"/>
        </w:rPr>
        <w:t>Requests for early reﬁlls because medication was reportedly lost or</w:t>
      </w:r>
      <w:r>
        <w:rPr>
          <w:color w:val="4D4D4F"/>
          <w:spacing w:val="-29"/>
          <w:w w:val="110"/>
          <w:sz w:val="22"/>
        </w:rPr>
        <w:t> </w:t>
      </w:r>
      <w:r>
        <w:rPr>
          <w:color w:val="4D4D4F"/>
          <w:w w:val="110"/>
          <w:sz w:val="22"/>
        </w:rPr>
        <w:t>stolen.</w:t>
      </w:r>
    </w:p>
    <w:p>
      <w:pPr>
        <w:pStyle w:val="ListParagraph"/>
        <w:numPr>
          <w:ilvl w:val="0"/>
          <w:numId w:val="29"/>
        </w:numPr>
        <w:tabs>
          <w:tab w:pos="410" w:val="left" w:leader="none"/>
        </w:tabs>
        <w:spacing w:line="315" w:lineRule="exact" w:before="40" w:after="0"/>
        <w:ind w:left="409" w:right="0" w:hanging="270"/>
        <w:jc w:val="left"/>
        <w:rPr>
          <w:rFonts w:ascii="Arial" w:hAnsi="Arial"/>
          <w:color w:val="137692"/>
          <w:sz w:val="28"/>
        </w:rPr>
      </w:pPr>
      <w:r>
        <w:rPr>
          <w:color w:val="4D4D4F"/>
          <w:w w:val="110"/>
          <w:sz w:val="22"/>
        </w:rPr>
        <w:t>Negative buprenorphine urine</w:t>
      </w:r>
      <w:r>
        <w:rPr>
          <w:color w:val="4D4D4F"/>
          <w:spacing w:val="-12"/>
          <w:w w:val="110"/>
          <w:sz w:val="22"/>
        </w:rPr>
        <w:t> </w:t>
      </w:r>
      <w:r>
        <w:rPr>
          <w:color w:val="4D4D4F"/>
          <w:w w:val="110"/>
          <w:sz w:val="22"/>
        </w:rPr>
        <w:t>screens.</w:t>
      </w:r>
    </w:p>
    <w:p>
      <w:pPr>
        <w:pStyle w:val="ListParagraph"/>
        <w:numPr>
          <w:ilvl w:val="0"/>
          <w:numId w:val="29"/>
        </w:numPr>
        <w:tabs>
          <w:tab w:pos="410" w:val="left" w:leader="none"/>
        </w:tabs>
        <w:spacing w:line="208" w:lineRule="auto" w:before="21" w:after="0"/>
        <w:ind w:left="409" w:right="271" w:hanging="270"/>
        <w:jc w:val="left"/>
        <w:rPr>
          <w:rFonts w:ascii="Arial" w:hAnsi="Arial"/>
          <w:color w:val="137692"/>
          <w:sz w:val="28"/>
        </w:rPr>
      </w:pPr>
      <w:r>
        <w:rPr>
          <w:color w:val="4D4D4F"/>
          <w:w w:val="110"/>
          <w:sz w:val="22"/>
        </w:rPr>
        <w:t>Positive buprenorphine urine screens that </w:t>
      </w:r>
      <w:r>
        <w:rPr>
          <w:color w:val="4D4D4F"/>
          <w:spacing w:val="-8"/>
          <w:w w:val="110"/>
          <w:sz w:val="22"/>
        </w:rPr>
        <w:t>are </w:t>
      </w:r>
      <w:r>
        <w:rPr>
          <w:color w:val="4D4D4F"/>
          <w:w w:val="110"/>
          <w:sz w:val="22"/>
        </w:rPr>
        <w:t>negative for buprenorphine</w:t>
      </w:r>
      <w:r>
        <w:rPr>
          <w:color w:val="4D4D4F"/>
          <w:spacing w:val="7"/>
          <w:w w:val="110"/>
          <w:sz w:val="22"/>
        </w:rPr>
        <w:t> </w:t>
      </w:r>
      <w:r>
        <w:rPr>
          <w:color w:val="4D4D4F"/>
          <w:w w:val="110"/>
          <w:sz w:val="22"/>
        </w:rPr>
        <w:t>metabolites.</w:t>
      </w:r>
    </w:p>
    <w:p>
      <w:pPr>
        <w:pStyle w:val="ListParagraph"/>
        <w:numPr>
          <w:ilvl w:val="0"/>
          <w:numId w:val="29"/>
        </w:numPr>
        <w:tabs>
          <w:tab w:pos="410" w:val="left" w:leader="none"/>
        </w:tabs>
        <w:spacing w:line="208" w:lineRule="auto" w:before="69" w:after="0"/>
        <w:ind w:left="409" w:right="735" w:hanging="270"/>
        <w:jc w:val="left"/>
        <w:rPr>
          <w:rFonts w:ascii="Arial" w:hAnsi="Arial"/>
          <w:color w:val="137692"/>
          <w:sz w:val="28"/>
        </w:rPr>
      </w:pPr>
      <w:r>
        <w:rPr>
          <w:color w:val="4D4D4F"/>
          <w:w w:val="110"/>
          <w:sz w:val="22"/>
        </w:rPr>
        <w:t>Speciﬁc requests for the buprenorphine monoproduct owing to naloxone</w:t>
      </w:r>
      <w:r>
        <w:rPr>
          <w:color w:val="4D4D4F"/>
          <w:spacing w:val="22"/>
          <w:w w:val="110"/>
          <w:sz w:val="22"/>
        </w:rPr>
        <w:t> </w:t>
      </w:r>
      <w:r>
        <w:rPr>
          <w:color w:val="4D4D4F"/>
          <w:spacing w:val="-5"/>
          <w:w w:val="110"/>
          <w:sz w:val="22"/>
        </w:rPr>
        <w:t>allergy.</w:t>
      </w:r>
    </w:p>
    <w:p>
      <w:pPr>
        <w:pStyle w:val="ListParagraph"/>
        <w:numPr>
          <w:ilvl w:val="0"/>
          <w:numId w:val="29"/>
        </w:numPr>
        <w:tabs>
          <w:tab w:pos="410" w:val="left" w:leader="none"/>
        </w:tabs>
        <w:spacing w:line="208" w:lineRule="auto" w:before="70" w:after="0"/>
        <w:ind w:left="409" w:right="316" w:hanging="270"/>
        <w:jc w:val="left"/>
        <w:rPr>
          <w:rFonts w:ascii="Arial" w:hAnsi="Arial"/>
          <w:color w:val="137692"/>
          <w:sz w:val="28"/>
        </w:rPr>
      </w:pPr>
      <w:r>
        <w:rPr>
          <w:color w:val="4D4D4F"/>
          <w:w w:val="110"/>
          <w:sz w:val="22"/>
        </w:rPr>
        <w:t>Speciﬁc requests for doses of </w:t>
      </w:r>
      <w:r>
        <w:rPr>
          <w:color w:val="4D4D4F"/>
          <w:spacing w:val="-3"/>
          <w:w w:val="110"/>
          <w:sz w:val="22"/>
        </w:rPr>
        <w:t>buprenorphine </w:t>
      </w:r>
      <w:r>
        <w:rPr>
          <w:color w:val="4D4D4F"/>
          <w:w w:val="110"/>
          <w:sz w:val="22"/>
        </w:rPr>
        <w:t>greater than 24 mg/6</w:t>
      </w:r>
      <w:r>
        <w:rPr>
          <w:color w:val="4D4D4F"/>
          <w:spacing w:val="-12"/>
          <w:w w:val="110"/>
          <w:sz w:val="22"/>
        </w:rPr>
        <w:t> </w:t>
      </w:r>
      <w:r>
        <w:rPr>
          <w:color w:val="4D4D4F"/>
          <w:w w:val="110"/>
          <w:sz w:val="22"/>
        </w:rPr>
        <w:t>mg.</w:t>
      </w:r>
    </w:p>
    <w:p>
      <w:pPr>
        <w:pStyle w:val="ListParagraph"/>
        <w:numPr>
          <w:ilvl w:val="0"/>
          <w:numId w:val="29"/>
        </w:numPr>
        <w:tabs>
          <w:tab w:pos="410" w:val="left" w:leader="none"/>
        </w:tabs>
        <w:spacing w:line="225" w:lineRule="auto" w:before="53" w:after="0"/>
        <w:ind w:left="409" w:right="271" w:hanging="270"/>
        <w:jc w:val="left"/>
        <w:rPr>
          <w:rFonts w:ascii="Arial" w:hAnsi="Arial"/>
          <w:color w:val="137692"/>
          <w:sz w:val="28"/>
        </w:rPr>
      </w:pPr>
      <w:r>
        <w:rPr>
          <w:color w:val="4D4D4F"/>
          <w:w w:val="110"/>
          <w:sz w:val="22"/>
        </w:rPr>
        <w:t>PDMP shows prescription ﬁlls for opioids or other medications that are not positive on</w:t>
      </w:r>
      <w:r>
        <w:rPr>
          <w:color w:val="4D4D4F"/>
          <w:spacing w:val="-24"/>
          <w:w w:val="110"/>
          <w:sz w:val="22"/>
        </w:rPr>
        <w:t> </w:t>
      </w:r>
      <w:r>
        <w:rPr>
          <w:color w:val="4D4D4F"/>
          <w:spacing w:val="-6"/>
          <w:w w:val="110"/>
          <w:sz w:val="22"/>
        </w:rPr>
        <w:t>his </w:t>
      </w:r>
      <w:r>
        <w:rPr>
          <w:color w:val="4D4D4F"/>
          <w:w w:val="110"/>
          <w:sz w:val="22"/>
        </w:rPr>
        <w:t>or her drug</w:t>
      </w:r>
      <w:r>
        <w:rPr>
          <w:color w:val="4D4D4F"/>
          <w:spacing w:val="-19"/>
          <w:w w:val="110"/>
          <w:sz w:val="22"/>
        </w:rPr>
        <w:t> </w:t>
      </w:r>
      <w:r>
        <w:rPr>
          <w:color w:val="4D4D4F"/>
          <w:w w:val="110"/>
          <w:sz w:val="22"/>
        </w:rPr>
        <w:t>tests.</w:t>
      </w:r>
    </w:p>
    <w:p>
      <w:pPr>
        <w:pStyle w:val="ListParagraph"/>
        <w:numPr>
          <w:ilvl w:val="0"/>
          <w:numId w:val="29"/>
        </w:numPr>
        <w:tabs>
          <w:tab w:pos="410" w:val="left" w:leader="none"/>
        </w:tabs>
        <w:spacing w:line="240" w:lineRule="auto" w:before="40" w:after="0"/>
        <w:ind w:left="409" w:right="0" w:hanging="270"/>
        <w:jc w:val="left"/>
        <w:rPr>
          <w:rFonts w:ascii="Arial" w:hAnsi="Arial"/>
          <w:color w:val="137692"/>
          <w:sz w:val="28"/>
        </w:rPr>
      </w:pPr>
      <w:r>
        <w:rPr>
          <w:color w:val="4D4D4F"/>
          <w:w w:val="115"/>
          <w:sz w:val="22"/>
        </w:rPr>
        <w:t>Failed ﬁlm/pill callback</w:t>
      </w:r>
      <w:r>
        <w:rPr>
          <w:color w:val="4D4D4F"/>
          <w:spacing w:val="-31"/>
          <w:w w:val="115"/>
          <w:sz w:val="22"/>
        </w:rPr>
        <w:t> </w:t>
      </w:r>
      <w:r>
        <w:rPr>
          <w:color w:val="4D4D4F"/>
          <w:w w:val="115"/>
          <w:sz w:val="22"/>
        </w:rPr>
        <w:t>counts.</w:t>
      </w:r>
    </w:p>
    <w:p>
      <w:pPr>
        <w:pStyle w:val="BodyText"/>
        <w:spacing w:line="247" w:lineRule="auto" w:before="135"/>
        <w:ind w:left="140" w:right="228"/>
      </w:pPr>
      <w:r>
        <w:rPr>
          <w:rFonts w:ascii="Calibri" w:hAnsi="Calibri"/>
          <w:b/>
          <w:color w:val="4D4D4F"/>
          <w:w w:val="110"/>
        </w:rPr>
        <w:t>Establish a diversion control plan to minimize OUD medication diversion. </w:t>
      </w:r>
      <w:r>
        <w:rPr>
          <w:color w:val="4D4D4F"/>
          <w:w w:val="110"/>
        </w:rPr>
        <w:t>The plan provides measures to reduce diversion and assigns speciﬁc responsibility to medical and admin- istrative staff members for carrying out these measures.</w:t>
      </w:r>
      <w:r>
        <w:rPr>
          <w:color w:val="4D4D4F"/>
          <w:w w:val="110"/>
          <w:position w:val="7"/>
          <w:sz w:val="13"/>
        </w:rPr>
        <w:t>379 </w:t>
      </w:r>
      <w:r>
        <w:rPr>
          <w:color w:val="4D4D4F"/>
          <w:w w:val="110"/>
        </w:rPr>
        <w:t>It should address medication storage, dispensing and administration (if applicable), and prescribing</w:t>
      </w:r>
      <w:r>
        <w:rPr>
          <w:color w:val="4D4D4F"/>
          <w:w w:val="110"/>
          <w:position w:val="7"/>
          <w:sz w:val="13"/>
        </w:rPr>
        <w:t>380 </w:t>
      </w:r>
      <w:r>
        <w:rPr>
          <w:color w:val="4D4D4F"/>
          <w:w w:val="110"/>
        </w:rPr>
        <w:t>(see the Chapter 3E Appendix for a sample diversion control policy). For providers who store buprenorphine for administration and dispensing, plans should </w:t>
      </w:r>
      <w:r>
        <w:rPr>
          <w:color w:val="4D4D4F"/>
          <w:spacing w:val="-3"/>
          <w:w w:val="110"/>
        </w:rPr>
        <w:t>indicate</w:t>
      </w:r>
      <w:r>
        <w:rPr>
          <w:color w:val="4D4D4F"/>
          <w:spacing w:val="-12"/>
          <w:w w:val="110"/>
        </w:rPr>
        <w:t> </w:t>
      </w:r>
      <w:r>
        <w:rPr>
          <w:color w:val="4D4D4F"/>
          <w:w w:val="110"/>
        </w:rPr>
        <w:t>how</w:t>
      </w:r>
      <w:r>
        <w:rPr>
          <w:color w:val="4D4D4F"/>
          <w:spacing w:val="-11"/>
          <w:w w:val="110"/>
        </w:rPr>
        <w:t> </w:t>
      </w:r>
      <w:r>
        <w:rPr>
          <w:color w:val="4D4D4F"/>
          <w:spacing w:val="-3"/>
          <w:w w:val="110"/>
        </w:rPr>
        <w:t>they</w:t>
      </w:r>
      <w:r>
        <w:rPr>
          <w:color w:val="4D4D4F"/>
          <w:spacing w:val="-11"/>
          <w:w w:val="110"/>
        </w:rPr>
        <w:t> </w:t>
      </w:r>
      <w:r>
        <w:rPr>
          <w:color w:val="4D4D4F"/>
          <w:spacing w:val="-3"/>
          <w:w w:val="110"/>
        </w:rPr>
        <w:t>will</w:t>
      </w:r>
      <w:r>
        <w:rPr>
          <w:color w:val="4D4D4F"/>
          <w:spacing w:val="-12"/>
          <w:w w:val="110"/>
        </w:rPr>
        <w:t> </w:t>
      </w:r>
      <w:r>
        <w:rPr>
          <w:color w:val="4D4D4F"/>
          <w:spacing w:val="-4"/>
          <w:w w:val="110"/>
        </w:rPr>
        <w:t>control</w:t>
      </w:r>
      <w:r>
        <w:rPr>
          <w:color w:val="4D4D4F"/>
          <w:spacing w:val="-11"/>
          <w:w w:val="110"/>
        </w:rPr>
        <w:t> </w:t>
      </w:r>
      <w:r>
        <w:rPr>
          <w:color w:val="4D4D4F"/>
          <w:spacing w:val="-3"/>
          <w:w w:val="110"/>
        </w:rPr>
        <w:t>diversion</w:t>
      </w:r>
      <w:r>
        <w:rPr>
          <w:color w:val="4D4D4F"/>
          <w:spacing w:val="-11"/>
          <w:w w:val="110"/>
        </w:rPr>
        <w:t> </w:t>
      </w:r>
      <w:r>
        <w:rPr>
          <w:color w:val="4D4D4F"/>
          <w:w w:val="110"/>
        </w:rPr>
        <w:t>and</w:t>
      </w:r>
      <w:r>
        <w:rPr>
          <w:color w:val="4D4D4F"/>
          <w:spacing w:val="-12"/>
          <w:w w:val="110"/>
        </w:rPr>
        <w:t> </w:t>
      </w:r>
      <w:r>
        <w:rPr>
          <w:color w:val="4D4D4F"/>
          <w:spacing w:val="-3"/>
          <w:w w:val="110"/>
        </w:rPr>
        <w:t>which </w:t>
      </w:r>
      <w:r>
        <w:rPr>
          <w:color w:val="4D4D4F"/>
          <w:spacing w:val="-4"/>
          <w:w w:val="110"/>
        </w:rPr>
        <w:t>approaches </w:t>
      </w:r>
      <w:r>
        <w:rPr>
          <w:color w:val="4D4D4F"/>
          <w:spacing w:val="-3"/>
          <w:w w:val="110"/>
        </w:rPr>
        <w:t>they will </w:t>
      </w:r>
      <w:r>
        <w:rPr>
          <w:color w:val="4D4D4F"/>
          <w:w w:val="110"/>
        </w:rPr>
        <w:t>use to </w:t>
      </w:r>
      <w:r>
        <w:rPr>
          <w:color w:val="4D4D4F"/>
          <w:spacing w:val="-4"/>
          <w:w w:val="110"/>
        </w:rPr>
        <w:t>ensure </w:t>
      </w:r>
      <w:r>
        <w:rPr>
          <w:color w:val="4D4D4F"/>
          <w:spacing w:val="-3"/>
          <w:w w:val="110"/>
        </w:rPr>
        <w:t>that patients take their medication. Exhibit 3E.3 summarizes </w:t>
      </w:r>
      <w:r>
        <w:rPr>
          <w:color w:val="4D4D4F"/>
          <w:w w:val="110"/>
        </w:rPr>
        <w:t>key </w:t>
      </w:r>
      <w:r>
        <w:rPr>
          <w:color w:val="4D4D4F"/>
          <w:spacing w:val="-3"/>
          <w:w w:val="110"/>
        </w:rPr>
        <w:t>elements </w:t>
      </w:r>
      <w:r>
        <w:rPr>
          <w:color w:val="4D4D4F"/>
          <w:w w:val="110"/>
        </w:rPr>
        <w:t>of a </w:t>
      </w:r>
      <w:r>
        <w:rPr>
          <w:color w:val="4D4D4F"/>
          <w:spacing w:val="-3"/>
          <w:w w:val="110"/>
        </w:rPr>
        <w:t>diversion </w:t>
      </w:r>
      <w:r>
        <w:rPr>
          <w:color w:val="4D4D4F"/>
          <w:spacing w:val="-4"/>
          <w:w w:val="110"/>
        </w:rPr>
        <w:t>control</w:t>
      </w:r>
      <w:r>
        <w:rPr>
          <w:color w:val="4D4D4F"/>
          <w:spacing w:val="-49"/>
          <w:w w:val="110"/>
        </w:rPr>
        <w:t> </w:t>
      </w:r>
      <w:r>
        <w:rPr>
          <w:color w:val="4D4D4F"/>
          <w:spacing w:val="-3"/>
          <w:w w:val="110"/>
        </w:rPr>
        <w:t>plan.</w:t>
      </w:r>
    </w:p>
    <w:p>
      <w:pPr>
        <w:spacing w:line="237" w:lineRule="auto" w:before="173"/>
        <w:ind w:left="140" w:right="253" w:firstLine="0"/>
        <w:jc w:val="left"/>
        <w:rPr>
          <w:sz w:val="22"/>
        </w:rPr>
      </w:pPr>
      <w:r>
        <w:rPr>
          <w:rFonts w:ascii="Calibri"/>
          <w:b/>
          <w:color w:val="4D4D4F"/>
          <w:w w:val="110"/>
          <w:sz w:val="22"/>
        </w:rPr>
        <w:t>Physicians who prescribe buprenorphine to more than 100 patients need a diversion control plan. </w:t>
      </w:r>
      <w:r>
        <w:rPr>
          <w:color w:val="4D4D4F"/>
          <w:w w:val="110"/>
          <w:sz w:val="22"/>
        </w:rPr>
        <w:t>Document diversion incidents and responses to incidents in the patient record.</w:t>
      </w:r>
    </w:p>
    <w:p>
      <w:pPr>
        <w:pStyle w:val="BodyText"/>
        <w:spacing w:line="247" w:lineRule="auto" w:before="8"/>
        <w:ind w:left="140" w:right="666"/>
      </w:pPr>
      <w:r>
        <w:rPr>
          <w:color w:val="4D4D4F"/>
          <w:w w:val="110"/>
        </w:rPr>
        <w:t>More information about Drug Enforcement Administration</w:t>
      </w:r>
      <w:r>
        <w:rPr>
          <w:color w:val="4D4D4F"/>
          <w:spacing w:val="-26"/>
          <w:w w:val="110"/>
        </w:rPr>
        <w:t> </w:t>
      </w:r>
      <w:r>
        <w:rPr>
          <w:color w:val="4D4D4F"/>
          <w:w w:val="110"/>
        </w:rPr>
        <w:t>(DEA)</w:t>
      </w:r>
      <w:r>
        <w:rPr>
          <w:color w:val="4D4D4F"/>
          <w:spacing w:val="-25"/>
          <w:w w:val="110"/>
        </w:rPr>
        <w:t> </w:t>
      </w:r>
      <w:r>
        <w:rPr>
          <w:color w:val="4D4D4F"/>
          <w:w w:val="110"/>
        </w:rPr>
        <w:t>requirements</w:t>
      </w:r>
      <w:r>
        <w:rPr>
          <w:color w:val="4D4D4F"/>
          <w:spacing w:val="-26"/>
          <w:w w:val="110"/>
        </w:rPr>
        <w:t> </w:t>
      </w:r>
      <w:r>
        <w:rPr>
          <w:color w:val="4D4D4F"/>
          <w:w w:val="110"/>
        </w:rPr>
        <w:t>for</w:t>
      </w:r>
      <w:r>
        <w:rPr>
          <w:color w:val="4D4D4F"/>
          <w:spacing w:val="-25"/>
          <w:w w:val="110"/>
        </w:rPr>
        <w:t> </w:t>
      </w:r>
      <w:r>
        <w:rPr>
          <w:color w:val="4D4D4F"/>
          <w:spacing w:val="-5"/>
          <w:w w:val="110"/>
        </w:rPr>
        <w:t>Drug </w:t>
      </w:r>
      <w:r>
        <w:rPr>
          <w:color w:val="4D4D4F"/>
          <w:w w:val="110"/>
        </w:rPr>
        <w:t>Addiction</w:t>
      </w:r>
      <w:r>
        <w:rPr>
          <w:color w:val="4D4D4F"/>
          <w:spacing w:val="-12"/>
          <w:w w:val="110"/>
        </w:rPr>
        <w:t> </w:t>
      </w:r>
      <w:r>
        <w:rPr>
          <w:color w:val="4D4D4F"/>
          <w:spacing w:val="-3"/>
          <w:w w:val="110"/>
        </w:rPr>
        <w:t>Treatment</w:t>
      </w:r>
      <w:r>
        <w:rPr>
          <w:color w:val="4D4D4F"/>
          <w:spacing w:val="-12"/>
          <w:w w:val="110"/>
        </w:rPr>
        <w:t> </w:t>
      </w:r>
      <w:r>
        <w:rPr>
          <w:color w:val="4D4D4F"/>
          <w:w w:val="110"/>
        </w:rPr>
        <w:t>Act</w:t>
      </w:r>
      <w:r>
        <w:rPr>
          <w:color w:val="4D4D4F"/>
          <w:spacing w:val="-12"/>
          <w:w w:val="110"/>
        </w:rPr>
        <w:t> </w:t>
      </w:r>
      <w:r>
        <w:rPr>
          <w:color w:val="4D4D4F"/>
          <w:w w:val="110"/>
        </w:rPr>
        <w:t>of</w:t>
      </w:r>
      <w:r>
        <w:rPr>
          <w:color w:val="4D4D4F"/>
          <w:spacing w:val="-12"/>
          <w:w w:val="110"/>
        </w:rPr>
        <w:t> </w:t>
      </w:r>
      <w:r>
        <w:rPr>
          <w:color w:val="4D4D4F"/>
          <w:w w:val="110"/>
        </w:rPr>
        <w:t>2000</w:t>
      </w:r>
      <w:r>
        <w:rPr>
          <w:color w:val="4D4D4F"/>
          <w:spacing w:val="-12"/>
          <w:w w:val="110"/>
        </w:rPr>
        <w:t> </w:t>
      </w:r>
      <w:r>
        <w:rPr>
          <w:color w:val="4D4D4F"/>
          <w:spacing w:val="-9"/>
          <w:w w:val="110"/>
        </w:rPr>
        <w:t>(DATA</w:t>
      </w:r>
    </w:p>
    <w:p>
      <w:pPr>
        <w:spacing w:after="0" w:line="247" w:lineRule="auto"/>
        <w:sectPr>
          <w:type w:val="continuous"/>
          <w:pgSz w:w="12240" w:h="15840"/>
          <w:pgMar w:top="540" w:bottom="280" w:left="940" w:right="920"/>
          <w:cols w:num="2" w:equalWidth="0">
            <w:col w:w="5040" w:space="180"/>
            <w:col w:w="5160"/>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line="247" w:lineRule="auto" w:before="100"/>
        <w:ind w:left="140"/>
      </w:pPr>
      <w:r>
        <w:rPr>
          <w:color w:val="4C4D4F"/>
          <w:w w:val="110"/>
        </w:rPr>
        <w:t>2000)-waivered healthcare professionals is available online (</w:t>
      </w:r>
      <w:hyperlink r:id="rId79">
        <w:r>
          <w:rPr>
            <w:color w:val="205E9E"/>
            <w:w w:val="110"/>
            <w:u w:val="single" w:color="205E9E"/>
          </w:rPr>
          <w:t>https://www.deadiversion.usdoj.</w:t>
        </w:r>
      </w:hyperlink>
      <w:r>
        <w:rPr>
          <w:color w:val="205E9E"/>
          <w:w w:val="110"/>
        </w:rPr>
        <w:t> </w:t>
      </w:r>
      <w:r>
        <w:rPr>
          <w:color w:val="205E9E"/>
          <w:w w:val="110"/>
          <w:u w:val="single" w:color="205E9E"/>
        </w:rPr>
        <w:t>gov/pubs/docs/index.html</w:t>
      </w:r>
      <w:r>
        <w:rPr>
          <w:color w:val="4C4D4F"/>
          <w:w w:val="110"/>
        </w:rPr>
        <w:t>).</w:t>
      </w:r>
    </w:p>
    <w:p>
      <w:pPr>
        <w:pStyle w:val="BodyText"/>
        <w:rPr>
          <w:sz w:val="23"/>
        </w:rPr>
      </w:pPr>
    </w:p>
    <w:p>
      <w:pPr>
        <w:pStyle w:val="Heading3"/>
      </w:pPr>
      <w:bookmarkStart w:name="_TOC_250020" w:id="95"/>
      <w:bookmarkEnd w:id="95"/>
      <w:r>
        <w:rPr>
          <w:color w:val="147592"/>
          <w:w w:val="110"/>
        </w:rPr>
        <w:t>Storage of Buprenorphine</w:t>
      </w:r>
    </w:p>
    <w:p>
      <w:pPr>
        <w:spacing w:line="242" w:lineRule="auto" w:before="42"/>
        <w:ind w:left="140" w:right="175" w:firstLine="0"/>
        <w:jc w:val="left"/>
        <w:rPr>
          <w:sz w:val="22"/>
        </w:rPr>
      </w:pPr>
      <w:r>
        <w:rPr>
          <w:rFonts w:ascii="Calibri" w:hAnsi="Calibri"/>
          <w:b/>
          <w:color w:val="4C4D4F"/>
          <w:w w:val="110"/>
          <w:sz w:val="22"/>
        </w:rPr>
        <w:t>Practices that store buprenorphine onsite  must have appropriate </w:t>
      </w:r>
      <w:r>
        <w:rPr>
          <w:rFonts w:ascii="Calibri" w:hAnsi="Calibri"/>
          <w:b/>
          <w:color w:val="4C4D4F"/>
          <w:spacing w:val="-3"/>
          <w:w w:val="110"/>
          <w:sz w:val="22"/>
        </w:rPr>
        <w:t>security, </w:t>
      </w:r>
      <w:r>
        <w:rPr>
          <w:color w:val="4C4D4F"/>
          <w:w w:val="110"/>
          <w:sz w:val="22"/>
        </w:rPr>
        <w:t>which includes storing the medication in a securely locked, substantially constructed cabinet.</w:t>
      </w:r>
      <w:r>
        <w:rPr>
          <w:color w:val="4C4D4F"/>
          <w:w w:val="110"/>
          <w:position w:val="7"/>
          <w:sz w:val="13"/>
        </w:rPr>
        <w:t>381 </w:t>
      </w:r>
      <w:r>
        <w:rPr>
          <w:color w:val="4C4D4F"/>
          <w:w w:val="110"/>
          <w:sz w:val="22"/>
        </w:rPr>
        <w:t>If a signiﬁ- cant amount of stored buprenorphine is lost</w:t>
      </w:r>
      <w:r>
        <w:rPr>
          <w:color w:val="4C4D4F"/>
          <w:spacing w:val="-42"/>
          <w:w w:val="110"/>
          <w:sz w:val="22"/>
        </w:rPr>
        <w:t> </w:t>
      </w:r>
      <w:r>
        <w:rPr>
          <w:color w:val="4C4D4F"/>
          <w:w w:val="110"/>
          <w:sz w:val="22"/>
        </w:rPr>
        <w:t>or</w:t>
      </w:r>
    </w:p>
    <w:p>
      <w:pPr>
        <w:pStyle w:val="BodyText"/>
        <w:spacing w:line="247" w:lineRule="auto" w:before="100"/>
        <w:ind w:left="140" w:right="187"/>
      </w:pPr>
      <w:r>
        <w:rPr/>
        <w:br w:type="column"/>
      </w:r>
      <w:r>
        <w:rPr>
          <w:color w:val="4C4D4F"/>
          <w:w w:val="115"/>
        </w:rPr>
        <w:t>stolen,</w:t>
      </w:r>
      <w:r>
        <w:rPr>
          <w:color w:val="4C4D4F"/>
          <w:spacing w:val="-35"/>
          <w:w w:val="115"/>
        </w:rPr>
        <w:t> </w:t>
      </w:r>
      <w:r>
        <w:rPr>
          <w:color w:val="4C4D4F"/>
          <w:w w:val="115"/>
        </w:rPr>
        <w:t>providers</w:t>
      </w:r>
      <w:r>
        <w:rPr>
          <w:color w:val="4C4D4F"/>
          <w:spacing w:val="-35"/>
          <w:w w:val="115"/>
        </w:rPr>
        <w:t> </w:t>
      </w:r>
      <w:r>
        <w:rPr>
          <w:color w:val="4C4D4F"/>
          <w:w w:val="115"/>
        </w:rPr>
        <w:t>must</w:t>
      </w:r>
      <w:r>
        <w:rPr>
          <w:color w:val="4C4D4F"/>
          <w:spacing w:val="-35"/>
          <w:w w:val="115"/>
        </w:rPr>
        <w:t> </w:t>
      </w:r>
      <w:r>
        <w:rPr>
          <w:color w:val="4C4D4F"/>
          <w:w w:val="115"/>
        </w:rPr>
        <w:t>notify</w:t>
      </w:r>
      <w:r>
        <w:rPr>
          <w:color w:val="4C4D4F"/>
          <w:spacing w:val="-35"/>
          <w:w w:val="115"/>
        </w:rPr>
        <w:t> </w:t>
      </w:r>
      <w:r>
        <w:rPr>
          <w:color w:val="4C4D4F"/>
          <w:w w:val="115"/>
        </w:rPr>
        <w:t>the</w:t>
      </w:r>
      <w:r>
        <w:rPr>
          <w:color w:val="4C4D4F"/>
          <w:spacing w:val="-35"/>
          <w:w w:val="115"/>
        </w:rPr>
        <w:t> </w:t>
      </w:r>
      <w:r>
        <w:rPr>
          <w:color w:val="4C4D4F"/>
          <w:w w:val="115"/>
        </w:rPr>
        <w:t>local</w:t>
      </w:r>
      <w:r>
        <w:rPr>
          <w:color w:val="4C4D4F"/>
          <w:spacing w:val="-35"/>
          <w:w w:val="115"/>
        </w:rPr>
        <w:t> </w:t>
      </w:r>
      <w:r>
        <w:rPr>
          <w:color w:val="4C4D4F"/>
          <w:w w:val="115"/>
        </w:rPr>
        <w:t>DEA</w:t>
      </w:r>
      <w:r>
        <w:rPr>
          <w:color w:val="4C4D4F"/>
          <w:spacing w:val="-35"/>
          <w:w w:val="115"/>
        </w:rPr>
        <w:t> </w:t>
      </w:r>
      <w:r>
        <w:rPr>
          <w:color w:val="4C4D4F"/>
          <w:spacing w:val="-5"/>
          <w:w w:val="115"/>
        </w:rPr>
        <w:t>ofﬁce </w:t>
      </w:r>
      <w:r>
        <w:rPr>
          <w:color w:val="4C4D4F"/>
          <w:w w:val="115"/>
        </w:rPr>
        <w:t>in</w:t>
      </w:r>
      <w:r>
        <w:rPr>
          <w:color w:val="4C4D4F"/>
          <w:spacing w:val="-19"/>
          <w:w w:val="115"/>
        </w:rPr>
        <w:t> </w:t>
      </w:r>
      <w:r>
        <w:rPr>
          <w:color w:val="4C4D4F"/>
          <w:w w:val="115"/>
        </w:rPr>
        <w:t>writing</w:t>
      </w:r>
      <w:r>
        <w:rPr>
          <w:color w:val="4C4D4F"/>
          <w:spacing w:val="-18"/>
          <w:w w:val="115"/>
        </w:rPr>
        <w:t> </w:t>
      </w:r>
      <w:r>
        <w:rPr>
          <w:color w:val="4C4D4F"/>
          <w:w w:val="115"/>
        </w:rPr>
        <w:t>within</w:t>
      </w:r>
      <w:r>
        <w:rPr>
          <w:color w:val="4C4D4F"/>
          <w:spacing w:val="-18"/>
          <w:w w:val="115"/>
        </w:rPr>
        <w:t> </w:t>
      </w:r>
      <w:r>
        <w:rPr>
          <w:color w:val="4C4D4F"/>
          <w:w w:val="115"/>
        </w:rPr>
        <w:t>1</w:t>
      </w:r>
      <w:r>
        <w:rPr>
          <w:color w:val="4C4D4F"/>
          <w:spacing w:val="-18"/>
          <w:w w:val="115"/>
        </w:rPr>
        <w:t> </w:t>
      </w:r>
      <w:r>
        <w:rPr>
          <w:color w:val="4C4D4F"/>
          <w:w w:val="115"/>
        </w:rPr>
        <w:t>business</w:t>
      </w:r>
      <w:r>
        <w:rPr>
          <w:color w:val="4C4D4F"/>
          <w:spacing w:val="-18"/>
          <w:w w:val="115"/>
        </w:rPr>
        <w:t> </w:t>
      </w:r>
      <w:r>
        <w:rPr>
          <w:color w:val="4C4D4F"/>
          <w:w w:val="115"/>
        </w:rPr>
        <w:t>day</w:t>
      </w:r>
      <w:r>
        <w:rPr>
          <w:color w:val="4C4D4F"/>
          <w:spacing w:val="-18"/>
          <w:w w:val="115"/>
        </w:rPr>
        <w:t> </w:t>
      </w:r>
      <w:r>
        <w:rPr>
          <w:color w:val="4C4D4F"/>
          <w:w w:val="115"/>
        </w:rPr>
        <w:t>and</w:t>
      </w:r>
      <w:r>
        <w:rPr>
          <w:color w:val="4C4D4F"/>
          <w:spacing w:val="-18"/>
          <w:w w:val="115"/>
        </w:rPr>
        <w:t> </w:t>
      </w:r>
      <w:r>
        <w:rPr>
          <w:color w:val="4C4D4F"/>
          <w:w w:val="115"/>
        </w:rPr>
        <w:t>complete</w:t>
      </w:r>
      <w:r>
        <w:rPr>
          <w:color w:val="4C4D4F"/>
          <w:spacing w:val="-18"/>
          <w:w w:val="115"/>
        </w:rPr>
        <w:t> </w:t>
      </w:r>
      <w:r>
        <w:rPr>
          <w:color w:val="4C4D4F"/>
          <w:w w:val="115"/>
        </w:rPr>
        <w:t>a Form</w:t>
      </w:r>
      <w:r>
        <w:rPr>
          <w:color w:val="4C4D4F"/>
          <w:spacing w:val="-40"/>
          <w:w w:val="115"/>
        </w:rPr>
        <w:t> </w:t>
      </w:r>
      <w:r>
        <w:rPr>
          <w:color w:val="4C4D4F"/>
          <w:w w:val="115"/>
        </w:rPr>
        <w:t>DEA-106</w:t>
      </w:r>
      <w:r>
        <w:rPr>
          <w:color w:val="4C4D4F"/>
          <w:spacing w:val="-40"/>
          <w:w w:val="115"/>
        </w:rPr>
        <w:t> </w:t>
      </w:r>
      <w:r>
        <w:rPr>
          <w:color w:val="4C4D4F"/>
          <w:w w:val="115"/>
        </w:rPr>
        <w:t>(</w:t>
      </w:r>
      <w:r>
        <w:rPr>
          <w:color w:val="205E9E"/>
          <w:w w:val="115"/>
          <w:u w:val="single" w:color="205E9E"/>
        </w:rPr>
        <w:t>https://apps.deadiversion.usdoj</w:t>
      </w:r>
    </w:p>
    <w:p>
      <w:pPr>
        <w:pStyle w:val="BodyText"/>
        <w:spacing w:before="4"/>
        <w:ind w:left="140"/>
      </w:pPr>
      <w:r>
        <w:rPr>
          <w:color w:val="205E9E"/>
          <w:w w:val="115"/>
          <w:u w:val="single" w:color="205E9E"/>
        </w:rPr>
        <w:t>.gov/webforms/dtlLogin.jsp</w:t>
      </w:r>
      <w:r>
        <w:rPr>
          <w:color w:val="4C4D4F"/>
          <w:w w:val="115"/>
        </w:rPr>
        <w:t>).</w:t>
      </w:r>
    </w:p>
    <w:p>
      <w:pPr>
        <w:pStyle w:val="BodyText"/>
        <w:spacing w:line="247" w:lineRule="auto" w:before="188"/>
        <w:ind w:left="140" w:right="627"/>
      </w:pPr>
      <w:r>
        <w:rPr>
          <w:color w:val="4C4D4F"/>
          <w:w w:val="110"/>
        </w:rPr>
        <w:t>Employees convicted of a felony related to  a controlled substance or who had a DEA registration denied, revoked, or</w:t>
      </w:r>
      <w:r>
        <w:rPr>
          <w:color w:val="4C4D4F"/>
          <w:spacing w:val="-6"/>
          <w:w w:val="110"/>
        </w:rPr>
        <w:t> </w:t>
      </w:r>
      <w:r>
        <w:rPr>
          <w:color w:val="4C4D4F"/>
          <w:spacing w:val="-3"/>
          <w:w w:val="110"/>
        </w:rPr>
        <w:t>surrendered</w:t>
      </w:r>
    </w:p>
    <w:p>
      <w:pPr>
        <w:pStyle w:val="BodyText"/>
        <w:spacing w:line="247" w:lineRule="auto" w:before="4"/>
        <w:ind w:left="140" w:right="471"/>
      </w:pPr>
      <w:r>
        <w:rPr>
          <w:color w:val="4C4D4F"/>
          <w:w w:val="110"/>
        </w:rPr>
        <w:t>“for cause” are not permitted to have access to buprenorphine.</w:t>
      </w:r>
    </w:p>
    <w:p>
      <w:pPr>
        <w:spacing w:after="0" w:line="247" w:lineRule="auto"/>
        <w:sectPr>
          <w:type w:val="continuous"/>
          <w:pgSz w:w="12240" w:h="15840"/>
          <w:pgMar w:top="540" w:bottom="280" w:left="940" w:right="920"/>
          <w:cols w:num="2" w:equalWidth="0">
            <w:col w:w="5018" w:space="202"/>
            <w:col w:w="5160"/>
          </w:cols>
        </w:sectPr>
      </w:pPr>
    </w:p>
    <w:p>
      <w:pPr>
        <w:pStyle w:val="BodyText"/>
        <w:rPr>
          <w:sz w:val="20"/>
        </w:rPr>
      </w:pPr>
    </w:p>
    <w:p>
      <w:pPr>
        <w:pStyle w:val="BodyText"/>
        <w:rPr>
          <w:sz w:val="19"/>
        </w:rPr>
      </w:pPr>
    </w:p>
    <w:p>
      <w:pPr>
        <w:pStyle w:val="Heading3"/>
        <w:spacing w:before="136"/>
        <w:ind w:left="415"/>
        <w:rPr>
          <w:rFonts w:ascii="Arial"/>
          <w:sz w:val="15"/>
        </w:rPr>
      </w:pPr>
      <w:r>
        <w:rPr/>
        <w:pict>
          <v:group style="position:absolute;margin-left:53.75pt;margin-top:-4.590640pt;width:504.55pt;height:467.3pt;mso-position-horizontal-relative:page;mso-position-vertical-relative:paragraph;z-index:-19529216" coordorigin="1075,-92" coordsize="10091,9346">
            <v:rect style="position:absolute;left:1080;top:-87;width:10081;height:9336" filled="true" fillcolor="#fff7f2" stroked="false">
              <v:fill type="solid"/>
            </v:rect>
            <v:rect style="position:absolute;left:1080;top:-87;width:10081;height:9336" filled="false" stroked="true" strokeweight=".5pt" strokecolor="#89aabe">
              <v:stroke dashstyle="solid"/>
            </v:rect>
            <v:line style="position:absolute" from="1355,550" to="10885,550" stroked="true" strokeweight="2pt" strokecolor="#588da6">
              <v:stroke dashstyle="solid"/>
            </v:line>
            <w10:wrap type="none"/>
          </v:group>
        </w:pict>
      </w:r>
      <w:r>
        <w:rPr>
          <w:rFonts w:ascii="Arial"/>
          <w:color w:val="147592"/>
          <w:w w:val="110"/>
        </w:rPr>
        <w:t>EXHIBIT 3E.3. Key Elements of an OBOT Clinic Diversion Control Plan</w:t>
      </w:r>
      <w:r>
        <w:rPr>
          <w:rFonts w:ascii="Arial"/>
          <w:color w:val="147592"/>
          <w:w w:val="110"/>
          <w:position w:val="9"/>
          <w:sz w:val="15"/>
        </w:rPr>
        <w:t>382</w:t>
      </w:r>
    </w:p>
    <w:p>
      <w:pPr>
        <w:pStyle w:val="BodyText"/>
        <w:spacing w:before="6"/>
        <w:rPr>
          <w:rFonts w:ascii="Arial"/>
          <w:b/>
          <w:sz w:val="33"/>
        </w:rPr>
      </w:pPr>
    </w:p>
    <w:p>
      <w:pPr>
        <w:tabs>
          <w:tab w:pos="5399" w:val="left" w:leader="none"/>
        </w:tabs>
        <w:spacing w:before="0"/>
        <w:ind w:left="445" w:right="0" w:firstLine="0"/>
        <w:jc w:val="left"/>
        <w:rPr>
          <w:rFonts w:ascii="Arial"/>
          <w:b/>
          <w:sz w:val="24"/>
        </w:rPr>
      </w:pPr>
      <w:r>
        <w:rPr>
          <w:rFonts w:ascii="Arial"/>
          <w:b/>
          <w:color w:val="147592"/>
          <w:w w:val="115"/>
          <w:sz w:val="24"/>
        </w:rPr>
        <w:t>New</w:t>
      </w:r>
      <w:r>
        <w:rPr>
          <w:rFonts w:ascii="Arial"/>
          <w:b/>
          <w:color w:val="147592"/>
          <w:spacing w:val="-19"/>
          <w:w w:val="115"/>
          <w:sz w:val="24"/>
        </w:rPr>
        <w:t> </w:t>
      </w:r>
      <w:r>
        <w:rPr>
          <w:rFonts w:ascii="Arial"/>
          <w:b/>
          <w:color w:val="147592"/>
          <w:w w:val="115"/>
          <w:sz w:val="24"/>
        </w:rPr>
        <w:t>Patients</w:t>
        <w:tab/>
        <w:t>Ongoing</w:t>
      </w:r>
      <w:r>
        <w:rPr>
          <w:rFonts w:ascii="Arial"/>
          <w:b/>
          <w:color w:val="147592"/>
          <w:spacing w:val="-10"/>
          <w:w w:val="115"/>
          <w:sz w:val="24"/>
        </w:rPr>
        <w:t> </w:t>
      </w:r>
      <w:r>
        <w:rPr>
          <w:rFonts w:ascii="Arial"/>
          <w:b/>
          <w:color w:val="147592"/>
          <w:w w:val="115"/>
          <w:sz w:val="24"/>
        </w:rPr>
        <w:t>Patients</w:t>
      </w:r>
    </w:p>
    <w:p>
      <w:pPr>
        <w:spacing w:after="0"/>
        <w:jc w:val="left"/>
        <w:rPr>
          <w:rFonts w:ascii="Arial"/>
          <w:sz w:val="24"/>
        </w:rPr>
        <w:sectPr>
          <w:type w:val="continuous"/>
          <w:pgSz w:w="12240" w:h="15840"/>
          <w:pgMar w:top="540" w:bottom="280" w:left="940" w:right="920"/>
        </w:sectPr>
      </w:pPr>
    </w:p>
    <w:p>
      <w:pPr>
        <w:spacing w:line="261" w:lineRule="auto" w:before="76"/>
        <w:ind w:left="445" w:right="381" w:firstLine="0"/>
        <w:jc w:val="left"/>
        <w:rPr>
          <w:rFonts w:ascii="Calibri" w:hAnsi="Calibri"/>
          <w:sz w:val="18"/>
        </w:rPr>
      </w:pPr>
      <w:r>
        <w:rPr>
          <w:rFonts w:ascii="Calibri" w:hAnsi="Calibri"/>
          <w:color w:val="414042"/>
          <w:w w:val="125"/>
          <w:sz w:val="18"/>
        </w:rPr>
        <w:t>Check the state’s PDMP before admission to</w:t>
      </w:r>
      <w:r>
        <w:rPr>
          <w:rFonts w:ascii="Calibri" w:hAnsi="Calibri"/>
          <w:color w:val="414042"/>
          <w:spacing w:val="-11"/>
          <w:w w:val="125"/>
          <w:sz w:val="18"/>
        </w:rPr>
        <w:t> </w:t>
      </w:r>
      <w:r>
        <w:rPr>
          <w:rFonts w:ascii="Calibri" w:hAnsi="Calibri"/>
          <w:color w:val="414042"/>
          <w:w w:val="125"/>
          <w:sz w:val="18"/>
        </w:rPr>
        <w:t>determine</w:t>
      </w:r>
      <w:r>
        <w:rPr>
          <w:rFonts w:ascii="Calibri" w:hAnsi="Calibri"/>
          <w:color w:val="414042"/>
          <w:spacing w:val="-11"/>
          <w:w w:val="125"/>
          <w:sz w:val="18"/>
        </w:rPr>
        <w:t> </w:t>
      </w:r>
      <w:r>
        <w:rPr>
          <w:rFonts w:ascii="Calibri" w:hAnsi="Calibri"/>
          <w:color w:val="414042"/>
          <w:w w:val="125"/>
          <w:sz w:val="18"/>
        </w:rPr>
        <w:t>whether</w:t>
      </w:r>
      <w:r>
        <w:rPr>
          <w:rFonts w:ascii="Calibri" w:hAnsi="Calibri"/>
          <w:color w:val="414042"/>
          <w:spacing w:val="-10"/>
          <w:w w:val="125"/>
          <w:sz w:val="18"/>
        </w:rPr>
        <w:t> </w:t>
      </w:r>
      <w:r>
        <w:rPr>
          <w:rFonts w:ascii="Calibri" w:hAnsi="Calibri"/>
          <w:color w:val="414042"/>
          <w:w w:val="125"/>
          <w:sz w:val="18"/>
        </w:rPr>
        <w:t>patients</w:t>
      </w:r>
      <w:r>
        <w:rPr>
          <w:rFonts w:ascii="Calibri" w:hAnsi="Calibri"/>
          <w:color w:val="414042"/>
          <w:spacing w:val="-11"/>
          <w:w w:val="125"/>
          <w:sz w:val="18"/>
        </w:rPr>
        <w:t> </w:t>
      </w:r>
      <w:r>
        <w:rPr>
          <w:rFonts w:ascii="Calibri" w:hAnsi="Calibri"/>
          <w:color w:val="414042"/>
          <w:w w:val="125"/>
          <w:sz w:val="18"/>
        </w:rPr>
        <w:t>are</w:t>
      </w:r>
      <w:r>
        <w:rPr>
          <w:rFonts w:ascii="Calibri" w:hAnsi="Calibri"/>
          <w:color w:val="414042"/>
          <w:spacing w:val="-10"/>
          <w:w w:val="125"/>
          <w:sz w:val="18"/>
        </w:rPr>
        <w:t> </w:t>
      </w:r>
      <w:r>
        <w:rPr>
          <w:rFonts w:ascii="Calibri" w:hAnsi="Calibri"/>
          <w:color w:val="414042"/>
          <w:spacing w:val="-3"/>
          <w:w w:val="125"/>
          <w:sz w:val="18"/>
        </w:rPr>
        <w:t>receiving</w:t>
      </w:r>
    </w:p>
    <w:p>
      <w:pPr>
        <w:spacing w:line="261" w:lineRule="auto" w:before="0"/>
        <w:ind w:left="445" w:right="35" w:firstLine="0"/>
        <w:jc w:val="left"/>
        <w:rPr>
          <w:rFonts w:ascii="Calibri"/>
          <w:sz w:val="18"/>
        </w:rPr>
      </w:pPr>
      <w:r>
        <w:rPr>
          <w:rFonts w:ascii="Calibri"/>
          <w:color w:val="414042"/>
          <w:w w:val="120"/>
          <w:sz w:val="18"/>
        </w:rPr>
        <w:t>opioids or benzodiazepine prescriptions from other providers.</w:t>
      </w:r>
    </w:p>
    <w:p>
      <w:pPr>
        <w:spacing w:line="261" w:lineRule="auto" w:before="91"/>
        <w:ind w:left="445" w:right="35" w:firstLine="0"/>
        <w:jc w:val="left"/>
        <w:rPr>
          <w:rFonts w:ascii="Calibri"/>
          <w:sz w:val="18"/>
        </w:rPr>
      </w:pPr>
      <w:r>
        <w:rPr>
          <w:rFonts w:ascii="Calibri"/>
          <w:color w:val="414042"/>
          <w:w w:val="125"/>
          <w:sz w:val="18"/>
        </w:rPr>
        <w:t>Ask patients to sign a release of information to speak with the other prescribers. Patients who are</w:t>
      </w:r>
      <w:r>
        <w:rPr>
          <w:rFonts w:ascii="Calibri"/>
          <w:color w:val="414042"/>
          <w:spacing w:val="-13"/>
          <w:w w:val="125"/>
          <w:sz w:val="18"/>
        </w:rPr>
        <w:t> </w:t>
      </w:r>
      <w:r>
        <w:rPr>
          <w:rFonts w:ascii="Calibri"/>
          <w:color w:val="414042"/>
          <w:w w:val="125"/>
          <w:sz w:val="18"/>
        </w:rPr>
        <w:t>unwilling</w:t>
      </w:r>
      <w:r>
        <w:rPr>
          <w:rFonts w:ascii="Calibri"/>
          <w:color w:val="414042"/>
          <w:spacing w:val="-12"/>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sign</w:t>
      </w:r>
      <w:r>
        <w:rPr>
          <w:rFonts w:ascii="Calibri"/>
          <w:color w:val="414042"/>
          <w:spacing w:val="-12"/>
          <w:w w:val="125"/>
          <w:sz w:val="18"/>
        </w:rPr>
        <w:t> </w:t>
      </w:r>
      <w:r>
        <w:rPr>
          <w:rFonts w:ascii="Calibri"/>
          <w:color w:val="414042"/>
          <w:w w:val="125"/>
          <w:sz w:val="18"/>
        </w:rPr>
        <w:t>a</w:t>
      </w:r>
      <w:r>
        <w:rPr>
          <w:rFonts w:ascii="Calibri"/>
          <w:color w:val="414042"/>
          <w:spacing w:val="-13"/>
          <w:w w:val="125"/>
          <w:sz w:val="18"/>
        </w:rPr>
        <w:t> </w:t>
      </w:r>
      <w:r>
        <w:rPr>
          <w:rFonts w:ascii="Calibri"/>
          <w:color w:val="414042"/>
          <w:w w:val="125"/>
          <w:sz w:val="18"/>
        </w:rPr>
        <w:t>release</w:t>
      </w:r>
      <w:r>
        <w:rPr>
          <w:rFonts w:ascii="Calibri"/>
          <w:color w:val="414042"/>
          <w:spacing w:val="-12"/>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information</w:t>
      </w:r>
      <w:r>
        <w:rPr>
          <w:rFonts w:ascii="Calibri"/>
          <w:color w:val="414042"/>
          <w:spacing w:val="-12"/>
          <w:w w:val="125"/>
          <w:sz w:val="18"/>
        </w:rPr>
        <w:t> </w:t>
      </w:r>
      <w:r>
        <w:rPr>
          <w:rFonts w:ascii="Calibri"/>
          <w:color w:val="414042"/>
          <w:spacing w:val="-5"/>
          <w:w w:val="125"/>
          <w:sz w:val="18"/>
        </w:rPr>
        <w:t>are </w:t>
      </w:r>
      <w:r>
        <w:rPr>
          <w:rFonts w:ascii="Calibri"/>
          <w:color w:val="414042"/>
          <w:w w:val="125"/>
          <w:sz w:val="18"/>
        </w:rPr>
        <w:t>poor candidates for outpatient</w:t>
      </w:r>
      <w:r>
        <w:rPr>
          <w:rFonts w:ascii="Calibri"/>
          <w:color w:val="414042"/>
          <w:spacing w:val="-36"/>
          <w:w w:val="125"/>
          <w:sz w:val="18"/>
        </w:rPr>
        <w:t> </w:t>
      </w:r>
      <w:r>
        <w:rPr>
          <w:rFonts w:ascii="Calibri"/>
          <w:color w:val="414042"/>
          <w:w w:val="125"/>
          <w:sz w:val="18"/>
        </w:rPr>
        <w:t>treatment.</w:t>
      </w:r>
    </w:p>
    <w:p>
      <w:pPr>
        <w:spacing w:line="261" w:lineRule="auto" w:before="92"/>
        <w:ind w:left="445" w:right="364" w:firstLine="0"/>
        <w:jc w:val="both"/>
        <w:rPr>
          <w:rFonts w:ascii="Calibri"/>
          <w:sz w:val="18"/>
        </w:rPr>
      </w:pPr>
      <w:r>
        <w:rPr>
          <w:rFonts w:ascii="Calibri"/>
          <w:color w:val="414042"/>
          <w:spacing w:val="-3"/>
          <w:w w:val="125"/>
          <w:sz w:val="18"/>
        </w:rPr>
        <w:t>Review</w:t>
      </w:r>
      <w:r>
        <w:rPr>
          <w:rFonts w:ascii="Calibri"/>
          <w:color w:val="414042"/>
          <w:spacing w:val="-15"/>
          <w:w w:val="125"/>
          <w:sz w:val="18"/>
        </w:rPr>
        <w:t> </w:t>
      </w:r>
      <w:r>
        <w:rPr>
          <w:rFonts w:ascii="Calibri"/>
          <w:color w:val="414042"/>
          <w:w w:val="125"/>
          <w:sz w:val="18"/>
        </w:rPr>
        <w:t>the</w:t>
      </w:r>
      <w:r>
        <w:rPr>
          <w:rFonts w:ascii="Calibri"/>
          <w:color w:val="414042"/>
          <w:spacing w:val="-15"/>
          <w:w w:val="125"/>
          <w:sz w:val="18"/>
        </w:rPr>
        <w:t> </w:t>
      </w:r>
      <w:r>
        <w:rPr>
          <w:rFonts w:ascii="Calibri"/>
          <w:color w:val="414042"/>
          <w:spacing w:val="-2"/>
          <w:w w:val="125"/>
          <w:sz w:val="18"/>
        </w:rPr>
        <w:t>clinic</w:t>
      </w:r>
      <w:r>
        <w:rPr>
          <w:rFonts w:ascii="Calibri"/>
          <w:color w:val="414042"/>
          <w:spacing w:val="-15"/>
          <w:w w:val="125"/>
          <w:sz w:val="18"/>
        </w:rPr>
        <w:t> </w:t>
      </w:r>
      <w:r>
        <w:rPr>
          <w:rFonts w:ascii="Calibri"/>
          <w:color w:val="414042"/>
          <w:spacing w:val="-3"/>
          <w:w w:val="125"/>
          <w:sz w:val="18"/>
        </w:rPr>
        <w:t>diversion</w:t>
      </w:r>
      <w:r>
        <w:rPr>
          <w:rFonts w:ascii="Calibri"/>
          <w:color w:val="414042"/>
          <w:spacing w:val="-15"/>
          <w:w w:val="125"/>
          <w:sz w:val="18"/>
        </w:rPr>
        <w:t> </w:t>
      </w:r>
      <w:r>
        <w:rPr>
          <w:rFonts w:ascii="Calibri"/>
          <w:color w:val="414042"/>
          <w:spacing w:val="-3"/>
          <w:w w:val="125"/>
          <w:sz w:val="18"/>
        </w:rPr>
        <w:t>control</w:t>
      </w:r>
      <w:r>
        <w:rPr>
          <w:rFonts w:ascii="Calibri"/>
          <w:color w:val="414042"/>
          <w:spacing w:val="-14"/>
          <w:w w:val="125"/>
          <w:sz w:val="18"/>
        </w:rPr>
        <w:t> </w:t>
      </w:r>
      <w:r>
        <w:rPr>
          <w:rFonts w:ascii="Calibri"/>
          <w:color w:val="414042"/>
          <w:spacing w:val="-2"/>
          <w:w w:val="125"/>
          <w:sz w:val="18"/>
        </w:rPr>
        <w:t>policy</w:t>
      </w:r>
      <w:r>
        <w:rPr>
          <w:rFonts w:ascii="Calibri"/>
          <w:color w:val="414042"/>
          <w:spacing w:val="-15"/>
          <w:w w:val="125"/>
          <w:sz w:val="18"/>
        </w:rPr>
        <w:t> </w:t>
      </w:r>
      <w:r>
        <w:rPr>
          <w:rFonts w:ascii="Calibri"/>
          <w:color w:val="414042"/>
          <w:w w:val="125"/>
          <w:sz w:val="18"/>
        </w:rPr>
        <w:t>with </w:t>
      </w:r>
      <w:r>
        <w:rPr>
          <w:rFonts w:ascii="Calibri"/>
          <w:color w:val="414042"/>
          <w:spacing w:val="-2"/>
          <w:w w:val="125"/>
          <w:sz w:val="18"/>
        </w:rPr>
        <w:t>new</w:t>
      </w:r>
      <w:r>
        <w:rPr>
          <w:rFonts w:ascii="Calibri"/>
          <w:color w:val="414042"/>
          <w:spacing w:val="-15"/>
          <w:w w:val="125"/>
          <w:sz w:val="18"/>
        </w:rPr>
        <w:t> </w:t>
      </w:r>
      <w:r>
        <w:rPr>
          <w:rFonts w:ascii="Calibri"/>
          <w:color w:val="414042"/>
          <w:w w:val="125"/>
          <w:sz w:val="18"/>
        </w:rPr>
        <w:t>patients.</w:t>
      </w:r>
      <w:r>
        <w:rPr>
          <w:rFonts w:ascii="Calibri"/>
          <w:color w:val="414042"/>
          <w:spacing w:val="-15"/>
          <w:w w:val="125"/>
          <w:sz w:val="18"/>
        </w:rPr>
        <w:t> </w:t>
      </w:r>
      <w:r>
        <w:rPr>
          <w:rFonts w:ascii="Calibri"/>
          <w:color w:val="414042"/>
          <w:w w:val="125"/>
          <w:sz w:val="18"/>
        </w:rPr>
        <w:t>This</w:t>
      </w:r>
      <w:r>
        <w:rPr>
          <w:rFonts w:ascii="Calibri"/>
          <w:color w:val="414042"/>
          <w:spacing w:val="-15"/>
          <w:w w:val="125"/>
          <w:sz w:val="18"/>
        </w:rPr>
        <w:t> </w:t>
      </w:r>
      <w:r>
        <w:rPr>
          <w:rFonts w:ascii="Calibri"/>
          <w:color w:val="414042"/>
          <w:w w:val="125"/>
          <w:sz w:val="18"/>
        </w:rPr>
        <w:t>should</w:t>
      </w:r>
      <w:r>
        <w:rPr>
          <w:rFonts w:ascii="Calibri"/>
          <w:color w:val="414042"/>
          <w:spacing w:val="-15"/>
          <w:w w:val="125"/>
          <w:sz w:val="18"/>
        </w:rPr>
        <w:t> </w:t>
      </w:r>
      <w:r>
        <w:rPr>
          <w:rFonts w:ascii="Calibri"/>
          <w:color w:val="414042"/>
          <w:w w:val="125"/>
          <w:sz w:val="18"/>
        </w:rPr>
        <w:t>include</w:t>
      </w:r>
      <w:r>
        <w:rPr>
          <w:rFonts w:ascii="Calibri"/>
          <w:color w:val="414042"/>
          <w:spacing w:val="-15"/>
          <w:w w:val="125"/>
          <w:sz w:val="18"/>
        </w:rPr>
        <w:t> </w:t>
      </w:r>
      <w:r>
        <w:rPr>
          <w:rFonts w:ascii="Calibri"/>
          <w:color w:val="414042"/>
          <w:spacing w:val="-3"/>
          <w:w w:val="125"/>
          <w:sz w:val="18"/>
        </w:rPr>
        <w:t>counseling </w:t>
      </w:r>
      <w:r>
        <w:rPr>
          <w:rFonts w:ascii="Calibri"/>
          <w:color w:val="414042"/>
          <w:w w:val="125"/>
          <w:sz w:val="18"/>
        </w:rPr>
        <w:t>patients</w:t>
      </w:r>
      <w:r>
        <w:rPr>
          <w:rFonts w:ascii="Calibri"/>
          <w:color w:val="414042"/>
          <w:spacing w:val="-9"/>
          <w:w w:val="125"/>
          <w:sz w:val="18"/>
        </w:rPr>
        <w:t> </w:t>
      </w:r>
      <w:r>
        <w:rPr>
          <w:rFonts w:ascii="Calibri"/>
          <w:color w:val="414042"/>
          <w:spacing w:val="-4"/>
          <w:w w:val="125"/>
          <w:sz w:val="18"/>
        </w:rPr>
        <w:t>to:</w:t>
      </w:r>
    </w:p>
    <w:p>
      <w:pPr>
        <w:pStyle w:val="ListParagraph"/>
        <w:numPr>
          <w:ilvl w:val="0"/>
          <w:numId w:val="47"/>
        </w:numPr>
        <w:tabs>
          <w:tab w:pos="625" w:val="left" w:leader="none"/>
        </w:tabs>
        <w:spacing w:line="213" w:lineRule="auto" w:before="65" w:after="0"/>
        <w:ind w:left="625" w:right="400" w:hanging="180"/>
        <w:jc w:val="left"/>
        <w:rPr>
          <w:rFonts w:ascii="Calibri" w:hAnsi="Calibri"/>
          <w:sz w:val="18"/>
        </w:rPr>
      </w:pPr>
      <w:r>
        <w:rPr>
          <w:rFonts w:ascii="Calibri" w:hAnsi="Calibri"/>
          <w:color w:val="4C4D4F"/>
          <w:w w:val="125"/>
          <w:sz w:val="18"/>
        </w:rPr>
        <w:t>Keep buprenorphine locked up and out</w:t>
      </w:r>
      <w:r>
        <w:rPr>
          <w:rFonts w:ascii="Calibri" w:hAnsi="Calibri"/>
          <w:color w:val="4C4D4F"/>
          <w:spacing w:val="-36"/>
          <w:w w:val="125"/>
          <w:sz w:val="18"/>
        </w:rPr>
        <w:t> </w:t>
      </w:r>
      <w:r>
        <w:rPr>
          <w:rFonts w:ascii="Calibri" w:hAnsi="Calibri"/>
          <w:color w:val="4C4D4F"/>
          <w:spacing w:val="-6"/>
          <w:w w:val="125"/>
          <w:sz w:val="18"/>
        </w:rPr>
        <w:t>of </w:t>
      </w:r>
      <w:r>
        <w:rPr>
          <w:rFonts w:ascii="Calibri" w:hAnsi="Calibri"/>
          <w:color w:val="4C4D4F"/>
          <w:w w:val="125"/>
          <w:sz w:val="18"/>
        </w:rPr>
        <w:t>children’s</w:t>
      </w:r>
      <w:r>
        <w:rPr>
          <w:rFonts w:ascii="Calibri" w:hAnsi="Calibri"/>
          <w:color w:val="4C4D4F"/>
          <w:spacing w:val="-6"/>
          <w:w w:val="125"/>
          <w:sz w:val="18"/>
        </w:rPr>
        <w:t> </w:t>
      </w:r>
      <w:r>
        <w:rPr>
          <w:rFonts w:ascii="Calibri" w:hAnsi="Calibri"/>
          <w:color w:val="4C4D4F"/>
          <w:w w:val="125"/>
          <w:sz w:val="18"/>
        </w:rPr>
        <w:t>reach.</w:t>
      </w:r>
    </w:p>
    <w:p>
      <w:pPr>
        <w:pStyle w:val="ListParagraph"/>
        <w:numPr>
          <w:ilvl w:val="0"/>
          <w:numId w:val="47"/>
        </w:numPr>
        <w:tabs>
          <w:tab w:pos="625" w:val="left" w:leader="none"/>
        </w:tabs>
        <w:spacing w:line="295" w:lineRule="exact" w:before="3" w:after="0"/>
        <w:ind w:left="625" w:right="0" w:hanging="180"/>
        <w:jc w:val="left"/>
        <w:rPr>
          <w:rFonts w:ascii="Calibri" w:hAnsi="Calibri"/>
          <w:sz w:val="18"/>
        </w:rPr>
      </w:pPr>
      <w:r>
        <w:rPr>
          <w:rFonts w:ascii="Calibri" w:hAnsi="Calibri"/>
          <w:color w:val="4C4D4F"/>
          <w:w w:val="125"/>
          <w:sz w:val="18"/>
        </w:rPr>
        <w:t>Never share medication with</w:t>
      </w:r>
      <w:r>
        <w:rPr>
          <w:rFonts w:ascii="Calibri" w:hAnsi="Calibri"/>
          <w:color w:val="4C4D4F"/>
          <w:spacing w:val="-28"/>
          <w:w w:val="125"/>
          <w:sz w:val="18"/>
        </w:rPr>
        <w:t> </w:t>
      </w:r>
      <w:r>
        <w:rPr>
          <w:rFonts w:ascii="Calibri" w:hAnsi="Calibri"/>
          <w:color w:val="4C4D4F"/>
          <w:w w:val="125"/>
          <w:sz w:val="18"/>
        </w:rPr>
        <w:t>anyone.</w:t>
      </w:r>
    </w:p>
    <w:p>
      <w:pPr>
        <w:pStyle w:val="ListParagraph"/>
        <w:numPr>
          <w:ilvl w:val="0"/>
          <w:numId w:val="47"/>
        </w:numPr>
        <w:tabs>
          <w:tab w:pos="625" w:val="left" w:leader="none"/>
        </w:tabs>
        <w:spacing w:line="269" w:lineRule="exact" w:before="0" w:after="0"/>
        <w:ind w:left="624" w:right="0" w:hanging="180"/>
        <w:jc w:val="left"/>
        <w:rPr>
          <w:rFonts w:ascii="Calibri" w:hAnsi="Calibri"/>
          <w:sz w:val="18"/>
        </w:rPr>
      </w:pPr>
      <w:r>
        <w:rPr>
          <w:rFonts w:ascii="Calibri" w:hAnsi="Calibri"/>
          <w:color w:val="4C4D4F"/>
          <w:w w:val="120"/>
          <w:sz w:val="18"/>
        </w:rPr>
        <w:t>Never sell medication to</w:t>
      </w:r>
      <w:r>
        <w:rPr>
          <w:rFonts w:ascii="Calibri" w:hAnsi="Calibri"/>
          <w:color w:val="4C4D4F"/>
          <w:spacing w:val="-3"/>
          <w:w w:val="120"/>
          <w:sz w:val="18"/>
        </w:rPr>
        <w:t> </w:t>
      </w:r>
      <w:r>
        <w:rPr>
          <w:rFonts w:ascii="Calibri" w:hAnsi="Calibri"/>
          <w:color w:val="4C4D4F"/>
          <w:w w:val="120"/>
          <w:sz w:val="18"/>
        </w:rPr>
        <w:t>anyone.</w:t>
      </w:r>
    </w:p>
    <w:p>
      <w:pPr>
        <w:pStyle w:val="ListParagraph"/>
        <w:numPr>
          <w:ilvl w:val="0"/>
          <w:numId w:val="47"/>
        </w:numPr>
        <w:tabs>
          <w:tab w:pos="625" w:val="left" w:leader="none"/>
        </w:tabs>
        <w:spacing w:line="213" w:lineRule="auto" w:before="0" w:after="0"/>
        <w:ind w:left="625" w:right="164" w:hanging="180"/>
        <w:jc w:val="left"/>
        <w:rPr>
          <w:rFonts w:ascii="Calibri" w:hAnsi="Calibri"/>
          <w:sz w:val="18"/>
        </w:rPr>
      </w:pPr>
      <w:r>
        <w:rPr>
          <w:rFonts w:ascii="Calibri" w:hAnsi="Calibri"/>
          <w:color w:val="4C4D4F"/>
          <w:w w:val="125"/>
          <w:sz w:val="18"/>
        </w:rPr>
        <w:t>Acknowledge giving or selling medication </w:t>
      </w:r>
      <w:r>
        <w:rPr>
          <w:rFonts w:ascii="Calibri" w:hAnsi="Calibri"/>
          <w:color w:val="4C4D4F"/>
          <w:spacing w:val="-9"/>
          <w:w w:val="125"/>
          <w:sz w:val="18"/>
        </w:rPr>
        <w:t>to </w:t>
      </w:r>
      <w:r>
        <w:rPr>
          <w:rFonts w:ascii="Calibri" w:hAnsi="Calibri"/>
          <w:color w:val="4C4D4F"/>
          <w:w w:val="125"/>
          <w:sz w:val="18"/>
        </w:rPr>
        <w:t>others as</w:t>
      </w:r>
      <w:r>
        <w:rPr>
          <w:rFonts w:ascii="Calibri" w:hAnsi="Calibri"/>
          <w:color w:val="4C4D4F"/>
          <w:spacing w:val="-11"/>
          <w:w w:val="125"/>
          <w:sz w:val="18"/>
        </w:rPr>
        <w:t> </w:t>
      </w:r>
      <w:r>
        <w:rPr>
          <w:rFonts w:ascii="Calibri" w:hAnsi="Calibri"/>
          <w:color w:val="4C4D4F"/>
          <w:w w:val="125"/>
          <w:sz w:val="18"/>
        </w:rPr>
        <w:t>illegal.</w:t>
      </w:r>
    </w:p>
    <w:p>
      <w:pPr>
        <w:pStyle w:val="ListParagraph"/>
        <w:numPr>
          <w:ilvl w:val="0"/>
          <w:numId w:val="47"/>
        </w:numPr>
        <w:tabs>
          <w:tab w:pos="625" w:val="left" w:leader="none"/>
        </w:tabs>
        <w:spacing w:line="295" w:lineRule="exact" w:before="0" w:after="0"/>
        <w:ind w:left="625" w:right="0" w:hanging="180"/>
        <w:jc w:val="left"/>
        <w:rPr>
          <w:rFonts w:ascii="Calibri" w:hAnsi="Calibri"/>
          <w:sz w:val="18"/>
        </w:rPr>
      </w:pPr>
      <w:r>
        <w:rPr>
          <w:rFonts w:ascii="Calibri" w:hAnsi="Calibri"/>
          <w:color w:val="4C4D4F"/>
          <w:spacing w:val="-3"/>
          <w:w w:val="125"/>
          <w:sz w:val="18"/>
        </w:rPr>
        <w:t>Take </w:t>
      </w:r>
      <w:r>
        <w:rPr>
          <w:rFonts w:ascii="Calibri" w:hAnsi="Calibri"/>
          <w:color w:val="4C4D4F"/>
          <w:w w:val="125"/>
          <w:sz w:val="18"/>
        </w:rPr>
        <w:t>medication only as</w:t>
      </w:r>
      <w:r>
        <w:rPr>
          <w:rFonts w:ascii="Calibri" w:hAnsi="Calibri"/>
          <w:color w:val="4C4D4F"/>
          <w:spacing w:val="-20"/>
          <w:w w:val="125"/>
          <w:sz w:val="18"/>
        </w:rPr>
        <w:t> </w:t>
      </w:r>
      <w:r>
        <w:rPr>
          <w:rFonts w:ascii="Calibri" w:hAnsi="Calibri"/>
          <w:color w:val="4C4D4F"/>
          <w:w w:val="125"/>
          <w:sz w:val="18"/>
        </w:rPr>
        <w:t>prescribed.</w:t>
      </w:r>
    </w:p>
    <w:p>
      <w:pPr>
        <w:pStyle w:val="ListParagraph"/>
        <w:numPr>
          <w:ilvl w:val="0"/>
          <w:numId w:val="47"/>
        </w:numPr>
        <w:tabs>
          <w:tab w:pos="625" w:val="left" w:leader="none"/>
        </w:tabs>
        <w:spacing w:line="213" w:lineRule="auto" w:before="0" w:after="0"/>
        <w:ind w:left="625" w:right="824" w:hanging="180"/>
        <w:jc w:val="left"/>
        <w:rPr>
          <w:rFonts w:ascii="Calibri" w:hAnsi="Calibri"/>
          <w:sz w:val="18"/>
        </w:rPr>
      </w:pPr>
      <w:r>
        <w:rPr>
          <w:rFonts w:ascii="Calibri" w:hAnsi="Calibri"/>
          <w:color w:val="4C4D4F"/>
          <w:w w:val="125"/>
          <w:sz w:val="18"/>
        </w:rPr>
        <w:t>Review,</w:t>
      </w:r>
      <w:r>
        <w:rPr>
          <w:rFonts w:ascii="Calibri" w:hAnsi="Calibri"/>
          <w:color w:val="4C4D4F"/>
          <w:spacing w:val="-15"/>
          <w:w w:val="125"/>
          <w:sz w:val="18"/>
        </w:rPr>
        <w:t> </w:t>
      </w:r>
      <w:r>
        <w:rPr>
          <w:rFonts w:ascii="Calibri" w:hAnsi="Calibri"/>
          <w:color w:val="4C4D4F"/>
          <w:w w:val="125"/>
          <w:sz w:val="18"/>
        </w:rPr>
        <w:t>understand,</w:t>
      </w:r>
      <w:r>
        <w:rPr>
          <w:rFonts w:ascii="Calibri" w:hAnsi="Calibri"/>
          <w:color w:val="4C4D4F"/>
          <w:spacing w:val="-15"/>
          <w:w w:val="125"/>
          <w:sz w:val="18"/>
        </w:rPr>
        <w:t> </w:t>
      </w:r>
      <w:r>
        <w:rPr>
          <w:rFonts w:ascii="Calibri" w:hAnsi="Calibri"/>
          <w:color w:val="4C4D4F"/>
          <w:w w:val="125"/>
          <w:sz w:val="18"/>
        </w:rPr>
        <w:t>and</w:t>
      </w:r>
      <w:r>
        <w:rPr>
          <w:rFonts w:ascii="Calibri" w:hAnsi="Calibri"/>
          <w:color w:val="4C4D4F"/>
          <w:spacing w:val="-15"/>
          <w:w w:val="125"/>
          <w:sz w:val="18"/>
        </w:rPr>
        <w:t> </w:t>
      </w:r>
      <w:r>
        <w:rPr>
          <w:rFonts w:ascii="Calibri" w:hAnsi="Calibri"/>
          <w:color w:val="4C4D4F"/>
          <w:w w:val="125"/>
          <w:sz w:val="18"/>
        </w:rPr>
        <w:t>agree</w:t>
      </w:r>
      <w:r>
        <w:rPr>
          <w:rFonts w:ascii="Calibri" w:hAnsi="Calibri"/>
          <w:color w:val="4C4D4F"/>
          <w:spacing w:val="-15"/>
          <w:w w:val="125"/>
          <w:sz w:val="18"/>
        </w:rPr>
        <w:t> </w:t>
      </w:r>
      <w:r>
        <w:rPr>
          <w:rFonts w:ascii="Calibri" w:hAnsi="Calibri"/>
          <w:color w:val="4C4D4F"/>
          <w:w w:val="125"/>
          <w:sz w:val="18"/>
        </w:rPr>
        <w:t>to</w:t>
      </w:r>
      <w:r>
        <w:rPr>
          <w:rFonts w:ascii="Calibri" w:hAnsi="Calibri"/>
          <w:color w:val="4C4D4F"/>
          <w:spacing w:val="-15"/>
          <w:w w:val="125"/>
          <w:sz w:val="18"/>
        </w:rPr>
        <w:t> </w:t>
      </w:r>
      <w:r>
        <w:rPr>
          <w:rFonts w:ascii="Calibri" w:hAnsi="Calibri"/>
          <w:color w:val="4C4D4F"/>
          <w:spacing w:val="-4"/>
          <w:w w:val="125"/>
          <w:sz w:val="18"/>
        </w:rPr>
        <w:t>the </w:t>
      </w:r>
      <w:r>
        <w:rPr>
          <w:rFonts w:ascii="Calibri" w:hAnsi="Calibri"/>
          <w:color w:val="4C4D4F"/>
          <w:w w:val="125"/>
          <w:sz w:val="18"/>
        </w:rPr>
        <w:t>practice’s buprenorphine</w:t>
      </w:r>
      <w:r>
        <w:rPr>
          <w:rFonts w:ascii="Calibri" w:hAnsi="Calibri"/>
          <w:color w:val="4C4D4F"/>
          <w:spacing w:val="-27"/>
          <w:w w:val="125"/>
          <w:sz w:val="18"/>
        </w:rPr>
        <w:t> </w:t>
      </w:r>
      <w:r>
        <w:rPr>
          <w:rFonts w:ascii="Calibri" w:hAnsi="Calibri"/>
          <w:color w:val="4C4D4F"/>
          <w:w w:val="125"/>
          <w:sz w:val="18"/>
        </w:rPr>
        <w:t>treatment</w:t>
      </w:r>
    </w:p>
    <w:p>
      <w:pPr>
        <w:spacing w:before="22"/>
        <w:ind w:left="625" w:right="0" w:firstLine="0"/>
        <w:jc w:val="left"/>
        <w:rPr>
          <w:rFonts w:ascii="Calibri"/>
          <w:sz w:val="18"/>
        </w:rPr>
      </w:pPr>
      <w:r>
        <w:rPr>
          <w:rFonts w:ascii="Calibri"/>
          <w:color w:val="4C4D4F"/>
          <w:w w:val="125"/>
          <w:sz w:val="18"/>
        </w:rPr>
        <w:t>agreement before they start.</w:t>
      </w:r>
    </w:p>
    <w:p>
      <w:pPr>
        <w:spacing w:line="261" w:lineRule="auto" w:before="164"/>
        <w:ind w:left="445" w:right="114" w:firstLine="0"/>
        <w:jc w:val="left"/>
        <w:rPr>
          <w:rFonts w:ascii="Calibri"/>
          <w:sz w:val="18"/>
        </w:rPr>
      </w:pPr>
      <w:r>
        <w:rPr>
          <w:rFonts w:ascii="Calibri"/>
          <w:color w:val="414042"/>
          <w:w w:val="125"/>
          <w:sz w:val="18"/>
        </w:rPr>
        <w:t>Prescribe buprenorphine/naloxone when possible rather than monoproduct. Exceptions include prescribing the monoproduct for pregnant women with OUD.</w:t>
      </w:r>
    </w:p>
    <w:p>
      <w:pPr>
        <w:spacing w:line="261" w:lineRule="auto" w:before="92"/>
        <w:ind w:left="445" w:right="210" w:firstLine="0"/>
        <w:jc w:val="left"/>
        <w:rPr>
          <w:rFonts w:ascii="Calibri"/>
          <w:sz w:val="18"/>
        </w:rPr>
      </w:pPr>
      <w:r>
        <w:rPr>
          <w:rFonts w:ascii="Calibri"/>
          <w:color w:val="414042"/>
          <w:w w:val="125"/>
          <w:sz w:val="18"/>
        </w:rPr>
        <w:t>Prescribe</w:t>
      </w:r>
      <w:r>
        <w:rPr>
          <w:rFonts w:ascii="Calibri"/>
          <w:color w:val="414042"/>
          <w:spacing w:val="-14"/>
          <w:w w:val="125"/>
          <w:sz w:val="18"/>
        </w:rPr>
        <w:t> </w:t>
      </w:r>
      <w:r>
        <w:rPr>
          <w:rFonts w:ascii="Calibri"/>
          <w:color w:val="414042"/>
          <w:w w:val="125"/>
          <w:sz w:val="18"/>
        </w:rPr>
        <w:t>an</w:t>
      </w:r>
      <w:r>
        <w:rPr>
          <w:rFonts w:ascii="Calibri"/>
          <w:color w:val="414042"/>
          <w:spacing w:val="-14"/>
          <w:w w:val="125"/>
          <w:sz w:val="18"/>
        </w:rPr>
        <w:t> </w:t>
      </w:r>
      <w:r>
        <w:rPr>
          <w:rFonts w:ascii="Calibri"/>
          <w:color w:val="414042"/>
          <w:w w:val="125"/>
          <w:sz w:val="18"/>
        </w:rPr>
        <w:t>adequate</w:t>
      </w:r>
      <w:r>
        <w:rPr>
          <w:rFonts w:ascii="Calibri"/>
          <w:color w:val="414042"/>
          <w:spacing w:val="-14"/>
          <w:w w:val="125"/>
          <w:sz w:val="18"/>
        </w:rPr>
        <w:t> </w:t>
      </w:r>
      <w:r>
        <w:rPr>
          <w:rFonts w:ascii="Calibri"/>
          <w:color w:val="414042"/>
          <w:w w:val="125"/>
          <w:sz w:val="18"/>
        </w:rPr>
        <w:t>but</w:t>
      </w:r>
      <w:r>
        <w:rPr>
          <w:rFonts w:ascii="Calibri"/>
          <w:color w:val="414042"/>
          <w:spacing w:val="-14"/>
          <w:w w:val="125"/>
          <w:sz w:val="18"/>
        </w:rPr>
        <w:t> </w:t>
      </w:r>
      <w:r>
        <w:rPr>
          <w:rFonts w:ascii="Calibri"/>
          <w:color w:val="414042"/>
          <w:w w:val="125"/>
          <w:sz w:val="18"/>
        </w:rPr>
        <w:t>not</w:t>
      </w:r>
      <w:r>
        <w:rPr>
          <w:rFonts w:ascii="Calibri"/>
          <w:color w:val="414042"/>
          <w:spacing w:val="-14"/>
          <w:w w:val="125"/>
          <w:sz w:val="18"/>
        </w:rPr>
        <w:t> </w:t>
      </w:r>
      <w:r>
        <w:rPr>
          <w:rFonts w:ascii="Calibri"/>
          <w:color w:val="414042"/>
          <w:w w:val="125"/>
          <w:sz w:val="18"/>
        </w:rPr>
        <w:t>excessive</w:t>
      </w:r>
      <w:r>
        <w:rPr>
          <w:rFonts w:ascii="Calibri"/>
          <w:color w:val="414042"/>
          <w:spacing w:val="-13"/>
          <w:w w:val="125"/>
          <w:sz w:val="18"/>
        </w:rPr>
        <w:t> </w:t>
      </w:r>
      <w:r>
        <w:rPr>
          <w:rFonts w:ascii="Calibri"/>
          <w:color w:val="414042"/>
          <w:w w:val="125"/>
          <w:sz w:val="18"/>
        </w:rPr>
        <w:t>dose. Most</w:t>
      </w:r>
      <w:r>
        <w:rPr>
          <w:rFonts w:ascii="Calibri"/>
          <w:color w:val="414042"/>
          <w:spacing w:val="-11"/>
          <w:w w:val="125"/>
          <w:sz w:val="18"/>
        </w:rPr>
        <w:t> </w:t>
      </w:r>
      <w:r>
        <w:rPr>
          <w:rFonts w:ascii="Calibri"/>
          <w:color w:val="414042"/>
          <w:w w:val="125"/>
          <w:sz w:val="18"/>
        </w:rPr>
        <w:t>patients</w:t>
      </w:r>
      <w:r>
        <w:rPr>
          <w:rFonts w:ascii="Calibri"/>
          <w:color w:val="414042"/>
          <w:spacing w:val="-11"/>
          <w:w w:val="125"/>
          <w:sz w:val="18"/>
        </w:rPr>
        <w:t> </w:t>
      </w:r>
      <w:r>
        <w:rPr>
          <w:rFonts w:ascii="Calibri"/>
          <w:color w:val="414042"/>
          <w:w w:val="125"/>
          <w:sz w:val="18"/>
        </w:rPr>
        <w:t>respond</w:t>
      </w:r>
      <w:r>
        <w:rPr>
          <w:rFonts w:ascii="Calibri"/>
          <w:color w:val="414042"/>
          <w:spacing w:val="-11"/>
          <w:w w:val="125"/>
          <w:sz w:val="18"/>
        </w:rPr>
        <w:t> </w:t>
      </w:r>
      <w:r>
        <w:rPr>
          <w:rFonts w:ascii="Calibri"/>
          <w:color w:val="414042"/>
          <w:w w:val="125"/>
          <w:sz w:val="18"/>
        </w:rPr>
        <w:t>to</w:t>
      </w:r>
      <w:r>
        <w:rPr>
          <w:rFonts w:ascii="Calibri"/>
          <w:color w:val="414042"/>
          <w:spacing w:val="-11"/>
          <w:w w:val="125"/>
          <w:sz w:val="18"/>
        </w:rPr>
        <w:t> </w:t>
      </w:r>
      <w:r>
        <w:rPr>
          <w:rFonts w:ascii="Calibri"/>
          <w:color w:val="414042"/>
          <w:w w:val="125"/>
          <w:sz w:val="18"/>
        </w:rPr>
        <w:t>doses</w:t>
      </w:r>
      <w:r>
        <w:rPr>
          <w:rFonts w:ascii="Calibri"/>
          <w:color w:val="414042"/>
          <w:spacing w:val="-11"/>
          <w:w w:val="125"/>
          <w:sz w:val="18"/>
        </w:rPr>
        <w:t> </w:t>
      </w:r>
      <w:r>
        <w:rPr>
          <w:rFonts w:ascii="Calibri"/>
          <w:color w:val="414042"/>
          <w:w w:val="125"/>
          <w:sz w:val="18"/>
        </w:rPr>
        <w:t>at</w:t>
      </w:r>
      <w:r>
        <w:rPr>
          <w:rFonts w:ascii="Calibri"/>
          <w:color w:val="414042"/>
          <w:spacing w:val="-11"/>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below</w:t>
      </w:r>
    </w:p>
    <w:p>
      <w:pPr>
        <w:spacing w:line="261" w:lineRule="auto" w:before="1"/>
        <w:ind w:left="445" w:right="381" w:firstLine="0"/>
        <w:jc w:val="left"/>
        <w:rPr>
          <w:rFonts w:ascii="Calibri" w:hAnsi="Calibri"/>
          <w:sz w:val="18"/>
        </w:rPr>
      </w:pPr>
      <w:r>
        <w:rPr>
          <w:rFonts w:ascii="Calibri" w:hAnsi="Calibri"/>
          <w:color w:val="414042"/>
          <w:spacing w:val="-3"/>
          <w:w w:val="120"/>
          <w:sz w:val="18"/>
        </w:rPr>
        <w:t>24 </w:t>
      </w:r>
      <w:r>
        <w:rPr>
          <w:rFonts w:ascii="Calibri" w:hAnsi="Calibri"/>
          <w:color w:val="414042"/>
          <w:w w:val="120"/>
          <w:sz w:val="18"/>
        </w:rPr>
        <w:t>mg per </w:t>
      </w:r>
      <w:r>
        <w:rPr>
          <w:rFonts w:ascii="Calibri" w:hAnsi="Calibri"/>
          <w:color w:val="414042"/>
          <w:spacing w:val="-3"/>
          <w:w w:val="120"/>
          <w:sz w:val="18"/>
        </w:rPr>
        <w:t>day. </w:t>
      </w:r>
      <w:r>
        <w:rPr>
          <w:rFonts w:ascii="Calibri" w:hAnsi="Calibri"/>
          <w:color w:val="414042"/>
          <w:w w:val="120"/>
          <w:sz w:val="18"/>
        </w:rPr>
        <w:t>Carefully  evaluate  requests for higher doses and conﬁrm, document, </w:t>
      </w:r>
      <w:r>
        <w:rPr>
          <w:rFonts w:ascii="Calibri" w:hAnsi="Calibri"/>
          <w:color w:val="414042"/>
          <w:spacing w:val="-4"/>
          <w:w w:val="120"/>
          <w:sz w:val="18"/>
        </w:rPr>
        <w:t>and </w:t>
      </w:r>
      <w:r>
        <w:rPr>
          <w:rFonts w:ascii="Calibri" w:hAnsi="Calibri"/>
          <w:color w:val="414042"/>
          <w:w w:val="120"/>
          <w:sz w:val="18"/>
        </w:rPr>
        <w:t>assess medication adherence</w:t>
      </w:r>
      <w:r>
        <w:rPr>
          <w:rFonts w:ascii="Calibri" w:hAnsi="Calibri"/>
          <w:color w:val="414042"/>
          <w:spacing w:val="41"/>
          <w:w w:val="120"/>
          <w:sz w:val="18"/>
        </w:rPr>
        <w:t> </w:t>
      </w:r>
      <w:r>
        <w:rPr>
          <w:rFonts w:ascii="Calibri" w:hAnsi="Calibri"/>
          <w:color w:val="414042"/>
          <w:w w:val="120"/>
          <w:sz w:val="18"/>
        </w:rPr>
        <w:t>continuously.</w:t>
      </w:r>
    </w:p>
    <w:p>
      <w:pPr>
        <w:spacing w:before="76"/>
        <w:ind w:left="445" w:right="0" w:firstLine="0"/>
        <w:jc w:val="left"/>
        <w:rPr>
          <w:rFonts w:ascii="Calibri" w:hAnsi="Calibri"/>
          <w:sz w:val="18"/>
        </w:rPr>
      </w:pPr>
      <w:r>
        <w:rPr/>
        <w:br w:type="column"/>
      </w:r>
      <w:r>
        <w:rPr>
          <w:rFonts w:ascii="Calibri" w:hAnsi="Calibri"/>
          <w:color w:val="414042"/>
          <w:w w:val="125"/>
          <w:sz w:val="18"/>
        </w:rPr>
        <w:t>Periodically check the state’s PDMP.</w:t>
      </w:r>
    </w:p>
    <w:p>
      <w:pPr>
        <w:spacing w:line="261" w:lineRule="auto" w:before="110"/>
        <w:ind w:left="445" w:right="1194" w:firstLine="0"/>
        <w:jc w:val="left"/>
        <w:rPr>
          <w:rFonts w:ascii="Calibri" w:hAnsi="Calibri"/>
          <w:sz w:val="18"/>
        </w:rPr>
      </w:pPr>
      <w:r>
        <w:rPr>
          <w:rFonts w:ascii="Calibri" w:hAnsi="Calibri"/>
          <w:color w:val="414042"/>
          <w:w w:val="125"/>
          <w:sz w:val="18"/>
        </w:rPr>
        <w:t>Conduct random urine tests that include a wide spectrum of opioids—including</w:t>
      </w:r>
    </w:p>
    <w:p>
      <w:pPr>
        <w:spacing w:line="261" w:lineRule="auto" w:before="1"/>
        <w:ind w:left="445" w:right="489" w:firstLine="0"/>
        <w:jc w:val="left"/>
        <w:rPr>
          <w:rFonts w:ascii="Calibri" w:hAnsi="Calibri"/>
          <w:sz w:val="18"/>
        </w:rPr>
      </w:pPr>
      <w:r>
        <w:rPr>
          <w:rFonts w:ascii="Calibri" w:hAnsi="Calibri"/>
          <w:color w:val="414042"/>
          <w:w w:val="125"/>
          <w:sz w:val="18"/>
        </w:rPr>
        <w:t>morphine, oxycodone, and buprenorphine—and periodically include buprenorphine metabolites. This will help monitor response to treatment </w:t>
      </w:r>
      <w:r>
        <w:rPr>
          <w:rFonts w:ascii="Calibri" w:hAnsi="Calibri"/>
          <w:color w:val="414042"/>
          <w:spacing w:val="-5"/>
          <w:w w:val="125"/>
          <w:sz w:val="18"/>
        </w:rPr>
        <w:t>and </w:t>
      </w:r>
      <w:r>
        <w:rPr>
          <w:rFonts w:ascii="Calibri" w:hAnsi="Calibri"/>
          <w:color w:val="414042"/>
          <w:w w:val="125"/>
          <w:sz w:val="18"/>
        </w:rPr>
        <w:t>determine whether patients are taking at least some of their prescribed buprenorphine.</w:t>
      </w:r>
    </w:p>
    <w:p>
      <w:pPr>
        <w:spacing w:line="261" w:lineRule="auto" w:before="92"/>
        <w:ind w:left="445" w:right="1194" w:firstLine="0"/>
        <w:jc w:val="left"/>
        <w:rPr>
          <w:rFonts w:ascii="Calibri"/>
          <w:sz w:val="18"/>
        </w:rPr>
      </w:pPr>
      <w:r>
        <w:rPr>
          <w:rFonts w:ascii="Calibri"/>
          <w:color w:val="414042"/>
          <w:w w:val="120"/>
          <w:sz w:val="18"/>
        </w:rPr>
        <w:t>Use </w:t>
      </w:r>
      <w:r>
        <w:rPr>
          <w:rFonts w:ascii="Arial"/>
          <w:b/>
          <w:color w:val="414042"/>
          <w:w w:val="120"/>
          <w:sz w:val="18"/>
        </w:rPr>
        <w:t>unobserved </w:t>
      </w:r>
      <w:r>
        <w:rPr>
          <w:rFonts w:ascii="Calibri"/>
          <w:color w:val="414042"/>
          <w:w w:val="120"/>
          <w:sz w:val="18"/>
        </w:rPr>
        <w:t>specimen collection to preserve patient privacy and dignity:</w:t>
      </w:r>
    </w:p>
    <w:p>
      <w:pPr>
        <w:pStyle w:val="ListParagraph"/>
        <w:numPr>
          <w:ilvl w:val="0"/>
          <w:numId w:val="47"/>
        </w:numPr>
        <w:tabs>
          <w:tab w:pos="625" w:val="left" w:leader="none"/>
        </w:tabs>
        <w:spacing w:line="213" w:lineRule="auto" w:before="65" w:after="0"/>
        <w:ind w:left="625" w:right="592" w:hanging="180"/>
        <w:jc w:val="left"/>
        <w:rPr>
          <w:rFonts w:ascii="Calibri" w:hAnsi="Calibri"/>
          <w:sz w:val="18"/>
        </w:rPr>
      </w:pPr>
      <w:r>
        <w:rPr>
          <w:rFonts w:ascii="Calibri" w:hAnsi="Calibri"/>
          <w:color w:val="4C4D4F"/>
          <w:w w:val="125"/>
          <w:sz w:val="18"/>
        </w:rPr>
        <w:t>Do</w:t>
      </w:r>
      <w:r>
        <w:rPr>
          <w:rFonts w:ascii="Calibri" w:hAnsi="Calibri"/>
          <w:color w:val="4C4D4F"/>
          <w:spacing w:val="-10"/>
          <w:w w:val="125"/>
          <w:sz w:val="18"/>
        </w:rPr>
        <w:t> </w:t>
      </w:r>
      <w:r>
        <w:rPr>
          <w:rFonts w:ascii="Calibri" w:hAnsi="Calibri"/>
          <w:color w:val="4C4D4F"/>
          <w:w w:val="125"/>
          <w:sz w:val="18"/>
        </w:rPr>
        <w:t>not</w:t>
      </w:r>
      <w:r>
        <w:rPr>
          <w:rFonts w:ascii="Calibri" w:hAnsi="Calibri"/>
          <w:color w:val="4C4D4F"/>
          <w:spacing w:val="-9"/>
          <w:w w:val="125"/>
          <w:sz w:val="18"/>
        </w:rPr>
        <w:t> </w:t>
      </w:r>
      <w:r>
        <w:rPr>
          <w:rFonts w:ascii="Calibri" w:hAnsi="Calibri"/>
          <w:color w:val="4C4D4F"/>
          <w:w w:val="125"/>
          <w:sz w:val="18"/>
        </w:rPr>
        <w:t>let</w:t>
      </w:r>
      <w:r>
        <w:rPr>
          <w:rFonts w:ascii="Calibri" w:hAnsi="Calibri"/>
          <w:color w:val="4C4D4F"/>
          <w:spacing w:val="-9"/>
          <w:w w:val="125"/>
          <w:sz w:val="18"/>
        </w:rPr>
        <w:t> </w:t>
      </w:r>
      <w:r>
        <w:rPr>
          <w:rFonts w:ascii="Calibri" w:hAnsi="Calibri"/>
          <w:color w:val="4C4D4F"/>
          <w:w w:val="125"/>
          <w:sz w:val="18"/>
        </w:rPr>
        <w:t>patients</w:t>
      </w:r>
      <w:r>
        <w:rPr>
          <w:rFonts w:ascii="Calibri" w:hAnsi="Calibri"/>
          <w:color w:val="4C4D4F"/>
          <w:spacing w:val="-9"/>
          <w:w w:val="125"/>
          <w:sz w:val="18"/>
        </w:rPr>
        <w:t> </w:t>
      </w:r>
      <w:r>
        <w:rPr>
          <w:rFonts w:ascii="Calibri" w:hAnsi="Calibri"/>
          <w:color w:val="4C4D4F"/>
          <w:w w:val="125"/>
          <w:sz w:val="18"/>
        </w:rPr>
        <w:t>bring</w:t>
      </w:r>
      <w:r>
        <w:rPr>
          <w:rFonts w:ascii="Calibri" w:hAnsi="Calibri"/>
          <w:color w:val="4C4D4F"/>
          <w:spacing w:val="-9"/>
          <w:w w:val="125"/>
          <w:sz w:val="18"/>
        </w:rPr>
        <w:t> </w:t>
      </w:r>
      <w:r>
        <w:rPr>
          <w:rFonts w:ascii="Calibri" w:hAnsi="Calibri"/>
          <w:color w:val="4C4D4F"/>
          <w:w w:val="125"/>
          <w:sz w:val="18"/>
        </w:rPr>
        <w:t>backpacks,</w:t>
      </w:r>
      <w:r>
        <w:rPr>
          <w:rFonts w:ascii="Calibri" w:hAnsi="Calibri"/>
          <w:color w:val="4C4D4F"/>
          <w:spacing w:val="-9"/>
          <w:w w:val="125"/>
          <w:sz w:val="18"/>
        </w:rPr>
        <w:t> </w:t>
      </w:r>
      <w:r>
        <w:rPr>
          <w:rFonts w:ascii="Calibri" w:hAnsi="Calibri"/>
          <w:color w:val="4C4D4F"/>
          <w:w w:val="125"/>
          <w:sz w:val="18"/>
        </w:rPr>
        <w:t>jackets,</w:t>
      </w:r>
      <w:r>
        <w:rPr>
          <w:rFonts w:ascii="Calibri" w:hAnsi="Calibri"/>
          <w:color w:val="4C4D4F"/>
          <w:spacing w:val="-9"/>
          <w:w w:val="125"/>
          <w:sz w:val="18"/>
        </w:rPr>
        <w:t> </w:t>
      </w:r>
      <w:r>
        <w:rPr>
          <w:rFonts w:ascii="Calibri" w:hAnsi="Calibri"/>
          <w:color w:val="4C4D4F"/>
          <w:w w:val="125"/>
          <w:sz w:val="18"/>
        </w:rPr>
        <w:t>or other items into the</w:t>
      </w:r>
      <w:r>
        <w:rPr>
          <w:rFonts w:ascii="Calibri" w:hAnsi="Calibri"/>
          <w:color w:val="4C4D4F"/>
          <w:spacing w:val="-23"/>
          <w:w w:val="125"/>
          <w:sz w:val="18"/>
        </w:rPr>
        <w:t> </w:t>
      </w:r>
      <w:r>
        <w:rPr>
          <w:rFonts w:ascii="Calibri" w:hAnsi="Calibri"/>
          <w:color w:val="4C4D4F"/>
          <w:w w:val="125"/>
          <w:sz w:val="18"/>
        </w:rPr>
        <w:t>bathroom.</w:t>
      </w:r>
    </w:p>
    <w:p>
      <w:pPr>
        <w:pStyle w:val="ListParagraph"/>
        <w:numPr>
          <w:ilvl w:val="0"/>
          <w:numId w:val="47"/>
        </w:numPr>
        <w:tabs>
          <w:tab w:pos="625" w:val="left" w:leader="none"/>
        </w:tabs>
        <w:spacing w:line="295" w:lineRule="exact" w:before="2" w:after="0"/>
        <w:ind w:left="624" w:right="0" w:hanging="180"/>
        <w:jc w:val="left"/>
        <w:rPr>
          <w:rFonts w:ascii="Calibri" w:hAnsi="Calibri"/>
          <w:sz w:val="18"/>
        </w:rPr>
      </w:pPr>
      <w:r>
        <w:rPr>
          <w:rFonts w:ascii="Calibri" w:hAnsi="Calibri"/>
          <w:color w:val="4C4D4F"/>
          <w:w w:val="125"/>
          <w:sz w:val="18"/>
        </w:rPr>
        <w:t>Do</w:t>
      </w:r>
      <w:r>
        <w:rPr>
          <w:rFonts w:ascii="Calibri" w:hAnsi="Calibri"/>
          <w:color w:val="4C4D4F"/>
          <w:spacing w:val="-14"/>
          <w:w w:val="125"/>
          <w:sz w:val="18"/>
        </w:rPr>
        <w:t> </w:t>
      </w:r>
      <w:r>
        <w:rPr>
          <w:rFonts w:ascii="Calibri" w:hAnsi="Calibri"/>
          <w:color w:val="4C4D4F"/>
          <w:spacing w:val="-3"/>
          <w:w w:val="125"/>
          <w:sz w:val="18"/>
        </w:rPr>
        <w:t>not</w:t>
      </w:r>
      <w:r>
        <w:rPr>
          <w:rFonts w:ascii="Calibri" w:hAnsi="Calibri"/>
          <w:color w:val="4C4D4F"/>
          <w:spacing w:val="-14"/>
          <w:w w:val="125"/>
          <w:sz w:val="18"/>
        </w:rPr>
        <w:t> </w:t>
      </w:r>
      <w:r>
        <w:rPr>
          <w:rFonts w:ascii="Calibri" w:hAnsi="Calibri"/>
          <w:color w:val="4C4D4F"/>
          <w:spacing w:val="-3"/>
          <w:w w:val="125"/>
          <w:sz w:val="18"/>
        </w:rPr>
        <w:t>let</w:t>
      </w:r>
      <w:r>
        <w:rPr>
          <w:rFonts w:ascii="Calibri" w:hAnsi="Calibri"/>
          <w:color w:val="4C4D4F"/>
          <w:spacing w:val="-14"/>
          <w:w w:val="125"/>
          <w:sz w:val="18"/>
        </w:rPr>
        <w:t> </w:t>
      </w:r>
      <w:r>
        <w:rPr>
          <w:rFonts w:ascii="Calibri" w:hAnsi="Calibri"/>
          <w:color w:val="4C4D4F"/>
          <w:spacing w:val="-4"/>
          <w:w w:val="125"/>
          <w:sz w:val="18"/>
        </w:rPr>
        <w:t>others</w:t>
      </w:r>
      <w:r>
        <w:rPr>
          <w:rFonts w:ascii="Calibri" w:hAnsi="Calibri"/>
          <w:color w:val="4C4D4F"/>
          <w:spacing w:val="-14"/>
          <w:w w:val="125"/>
          <w:sz w:val="18"/>
        </w:rPr>
        <w:t> </w:t>
      </w:r>
      <w:r>
        <w:rPr>
          <w:rFonts w:ascii="Calibri" w:hAnsi="Calibri"/>
          <w:color w:val="4C4D4F"/>
          <w:spacing w:val="-4"/>
          <w:w w:val="125"/>
          <w:sz w:val="18"/>
        </w:rPr>
        <w:t>enter</w:t>
      </w:r>
      <w:r>
        <w:rPr>
          <w:rFonts w:ascii="Calibri" w:hAnsi="Calibri"/>
          <w:color w:val="4C4D4F"/>
          <w:spacing w:val="-14"/>
          <w:w w:val="125"/>
          <w:sz w:val="18"/>
        </w:rPr>
        <w:t> </w:t>
      </w:r>
      <w:r>
        <w:rPr>
          <w:rFonts w:ascii="Calibri" w:hAnsi="Calibri"/>
          <w:color w:val="4C4D4F"/>
          <w:spacing w:val="-4"/>
          <w:w w:val="125"/>
          <w:sz w:val="18"/>
        </w:rPr>
        <w:t>bathrooms</w:t>
      </w:r>
      <w:r>
        <w:rPr>
          <w:rFonts w:ascii="Calibri" w:hAnsi="Calibri"/>
          <w:color w:val="4C4D4F"/>
          <w:spacing w:val="-14"/>
          <w:w w:val="125"/>
          <w:sz w:val="18"/>
        </w:rPr>
        <w:t> </w:t>
      </w:r>
      <w:r>
        <w:rPr>
          <w:rFonts w:ascii="Calibri" w:hAnsi="Calibri"/>
          <w:color w:val="4C4D4F"/>
          <w:spacing w:val="-3"/>
          <w:w w:val="125"/>
          <w:sz w:val="18"/>
        </w:rPr>
        <w:t>with</w:t>
      </w:r>
      <w:r>
        <w:rPr>
          <w:rFonts w:ascii="Calibri" w:hAnsi="Calibri"/>
          <w:color w:val="4C4D4F"/>
          <w:spacing w:val="-14"/>
          <w:w w:val="125"/>
          <w:sz w:val="18"/>
        </w:rPr>
        <w:t> </w:t>
      </w:r>
      <w:r>
        <w:rPr>
          <w:rFonts w:ascii="Calibri" w:hAnsi="Calibri"/>
          <w:color w:val="4C4D4F"/>
          <w:spacing w:val="-4"/>
          <w:w w:val="125"/>
          <w:sz w:val="18"/>
        </w:rPr>
        <w:t>patients.</w:t>
      </w:r>
    </w:p>
    <w:p>
      <w:pPr>
        <w:pStyle w:val="ListParagraph"/>
        <w:numPr>
          <w:ilvl w:val="0"/>
          <w:numId w:val="47"/>
        </w:numPr>
        <w:tabs>
          <w:tab w:pos="625" w:val="left" w:leader="none"/>
        </w:tabs>
        <w:spacing w:line="295" w:lineRule="exact" w:before="0" w:after="0"/>
        <w:ind w:left="624" w:right="0" w:hanging="180"/>
        <w:jc w:val="left"/>
        <w:rPr>
          <w:rFonts w:ascii="Calibri" w:hAnsi="Calibri"/>
          <w:sz w:val="18"/>
        </w:rPr>
      </w:pPr>
      <w:r>
        <w:rPr>
          <w:rFonts w:ascii="Calibri" w:hAnsi="Calibri"/>
          <w:color w:val="4C4D4F"/>
          <w:w w:val="125"/>
          <w:sz w:val="18"/>
        </w:rPr>
        <w:t>Temperature test the urine</w:t>
      </w:r>
      <w:r>
        <w:rPr>
          <w:rFonts w:ascii="Calibri" w:hAnsi="Calibri"/>
          <w:color w:val="4C4D4F"/>
          <w:spacing w:val="-24"/>
          <w:w w:val="125"/>
          <w:sz w:val="18"/>
        </w:rPr>
        <w:t> </w:t>
      </w:r>
      <w:r>
        <w:rPr>
          <w:rFonts w:ascii="Calibri" w:hAnsi="Calibri"/>
          <w:color w:val="4C4D4F"/>
          <w:w w:val="125"/>
          <w:sz w:val="18"/>
        </w:rPr>
        <w:t>sample.</w:t>
      </w:r>
    </w:p>
    <w:p>
      <w:pPr>
        <w:spacing w:line="261" w:lineRule="auto" w:before="113"/>
        <w:ind w:left="445" w:right="593" w:firstLine="0"/>
        <w:jc w:val="left"/>
        <w:rPr>
          <w:rFonts w:ascii="Calibri" w:hAnsi="Calibri"/>
          <w:sz w:val="18"/>
        </w:rPr>
      </w:pPr>
      <w:r>
        <w:rPr>
          <w:rFonts w:ascii="Calibri" w:hAnsi="Calibri"/>
          <w:color w:val="414042"/>
          <w:w w:val="120"/>
          <w:sz w:val="18"/>
        </w:rPr>
        <w:t>Use </w:t>
      </w:r>
      <w:r>
        <w:rPr>
          <w:rFonts w:ascii="Arial" w:hAnsi="Arial"/>
          <w:b/>
          <w:color w:val="414042"/>
          <w:w w:val="120"/>
          <w:sz w:val="18"/>
        </w:rPr>
        <w:t>observed </w:t>
      </w:r>
      <w:r>
        <w:rPr>
          <w:rFonts w:ascii="Calibri" w:hAnsi="Calibri"/>
          <w:color w:val="414042"/>
          <w:w w:val="120"/>
          <w:sz w:val="18"/>
        </w:rPr>
        <w:t>specimen collection (obtained by a staff member of the same gender) or oral ﬂuid testing if there is reason to suspect tampering or falsiﬁcation.</w:t>
      </w:r>
    </w:p>
    <w:p>
      <w:pPr>
        <w:spacing w:line="261" w:lineRule="auto" w:before="92"/>
        <w:ind w:left="445" w:right="778" w:firstLine="0"/>
        <w:jc w:val="left"/>
        <w:rPr>
          <w:rFonts w:ascii="Calibri" w:hAnsi="Calibri"/>
          <w:sz w:val="18"/>
        </w:rPr>
      </w:pPr>
      <w:r>
        <w:rPr>
          <w:rFonts w:ascii="Calibri" w:hAnsi="Calibri"/>
          <w:color w:val="414042"/>
          <w:w w:val="120"/>
          <w:sz w:val="18"/>
        </w:rPr>
        <w:t>Contact patients at random; ask them to bring in their medication within a reasonable period (24 to 48 hours) to count the tablets/ﬁlms to ensure that all medication is accounted for.</w:t>
      </w:r>
    </w:p>
    <w:p>
      <w:pPr>
        <w:spacing w:line="261" w:lineRule="auto" w:before="91"/>
        <w:ind w:left="445" w:right="643" w:firstLine="0"/>
        <w:jc w:val="left"/>
        <w:rPr>
          <w:rFonts w:ascii="Calibri" w:hAnsi="Calibri"/>
          <w:sz w:val="18"/>
        </w:rPr>
      </w:pPr>
      <w:r>
        <w:rPr>
          <w:rFonts w:ascii="Calibri" w:hAnsi="Calibri"/>
          <w:color w:val="414042"/>
          <w:w w:val="120"/>
          <w:sz w:val="18"/>
        </w:rPr>
        <w:t>Provide a limited number of days of medication per prescription without reﬁlls (e.g., several days or </w:t>
      </w:r>
      <w:r>
        <w:rPr>
          <w:rFonts w:ascii="Calibri" w:hAnsi="Calibri"/>
          <w:color w:val="414042"/>
          <w:sz w:val="18"/>
        </w:rPr>
        <w:t>1 </w:t>
      </w:r>
      <w:r>
        <w:rPr>
          <w:rFonts w:ascii="Calibri" w:hAnsi="Calibri"/>
          <w:color w:val="414042"/>
          <w:w w:val="120"/>
          <w:sz w:val="18"/>
        </w:rPr>
        <w:t>week per prescription) until the patient has demonstrated stability and lowered diversion risk.</w:t>
      </w:r>
    </w:p>
    <w:p>
      <w:pPr>
        <w:spacing w:after="0" w:line="261" w:lineRule="auto"/>
        <w:jc w:val="left"/>
        <w:rPr>
          <w:rFonts w:ascii="Calibri" w:hAnsi="Calibri"/>
          <w:sz w:val="18"/>
        </w:rPr>
        <w:sectPr>
          <w:type w:val="continuous"/>
          <w:pgSz w:w="12240" w:h="15840"/>
          <w:pgMar w:top="540" w:bottom="280" w:left="940" w:right="920"/>
          <w:cols w:num="2" w:equalWidth="0">
            <w:col w:w="4818" w:space="137"/>
            <w:col w:w="5425"/>
          </w:cols>
        </w:sectPr>
      </w:pPr>
    </w:p>
    <w:p>
      <w:pPr>
        <w:pStyle w:val="BodyText"/>
        <w:spacing w:before="11"/>
        <w:rPr>
          <w:rFonts w:ascii="Calibri"/>
          <w:sz w:val="25"/>
        </w:rPr>
      </w:pPr>
    </w:p>
    <w:p>
      <w:pPr>
        <w:spacing w:after="0"/>
        <w:rPr>
          <w:rFonts w:ascii="Calibri"/>
          <w:sz w:val="25"/>
        </w:rPr>
        <w:sectPr>
          <w:pgSz w:w="12240" w:h="15840"/>
          <w:pgMar w:header="576" w:footer="677" w:top="1340" w:bottom="860" w:left="940" w:right="920"/>
        </w:sectPr>
      </w:pPr>
    </w:p>
    <w:p>
      <w:pPr>
        <w:pStyle w:val="Heading3"/>
        <w:spacing w:before="89"/>
      </w:pPr>
      <w:bookmarkStart w:name="_TOC_250019" w:id="96"/>
      <w:bookmarkEnd w:id="96"/>
      <w:r>
        <w:rPr>
          <w:color w:val="147592"/>
          <w:w w:val="105"/>
        </w:rPr>
        <w:t>Records for Dispensers</w:t>
      </w:r>
    </w:p>
    <w:p>
      <w:pPr>
        <w:pStyle w:val="BodyText"/>
        <w:spacing w:line="247" w:lineRule="auto" w:before="47"/>
        <w:ind w:left="140"/>
        <w:rPr>
          <w:sz w:val="13"/>
        </w:rPr>
      </w:pPr>
      <w:r>
        <w:rPr>
          <w:color w:val="4C4D4F"/>
          <w:w w:val="110"/>
        </w:rPr>
        <w:t>Ofﬁce-based practices that dispense buprenor- phine must keep records of:</w:t>
      </w:r>
      <w:r>
        <w:rPr>
          <w:color w:val="4C4D4F"/>
          <w:w w:val="110"/>
          <w:position w:val="7"/>
          <w:sz w:val="13"/>
        </w:rPr>
        <w:t>383</w:t>
      </w:r>
    </w:p>
    <w:p>
      <w:pPr>
        <w:pStyle w:val="ListParagraph"/>
        <w:numPr>
          <w:ilvl w:val="0"/>
          <w:numId w:val="29"/>
        </w:numPr>
        <w:tabs>
          <w:tab w:pos="410" w:val="left" w:leader="none"/>
        </w:tabs>
        <w:spacing w:line="208" w:lineRule="auto" w:before="128" w:after="0"/>
        <w:ind w:left="410" w:right="68" w:hanging="270"/>
        <w:jc w:val="left"/>
        <w:rPr>
          <w:rFonts w:ascii="Arial" w:hAnsi="Arial"/>
          <w:color w:val="147592"/>
          <w:sz w:val="28"/>
        </w:rPr>
      </w:pPr>
      <w:r>
        <w:rPr>
          <w:color w:val="4C4D4F"/>
          <w:w w:val="115"/>
          <w:sz w:val="22"/>
        </w:rPr>
        <w:t>The number of units and doses dispensed with</w:t>
      </w:r>
      <w:r>
        <w:rPr>
          <w:color w:val="4C4D4F"/>
          <w:spacing w:val="-23"/>
          <w:w w:val="115"/>
          <w:sz w:val="22"/>
        </w:rPr>
        <w:t> </w:t>
      </w:r>
      <w:r>
        <w:rPr>
          <w:color w:val="4C4D4F"/>
          <w:w w:val="115"/>
          <w:sz w:val="22"/>
        </w:rPr>
        <w:t>the</w:t>
      </w:r>
      <w:r>
        <w:rPr>
          <w:color w:val="4C4D4F"/>
          <w:spacing w:val="-23"/>
          <w:w w:val="115"/>
          <w:sz w:val="22"/>
        </w:rPr>
        <w:t> </w:t>
      </w:r>
      <w:r>
        <w:rPr>
          <w:color w:val="4C4D4F"/>
          <w:w w:val="115"/>
          <w:sz w:val="22"/>
        </w:rPr>
        <w:t>names</w:t>
      </w:r>
      <w:r>
        <w:rPr>
          <w:color w:val="4C4D4F"/>
          <w:spacing w:val="-22"/>
          <w:w w:val="115"/>
          <w:sz w:val="22"/>
        </w:rPr>
        <w:t> </w:t>
      </w:r>
      <w:r>
        <w:rPr>
          <w:color w:val="4C4D4F"/>
          <w:w w:val="115"/>
          <w:sz w:val="22"/>
        </w:rPr>
        <w:t>and</w:t>
      </w:r>
      <w:r>
        <w:rPr>
          <w:color w:val="4C4D4F"/>
          <w:spacing w:val="-23"/>
          <w:w w:val="115"/>
          <w:sz w:val="22"/>
        </w:rPr>
        <w:t> </w:t>
      </w:r>
      <w:r>
        <w:rPr>
          <w:color w:val="4C4D4F"/>
          <w:w w:val="115"/>
          <w:sz w:val="22"/>
        </w:rPr>
        <w:t>addresses</w:t>
      </w:r>
      <w:r>
        <w:rPr>
          <w:color w:val="4C4D4F"/>
          <w:spacing w:val="-23"/>
          <w:w w:val="115"/>
          <w:sz w:val="22"/>
        </w:rPr>
        <w:t> </w:t>
      </w:r>
      <w:r>
        <w:rPr>
          <w:color w:val="4C4D4F"/>
          <w:w w:val="115"/>
          <w:sz w:val="22"/>
        </w:rPr>
        <w:t>of</w:t>
      </w:r>
      <w:r>
        <w:rPr>
          <w:color w:val="4C4D4F"/>
          <w:spacing w:val="-22"/>
          <w:w w:val="115"/>
          <w:sz w:val="22"/>
        </w:rPr>
        <w:t> </w:t>
      </w:r>
      <w:r>
        <w:rPr>
          <w:color w:val="4C4D4F"/>
          <w:w w:val="115"/>
          <w:sz w:val="22"/>
        </w:rPr>
        <w:t>the</w:t>
      </w:r>
      <w:r>
        <w:rPr>
          <w:color w:val="4C4D4F"/>
          <w:spacing w:val="-23"/>
          <w:w w:val="115"/>
          <w:sz w:val="22"/>
        </w:rPr>
        <w:t> </w:t>
      </w:r>
      <w:r>
        <w:rPr>
          <w:color w:val="4C4D4F"/>
          <w:w w:val="115"/>
          <w:sz w:val="22"/>
        </w:rPr>
        <w:t>patients.</w:t>
      </w:r>
    </w:p>
    <w:p>
      <w:pPr>
        <w:pStyle w:val="ListParagraph"/>
        <w:numPr>
          <w:ilvl w:val="0"/>
          <w:numId w:val="29"/>
        </w:numPr>
        <w:tabs>
          <w:tab w:pos="410" w:val="left" w:leader="none"/>
        </w:tabs>
        <w:spacing w:line="315" w:lineRule="exact" w:before="40" w:after="0"/>
        <w:ind w:left="410" w:right="0" w:hanging="270"/>
        <w:jc w:val="left"/>
        <w:rPr>
          <w:rFonts w:ascii="Arial" w:hAnsi="Arial"/>
          <w:color w:val="147592"/>
          <w:sz w:val="28"/>
        </w:rPr>
      </w:pPr>
      <w:r>
        <w:rPr>
          <w:color w:val="4C4D4F"/>
          <w:w w:val="110"/>
          <w:sz w:val="22"/>
        </w:rPr>
        <w:t>The dates the medication was </w:t>
      </w:r>
      <w:r>
        <w:rPr>
          <w:color w:val="4C4D4F"/>
          <w:spacing w:val="3"/>
          <w:w w:val="110"/>
          <w:sz w:val="22"/>
        </w:rPr>
        <w:t> </w:t>
      </w:r>
      <w:r>
        <w:rPr>
          <w:color w:val="4C4D4F"/>
          <w:w w:val="110"/>
          <w:sz w:val="22"/>
        </w:rPr>
        <w:t>dispensed.</w:t>
      </w:r>
    </w:p>
    <w:p>
      <w:pPr>
        <w:pStyle w:val="ListParagraph"/>
        <w:numPr>
          <w:ilvl w:val="0"/>
          <w:numId w:val="29"/>
        </w:numPr>
        <w:tabs>
          <w:tab w:pos="410" w:val="left" w:leader="none"/>
        </w:tabs>
        <w:spacing w:line="225" w:lineRule="auto" w:before="6" w:after="0"/>
        <w:ind w:left="410" w:right="349" w:hanging="270"/>
        <w:jc w:val="left"/>
        <w:rPr>
          <w:rFonts w:ascii="Arial" w:hAnsi="Arial"/>
          <w:color w:val="147592"/>
          <w:sz w:val="28"/>
        </w:rPr>
      </w:pPr>
      <w:r>
        <w:rPr>
          <w:color w:val="4C4D4F"/>
          <w:w w:val="110"/>
          <w:sz w:val="22"/>
        </w:rPr>
        <w:t>The names (or initials) of the staff</w:t>
      </w:r>
      <w:r>
        <w:rPr>
          <w:color w:val="4C4D4F"/>
          <w:spacing w:val="-35"/>
          <w:w w:val="110"/>
          <w:sz w:val="22"/>
        </w:rPr>
        <w:t> </w:t>
      </w:r>
      <w:r>
        <w:rPr>
          <w:color w:val="4C4D4F"/>
          <w:spacing w:val="-3"/>
          <w:w w:val="110"/>
          <w:sz w:val="22"/>
        </w:rPr>
        <w:t>members </w:t>
      </w:r>
      <w:r>
        <w:rPr>
          <w:color w:val="4C4D4F"/>
          <w:w w:val="110"/>
          <w:sz w:val="22"/>
        </w:rPr>
        <w:t>who dispensed or administered the medication.</w:t>
      </w:r>
    </w:p>
    <w:p>
      <w:pPr>
        <w:pStyle w:val="BodyText"/>
        <w:spacing w:line="247" w:lineRule="auto" w:before="195"/>
        <w:ind w:left="140"/>
      </w:pPr>
      <w:r>
        <w:rPr>
          <w:color w:val="4C4D4F"/>
          <w:w w:val="110"/>
        </w:rPr>
        <w:t>The diversion control plan should include approaches to ensuring that patients take the medication and do not divert it to others.</w:t>
      </w:r>
    </w:p>
    <w:p>
      <w:pPr>
        <w:pStyle w:val="Heading5"/>
        <w:spacing w:line="247" w:lineRule="auto"/>
        <w:ind w:right="406"/>
      </w:pPr>
      <w:r>
        <w:rPr>
          <w:i/>
          <w:color w:val="147592"/>
          <w:w w:val="105"/>
        </w:rPr>
        <w:t>Recordkeeping for ordering, storing, and </w:t>
      </w:r>
      <w:r>
        <w:rPr>
          <w:color w:val="147592"/>
          <w:w w:val="105"/>
        </w:rPr>
        <w:t>dispensing buprenorphine in the</w:t>
      </w:r>
      <w:r>
        <w:rPr>
          <w:color w:val="147592"/>
          <w:spacing w:val="-53"/>
          <w:w w:val="105"/>
        </w:rPr>
        <w:t> </w:t>
      </w:r>
      <w:r>
        <w:rPr>
          <w:color w:val="147592"/>
          <w:w w:val="105"/>
        </w:rPr>
        <w:t>office</w:t>
      </w:r>
    </w:p>
    <w:p>
      <w:pPr>
        <w:spacing w:line="240" w:lineRule="auto" w:before="35"/>
        <w:ind w:left="140" w:right="93" w:firstLine="0"/>
        <w:jc w:val="left"/>
        <w:rPr>
          <w:sz w:val="22"/>
        </w:rPr>
      </w:pPr>
      <w:r>
        <w:rPr>
          <w:rFonts w:ascii="Calibri"/>
          <w:b/>
          <w:color w:val="4C4D4F"/>
          <w:w w:val="110"/>
          <w:sz w:val="22"/>
        </w:rPr>
        <w:t>All prescribers and staff members must follow federal and state laws for ordering, storing, administering, and dispensing buprenorphine in outpatient settings. </w:t>
      </w:r>
      <w:r>
        <w:rPr>
          <w:color w:val="4C4D4F"/>
          <w:w w:val="110"/>
          <w:sz w:val="22"/>
        </w:rPr>
        <w:t>Records of inventories </w:t>
      </w:r>
      <w:r>
        <w:rPr>
          <w:color w:val="4C4D4F"/>
          <w:spacing w:val="-9"/>
          <w:w w:val="110"/>
          <w:sz w:val="22"/>
        </w:rPr>
        <w:t>of </w:t>
      </w:r>
      <w:r>
        <w:rPr>
          <w:color w:val="4C4D4F"/>
          <w:w w:val="110"/>
          <w:sz w:val="22"/>
        </w:rPr>
        <w:t>medication received, dispensed, destroyed, and lost or stolen must be maintained. For guidance on how to </w:t>
      </w:r>
      <w:r>
        <w:rPr>
          <w:color w:val="4C4D4F"/>
          <w:spacing w:val="-3"/>
          <w:w w:val="110"/>
          <w:sz w:val="22"/>
        </w:rPr>
        <w:t>comply with federal </w:t>
      </w:r>
      <w:r>
        <w:rPr>
          <w:color w:val="4C4D4F"/>
          <w:spacing w:val="-4"/>
          <w:w w:val="110"/>
          <w:sz w:val="22"/>
        </w:rPr>
        <w:t>requirements,</w:t>
      </w:r>
      <w:r>
        <w:rPr>
          <w:color w:val="4C4D4F"/>
          <w:spacing w:val="-39"/>
          <w:w w:val="110"/>
          <w:sz w:val="22"/>
        </w:rPr>
        <w:t> </w:t>
      </w:r>
      <w:r>
        <w:rPr>
          <w:color w:val="4C4D4F"/>
          <w:spacing w:val="-3"/>
          <w:w w:val="110"/>
          <w:sz w:val="22"/>
        </w:rPr>
        <w:t>see:</w:t>
      </w:r>
    </w:p>
    <w:p>
      <w:pPr>
        <w:pStyle w:val="ListParagraph"/>
        <w:numPr>
          <w:ilvl w:val="0"/>
          <w:numId w:val="29"/>
        </w:numPr>
        <w:tabs>
          <w:tab w:pos="410" w:val="left" w:leader="none"/>
        </w:tabs>
        <w:spacing w:line="264" w:lineRule="exact" w:before="122" w:after="0"/>
        <w:ind w:left="410" w:right="407" w:hanging="270"/>
        <w:jc w:val="left"/>
        <w:rPr>
          <w:rFonts w:ascii="Arial" w:hAnsi="Arial"/>
          <w:color w:val="147592"/>
          <w:sz w:val="28"/>
        </w:rPr>
      </w:pPr>
      <w:r>
        <w:rPr>
          <w:color w:val="4C4D4F"/>
          <w:w w:val="110"/>
          <w:sz w:val="22"/>
        </w:rPr>
        <w:t>DEA Recordkeeping Requirements for Buprenorphine </w:t>
      </w:r>
      <w:r>
        <w:rPr>
          <w:color w:val="4C4D4F"/>
          <w:spacing w:val="-3"/>
          <w:w w:val="110"/>
          <w:sz w:val="22"/>
        </w:rPr>
        <w:t>Treatment </w:t>
      </w:r>
      <w:r>
        <w:rPr>
          <w:color w:val="4C4D4F"/>
          <w:w w:val="110"/>
          <w:sz w:val="22"/>
        </w:rPr>
        <w:t>(</w:t>
      </w:r>
      <w:r>
        <w:rPr>
          <w:color w:val="205E9E"/>
          <w:w w:val="110"/>
          <w:sz w:val="22"/>
          <w:u w:val="single" w:color="205E9E"/>
        </w:rPr>
        <w:t>https://docs. clinicaltools.com/pdf/Buppractice/V5-Bup- </w:t>
      </w:r>
      <w:r>
        <w:rPr>
          <w:color w:val="205E9E"/>
          <w:spacing w:val="-3"/>
          <w:w w:val="110"/>
          <w:sz w:val="22"/>
          <w:u w:val="single" w:color="205E9E"/>
        </w:rPr>
        <w:t>How-To-Comply.pdf</w:t>
      </w:r>
      <w:r>
        <w:rPr>
          <w:color w:val="4C4D4F"/>
          <w:spacing w:val="-3"/>
          <w:w w:val="110"/>
          <w:sz w:val="22"/>
        </w:rPr>
        <w:t>).</w:t>
      </w:r>
    </w:p>
    <w:p>
      <w:pPr>
        <w:spacing w:line="256" w:lineRule="auto" w:before="221"/>
        <w:ind w:left="140" w:right="38" w:firstLine="0"/>
        <w:jc w:val="left"/>
        <w:rPr>
          <w:sz w:val="22"/>
        </w:rPr>
      </w:pPr>
      <w:r>
        <w:rPr>
          <w:b/>
          <w:i/>
          <w:color w:val="147592"/>
          <w:spacing w:val="-4"/>
          <w:w w:val="105"/>
          <w:sz w:val="24"/>
        </w:rPr>
        <w:t>Recordkeeping </w:t>
      </w:r>
      <w:r>
        <w:rPr>
          <w:b/>
          <w:i/>
          <w:color w:val="147592"/>
          <w:spacing w:val="-3"/>
          <w:w w:val="105"/>
          <w:sz w:val="24"/>
        </w:rPr>
        <w:t>for </w:t>
      </w:r>
      <w:r>
        <w:rPr>
          <w:b/>
          <w:i/>
          <w:color w:val="147592"/>
          <w:spacing w:val="-4"/>
          <w:w w:val="105"/>
          <w:sz w:val="24"/>
        </w:rPr>
        <w:t>prescribing buprenorphine </w:t>
      </w:r>
      <w:r>
        <w:rPr>
          <w:rFonts w:ascii="Calibri" w:hAnsi="Calibri"/>
          <w:b/>
          <w:color w:val="4C4D4F"/>
          <w:w w:val="110"/>
          <w:sz w:val="22"/>
        </w:rPr>
        <w:t>Consider writing an  initial  prescription  for only</w:t>
      </w:r>
      <w:r>
        <w:rPr>
          <w:rFonts w:ascii="Calibri" w:hAnsi="Calibri"/>
          <w:b/>
          <w:color w:val="4C4D4F"/>
          <w:spacing w:val="22"/>
          <w:w w:val="110"/>
          <w:sz w:val="22"/>
        </w:rPr>
        <w:t> </w:t>
      </w:r>
      <w:r>
        <w:rPr>
          <w:rFonts w:ascii="Calibri" w:hAnsi="Calibri"/>
          <w:b/>
          <w:color w:val="4C4D4F"/>
          <w:w w:val="110"/>
          <w:sz w:val="22"/>
        </w:rPr>
        <w:t>a</w:t>
      </w:r>
      <w:r>
        <w:rPr>
          <w:rFonts w:ascii="Calibri" w:hAnsi="Calibri"/>
          <w:b/>
          <w:color w:val="4C4D4F"/>
          <w:spacing w:val="22"/>
          <w:w w:val="110"/>
          <w:sz w:val="22"/>
        </w:rPr>
        <w:t> </w:t>
      </w:r>
      <w:r>
        <w:rPr>
          <w:rFonts w:ascii="Calibri" w:hAnsi="Calibri"/>
          <w:b/>
          <w:color w:val="4C4D4F"/>
          <w:w w:val="110"/>
          <w:sz w:val="22"/>
        </w:rPr>
        <w:t>few</w:t>
      </w:r>
      <w:r>
        <w:rPr>
          <w:rFonts w:ascii="Calibri" w:hAnsi="Calibri"/>
          <w:b/>
          <w:color w:val="4C4D4F"/>
          <w:spacing w:val="23"/>
          <w:w w:val="110"/>
          <w:sz w:val="22"/>
        </w:rPr>
        <w:t> </w:t>
      </w:r>
      <w:r>
        <w:rPr>
          <w:rFonts w:ascii="Calibri" w:hAnsi="Calibri"/>
          <w:b/>
          <w:color w:val="4C4D4F"/>
          <w:w w:val="110"/>
          <w:sz w:val="22"/>
        </w:rPr>
        <w:t>days.</w:t>
      </w:r>
      <w:r>
        <w:rPr>
          <w:rFonts w:ascii="Calibri" w:hAnsi="Calibri"/>
          <w:b/>
          <w:color w:val="4C4D4F"/>
          <w:spacing w:val="22"/>
          <w:w w:val="110"/>
          <w:sz w:val="22"/>
        </w:rPr>
        <w:t> </w:t>
      </w:r>
      <w:r>
        <w:rPr>
          <w:color w:val="4C4D4F"/>
          <w:w w:val="110"/>
          <w:sz w:val="22"/>
        </w:rPr>
        <w:t>An</w:t>
      </w:r>
      <w:r>
        <w:rPr>
          <w:color w:val="4C4D4F"/>
          <w:spacing w:val="6"/>
          <w:w w:val="110"/>
          <w:sz w:val="22"/>
        </w:rPr>
        <w:t> </w:t>
      </w:r>
      <w:r>
        <w:rPr>
          <w:color w:val="4C4D4F"/>
          <w:w w:val="110"/>
          <w:sz w:val="22"/>
        </w:rPr>
        <w:t>example</w:t>
      </w:r>
      <w:r>
        <w:rPr>
          <w:color w:val="4C4D4F"/>
          <w:spacing w:val="5"/>
          <w:w w:val="110"/>
          <w:sz w:val="22"/>
        </w:rPr>
        <w:t> </w:t>
      </w:r>
      <w:r>
        <w:rPr>
          <w:color w:val="4C4D4F"/>
          <w:w w:val="110"/>
          <w:sz w:val="22"/>
        </w:rPr>
        <w:t>of</w:t>
      </w:r>
      <w:r>
        <w:rPr>
          <w:color w:val="4C4D4F"/>
          <w:spacing w:val="6"/>
          <w:w w:val="110"/>
          <w:sz w:val="22"/>
        </w:rPr>
        <w:t> </w:t>
      </w:r>
      <w:r>
        <w:rPr>
          <w:color w:val="4C4D4F"/>
          <w:w w:val="110"/>
          <w:sz w:val="22"/>
        </w:rPr>
        <w:t>a</w:t>
      </w:r>
      <w:r>
        <w:rPr>
          <w:color w:val="4C4D4F"/>
          <w:spacing w:val="5"/>
          <w:w w:val="110"/>
          <w:sz w:val="22"/>
        </w:rPr>
        <w:t> </w:t>
      </w:r>
      <w:r>
        <w:rPr>
          <w:color w:val="4C4D4F"/>
          <w:w w:val="110"/>
          <w:sz w:val="22"/>
        </w:rPr>
        <w:t>1-day</w:t>
      </w:r>
      <w:r>
        <w:rPr>
          <w:color w:val="4C4D4F"/>
          <w:spacing w:val="6"/>
          <w:w w:val="110"/>
          <w:sz w:val="22"/>
        </w:rPr>
        <w:t> </w:t>
      </w:r>
      <w:r>
        <w:rPr>
          <w:color w:val="4C4D4F"/>
          <w:spacing w:val="-4"/>
          <w:w w:val="110"/>
          <w:sz w:val="22"/>
        </w:rPr>
        <w:t>in-ofﬁce</w:t>
      </w:r>
    </w:p>
    <w:p>
      <w:pPr>
        <w:pStyle w:val="BodyText"/>
        <w:spacing w:line="236" w:lineRule="exact"/>
        <w:ind w:left="140"/>
      </w:pPr>
      <w:r>
        <w:rPr>
          <w:color w:val="4C4D4F"/>
          <w:w w:val="110"/>
        </w:rPr>
        <w:t>induction prescription is:</w:t>
      </w:r>
    </w:p>
    <w:p>
      <w:pPr>
        <w:tabs>
          <w:tab w:pos="4424" w:val="left" w:leader="none"/>
        </w:tabs>
        <w:spacing w:line="249" w:lineRule="auto" w:before="187"/>
        <w:ind w:left="589" w:right="565" w:firstLine="0"/>
        <w:jc w:val="left"/>
        <w:rPr>
          <w:rFonts w:ascii="Arial" w:hAnsi="Arial"/>
          <w:i/>
          <w:sz w:val="22"/>
        </w:rPr>
      </w:pPr>
      <w:r>
        <w:rPr>
          <w:rFonts w:ascii="Arial" w:hAnsi="Arial"/>
          <w:i/>
          <w:color w:val="4C4D4F"/>
          <w:w w:val="105"/>
          <w:sz w:val="22"/>
        </w:rPr>
        <w:t>Buprenorphine/naloxone</w:t>
      </w:r>
      <w:r>
        <w:rPr>
          <w:rFonts w:ascii="Arial" w:hAnsi="Arial"/>
          <w:i/>
          <w:color w:val="4C4D4F"/>
          <w:spacing w:val="-21"/>
          <w:w w:val="105"/>
          <w:sz w:val="22"/>
        </w:rPr>
        <w:t> </w:t>
      </w:r>
      <w:r>
        <w:rPr>
          <w:rFonts w:ascii="Arial" w:hAnsi="Arial"/>
          <w:i/>
          <w:color w:val="4C4D4F"/>
          <w:w w:val="105"/>
          <w:sz w:val="22"/>
        </w:rPr>
        <w:t>2mg</w:t>
      </w:r>
      <w:r>
        <w:rPr>
          <w:rFonts w:ascii="Arial" w:hAnsi="Arial"/>
          <w:i/>
          <w:color w:val="4C4D4F"/>
          <w:spacing w:val="-21"/>
          <w:w w:val="105"/>
          <w:sz w:val="22"/>
        </w:rPr>
        <w:t> </w:t>
      </w:r>
      <w:r>
        <w:rPr>
          <w:rFonts w:ascii="Arial" w:hAnsi="Arial"/>
          <w:i/>
          <w:color w:val="4C4D4F"/>
          <w:w w:val="105"/>
          <w:sz w:val="22"/>
        </w:rPr>
        <w:t>/0.5</w:t>
      </w:r>
      <w:r>
        <w:rPr>
          <w:rFonts w:ascii="Arial" w:hAnsi="Arial"/>
          <w:i/>
          <w:color w:val="4C4D4F"/>
          <w:spacing w:val="-21"/>
          <w:w w:val="105"/>
          <w:sz w:val="22"/>
        </w:rPr>
        <w:t> </w:t>
      </w:r>
      <w:r>
        <w:rPr>
          <w:rFonts w:ascii="Arial" w:hAnsi="Arial"/>
          <w:i/>
          <w:color w:val="4C4D4F"/>
          <w:spacing w:val="-6"/>
          <w:w w:val="105"/>
          <w:sz w:val="22"/>
        </w:rPr>
        <w:t>mg: </w:t>
      </w:r>
      <w:r>
        <w:rPr>
          <w:rFonts w:ascii="Arial" w:hAnsi="Arial"/>
          <w:i/>
          <w:color w:val="4C4D4F"/>
          <w:w w:val="105"/>
          <w:sz w:val="22"/>
        </w:rPr>
        <w:t>Dispense</w:t>
      </w:r>
      <w:r>
        <w:rPr>
          <w:rFonts w:ascii="Arial" w:hAnsi="Arial"/>
          <w:i/>
          <w:color w:val="4C4D4F"/>
          <w:spacing w:val="-17"/>
          <w:w w:val="105"/>
          <w:sz w:val="22"/>
        </w:rPr>
        <w:t> </w:t>
      </w:r>
      <w:r>
        <w:rPr>
          <w:rFonts w:ascii="Arial" w:hAnsi="Arial"/>
          <w:i/>
          <w:color w:val="4C4D4F"/>
          <w:w w:val="105"/>
          <w:sz w:val="22"/>
        </w:rPr>
        <w:t>#4</w:t>
      </w:r>
      <w:r>
        <w:rPr>
          <w:rFonts w:ascii="Arial" w:hAnsi="Arial"/>
          <w:i/>
          <w:color w:val="4C4D4F"/>
          <w:spacing w:val="-17"/>
          <w:w w:val="105"/>
          <w:sz w:val="22"/>
        </w:rPr>
        <w:t> </w:t>
      </w:r>
      <w:r>
        <w:rPr>
          <w:rFonts w:ascii="Arial" w:hAnsi="Arial"/>
          <w:i/>
          <w:color w:val="4C4D4F"/>
          <w:w w:val="105"/>
          <w:sz w:val="22"/>
        </w:rPr>
        <w:t>for</w:t>
      </w:r>
      <w:r>
        <w:rPr>
          <w:rFonts w:ascii="Arial" w:hAnsi="Arial"/>
          <w:i/>
          <w:color w:val="4C4D4F"/>
          <w:spacing w:val="-16"/>
          <w:w w:val="105"/>
          <w:sz w:val="22"/>
        </w:rPr>
        <w:t> </w:t>
      </w:r>
      <w:r>
        <w:rPr>
          <w:rFonts w:ascii="Arial" w:hAnsi="Arial"/>
          <w:i/>
          <w:color w:val="4C4D4F"/>
          <w:w w:val="105"/>
          <w:sz w:val="22"/>
        </w:rPr>
        <w:t>in-ofﬁce</w:t>
      </w:r>
      <w:r>
        <w:rPr>
          <w:rFonts w:ascii="Arial" w:hAnsi="Arial"/>
          <w:i/>
          <w:color w:val="4C4D4F"/>
          <w:spacing w:val="-17"/>
          <w:w w:val="105"/>
          <w:sz w:val="22"/>
        </w:rPr>
        <w:t> </w:t>
      </w:r>
      <w:r>
        <w:rPr>
          <w:rFonts w:ascii="Arial" w:hAnsi="Arial"/>
          <w:i/>
          <w:color w:val="4C4D4F"/>
          <w:w w:val="105"/>
          <w:sz w:val="22"/>
        </w:rPr>
        <w:t>induction,</w:t>
      </w:r>
      <w:r>
        <w:rPr>
          <w:rFonts w:ascii="Arial" w:hAnsi="Arial"/>
          <w:i/>
          <w:color w:val="4C4D4F"/>
          <w:spacing w:val="-17"/>
          <w:w w:val="105"/>
          <w:sz w:val="22"/>
        </w:rPr>
        <w:t> </w:t>
      </w:r>
      <w:r>
        <w:rPr>
          <w:rFonts w:ascii="Arial" w:hAnsi="Arial"/>
          <w:i/>
          <w:color w:val="4C4D4F"/>
          <w:w w:val="105"/>
          <w:sz w:val="22"/>
        </w:rPr>
        <w:t>no reﬁlls,</w:t>
      </w:r>
      <w:r>
        <w:rPr>
          <w:rFonts w:ascii="Arial" w:hAnsi="Arial"/>
          <w:i/>
          <w:color w:val="4C4D4F"/>
          <w:spacing w:val="-17"/>
          <w:w w:val="105"/>
          <w:sz w:val="22"/>
        </w:rPr>
        <w:t> </w:t>
      </w:r>
      <w:r>
        <w:rPr>
          <w:rFonts w:ascii="Arial" w:hAnsi="Arial"/>
          <w:i/>
          <w:color w:val="4C4D4F"/>
          <w:w w:val="105"/>
          <w:sz w:val="22"/>
        </w:rPr>
        <w:t>ﬁll</w:t>
      </w:r>
      <w:r>
        <w:rPr>
          <w:rFonts w:ascii="Arial" w:hAnsi="Arial"/>
          <w:i/>
          <w:color w:val="4C4D4F"/>
          <w:spacing w:val="-17"/>
          <w:w w:val="105"/>
          <w:sz w:val="22"/>
        </w:rPr>
        <w:t> </w:t>
      </w:r>
      <w:r>
        <w:rPr>
          <w:rFonts w:ascii="Arial" w:hAnsi="Arial"/>
          <w:i/>
          <w:color w:val="4C4D4F"/>
          <w:w w:val="105"/>
          <w:sz w:val="22"/>
        </w:rPr>
        <w:t>on</w:t>
      </w:r>
      <w:r>
        <w:rPr>
          <w:rFonts w:ascii="Arial" w:hAnsi="Arial"/>
          <w:i/>
          <w:color w:val="4C4D4F"/>
          <w:sz w:val="22"/>
        </w:rPr>
        <w:t> </w:t>
      </w:r>
      <w:r>
        <w:rPr>
          <w:rFonts w:ascii="Arial" w:hAnsi="Arial"/>
          <w:i/>
          <w:color w:val="4C4D4F"/>
          <w:w w:val="100"/>
          <w:sz w:val="22"/>
          <w:u w:val="single" w:color="4B4C4E"/>
        </w:rPr>
        <w:t> </w:t>
      </w:r>
      <w:r>
        <w:rPr>
          <w:rFonts w:ascii="Arial" w:hAnsi="Arial"/>
          <w:i/>
          <w:color w:val="4C4D4F"/>
          <w:sz w:val="22"/>
          <w:u w:val="single" w:color="4B4C4E"/>
        </w:rPr>
        <w:tab/>
      </w:r>
      <w:r>
        <w:rPr>
          <w:rFonts w:ascii="Arial" w:hAnsi="Arial"/>
          <w:i/>
          <w:color w:val="4C4D4F"/>
          <w:sz w:val="22"/>
        </w:rPr>
        <w:t> </w:t>
      </w:r>
      <w:r>
        <w:rPr>
          <w:rFonts w:ascii="Arial" w:hAnsi="Arial"/>
          <w:i/>
          <w:color w:val="4C4D4F"/>
          <w:w w:val="105"/>
          <w:sz w:val="22"/>
        </w:rPr>
        <w:t>[insert date that is 1 day before the scheduled induction to make it less tempting for patients to use on their own before</w:t>
      </w:r>
      <w:r>
        <w:rPr>
          <w:rFonts w:ascii="Arial" w:hAnsi="Arial"/>
          <w:i/>
          <w:color w:val="4C4D4F"/>
          <w:spacing w:val="-8"/>
          <w:w w:val="105"/>
          <w:sz w:val="22"/>
        </w:rPr>
        <w:t> </w:t>
      </w:r>
      <w:r>
        <w:rPr>
          <w:rFonts w:ascii="Arial" w:hAnsi="Arial"/>
          <w:i/>
          <w:color w:val="4C4D4F"/>
          <w:w w:val="105"/>
          <w:sz w:val="22"/>
        </w:rPr>
        <w:t>induction]</w:t>
      </w:r>
    </w:p>
    <w:p>
      <w:pPr>
        <w:pStyle w:val="BodyText"/>
        <w:spacing w:line="247" w:lineRule="auto" w:before="101"/>
        <w:ind w:left="140" w:right="594"/>
      </w:pPr>
      <w:r>
        <w:rPr/>
        <w:br w:type="column"/>
      </w:r>
      <w:r>
        <w:rPr>
          <w:color w:val="4C4D4F"/>
          <w:w w:val="110"/>
        </w:rPr>
        <w:t>Keep a log for possible DEA inspection that includes:</w:t>
      </w:r>
    </w:p>
    <w:p>
      <w:pPr>
        <w:pStyle w:val="ListParagraph"/>
        <w:numPr>
          <w:ilvl w:val="0"/>
          <w:numId w:val="29"/>
        </w:numPr>
        <w:tabs>
          <w:tab w:pos="410" w:val="left" w:leader="none"/>
        </w:tabs>
        <w:spacing w:line="315" w:lineRule="exact" w:before="99" w:after="0"/>
        <w:ind w:left="410" w:right="0" w:hanging="270"/>
        <w:jc w:val="left"/>
        <w:rPr>
          <w:rFonts w:ascii="Arial" w:hAnsi="Arial"/>
          <w:color w:val="147592"/>
          <w:sz w:val="28"/>
        </w:rPr>
      </w:pPr>
      <w:r>
        <w:rPr>
          <w:color w:val="4C4D4F"/>
          <w:w w:val="110"/>
          <w:sz w:val="22"/>
        </w:rPr>
        <w:t>Patients’ names (or ID</w:t>
      </w:r>
      <w:r>
        <w:rPr>
          <w:color w:val="4C4D4F"/>
          <w:spacing w:val="-27"/>
          <w:w w:val="110"/>
          <w:sz w:val="22"/>
        </w:rPr>
        <w:t> </w:t>
      </w:r>
      <w:r>
        <w:rPr>
          <w:color w:val="4C4D4F"/>
          <w:w w:val="110"/>
          <w:sz w:val="22"/>
        </w:rPr>
        <w:t>numbers).</w:t>
      </w:r>
    </w:p>
    <w:p>
      <w:pPr>
        <w:pStyle w:val="ListParagraph"/>
        <w:numPr>
          <w:ilvl w:val="0"/>
          <w:numId w:val="29"/>
        </w:numPr>
        <w:tabs>
          <w:tab w:pos="410" w:val="left" w:leader="none"/>
        </w:tabs>
        <w:spacing w:line="307" w:lineRule="exact" w:before="0" w:after="0"/>
        <w:ind w:left="410" w:right="0" w:hanging="270"/>
        <w:jc w:val="left"/>
        <w:rPr>
          <w:rFonts w:ascii="Arial" w:hAnsi="Arial"/>
          <w:color w:val="147592"/>
          <w:sz w:val="28"/>
        </w:rPr>
      </w:pPr>
      <w:r>
        <w:rPr>
          <w:color w:val="4C4D4F"/>
          <w:w w:val="110"/>
          <w:sz w:val="22"/>
        </w:rPr>
        <w:t>Dates of</w:t>
      </w:r>
      <w:r>
        <w:rPr>
          <w:color w:val="4C4D4F"/>
          <w:spacing w:val="-13"/>
          <w:w w:val="110"/>
          <w:sz w:val="22"/>
        </w:rPr>
        <w:t> </w:t>
      </w:r>
      <w:r>
        <w:rPr>
          <w:color w:val="4C4D4F"/>
          <w:w w:val="110"/>
          <w:sz w:val="22"/>
        </w:rPr>
        <w:t>prescriptions.</w:t>
      </w:r>
    </w:p>
    <w:p>
      <w:pPr>
        <w:pStyle w:val="ListParagraph"/>
        <w:numPr>
          <w:ilvl w:val="0"/>
          <w:numId w:val="29"/>
        </w:numPr>
        <w:tabs>
          <w:tab w:pos="410" w:val="left" w:leader="none"/>
        </w:tabs>
        <w:spacing w:line="208" w:lineRule="auto" w:before="22" w:after="0"/>
        <w:ind w:left="410" w:right="467" w:hanging="270"/>
        <w:jc w:val="left"/>
        <w:rPr>
          <w:rFonts w:ascii="Arial" w:hAnsi="Arial"/>
          <w:color w:val="147592"/>
          <w:sz w:val="28"/>
        </w:rPr>
      </w:pPr>
      <w:r>
        <w:rPr>
          <w:color w:val="4C4D4F"/>
          <w:w w:val="115"/>
          <w:sz w:val="22"/>
        </w:rPr>
        <w:t>The</w:t>
      </w:r>
      <w:r>
        <w:rPr>
          <w:color w:val="4C4D4F"/>
          <w:spacing w:val="-21"/>
          <w:w w:val="115"/>
          <w:sz w:val="22"/>
        </w:rPr>
        <w:t> </w:t>
      </w:r>
      <w:r>
        <w:rPr>
          <w:color w:val="4C4D4F"/>
          <w:w w:val="115"/>
          <w:sz w:val="22"/>
        </w:rPr>
        <w:t>names,</w:t>
      </w:r>
      <w:r>
        <w:rPr>
          <w:color w:val="4C4D4F"/>
          <w:spacing w:val="-21"/>
          <w:w w:val="115"/>
          <w:sz w:val="22"/>
        </w:rPr>
        <w:t> </w:t>
      </w:r>
      <w:r>
        <w:rPr>
          <w:color w:val="4C4D4F"/>
          <w:w w:val="115"/>
          <w:sz w:val="22"/>
        </w:rPr>
        <w:t>strengths,</w:t>
      </w:r>
      <w:r>
        <w:rPr>
          <w:color w:val="4C4D4F"/>
          <w:spacing w:val="-21"/>
          <w:w w:val="115"/>
          <w:sz w:val="22"/>
        </w:rPr>
        <w:t> </w:t>
      </w:r>
      <w:r>
        <w:rPr>
          <w:color w:val="4C4D4F"/>
          <w:w w:val="115"/>
          <w:sz w:val="22"/>
        </w:rPr>
        <w:t>and</w:t>
      </w:r>
      <w:r>
        <w:rPr>
          <w:color w:val="4C4D4F"/>
          <w:spacing w:val="-21"/>
          <w:w w:val="115"/>
          <w:sz w:val="22"/>
        </w:rPr>
        <w:t> </w:t>
      </w:r>
      <w:r>
        <w:rPr>
          <w:color w:val="4C4D4F"/>
          <w:w w:val="115"/>
          <w:sz w:val="22"/>
        </w:rPr>
        <w:t>quantities</w:t>
      </w:r>
      <w:r>
        <w:rPr>
          <w:color w:val="4C4D4F"/>
          <w:spacing w:val="-21"/>
          <w:w w:val="115"/>
          <w:sz w:val="22"/>
        </w:rPr>
        <w:t> </w:t>
      </w:r>
      <w:r>
        <w:rPr>
          <w:color w:val="4C4D4F"/>
          <w:w w:val="115"/>
          <w:sz w:val="22"/>
        </w:rPr>
        <w:t>of</w:t>
      </w:r>
      <w:r>
        <w:rPr>
          <w:color w:val="4C4D4F"/>
          <w:spacing w:val="-21"/>
          <w:w w:val="115"/>
          <w:sz w:val="22"/>
        </w:rPr>
        <w:t> </w:t>
      </w:r>
      <w:r>
        <w:rPr>
          <w:color w:val="4C4D4F"/>
          <w:spacing w:val="-6"/>
          <w:w w:val="115"/>
          <w:sz w:val="22"/>
        </w:rPr>
        <w:t>the </w:t>
      </w:r>
      <w:r>
        <w:rPr>
          <w:color w:val="4C4D4F"/>
          <w:w w:val="115"/>
          <w:sz w:val="22"/>
        </w:rPr>
        <w:t>medications.</w:t>
      </w:r>
    </w:p>
    <w:p>
      <w:pPr>
        <w:pStyle w:val="BodyText"/>
        <w:spacing w:line="247" w:lineRule="auto" w:before="195"/>
        <w:ind w:left="140" w:right="276"/>
      </w:pPr>
      <w:r>
        <w:rPr>
          <w:color w:val="4C4D4F"/>
          <w:w w:val="110"/>
        </w:rPr>
        <w:t>Although not required, such a log facilitates inspection and indicates that the provider is within the approved patient limits. Alternatively, electronic health records can be used for this purpose.</w:t>
      </w:r>
    </w:p>
    <w:p>
      <w:pPr>
        <w:pStyle w:val="BodyText"/>
        <w:spacing w:before="2"/>
        <w:rPr>
          <w:sz w:val="23"/>
        </w:rPr>
      </w:pPr>
    </w:p>
    <w:p>
      <w:pPr>
        <w:pStyle w:val="Heading3"/>
      </w:pPr>
      <w:bookmarkStart w:name="_TOC_250018" w:id="97"/>
      <w:bookmarkEnd w:id="97"/>
      <w:r>
        <w:rPr>
          <w:color w:val="147592"/>
          <w:w w:val="110"/>
        </w:rPr>
        <w:t>DEA Inspections</w:t>
      </w:r>
    </w:p>
    <w:p>
      <w:pPr>
        <w:spacing w:line="244" w:lineRule="auto" w:before="48"/>
        <w:ind w:left="140" w:right="253" w:firstLine="0"/>
        <w:jc w:val="left"/>
        <w:rPr>
          <w:sz w:val="22"/>
        </w:rPr>
      </w:pPr>
      <w:r>
        <w:rPr>
          <w:color w:val="4C4D4F"/>
          <w:w w:val="110"/>
          <w:sz w:val="22"/>
        </w:rPr>
        <w:t>Under DATA 2000, DEA must ensure that providers administering, dispensing, or prescrib- ing buprenorphine are following recordkeeping, security, and other requirements. To fulﬁll this requirement, </w:t>
      </w:r>
      <w:r>
        <w:rPr>
          <w:rFonts w:ascii="Calibri" w:hAnsi="Calibri"/>
          <w:b/>
          <w:color w:val="4C4D4F"/>
          <w:w w:val="110"/>
          <w:sz w:val="22"/>
        </w:rPr>
        <w:t>DEA conducts routine, unan- nounced onsite inspections. </w:t>
      </w:r>
      <w:r>
        <w:rPr>
          <w:color w:val="4C4D4F"/>
          <w:w w:val="110"/>
          <w:sz w:val="22"/>
        </w:rPr>
        <w:t>A description</w:t>
      </w:r>
    </w:p>
    <w:p>
      <w:pPr>
        <w:pStyle w:val="BodyText"/>
        <w:spacing w:line="247" w:lineRule="auto"/>
        <w:ind w:left="140" w:right="192"/>
      </w:pPr>
      <w:r>
        <w:rPr>
          <w:color w:val="4C4D4F"/>
          <w:w w:val="110"/>
        </w:rPr>
        <w:t>of the inspection process and how to comply with its requirements is available online (</w:t>
      </w:r>
      <w:r>
        <w:rPr>
          <w:color w:val="205E9E"/>
          <w:w w:val="110"/>
          <w:u w:val="single" w:color="205E9E"/>
        </w:rPr>
        <w:t>http://</w:t>
      </w:r>
      <w:r>
        <w:rPr>
          <w:color w:val="205E9E"/>
          <w:w w:val="110"/>
        </w:rPr>
        <w:t> </w:t>
      </w:r>
      <w:r>
        <w:rPr>
          <w:color w:val="205E9E"/>
          <w:w w:val="110"/>
          <w:u w:val="single" w:color="205E9E"/>
        </w:rPr>
        <w:t>pcssnow.org/wp-content/uploads/2014/02/</w:t>
      </w:r>
      <w:r>
        <w:rPr>
          <w:color w:val="205E9E"/>
          <w:w w:val="110"/>
        </w:rPr>
        <w:t> </w:t>
      </w:r>
      <w:r>
        <w:rPr>
          <w:color w:val="205E9E"/>
          <w:w w:val="105"/>
          <w:u w:val="single" w:color="205E9E"/>
        </w:rPr>
        <w:t>FINAL-How-to-Prepare-for-a-DEA-Inspection.pdf</w:t>
      </w:r>
      <w:r>
        <w:rPr>
          <w:color w:val="4C4D4F"/>
          <w:w w:val="105"/>
        </w:rPr>
        <w:t>).</w:t>
      </w:r>
    </w:p>
    <w:p>
      <w:pPr>
        <w:pStyle w:val="BodyText"/>
        <w:spacing w:before="9"/>
        <w:rPr>
          <w:sz w:val="21"/>
        </w:rPr>
      </w:pPr>
    </w:p>
    <w:p>
      <w:pPr>
        <w:pStyle w:val="Heading2"/>
        <w:spacing w:line="208" w:lineRule="auto" w:before="0"/>
        <w:ind w:right="323"/>
      </w:pPr>
      <w:bookmarkStart w:name="_TOC_250017" w:id="98"/>
      <w:r>
        <w:rPr>
          <w:color w:val="147592"/>
          <w:w w:val="110"/>
        </w:rPr>
        <w:t>Emergency</w:t>
      </w:r>
      <w:r>
        <w:rPr>
          <w:color w:val="147592"/>
          <w:spacing w:val="-36"/>
          <w:w w:val="110"/>
        </w:rPr>
        <w:t> </w:t>
      </w:r>
      <w:r>
        <w:rPr>
          <w:color w:val="147592"/>
          <w:spacing w:val="-3"/>
          <w:w w:val="110"/>
        </w:rPr>
        <w:t>Protocols</w:t>
      </w:r>
      <w:r>
        <w:rPr>
          <w:color w:val="147592"/>
          <w:spacing w:val="-36"/>
          <w:w w:val="110"/>
        </w:rPr>
        <w:t> </w:t>
      </w:r>
      <w:r>
        <w:rPr>
          <w:color w:val="147592"/>
          <w:w w:val="110"/>
        </w:rPr>
        <w:t>and</w:t>
      </w:r>
      <w:r>
        <w:rPr>
          <w:color w:val="147592"/>
          <w:spacing w:val="-35"/>
          <w:w w:val="110"/>
        </w:rPr>
        <w:t> </w:t>
      </w:r>
      <w:r>
        <w:rPr>
          <w:color w:val="147592"/>
          <w:spacing w:val="-3"/>
          <w:w w:val="110"/>
        </w:rPr>
        <w:t>Patient </w:t>
      </w:r>
      <w:r>
        <w:rPr>
          <w:color w:val="147592"/>
          <w:w w:val="110"/>
        </w:rPr>
        <w:t>Safety</w:t>
      </w:r>
      <w:r>
        <w:rPr>
          <w:color w:val="147592"/>
          <w:spacing w:val="-6"/>
          <w:w w:val="110"/>
        </w:rPr>
        <w:t> </w:t>
      </w:r>
      <w:bookmarkEnd w:id="98"/>
      <w:r>
        <w:rPr>
          <w:color w:val="147592"/>
          <w:w w:val="110"/>
        </w:rPr>
        <w:t>Measures</w:t>
      </w:r>
    </w:p>
    <w:p>
      <w:pPr>
        <w:spacing w:line="237" w:lineRule="auto" w:before="40"/>
        <w:ind w:left="140" w:right="310" w:firstLine="0"/>
        <w:jc w:val="left"/>
        <w:rPr>
          <w:sz w:val="22"/>
        </w:rPr>
      </w:pPr>
      <w:r>
        <w:rPr>
          <w:rFonts w:ascii="Calibri"/>
          <w:b/>
          <w:color w:val="4C4D4F"/>
          <w:spacing w:val="-3"/>
          <w:w w:val="110"/>
          <w:sz w:val="22"/>
        </w:rPr>
        <w:t>Clinics that </w:t>
      </w:r>
      <w:r>
        <w:rPr>
          <w:rFonts w:ascii="Calibri"/>
          <w:b/>
          <w:color w:val="4C4D4F"/>
          <w:spacing w:val="-4"/>
          <w:w w:val="110"/>
          <w:sz w:val="22"/>
        </w:rPr>
        <w:t>provide buprenorphine </w:t>
      </w:r>
      <w:r>
        <w:rPr>
          <w:rFonts w:ascii="Calibri"/>
          <w:b/>
          <w:color w:val="4C4D4F"/>
          <w:spacing w:val="-3"/>
          <w:w w:val="110"/>
          <w:sz w:val="22"/>
        </w:rPr>
        <w:t>or </w:t>
      </w:r>
      <w:r>
        <w:rPr>
          <w:rFonts w:ascii="Calibri"/>
          <w:b/>
          <w:color w:val="4C4D4F"/>
          <w:spacing w:val="-4"/>
          <w:w w:val="110"/>
          <w:sz w:val="22"/>
        </w:rPr>
        <w:t>naltrexone </w:t>
      </w:r>
      <w:r>
        <w:rPr>
          <w:rFonts w:ascii="Calibri"/>
          <w:b/>
          <w:color w:val="4C4D4F"/>
          <w:w w:val="110"/>
          <w:sz w:val="22"/>
        </w:rPr>
        <w:t>do not </w:t>
      </w:r>
      <w:r>
        <w:rPr>
          <w:rFonts w:ascii="Calibri"/>
          <w:b/>
          <w:color w:val="4C4D4F"/>
          <w:spacing w:val="-3"/>
          <w:w w:val="110"/>
          <w:sz w:val="22"/>
        </w:rPr>
        <w:t>need special emergency </w:t>
      </w:r>
      <w:r>
        <w:rPr>
          <w:rFonts w:ascii="Calibri"/>
          <w:b/>
          <w:color w:val="4C4D4F"/>
          <w:spacing w:val="-4"/>
          <w:w w:val="110"/>
          <w:sz w:val="22"/>
        </w:rPr>
        <w:t>protocols, </w:t>
      </w:r>
      <w:r>
        <w:rPr>
          <w:color w:val="4C4D4F"/>
          <w:spacing w:val="-3"/>
          <w:w w:val="110"/>
          <w:sz w:val="22"/>
        </w:rPr>
        <w:t>crash carts, </w:t>
      </w:r>
      <w:r>
        <w:rPr>
          <w:color w:val="4C4D4F"/>
          <w:w w:val="110"/>
          <w:sz w:val="22"/>
        </w:rPr>
        <w:t>or </w:t>
      </w:r>
      <w:r>
        <w:rPr>
          <w:color w:val="4C4D4F"/>
          <w:spacing w:val="-3"/>
          <w:w w:val="110"/>
          <w:sz w:val="22"/>
        </w:rPr>
        <w:t>other special equipment. </w:t>
      </w:r>
      <w:r>
        <w:rPr>
          <w:color w:val="4C4D4F"/>
          <w:spacing w:val="-6"/>
          <w:w w:val="110"/>
          <w:sz w:val="22"/>
        </w:rPr>
        <w:t>However, </w:t>
      </w:r>
      <w:r>
        <w:rPr>
          <w:color w:val="4C4D4F"/>
          <w:w w:val="110"/>
          <w:sz w:val="22"/>
        </w:rPr>
        <w:t>for </w:t>
      </w:r>
      <w:r>
        <w:rPr>
          <w:color w:val="4C4D4F"/>
          <w:spacing w:val="-3"/>
          <w:w w:val="110"/>
          <w:sz w:val="22"/>
        </w:rPr>
        <w:t>patient </w:t>
      </w:r>
      <w:r>
        <w:rPr>
          <w:color w:val="4C4D4F"/>
          <w:spacing w:val="-5"/>
          <w:w w:val="110"/>
          <w:sz w:val="22"/>
        </w:rPr>
        <w:t>safety, </w:t>
      </w:r>
      <w:r>
        <w:rPr>
          <w:rFonts w:ascii="Calibri"/>
          <w:b/>
          <w:color w:val="4C4D4F"/>
          <w:w w:val="110"/>
          <w:sz w:val="22"/>
        </w:rPr>
        <w:t>the </w:t>
      </w:r>
      <w:r>
        <w:rPr>
          <w:rFonts w:ascii="Calibri"/>
          <w:b/>
          <w:color w:val="4C4D4F"/>
          <w:spacing w:val="-3"/>
          <w:w w:val="110"/>
          <w:sz w:val="22"/>
        </w:rPr>
        <w:t>TIP expert  panel  </w:t>
      </w:r>
      <w:r>
        <w:rPr>
          <w:rFonts w:ascii="Calibri"/>
          <w:b/>
          <w:color w:val="4C4D4F"/>
          <w:spacing w:val="-4"/>
          <w:w w:val="110"/>
          <w:sz w:val="22"/>
        </w:rPr>
        <w:t>recommends  </w:t>
      </w:r>
      <w:r>
        <w:rPr>
          <w:rFonts w:ascii="Calibri"/>
          <w:b/>
          <w:color w:val="4C4D4F"/>
          <w:spacing w:val="-3"/>
          <w:w w:val="110"/>
          <w:sz w:val="22"/>
        </w:rPr>
        <w:t>having  injectable </w:t>
      </w:r>
      <w:r>
        <w:rPr>
          <w:rFonts w:ascii="Calibri"/>
          <w:b/>
          <w:color w:val="4C4D4F"/>
          <w:w w:val="110"/>
          <w:sz w:val="22"/>
        </w:rPr>
        <w:t>or </w:t>
      </w:r>
      <w:r>
        <w:rPr>
          <w:rFonts w:ascii="Calibri"/>
          <w:b/>
          <w:color w:val="4C4D4F"/>
          <w:spacing w:val="-3"/>
          <w:w w:val="110"/>
          <w:sz w:val="22"/>
        </w:rPr>
        <w:t>intranasal naloxone onsite. </w:t>
      </w:r>
      <w:r>
        <w:rPr>
          <w:color w:val="4C4D4F"/>
          <w:spacing w:val="-3"/>
          <w:w w:val="110"/>
          <w:sz w:val="22"/>
        </w:rPr>
        <w:t>Clinics that ad- minister XR-NTX </w:t>
      </w:r>
      <w:r>
        <w:rPr>
          <w:color w:val="4C4D4F"/>
          <w:w w:val="110"/>
          <w:sz w:val="22"/>
        </w:rPr>
        <w:t>or </w:t>
      </w:r>
      <w:r>
        <w:rPr>
          <w:color w:val="4C4D4F"/>
          <w:spacing w:val="-4"/>
          <w:w w:val="110"/>
          <w:sz w:val="22"/>
        </w:rPr>
        <w:t>buprenorphine </w:t>
      </w:r>
      <w:r>
        <w:rPr>
          <w:color w:val="4C4D4F"/>
          <w:spacing w:val="-3"/>
          <w:w w:val="110"/>
          <w:sz w:val="22"/>
        </w:rPr>
        <w:t>should have </w:t>
      </w:r>
      <w:r>
        <w:rPr>
          <w:color w:val="4C4D4F"/>
          <w:w w:val="110"/>
          <w:sz w:val="22"/>
        </w:rPr>
        <w:t>a </w:t>
      </w:r>
      <w:r>
        <w:rPr>
          <w:color w:val="4C4D4F"/>
          <w:spacing w:val="-3"/>
          <w:w w:val="110"/>
          <w:sz w:val="22"/>
        </w:rPr>
        <w:t>written policy </w:t>
      </w:r>
      <w:r>
        <w:rPr>
          <w:color w:val="4C4D4F"/>
          <w:w w:val="110"/>
          <w:sz w:val="22"/>
        </w:rPr>
        <w:t>and </w:t>
      </w:r>
      <w:r>
        <w:rPr>
          <w:color w:val="4C4D4F"/>
          <w:spacing w:val="-4"/>
          <w:w w:val="110"/>
          <w:sz w:val="22"/>
        </w:rPr>
        <w:t>procedure </w:t>
      </w:r>
      <w:r>
        <w:rPr>
          <w:color w:val="4C4D4F"/>
          <w:w w:val="110"/>
          <w:sz w:val="22"/>
        </w:rPr>
        <w:t>for </w:t>
      </w:r>
      <w:r>
        <w:rPr>
          <w:color w:val="4C4D4F"/>
          <w:spacing w:val="-4"/>
          <w:w w:val="110"/>
          <w:sz w:val="22"/>
        </w:rPr>
        <w:t>responding</w:t>
      </w:r>
      <w:r>
        <w:rPr>
          <w:color w:val="4C4D4F"/>
          <w:spacing w:val="-25"/>
          <w:w w:val="110"/>
          <w:sz w:val="22"/>
        </w:rPr>
        <w:t> </w:t>
      </w:r>
      <w:r>
        <w:rPr>
          <w:color w:val="4C4D4F"/>
          <w:spacing w:val="-3"/>
          <w:w w:val="110"/>
          <w:sz w:val="22"/>
        </w:rPr>
        <w:t>to</w:t>
      </w:r>
    </w:p>
    <w:p>
      <w:pPr>
        <w:pStyle w:val="BodyText"/>
        <w:spacing w:before="14"/>
        <w:ind w:left="140"/>
      </w:pPr>
      <w:r>
        <w:rPr>
          <w:color w:val="4C4D4F"/>
          <w:w w:val="115"/>
        </w:rPr>
        <w:t>precipitated withdrawal and medication allergies.</w:t>
      </w:r>
    </w:p>
    <w:p>
      <w:pPr>
        <w:pStyle w:val="BodyText"/>
        <w:spacing w:before="2"/>
        <w:rPr>
          <w:sz w:val="36"/>
        </w:rPr>
      </w:pPr>
    </w:p>
    <w:p>
      <w:pPr>
        <w:pStyle w:val="Heading7"/>
        <w:spacing w:line="304" w:lineRule="auto"/>
        <w:ind w:left="438" w:right="179"/>
        <w:rPr>
          <w:rFonts w:ascii="Arial"/>
        </w:rPr>
      </w:pPr>
      <w:r>
        <w:rPr/>
        <w:pict>
          <v:line style="position:absolute;mso-position-horizontal-relative:page;mso-position-vertical-relative:paragraph;z-index:15787520" from="315.501007pt,74.313965pt" to="315.501007pt,-.334035pt" stroked="true" strokeweight="1pt" strokecolor="#759eb4">
            <v:stroke dashstyle="solid"/>
            <w10:wrap type="none"/>
          </v:line>
        </w:pict>
      </w:r>
      <w:r>
        <w:rPr>
          <w:rFonts w:ascii="Arial"/>
          <w:color w:val="B15551"/>
          <w:w w:val="110"/>
        </w:rPr>
        <w:t>Providers who give more than 100 patients buprenorphine must have on- call</w:t>
      </w:r>
      <w:r>
        <w:rPr>
          <w:rFonts w:ascii="Arial"/>
          <w:color w:val="B15551"/>
          <w:spacing w:val="-28"/>
          <w:w w:val="110"/>
        </w:rPr>
        <w:t> </w:t>
      </w:r>
      <w:r>
        <w:rPr>
          <w:rFonts w:ascii="Arial"/>
          <w:color w:val="B15551"/>
          <w:w w:val="110"/>
        </w:rPr>
        <w:t>services.</w:t>
      </w:r>
      <w:r>
        <w:rPr>
          <w:rFonts w:ascii="Arial"/>
          <w:color w:val="B15551"/>
          <w:spacing w:val="-30"/>
          <w:w w:val="110"/>
        </w:rPr>
        <w:t> </w:t>
      </w:r>
      <w:r>
        <w:rPr>
          <w:rFonts w:ascii="Arial"/>
          <w:color w:val="B15551"/>
          <w:w w:val="110"/>
        </w:rPr>
        <w:t>Such</w:t>
      </w:r>
      <w:r>
        <w:rPr>
          <w:rFonts w:ascii="Arial"/>
          <w:color w:val="B15551"/>
          <w:spacing w:val="-29"/>
          <w:w w:val="110"/>
        </w:rPr>
        <w:t> </w:t>
      </w:r>
      <w:r>
        <w:rPr>
          <w:rFonts w:ascii="Arial"/>
          <w:color w:val="B15551"/>
          <w:w w:val="110"/>
        </w:rPr>
        <w:t>services</w:t>
      </w:r>
      <w:r>
        <w:rPr>
          <w:rFonts w:ascii="Arial"/>
          <w:color w:val="B15551"/>
          <w:spacing w:val="-30"/>
          <w:w w:val="110"/>
        </w:rPr>
        <w:t> </w:t>
      </w:r>
      <w:r>
        <w:rPr>
          <w:rFonts w:ascii="Arial"/>
          <w:color w:val="B15551"/>
          <w:w w:val="110"/>
        </w:rPr>
        <w:t>are</w:t>
      </w:r>
      <w:r>
        <w:rPr>
          <w:rFonts w:ascii="Arial"/>
          <w:color w:val="B15551"/>
          <w:spacing w:val="-29"/>
          <w:w w:val="110"/>
        </w:rPr>
        <w:t> </w:t>
      </w:r>
      <w:r>
        <w:rPr>
          <w:rFonts w:ascii="Arial"/>
          <w:color w:val="B15551"/>
          <w:w w:val="110"/>
        </w:rPr>
        <w:t>valuable regardless of the number of patients in treatment.</w:t>
      </w:r>
    </w:p>
    <w:p>
      <w:pPr>
        <w:spacing w:after="0" w:line="304" w:lineRule="auto"/>
        <w:rPr>
          <w:rFonts w:ascii="Arial"/>
        </w:rPr>
        <w:sectPr>
          <w:type w:val="continuous"/>
          <w:pgSz w:w="12240" w:h="15840"/>
          <w:pgMar w:top="540" w:bottom="280" w:left="940" w:right="920"/>
          <w:cols w:num="2" w:equalWidth="0">
            <w:col w:w="5018" w:space="202"/>
            <w:col w:w="5160"/>
          </w:cols>
        </w:sectPr>
      </w:pPr>
    </w:p>
    <w:p>
      <w:pPr>
        <w:pStyle w:val="BodyText"/>
        <w:spacing w:before="9"/>
        <w:rPr>
          <w:rFonts w:ascii="Arial"/>
          <w:b/>
          <w:sz w:val="26"/>
        </w:rPr>
      </w:pPr>
    </w:p>
    <w:p>
      <w:pPr>
        <w:spacing w:after="0"/>
        <w:rPr>
          <w:rFonts w:ascii="Arial"/>
          <w:sz w:val="26"/>
        </w:rPr>
        <w:sectPr>
          <w:pgSz w:w="12240" w:h="15840"/>
          <w:pgMar w:header="576" w:footer="677" w:top="1340" w:bottom="860" w:left="940" w:right="920"/>
        </w:sectPr>
      </w:pPr>
    </w:p>
    <w:p>
      <w:pPr>
        <w:spacing w:line="244" w:lineRule="auto" w:before="104"/>
        <w:ind w:left="140" w:right="123" w:firstLine="0"/>
        <w:jc w:val="left"/>
        <w:rPr>
          <w:sz w:val="22"/>
        </w:rPr>
      </w:pPr>
      <w:r>
        <w:rPr>
          <w:rFonts w:ascii="Calibri" w:hAnsi="Calibri"/>
          <w:b/>
          <w:color w:val="4D4D4F"/>
          <w:w w:val="110"/>
          <w:sz w:val="22"/>
        </w:rPr>
        <w:t>On-call services and backup during absences should be available </w:t>
      </w:r>
      <w:r>
        <w:rPr>
          <w:color w:val="4D4D4F"/>
          <w:w w:val="110"/>
          <w:sz w:val="22"/>
        </w:rPr>
        <w:t>either directly or through contracts or cooperative agreements with other local providers with waivers. Qualiﬁed medical staff can offer routine medical and psychiatric coverage even without a buprenorphine waiver.</w:t>
      </w:r>
    </w:p>
    <w:p>
      <w:pPr>
        <w:pStyle w:val="BodyText"/>
        <w:spacing w:before="10"/>
        <w:rPr>
          <w:sz w:val="21"/>
        </w:rPr>
      </w:pPr>
    </w:p>
    <w:p>
      <w:pPr>
        <w:pStyle w:val="Heading2"/>
        <w:spacing w:line="208" w:lineRule="auto" w:before="0"/>
        <w:ind w:right="38"/>
      </w:pPr>
      <w:bookmarkStart w:name="_TOC_250016" w:id="99"/>
      <w:bookmarkEnd w:id="99"/>
      <w:r>
        <w:rPr>
          <w:color w:val="137692"/>
          <w:w w:val="105"/>
        </w:rPr>
        <w:t>Recommendations for Staff Member Training</w:t>
      </w:r>
    </w:p>
    <w:p>
      <w:pPr>
        <w:pStyle w:val="BodyText"/>
        <w:spacing w:line="247" w:lineRule="auto" w:before="42"/>
        <w:ind w:left="140" w:right="240"/>
      </w:pPr>
      <w:r>
        <w:rPr>
          <w:color w:val="4D4D4F"/>
          <w:w w:val="110"/>
        </w:rPr>
        <w:t>All staff members who interact with patients are part of the treatment environment. They can affect patients’ treatment experiences and, ultimately, their outcomes. Staff members who interact with patients can include receptionists, billing clerks, urine specimen collection clerks, and all clinical staff members. Therefore, it is useful to </w:t>
      </w:r>
      <w:r>
        <w:rPr>
          <w:rFonts w:ascii="Calibri" w:hAnsi="Calibri"/>
          <w:b/>
          <w:color w:val="4D4D4F"/>
          <w:w w:val="110"/>
        </w:rPr>
        <w:t>educate and train all staff members in key areas, </w:t>
      </w:r>
      <w:r>
        <w:rPr>
          <w:color w:val="4D4D4F"/>
          <w:w w:val="110"/>
        </w:rPr>
        <w:t>including:</w:t>
      </w:r>
    </w:p>
    <w:p>
      <w:pPr>
        <w:pStyle w:val="ListParagraph"/>
        <w:numPr>
          <w:ilvl w:val="0"/>
          <w:numId w:val="29"/>
        </w:numPr>
        <w:tabs>
          <w:tab w:pos="410" w:val="left" w:leader="none"/>
        </w:tabs>
        <w:spacing w:line="315" w:lineRule="exact" w:before="81" w:after="0"/>
        <w:ind w:left="410" w:right="0" w:hanging="270"/>
        <w:jc w:val="left"/>
        <w:rPr>
          <w:rFonts w:ascii="Arial" w:hAnsi="Arial"/>
          <w:color w:val="137692"/>
          <w:sz w:val="28"/>
        </w:rPr>
      </w:pPr>
      <w:r>
        <w:rPr>
          <w:color w:val="4D4D4F"/>
          <w:w w:val="110"/>
          <w:sz w:val="22"/>
        </w:rPr>
        <w:t>Organizational</w:t>
      </w:r>
      <w:r>
        <w:rPr>
          <w:color w:val="4D4D4F"/>
          <w:spacing w:val="-6"/>
          <w:w w:val="110"/>
          <w:sz w:val="22"/>
        </w:rPr>
        <w:t> </w:t>
      </w:r>
      <w:r>
        <w:rPr>
          <w:color w:val="4D4D4F"/>
          <w:w w:val="110"/>
          <w:sz w:val="22"/>
        </w:rPr>
        <w:t>mission.</w:t>
      </w:r>
    </w:p>
    <w:p>
      <w:pPr>
        <w:pStyle w:val="ListParagraph"/>
        <w:numPr>
          <w:ilvl w:val="0"/>
          <w:numId w:val="29"/>
        </w:numPr>
        <w:tabs>
          <w:tab w:pos="410" w:val="left" w:leader="none"/>
        </w:tabs>
        <w:spacing w:line="264" w:lineRule="exact" w:before="4" w:after="0"/>
        <w:ind w:left="410" w:right="188" w:hanging="270"/>
        <w:jc w:val="left"/>
        <w:rPr>
          <w:rFonts w:ascii="Arial" w:hAnsi="Arial"/>
          <w:color w:val="137692"/>
          <w:sz w:val="28"/>
        </w:rPr>
      </w:pPr>
      <w:r>
        <w:rPr>
          <w:color w:val="4D4D4F"/>
          <w:w w:val="110"/>
          <w:sz w:val="22"/>
        </w:rPr>
        <w:t>The scientiﬁc and empirical underpinnings for the use of FDA-approved medications </w:t>
      </w:r>
      <w:r>
        <w:rPr>
          <w:color w:val="4D4D4F"/>
          <w:spacing w:val="-6"/>
          <w:w w:val="110"/>
          <w:sz w:val="22"/>
        </w:rPr>
        <w:t>for </w:t>
      </w:r>
      <w:r>
        <w:rPr>
          <w:color w:val="4D4D4F"/>
          <w:w w:val="110"/>
          <w:sz w:val="22"/>
        </w:rPr>
        <w:t>OUD, how these medications work, and the evidence for their</w:t>
      </w:r>
      <w:r>
        <w:rPr>
          <w:color w:val="4D4D4F"/>
          <w:spacing w:val="-12"/>
          <w:w w:val="110"/>
          <w:sz w:val="22"/>
        </w:rPr>
        <w:t> </w:t>
      </w:r>
      <w:r>
        <w:rPr>
          <w:color w:val="4D4D4F"/>
          <w:w w:val="110"/>
          <w:sz w:val="22"/>
        </w:rPr>
        <w:t>effectiveness.</w:t>
      </w:r>
    </w:p>
    <w:p>
      <w:pPr>
        <w:pStyle w:val="ListParagraph"/>
        <w:numPr>
          <w:ilvl w:val="0"/>
          <w:numId w:val="29"/>
        </w:numPr>
        <w:tabs>
          <w:tab w:pos="410" w:val="left" w:leader="none"/>
        </w:tabs>
        <w:spacing w:line="225" w:lineRule="auto" w:before="45" w:after="0"/>
        <w:ind w:left="410" w:right="438" w:hanging="270"/>
        <w:jc w:val="left"/>
        <w:rPr>
          <w:rFonts w:ascii="Arial" w:hAnsi="Arial"/>
          <w:color w:val="137692"/>
          <w:sz w:val="28"/>
        </w:rPr>
      </w:pPr>
      <w:r>
        <w:rPr>
          <w:color w:val="4D4D4F"/>
          <w:w w:val="110"/>
          <w:sz w:val="22"/>
        </w:rPr>
        <w:t>The similarity of medical management </w:t>
      </w:r>
      <w:r>
        <w:rPr>
          <w:color w:val="4D4D4F"/>
          <w:spacing w:val="-6"/>
          <w:w w:val="110"/>
          <w:sz w:val="22"/>
        </w:rPr>
        <w:t>and </w:t>
      </w:r>
      <w:r>
        <w:rPr>
          <w:color w:val="4D4D4F"/>
          <w:w w:val="110"/>
          <w:sz w:val="22"/>
        </w:rPr>
        <w:t>support of patients with OUD to that of patients with other chronic</w:t>
      </w:r>
      <w:r>
        <w:rPr>
          <w:color w:val="4D4D4F"/>
          <w:spacing w:val="-26"/>
          <w:w w:val="110"/>
          <w:sz w:val="22"/>
        </w:rPr>
        <w:t> </w:t>
      </w:r>
      <w:r>
        <w:rPr>
          <w:color w:val="4D4D4F"/>
          <w:w w:val="110"/>
          <w:sz w:val="22"/>
        </w:rPr>
        <w:t>illnesses.</w:t>
      </w:r>
    </w:p>
    <w:p>
      <w:pPr>
        <w:pStyle w:val="ListParagraph"/>
        <w:numPr>
          <w:ilvl w:val="0"/>
          <w:numId w:val="29"/>
        </w:numPr>
        <w:tabs>
          <w:tab w:pos="410" w:val="left" w:leader="none"/>
        </w:tabs>
        <w:spacing w:line="208" w:lineRule="auto" w:before="68" w:after="0"/>
        <w:ind w:left="410" w:right="38" w:hanging="270"/>
        <w:jc w:val="left"/>
        <w:rPr>
          <w:rFonts w:ascii="Arial" w:hAnsi="Arial"/>
          <w:color w:val="137692"/>
          <w:sz w:val="28"/>
        </w:rPr>
      </w:pPr>
      <w:r>
        <w:rPr>
          <w:color w:val="4D4D4F"/>
          <w:w w:val="115"/>
          <w:sz w:val="22"/>
        </w:rPr>
        <w:t>The</w:t>
      </w:r>
      <w:r>
        <w:rPr>
          <w:color w:val="4D4D4F"/>
          <w:spacing w:val="-28"/>
          <w:w w:val="115"/>
          <w:sz w:val="22"/>
        </w:rPr>
        <w:t> </w:t>
      </w:r>
      <w:r>
        <w:rPr>
          <w:color w:val="4D4D4F"/>
          <w:w w:val="115"/>
          <w:sz w:val="22"/>
        </w:rPr>
        <w:t>importance</w:t>
      </w:r>
      <w:r>
        <w:rPr>
          <w:color w:val="4D4D4F"/>
          <w:spacing w:val="-27"/>
          <w:w w:val="115"/>
          <w:sz w:val="22"/>
        </w:rPr>
        <w:t> </w:t>
      </w:r>
      <w:r>
        <w:rPr>
          <w:color w:val="4D4D4F"/>
          <w:w w:val="115"/>
          <w:sz w:val="22"/>
        </w:rPr>
        <w:t>of</w:t>
      </w:r>
      <w:r>
        <w:rPr>
          <w:color w:val="4D4D4F"/>
          <w:spacing w:val="-28"/>
          <w:w w:val="115"/>
          <w:sz w:val="22"/>
        </w:rPr>
        <w:t> </w:t>
      </w:r>
      <w:r>
        <w:rPr>
          <w:color w:val="4D4D4F"/>
          <w:w w:val="115"/>
          <w:sz w:val="22"/>
        </w:rPr>
        <w:t>maintaining</w:t>
      </w:r>
      <w:r>
        <w:rPr>
          <w:color w:val="4D4D4F"/>
          <w:spacing w:val="-27"/>
          <w:w w:val="115"/>
          <w:sz w:val="22"/>
        </w:rPr>
        <w:t> </w:t>
      </w:r>
      <w:r>
        <w:rPr>
          <w:color w:val="4D4D4F"/>
          <w:w w:val="115"/>
          <w:sz w:val="22"/>
        </w:rPr>
        <w:t>a</w:t>
      </w:r>
      <w:r>
        <w:rPr>
          <w:color w:val="4D4D4F"/>
          <w:spacing w:val="-28"/>
          <w:w w:val="115"/>
          <w:sz w:val="22"/>
        </w:rPr>
        <w:t> </w:t>
      </w:r>
      <w:r>
        <w:rPr>
          <w:color w:val="4D4D4F"/>
          <w:w w:val="115"/>
          <w:sz w:val="22"/>
        </w:rPr>
        <w:t>nonjudgmen- tal</w:t>
      </w:r>
      <w:r>
        <w:rPr>
          <w:color w:val="4D4D4F"/>
          <w:spacing w:val="-19"/>
          <w:w w:val="115"/>
          <w:sz w:val="22"/>
        </w:rPr>
        <w:t> </w:t>
      </w:r>
      <w:r>
        <w:rPr>
          <w:color w:val="4D4D4F"/>
          <w:w w:val="115"/>
          <w:sz w:val="22"/>
        </w:rPr>
        <w:t>and</w:t>
      </w:r>
      <w:r>
        <w:rPr>
          <w:color w:val="4D4D4F"/>
          <w:spacing w:val="-18"/>
          <w:w w:val="115"/>
          <w:sz w:val="22"/>
        </w:rPr>
        <w:t> </w:t>
      </w:r>
      <w:r>
        <w:rPr>
          <w:color w:val="4D4D4F"/>
          <w:w w:val="115"/>
          <w:sz w:val="22"/>
        </w:rPr>
        <w:t>welcoming</w:t>
      </w:r>
      <w:r>
        <w:rPr>
          <w:color w:val="4D4D4F"/>
          <w:spacing w:val="-18"/>
          <w:w w:val="115"/>
          <w:sz w:val="22"/>
        </w:rPr>
        <w:t> </w:t>
      </w:r>
      <w:r>
        <w:rPr>
          <w:color w:val="4D4D4F"/>
          <w:w w:val="115"/>
          <w:sz w:val="22"/>
        </w:rPr>
        <w:t>attitude</w:t>
      </w:r>
      <w:r>
        <w:rPr>
          <w:color w:val="4D4D4F"/>
          <w:spacing w:val="-18"/>
          <w:w w:val="115"/>
          <w:sz w:val="22"/>
        </w:rPr>
        <w:t> </w:t>
      </w:r>
      <w:r>
        <w:rPr>
          <w:color w:val="4D4D4F"/>
          <w:w w:val="115"/>
          <w:sz w:val="22"/>
        </w:rPr>
        <w:t>toward</w:t>
      </w:r>
      <w:r>
        <w:rPr>
          <w:color w:val="4D4D4F"/>
          <w:spacing w:val="-18"/>
          <w:w w:val="115"/>
          <w:sz w:val="22"/>
        </w:rPr>
        <w:t> </w:t>
      </w:r>
      <w:r>
        <w:rPr>
          <w:color w:val="4D4D4F"/>
          <w:w w:val="115"/>
          <w:sz w:val="22"/>
        </w:rPr>
        <w:t>patients.</w:t>
      </w:r>
    </w:p>
    <w:p>
      <w:pPr>
        <w:pStyle w:val="ListParagraph"/>
        <w:numPr>
          <w:ilvl w:val="0"/>
          <w:numId w:val="29"/>
        </w:numPr>
        <w:tabs>
          <w:tab w:pos="410" w:val="left" w:leader="none"/>
        </w:tabs>
        <w:spacing w:line="225" w:lineRule="auto" w:before="54" w:after="0"/>
        <w:ind w:left="410" w:right="373" w:hanging="270"/>
        <w:jc w:val="left"/>
        <w:rPr>
          <w:rFonts w:ascii="Arial" w:hAnsi="Arial"/>
          <w:color w:val="137692"/>
          <w:sz w:val="28"/>
        </w:rPr>
      </w:pPr>
      <w:r>
        <w:rPr>
          <w:color w:val="4D4D4F"/>
          <w:w w:val="110"/>
          <w:sz w:val="22"/>
        </w:rPr>
        <w:t>How to hold discussions about negative perceptions and prejudices associated </w:t>
      </w:r>
      <w:r>
        <w:rPr>
          <w:color w:val="4D4D4F"/>
          <w:spacing w:val="-5"/>
          <w:w w:val="110"/>
          <w:sz w:val="22"/>
        </w:rPr>
        <w:t>with </w:t>
      </w:r>
      <w:r>
        <w:rPr>
          <w:color w:val="4D4D4F"/>
          <w:w w:val="110"/>
          <w:sz w:val="22"/>
        </w:rPr>
        <w:t>OUD.</w:t>
      </w:r>
    </w:p>
    <w:p>
      <w:pPr>
        <w:pStyle w:val="ListParagraph"/>
        <w:numPr>
          <w:ilvl w:val="0"/>
          <w:numId w:val="29"/>
        </w:numPr>
        <w:tabs>
          <w:tab w:pos="410" w:val="left" w:leader="none"/>
        </w:tabs>
        <w:spacing w:line="225" w:lineRule="auto" w:before="53" w:after="0"/>
        <w:ind w:left="410" w:right="266" w:hanging="270"/>
        <w:jc w:val="left"/>
        <w:rPr>
          <w:rFonts w:ascii="Arial" w:hAnsi="Arial"/>
          <w:color w:val="137692"/>
          <w:sz w:val="28"/>
        </w:rPr>
      </w:pPr>
      <w:r>
        <w:rPr>
          <w:color w:val="4D4D4F"/>
          <w:w w:val="110"/>
          <w:sz w:val="22"/>
        </w:rPr>
        <w:t>Side effects of OUD medications and </w:t>
      </w:r>
      <w:r>
        <w:rPr>
          <w:color w:val="4D4D4F"/>
          <w:spacing w:val="-4"/>
          <w:w w:val="110"/>
          <w:sz w:val="22"/>
        </w:rPr>
        <w:t>proce- </w:t>
      </w:r>
      <w:r>
        <w:rPr>
          <w:color w:val="4D4D4F"/>
          <w:w w:val="110"/>
          <w:sz w:val="22"/>
        </w:rPr>
        <w:t>dures to alert staff members when patients exhibit</w:t>
      </w:r>
      <w:r>
        <w:rPr>
          <w:color w:val="4D4D4F"/>
          <w:spacing w:val="-6"/>
          <w:w w:val="110"/>
          <w:sz w:val="22"/>
        </w:rPr>
        <w:t> </w:t>
      </w:r>
      <w:r>
        <w:rPr>
          <w:color w:val="4D4D4F"/>
          <w:w w:val="110"/>
          <w:sz w:val="22"/>
        </w:rPr>
        <w:t>them.</w:t>
      </w:r>
    </w:p>
    <w:p>
      <w:pPr>
        <w:pStyle w:val="ListParagraph"/>
        <w:numPr>
          <w:ilvl w:val="0"/>
          <w:numId w:val="29"/>
        </w:numPr>
        <w:tabs>
          <w:tab w:pos="410" w:val="left" w:leader="none"/>
        </w:tabs>
        <w:spacing w:line="264" w:lineRule="exact" w:before="102" w:after="0"/>
        <w:ind w:left="409" w:right="190" w:hanging="270"/>
        <w:jc w:val="left"/>
        <w:rPr>
          <w:rFonts w:ascii="Arial" w:hAnsi="Arial"/>
          <w:color w:val="137692"/>
          <w:sz w:val="28"/>
        </w:rPr>
      </w:pPr>
      <w:r>
        <w:rPr>
          <w:color w:val="4D4D4F"/>
          <w:w w:val="106"/>
          <w:sz w:val="22"/>
        </w:rPr>
        <w:br w:type="column"/>
      </w:r>
      <w:r>
        <w:rPr>
          <w:color w:val="4D4D4F"/>
          <w:w w:val="115"/>
          <w:sz w:val="22"/>
        </w:rPr>
        <w:t>The effect of OUD and other substance use and</w:t>
      </w:r>
      <w:r>
        <w:rPr>
          <w:color w:val="4D4D4F"/>
          <w:spacing w:val="-39"/>
          <w:w w:val="115"/>
          <w:sz w:val="22"/>
        </w:rPr>
        <w:t> </w:t>
      </w:r>
      <w:r>
        <w:rPr>
          <w:color w:val="4D4D4F"/>
          <w:w w:val="115"/>
          <w:sz w:val="22"/>
        </w:rPr>
        <w:t>mental</w:t>
      </w:r>
      <w:r>
        <w:rPr>
          <w:color w:val="4D4D4F"/>
          <w:spacing w:val="-39"/>
          <w:w w:val="115"/>
          <w:sz w:val="22"/>
        </w:rPr>
        <w:t> </w:t>
      </w:r>
      <w:r>
        <w:rPr>
          <w:color w:val="4D4D4F"/>
          <w:w w:val="115"/>
          <w:sz w:val="22"/>
        </w:rPr>
        <w:t>disorders</w:t>
      </w:r>
      <w:r>
        <w:rPr>
          <w:color w:val="4D4D4F"/>
          <w:spacing w:val="-38"/>
          <w:w w:val="115"/>
          <w:sz w:val="22"/>
        </w:rPr>
        <w:t> </w:t>
      </w:r>
      <w:r>
        <w:rPr>
          <w:color w:val="4D4D4F"/>
          <w:w w:val="115"/>
          <w:sz w:val="22"/>
        </w:rPr>
        <w:t>(including</w:t>
      </w:r>
      <w:r>
        <w:rPr>
          <w:color w:val="4D4D4F"/>
          <w:spacing w:val="-39"/>
          <w:w w:val="115"/>
          <w:sz w:val="22"/>
        </w:rPr>
        <w:t> </w:t>
      </w:r>
      <w:r>
        <w:rPr>
          <w:color w:val="4D4D4F"/>
          <w:w w:val="115"/>
          <w:sz w:val="22"/>
        </w:rPr>
        <w:t>posttraumatic stress</w:t>
      </w:r>
      <w:r>
        <w:rPr>
          <w:color w:val="4D4D4F"/>
          <w:spacing w:val="-39"/>
          <w:w w:val="115"/>
          <w:sz w:val="22"/>
        </w:rPr>
        <w:t> </w:t>
      </w:r>
      <w:r>
        <w:rPr>
          <w:color w:val="4D4D4F"/>
          <w:w w:val="115"/>
          <w:sz w:val="22"/>
        </w:rPr>
        <w:t>disorder)</w:t>
      </w:r>
      <w:r>
        <w:rPr>
          <w:color w:val="4D4D4F"/>
          <w:spacing w:val="-38"/>
          <w:w w:val="115"/>
          <w:sz w:val="22"/>
        </w:rPr>
        <w:t> </w:t>
      </w:r>
      <w:r>
        <w:rPr>
          <w:color w:val="4D4D4F"/>
          <w:w w:val="115"/>
          <w:sz w:val="22"/>
        </w:rPr>
        <w:t>on</w:t>
      </w:r>
      <w:r>
        <w:rPr>
          <w:color w:val="4D4D4F"/>
          <w:spacing w:val="-38"/>
          <w:w w:val="115"/>
          <w:sz w:val="22"/>
        </w:rPr>
        <w:t> </w:t>
      </w:r>
      <w:r>
        <w:rPr>
          <w:color w:val="4D4D4F"/>
          <w:w w:val="115"/>
          <w:sz w:val="22"/>
        </w:rPr>
        <w:t>patients’</w:t>
      </w:r>
      <w:r>
        <w:rPr>
          <w:color w:val="4D4D4F"/>
          <w:spacing w:val="-38"/>
          <w:w w:val="115"/>
          <w:sz w:val="22"/>
        </w:rPr>
        <w:t> </w:t>
      </w:r>
      <w:r>
        <w:rPr>
          <w:color w:val="4D4D4F"/>
          <w:w w:val="115"/>
          <w:sz w:val="22"/>
        </w:rPr>
        <w:t>behavior</w:t>
      </w:r>
      <w:r>
        <w:rPr>
          <w:color w:val="4D4D4F"/>
          <w:spacing w:val="-39"/>
          <w:w w:val="115"/>
          <w:sz w:val="22"/>
        </w:rPr>
        <w:t> </w:t>
      </w:r>
      <w:r>
        <w:rPr>
          <w:color w:val="4D4D4F"/>
          <w:w w:val="115"/>
          <w:sz w:val="22"/>
        </w:rPr>
        <w:t>and</w:t>
      </w:r>
      <w:r>
        <w:rPr>
          <w:color w:val="4D4D4F"/>
          <w:spacing w:val="-38"/>
          <w:w w:val="115"/>
          <w:sz w:val="22"/>
        </w:rPr>
        <w:t> </w:t>
      </w:r>
      <w:r>
        <w:rPr>
          <w:color w:val="4D4D4F"/>
          <w:spacing w:val="-6"/>
          <w:w w:val="115"/>
          <w:sz w:val="22"/>
        </w:rPr>
        <w:t>how </w:t>
      </w:r>
      <w:r>
        <w:rPr>
          <w:color w:val="4D4D4F"/>
          <w:w w:val="115"/>
          <w:sz w:val="22"/>
        </w:rPr>
        <w:t>staff</w:t>
      </w:r>
      <w:r>
        <w:rPr>
          <w:color w:val="4D4D4F"/>
          <w:spacing w:val="-19"/>
          <w:w w:val="115"/>
          <w:sz w:val="22"/>
        </w:rPr>
        <w:t> </w:t>
      </w:r>
      <w:r>
        <w:rPr>
          <w:color w:val="4D4D4F"/>
          <w:w w:val="115"/>
          <w:sz w:val="22"/>
        </w:rPr>
        <w:t>members</w:t>
      </w:r>
      <w:r>
        <w:rPr>
          <w:color w:val="4D4D4F"/>
          <w:spacing w:val="-19"/>
          <w:w w:val="115"/>
          <w:sz w:val="22"/>
        </w:rPr>
        <w:t> </w:t>
      </w:r>
      <w:r>
        <w:rPr>
          <w:color w:val="4D4D4F"/>
          <w:w w:val="115"/>
          <w:sz w:val="22"/>
        </w:rPr>
        <w:t>can</w:t>
      </w:r>
      <w:r>
        <w:rPr>
          <w:color w:val="4D4D4F"/>
          <w:spacing w:val="-19"/>
          <w:w w:val="115"/>
          <w:sz w:val="22"/>
        </w:rPr>
        <w:t> </w:t>
      </w:r>
      <w:r>
        <w:rPr>
          <w:color w:val="4D4D4F"/>
          <w:w w:val="115"/>
          <w:sz w:val="22"/>
        </w:rPr>
        <w:t>respond</w:t>
      </w:r>
      <w:r>
        <w:rPr>
          <w:color w:val="4D4D4F"/>
          <w:spacing w:val="-18"/>
          <w:w w:val="115"/>
          <w:sz w:val="22"/>
        </w:rPr>
        <w:t> </w:t>
      </w:r>
      <w:r>
        <w:rPr>
          <w:color w:val="4D4D4F"/>
          <w:w w:val="115"/>
          <w:sz w:val="22"/>
        </w:rPr>
        <w:t>appropriately.</w:t>
      </w:r>
    </w:p>
    <w:p>
      <w:pPr>
        <w:pStyle w:val="ListParagraph"/>
        <w:numPr>
          <w:ilvl w:val="0"/>
          <w:numId w:val="29"/>
        </w:numPr>
        <w:tabs>
          <w:tab w:pos="410" w:val="left" w:leader="none"/>
        </w:tabs>
        <w:spacing w:line="225" w:lineRule="auto" w:before="45" w:after="0"/>
        <w:ind w:left="409" w:right="393" w:hanging="270"/>
        <w:jc w:val="left"/>
        <w:rPr>
          <w:rFonts w:ascii="Arial" w:hAnsi="Arial"/>
          <w:color w:val="137692"/>
          <w:sz w:val="28"/>
        </w:rPr>
      </w:pPr>
      <w:r>
        <w:rPr>
          <w:color w:val="4D4D4F"/>
          <w:w w:val="115"/>
          <w:sz w:val="22"/>
        </w:rPr>
        <w:t>Procedures</w:t>
      </w:r>
      <w:r>
        <w:rPr>
          <w:color w:val="4D4D4F"/>
          <w:spacing w:val="-33"/>
          <w:w w:val="115"/>
          <w:sz w:val="22"/>
        </w:rPr>
        <w:t> </w:t>
      </w:r>
      <w:r>
        <w:rPr>
          <w:color w:val="4D4D4F"/>
          <w:w w:val="115"/>
          <w:sz w:val="22"/>
        </w:rPr>
        <w:t>for</w:t>
      </w:r>
      <w:r>
        <w:rPr>
          <w:color w:val="4D4D4F"/>
          <w:spacing w:val="-33"/>
          <w:w w:val="115"/>
          <w:sz w:val="22"/>
        </w:rPr>
        <w:t> </w:t>
      </w:r>
      <w:r>
        <w:rPr>
          <w:color w:val="4D4D4F"/>
          <w:w w:val="115"/>
          <w:sz w:val="22"/>
        </w:rPr>
        <w:t>seeking</w:t>
      </w:r>
      <w:r>
        <w:rPr>
          <w:color w:val="4D4D4F"/>
          <w:spacing w:val="-32"/>
          <w:w w:val="115"/>
          <w:sz w:val="22"/>
        </w:rPr>
        <w:t> </w:t>
      </w:r>
      <w:r>
        <w:rPr>
          <w:color w:val="4D4D4F"/>
          <w:w w:val="115"/>
          <w:sz w:val="22"/>
        </w:rPr>
        <w:t>help</w:t>
      </w:r>
      <w:r>
        <w:rPr>
          <w:color w:val="4D4D4F"/>
          <w:spacing w:val="-33"/>
          <w:w w:val="115"/>
          <w:sz w:val="22"/>
        </w:rPr>
        <w:t> </w:t>
      </w:r>
      <w:r>
        <w:rPr>
          <w:color w:val="4D4D4F"/>
          <w:w w:val="115"/>
          <w:sz w:val="22"/>
        </w:rPr>
        <w:t>from</w:t>
      </w:r>
      <w:r>
        <w:rPr>
          <w:color w:val="4D4D4F"/>
          <w:spacing w:val="-32"/>
          <w:w w:val="115"/>
          <w:sz w:val="22"/>
        </w:rPr>
        <w:t> </w:t>
      </w:r>
      <w:r>
        <w:rPr>
          <w:color w:val="4D4D4F"/>
          <w:w w:val="115"/>
          <w:sz w:val="22"/>
        </w:rPr>
        <w:t>other</w:t>
      </w:r>
      <w:r>
        <w:rPr>
          <w:color w:val="4D4D4F"/>
          <w:spacing w:val="-33"/>
          <w:w w:val="115"/>
          <w:sz w:val="22"/>
        </w:rPr>
        <w:t> </w:t>
      </w:r>
      <w:r>
        <w:rPr>
          <w:color w:val="4D4D4F"/>
          <w:spacing w:val="-5"/>
          <w:w w:val="115"/>
          <w:sz w:val="22"/>
        </w:rPr>
        <w:t>staff </w:t>
      </w:r>
      <w:r>
        <w:rPr>
          <w:color w:val="4D4D4F"/>
          <w:w w:val="115"/>
          <w:sz w:val="22"/>
        </w:rPr>
        <w:t>members to deescalate disagreements or solve</w:t>
      </w:r>
      <w:r>
        <w:rPr>
          <w:color w:val="4D4D4F"/>
          <w:spacing w:val="-11"/>
          <w:w w:val="115"/>
          <w:sz w:val="22"/>
        </w:rPr>
        <w:t> </w:t>
      </w:r>
      <w:r>
        <w:rPr>
          <w:color w:val="4D4D4F"/>
          <w:w w:val="115"/>
          <w:sz w:val="22"/>
        </w:rPr>
        <w:t>problems.</w:t>
      </w:r>
    </w:p>
    <w:p>
      <w:pPr>
        <w:pStyle w:val="ListParagraph"/>
        <w:numPr>
          <w:ilvl w:val="0"/>
          <w:numId w:val="29"/>
        </w:numPr>
        <w:tabs>
          <w:tab w:pos="410" w:val="left" w:leader="none"/>
        </w:tabs>
        <w:spacing w:line="208" w:lineRule="auto" w:before="69" w:after="0"/>
        <w:ind w:left="409" w:right="169" w:hanging="270"/>
        <w:jc w:val="left"/>
        <w:rPr>
          <w:rFonts w:ascii="Arial" w:hAnsi="Arial"/>
          <w:color w:val="137692"/>
          <w:sz w:val="28"/>
        </w:rPr>
      </w:pPr>
      <w:r>
        <w:rPr>
          <w:color w:val="4D4D4F"/>
          <w:w w:val="110"/>
          <w:sz w:val="22"/>
        </w:rPr>
        <w:t>Procedures for protecting patients’ conﬁdenti- ality and</w:t>
      </w:r>
      <w:r>
        <w:rPr>
          <w:color w:val="4D4D4F"/>
          <w:spacing w:val="-10"/>
          <w:w w:val="110"/>
          <w:sz w:val="22"/>
        </w:rPr>
        <w:t> </w:t>
      </w:r>
      <w:r>
        <w:rPr>
          <w:color w:val="4D4D4F"/>
          <w:spacing w:val="-3"/>
          <w:w w:val="110"/>
          <w:sz w:val="22"/>
        </w:rPr>
        <w:t>safety.</w:t>
      </w:r>
    </w:p>
    <w:p>
      <w:pPr>
        <w:pStyle w:val="Heading7"/>
        <w:spacing w:line="235" w:lineRule="auto" w:before="194"/>
        <w:ind w:right="1006"/>
      </w:pPr>
      <w:r>
        <w:rPr>
          <w:color w:val="4D4D4F"/>
          <w:w w:val="115"/>
        </w:rPr>
        <w:t>Treating OUD can be a challenging yet rewarding part of a clinical practice.</w:t>
      </w:r>
    </w:p>
    <w:p>
      <w:pPr>
        <w:pStyle w:val="BodyText"/>
        <w:spacing w:line="247" w:lineRule="auto" w:before="3"/>
        <w:ind w:left="140" w:right="388"/>
      </w:pPr>
      <w:r>
        <w:rPr>
          <w:color w:val="4D4D4F"/>
          <w:w w:val="110"/>
        </w:rPr>
        <w:t>Addressing key administrative issues keeps the focus on the rewarding aspects of developing long-term relationships with patients as they work to overcome negative effects of OUD on their lives and improve their health.</w:t>
      </w:r>
    </w:p>
    <w:p>
      <w:pPr>
        <w:pStyle w:val="BodyText"/>
        <w:rPr>
          <w:sz w:val="20"/>
        </w:rPr>
      </w:pPr>
    </w:p>
    <w:p>
      <w:pPr>
        <w:pStyle w:val="BodyText"/>
        <w:spacing w:before="6"/>
        <w:rPr>
          <w:sz w:val="18"/>
        </w:rPr>
      </w:pPr>
      <w:r>
        <w:rPr/>
        <w:pict>
          <v:group style="position:absolute;margin-left:314.751007pt;margin-top:12.699558pt;width:243.5pt;height:213pt;mso-position-horizontal-relative:page;mso-position-vertical-relative:paragraph;z-index:-15669248;mso-wrap-distance-left:0;mso-wrap-distance-right:0" coordorigin="6295,254" coordsize="4870,4260">
            <v:rect style="position:absolute;left:6300;top:259;width:4860;height:4250" filled="false" stroked="true" strokeweight=".5pt" strokecolor="#88aabd">
              <v:stroke dashstyle="solid"/>
            </v:rect>
            <v:shape style="position:absolute;left:6305;top:850;width:4850;height:3653" type="#_x0000_t202" filled="false" stroked="false">
              <v:textbox inset="0,0,0,0">
                <w:txbxContent>
                  <w:p>
                    <w:pPr>
                      <w:spacing w:line="278" w:lineRule="auto" w:before="59"/>
                      <w:ind w:left="230" w:right="1094" w:firstLine="0"/>
                      <w:jc w:val="left"/>
                      <w:rPr>
                        <w:rFonts w:ascii="Arial"/>
                        <w:b/>
                        <w:sz w:val="24"/>
                      </w:rPr>
                    </w:pPr>
                    <w:r>
                      <w:rPr>
                        <w:rFonts w:ascii="Arial"/>
                        <w:b/>
                        <w:color w:val="137692"/>
                        <w:w w:val="110"/>
                        <w:sz w:val="24"/>
                      </w:rPr>
                      <w:t>Training and Mentorship for Prescribers</w:t>
                    </w:r>
                  </w:p>
                  <w:p>
                    <w:pPr>
                      <w:spacing w:line="348" w:lineRule="auto" w:before="154"/>
                      <w:ind w:left="230" w:right="182" w:firstLine="0"/>
                      <w:jc w:val="left"/>
                      <w:rPr>
                        <w:rFonts w:ascii="Arial" w:hAnsi="Arial"/>
                        <w:sz w:val="18"/>
                      </w:rPr>
                    </w:pPr>
                    <w:r>
                      <w:rPr>
                        <w:rFonts w:ascii="Arial" w:hAnsi="Arial"/>
                        <w:color w:val="414142"/>
                        <w:w w:val="115"/>
                        <w:sz w:val="18"/>
                      </w:rPr>
                      <w:t>The Providers’ Clinical Support System, with the American Academy of Addiction Psychiatry as the lead organization along with partners from ASAM and other professional organizations, delivers education, training, and mentorship</w:t>
                    </w:r>
                  </w:p>
                  <w:p>
                    <w:pPr>
                      <w:spacing w:line="348" w:lineRule="auto" w:before="0"/>
                      <w:ind w:left="230" w:right="290" w:firstLine="0"/>
                      <w:jc w:val="left"/>
                      <w:rPr>
                        <w:rFonts w:ascii="Arial"/>
                        <w:sz w:val="18"/>
                      </w:rPr>
                    </w:pPr>
                    <w:r>
                      <w:rPr>
                        <w:rFonts w:ascii="Arial"/>
                        <w:color w:val="414142"/>
                        <w:w w:val="115"/>
                        <w:sz w:val="18"/>
                      </w:rPr>
                      <w:t>to providers who wish to treat OUD with medications. More information about training and professional mentorship is available online (</w:t>
                    </w:r>
                    <w:r>
                      <w:rPr>
                        <w:rFonts w:ascii="Arial"/>
                        <w:color w:val="3B68A6"/>
                        <w:w w:val="115"/>
                        <w:sz w:val="18"/>
                        <w:u w:val="single" w:color="3B68A6"/>
                      </w:rPr>
                      <w:t>https://pcssnow.org/education-training/</w:t>
                    </w:r>
                    <w:r>
                      <w:rPr>
                        <w:rFonts w:ascii="Arial"/>
                        <w:color w:val="414142"/>
                        <w:w w:val="115"/>
                        <w:sz w:val="18"/>
                      </w:rPr>
                      <w:t>).</w:t>
                    </w:r>
                  </w:p>
                </w:txbxContent>
              </v:textbox>
              <w10:wrap type="none"/>
            </v:shape>
            <v:shape style="position:absolute;left:6305;top:264;width:4850;height:587" type="#_x0000_t202" filled="true" fillcolor="#377f9a" stroked="false">
              <v:textbox inset="0,0,0,0">
                <w:txbxContent>
                  <w:p>
                    <w:pPr>
                      <w:spacing w:before="127"/>
                      <w:ind w:left="230" w:right="0" w:firstLine="0"/>
                      <w:jc w:val="left"/>
                      <w:rPr>
                        <w:rFonts w:ascii="Arial"/>
                        <w:b/>
                        <w:sz w:val="26"/>
                      </w:rPr>
                    </w:pPr>
                    <w:r>
                      <w:rPr>
                        <w:rFonts w:ascii="Arial"/>
                        <w:b/>
                        <w:color w:val="FFFFFF"/>
                        <w:sz w:val="26"/>
                      </w:rPr>
                      <w:t>RESOURCE ALERT</w:t>
                    </w:r>
                  </w:p>
                </w:txbxContent>
              </v:textbox>
              <v:fill type="solid"/>
              <w10:wrap type="none"/>
            </v:shape>
            <w10:wrap type="topAndBottom"/>
          </v:group>
        </w:pict>
      </w:r>
    </w:p>
    <w:p>
      <w:pPr>
        <w:spacing w:after="0"/>
        <w:rPr>
          <w:sz w:val="18"/>
        </w:rPr>
        <w:sectPr>
          <w:type w:val="continuous"/>
          <w:pgSz w:w="12240" w:h="15840"/>
          <w:pgMar w:top="540" w:bottom="280" w:left="940" w:right="920"/>
          <w:cols w:num="2" w:equalWidth="0">
            <w:col w:w="5041" w:space="179"/>
            <w:col w:w="5160"/>
          </w:cols>
        </w:sectPr>
      </w:pPr>
    </w:p>
    <w:p>
      <w:pPr>
        <w:pStyle w:val="BodyText"/>
        <w:spacing w:before="5"/>
        <w:rPr>
          <w:sz w:val="26"/>
        </w:rPr>
      </w:pPr>
    </w:p>
    <w:p>
      <w:pPr>
        <w:pStyle w:val="Heading2"/>
      </w:pPr>
      <w:bookmarkStart w:name="_TOC_250015" w:id="100"/>
      <w:r>
        <w:rPr>
          <w:color w:val="137692"/>
          <w:w w:val="110"/>
        </w:rPr>
        <w:t>Chapter 3E</w:t>
      </w:r>
      <w:r>
        <w:rPr>
          <w:color w:val="137692"/>
          <w:spacing w:val="-56"/>
          <w:w w:val="110"/>
        </w:rPr>
        <w:t> </w:t>
      </w:r>
      <w:bookmarkEnd w:id="100"/>
      <w:r>
        <w:rPr>
          <w:color w:val="137692"/>
          <w:w w:val="110"/>
        </w:rPr>
        <w:t>Appendix</w:t>
      </w:r>
    </w:p>
    <w:p>
      <w:pPr>
        <w:pStyle w:val="Heading3"/>
        <w:spacing w:before="221"/>
      </w:pPr>
      <w:bookmarkStart w:name="_TOC_250014" w:id="101"/>
      <w:r>
        <w:rPr>
          <w:color w:val="137692"/>
          <w:w w:val="110"/>
        </w:rPr>
        <w:t>Sample</w:t>
      </w:r>
      <w:r>
        <w:rPr>
          <w:color w:val="137692"/>
          <w:spacing w:val="-30"/>
          <w:w w:val="110"/>
        </w:rPr>
        <w:t> </w:t>
      </w:r>
      <w:r>
        <w:rPr>
          <w:color w:val="137692"/>
          <w:w w:val="110"/>
        </w:rPr>
        <w:t>Goal-Setting</w:t>
      </w:r>
      <w:r>
        <w:rPr>
          <w:color w:val="137692"/>
          <w:spacing w:val="-29"/>
          <w:w w:val="110"/>
        </w:rPr>
        <w:t> </w:t>
      </w:r>
      <w:bookmarkEnd w:id="101"/>
      <w:r>
        <w:rPr>
          <w:color w:val="137692"/>
          <w:w w:val="110"/>
        </w:rPr>
        <w:t>Form</w:t>
      </w:r>
    </w:p>
    <w:p>
      <w:pPr>
        <w:pStyle w:val="BodyText"/>
        <w:spacing w:before="7"/>
        <w:rPr>
          <w:rFonts w:ascii="Calibri"/>
          <w:b/>
          <w:sz w:val="26"/>
        </w:rPr>
      </w:pPr>
    </w:p>
    <w:p>
      <w:pPr>
        <w:tabs>
          <w:tab w:pos="7293" w:val="left" w:leader="none"/>
          <w:tab w:pos="10248" w:val="left" w:leader="none"/>
        </w:tabs>
        <w:spacing w:before="100"/>
        <w:ind w:left="140" w:right="0" w:firstLine="0"/>
        <w:jc w:val="left"/>
        <w:rPr>
          <w:rFonts w:ascii="Calibri" w:hAnsi="Calibri"/>
          <w:b/>
          <w:sz w:val="18"/>
        </w:rPr>
      </w:pPr>
      <w:r>
        <w:rPr>
          <w:rFonts w:ascii="Calibri" w:hAnsi="Calibri"/>
          <w:b/>
          <w:color w:val="4D4D4F"/>
          <w:w w:val="115"/>
          <w:sz w:val="18"/>
        </w:rPr>
        <w:t>Patient’s</w:t>
      </w:r>
      <w:r>
        <w:rPr>
          <w:rFonts w:ascii="Calibri" w:hAnsi="Calibri"/>
          <w:b/>
          <w:color w:val="4D4D4F"/>
          <w:spacing w:val="-8"/>
          <w:w w:val="115"/>
          <w:sz w:val="18"/>
        </w:rPr>
        <w:t> </w:t>
      </w:r>
      <w:r>
        <w:rPr>
          <w:rFonts w:ascii="Calibri" w:hAnsi="Calibri"/>
          <w:b/>
          <w:color w:val="4D4D4F"/>
          <w:w w:val="115"/>
          <w:sz w:val="18"/>
        </w:rPr>
        <w:t>Name:</w:t>
      </w:r>
      <w:r>
        <w:rPr>
          <w:rFonts w:ascii="Calibri" w:hAnsi="Calibri"/>
          <w:b/>
          <w:color w:val="4D4D4F"/>
          <w:w w:val="115"/>
          <w:sz w:val="18"/>
          <w:u w:val="single" w:color="7F8184"/>
        </w:rPr>
        <w:t> </w:t>
        <w:tab/>
      </w:r>
      <w:r>
        <w:rPr>
          <w:rFonts w:ascii="Calibri" w:hAnsi="Calibri"/>
          <w:b/>
          <w:color w:val="4D4D4F"/>
          <w:w w:val="115"/>
          <w:sz w:val="18"/>
        </w:rPr>
        <w:t>Date:</w:t>
      </w:r>
      <w:r>
        <w:rPr>
          <w:rFonts w:ascii="Calibri" w:hAnsi="Calibri"/>
          <w:b/>
          <w:color w:val="4D4D4F"/>
          <w:spacing w:val="7"/>
          <w:sz w:val="18"/>
        </w:rPr>
        <w:t> </w:t>
      </w:r>
      <w:r>
        <w:rPr>
          <w:rFonts w:ascii="Calibri" w:hAnsi="Calibri"/>
          <w:b/>
          <w:color w:val="4D4D4F"/>
          <w:w w:val="130"/>
          <w:sz w:val="18"/>
          <w:u w:val="single" w:color="7F8184"/>
        </w:rPr>
        <w:t> </w:t>
      </w:r>
      <w:r>
        <w:rPr>
          <w:rFonts w:ascii="Calibri" w:hAnsi="Calibri"/>
          <w:b/>
          <w:color w:val="4D4D4F"/>
          <w:sz w:val="18"/>
          <w:u w:val="single" w:color="7F8184"/>
        </w:rPr>
        <w:tab/>
      </w:r>
    </w:p>
    <w:p>
      <w:pPr>
        <w:pStyle w:val="BodyText"/>
        <w:rPr>
          <w:rFonts w:ascii="Calibri"/>
          <w:b/>
          <w:sz w:val="20"/>
        </w:rPr>
      </w:pPr>
    </w:p>
    <w:p>
      <w:pPr>
        <w:pStyle w:val="BodyText"/>
        <w:spacing w:before="1"/>
        <w:rPr>
          <w:rFonts w:ascii="Calibri"/>
          <w:b/>
          <w:sz w:val="12"/>
        </w:rPr>
      </w:pPr>
    </w:p>
    <w:tbl>
      <w:tblPr>
        <w:tblW w:w="0" w:type="auto"/>
        <w:jc w:val="left"/>
        <w:tblInd w:w="147"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3356"/>
        <w:gridCol w:w="1980"/>
        <w:gridCol w:w="2189"/>
        <w:gridCol w:w="2585"/>
      </w:tblGrid>
      <w:tr>
        <w:trPr>
          <w:trHeight w:val="1167" w:hRule="atLeast"/>
        </w:trPr>
        <w:tc>
          <w:tcPr>
            <w:tcW w:w="3356" w:type="dxa"/>
            <w:tcBorders>
              <w:left w:val="nil"/>
              <w:right w:val="single" w:sz="2" w:space="0" w:color="FFFFFF"/>
            </w:tcBorders>
            <w:shd w:val="clear" w:color="auto" w:fill="377F9A"/>
          </w:tcPr>
          <w:p>
            <w:pPr>
              <w:pStyle w:val="TableParagraph"/>
              <w:rPr>
                <w:b/>
                <w:sz w:val="22"/>
              </w:rPr>
            </w:pPr>
          </w:p>
          <w:p>
            <w:pPr>
              <w:pStyle w:val="TableParagraph"/>
              <w:rPr>
                <w:b/>
                <w:sz w:val="22"/>
              </w:rPr>
            </w:pPr>
          </w:p>
          <w:p>
            <w:pPr>
              <w:pStyle w:val="TableParagraph"/>
              <w:spacing w:before="2"/>
              <w:rPr>
                <w:b/>
                <w:sz w:val="32"/>
              </w:rPr>
            </w:pPr>
          </w:p>
          <w:p>
            <w:pPr>
              <w:pStyle w:val="TableParagraph"/>
              <w:spacing w:before="1"/>
              <w:ind w:left="80"/>
              <w:rPr>
                <w:rFonts w:ascii="Arial"/>
                <w:b/>
                <w:sz w:val="17"/>
              </w:rPr>
            </w:pPr>
            <w:r>
              <w:rPr>
                <w:rFonts w:ascii="Arial"/>
                <w:b/>
                <w:color w:val="FFFFFF"/>
                <w:w w:val="105"/>
                <w:sz w:val="17"/>
              </w:rPr>
              <w:t>GOAL CATEGORY</w:t>
            </w:r>
          </w:p>
        </w:tc>
        <w:tc>
          <w:tcPr>
            <w:tcW w:w="1980" w:type="dxa"/>
            <w:tcBorders>
              <w:left w:val="single" w:sz="2" w:space="0" w:color="FFFFFF"/>
              <w:right w:val="single" w:sz="2" w:space="0" w:color="FFFFFF"/>
            </w:tcBorders>
            <w:shd w:val="clear" w:color="auto" w:fill="377F9A"/>
          </w:tcPr>
          <w:p>
            <w:pPr>
              <w:pStyle w:val="TableParagraph"/>
              <w:spacing w:before="11"/>
              <w:rPr>
                <w:b/>
                <w:sz w:val="21"/>
              </w:rPr>
            </w:pPr>
          </w:p>
          <w:p>
            <w:pPr>
              <w:pStyle w:val="TableParagraph"/>
              <w:spacing w:line="271" w:lineRule="auto"/>
              <w:ind w:left="150" w:right="149" w:hanging="1"/>
              <w:jc w:val="center"/>
              <w:rPr>
                <w:rFonts w:ascii="Arial"/>
                <w:b/>
                <w:sz w:val="17"/>
              </w:rPr>
            </w:pPr>
            <w:r>
              <w:rPr>
                <w:rFonts w:ascii="Arial"/>
                <w:b/>
                <w:color w:val="FFFFFF"/>
                <w:w w:val="105"/>
                <w:sz w:val="17"/>
              </w:rPr>
              <w:t>CURRENT SITUATION</w:t>
            </w:r>
            <w:r>
              <w:rPr>
                <w:rFonts w:ascii="Arial"/>
                <w:b/>
                <w:color w:val="FFFFFF"/>
                <w:spacing w:val="29"/>
                <w:w w:val="105"/>
                <w:sz w:val="17"/>
              </w:rPr>
              <w:t> </w:t>
            </w:r>
            <w:r>
              <w:rPr>
                <w:rFonts w:ascii="Arial"/>
                <w:b/>
                <w:color w:val="FFFFFF"/>
                <w:spacing w:val="-4"/>
                <w:w w:val="105"/>
                <w:sz w:val="17"/>
              </w:rPr>
              <w:t>SCORE</w:t>
            </w:r>
          </w:p>
          <w:p>
            <w:pPr>
              <w:pStyle w:val="TableParagraph"/>
              <w:spacing w:line="261" w:lineRule="auto" w:before="31"/>
              <w:ind w:left="139" w:right="139"/>
              <w:jc w:val="center"/>
              <w:rPr>
                <w:rFonts w:ascii="Arial"/>
                <w:b/>
                <w:sz w:val="16"/>
              </w:rPr>
            </w:pPr>
            <w:r>
              <w:rPr>
                <w:rFonts w:ascii="Arial"/>
                <w:b/>
                <w:color w:val="FFFFFF"/>
                <w:w w:val="110"/>
                <w:sz w:val="16"/>
              </w:rPr>
              <w:t>10</w:t>
            </w:r>
            <w:r>
              <w:rPr>
                <w:rFonts w:ascii="Arial"/>
                <w:b/>
                <w:color w:val="FFFFFF"/>
                <w:spacing w:val="-17"/>
                <w:w w:val="110"/>
                <w:sz w:val="16"/>
              </w:rPr>
              <w:t> </w:t>
            </w:r>
            <w:r>
              <w:rPr>
                <w:rFonts w:ascii="Arial"/>
                <w:b/>
                <w:color w:val="FFFFFF"/>
                <w:w w:val="110"/>
                <w:sz w:val="16"/>
              </w:rPr>
              <w:t>=</w:t>
            </w:r>
            <w:r>
              <w:rPr>
                <w:rFonts w:ascii="Arial"/>
                <w:b/>
                <w:color w:val="FFFFFF"/>
                <w:spacing w:val="-17"/>
                <w:w w:val="110"/>
                <w:sz w:val="16"/>
              </w:rPr>
              <w:t> </w:t>
            </w:r>
            <w:r>
              <w:rPr>
                <w:rFonts w:ascii="Arial"/>
                <w:b/>
                <w:color w:val="FFFFFF"/>
                <w:w w:val="110"/>
                <w:sz w:val="16"/>
              </w:rPr>
              <w:t>major</w:t>
            </w:r>
            <w:r>
              <w:rPr>
                <w:rFonts w:ascii="Arial"/>
                <w:b/>
                <w:color w:val="FFFFFF"/>
                <w:spacing w:val="-17"/>
                <w:w w:val="110"/>
                <w:sz w:val="16"/>
              </w:rPr>
              <w:t> </w:t>
            </w:r>
            <w:r>
              <w:rPr>
                <w:rFonts w:ascii="Arial"/>
                <w:b/>
                <w:color w:val="FFFFFF"/>
                <w:w w:val="110"/>
                <w:sz w:val="16"/>
              </w:rPr>
              <w:t>problems and 0 = no</w:t>
            </w:r>
            <w:r>
              <w:rPr>
                <w:rFonts w:ascii="Arial"/>
                <w:b/>
                <w:color w:val="FFFFFF"/>
                <w:spacing w:val="-16"/>
                <w:w w:val="110"/>
                <w:sz w:val="16"/>
              </w:rPr>
              <w:t> </w:t>
            </w:r>
            <w:r>
              <w:rPr>
                <w:rFonts w:ascii="Arial"/>
                <w:b/>
                <w:color w:val="FFFFFF"/>
                <w:spacing w:val="-3"/>
                <w:w w:val="110"/>
                <w:sz w:val="16"/>
              </w:rPr>
              <w:t>problems</w:t>
            </w:r>
          </w:p>
        </w:tc>
        <w:tc>
          <w:tcPr>
            <w:tcW w:w="4774" w:type="dxa"/>
            <w:gridSpan w:val="2"/>
            <w:tcBorders>
              <w:left w:val="single" w:sz="2" w:space="0" w:color="FFFFFF"/>
              <w:right w:val="nil"/>
            </w:tcBorders>
            <w:shd w:val="clear" w:color="auto" w:fill="377F9A"/>
          </w:tcPr>
          <w:p>
            <w:pPr>
              <w:pStyle w:val="TableParagraph"/>
              <w:spacing w:before="87"/>
              <w:ind w:left="2699"/>
              <w:rPr>
                <w:rFonts w:ascii="Arial"/>
                <w:b/>
                <w:sz w:val="17"/>
              </w:rPr>
            </w:pPr>
            <w:r>
              <w:rPr>
                <w:rFonts w:ascii="Arial"/>
                <w:b/>
                <w:color w:val="FFFFFF"/>
                <w:w w:val="105"/>
                <w:sz w:val="17"/>
              </w:rPr>
              <w:t>PRIORITY SCORE</w:t>
            </w:r>
          </w:p>
          <w:p>
            <w:pPr>
              <w:pStyle w:val="TableParagraph"/>
              <w:spacing w:before="57"/>
              <w:ind w:right="128"/>
              <w:jc w:val="right"/>
              <w:rPr>
                <w:rFonts w:ascii="Arial" w:hAnsi="Arial"/>
                <w:b/>
                <w:sz w:val="16"/>
              </w:rPr>
            </w:pPr>
            <w:r>
              <w:rPr>
                <w:rFonts w:ascii="Arial" w:hAnsi="Arial"/>
                <w:b/>
                <w:color w:val="FFFFFF"/>
                <w:w w:val="105"/>
                <w:sz w:val="16"/>
              </w:rPr>
              <w:t>10 = highest priority (“I really</w:t>
            </w:r>
          </w:p>
          <w:p>
            <w:pPr>
              <w:pStyle w:val="TableParagraph"/>
              <w:tabs>
                <w:tab w:pos="2039" w:val="left" w:leader="none"/>
              </w:tabs>
              <w:spacing w:before="16"/>
              <w:ind w:right="200"/>
              <w:jc w:val="right"/>
              <w:rPr>
                <w:rFonts w:ascii="Arial" w:hAnsi="Arial"/>
                <w:b/>
                <w:sz w:val="16"/>
              </w:rPr>
            </w:pPr>
            <w:r>
              <w:rPr>
                <w:rFonts w:ascii="Arial" w:hAnsi="Arial"/>
                <w:b/>
                <w:color w:val="FFFFFF"/>
                <w:w w:val="115"/>
                <w:sz w:val="16"/>
              </w:rPr>
              <w:t>What</w:t>
            </w:r>
            <w:r>
              <w:rPr>
                <w:rFonts w:ascii="Arial" w:hAnsi="Arial"/>
                <w:b/>
                <w:color w:val="FFFFFF"/>
                <w:spacing w:val="-8"/>
                <w:w w:val="115"/>
                <w:sz w:val="16"/>
              </w:rPr>
              <w:t> </w:t>
            </w:r>
            <w:r>
              <w:rPr>
                <w:rFonts w:ascii="Arial" w:hAnsi="Arial"/>
                <w:b/>
                <w:color w:val="FFFFFF"/>
                <w:w w:val="115"/>
                <w:sz w:val="16"/>
              </w:rPr>
              <w:t>would</w:t>
            </w:r>
            <w:r>
              <w:rPr>
                <w:rFonts w:ascii="Arial" w:hAnsi="Arial"/>
                <w:b/>
                <w:color w:val="FFFFFF"/>
                <w:spacing w:val="-7"/>
                <w:w w:val="115"/>
                <w:sz w:val="16"/>
              </w:rPr>
              <w:t> </w:t>
            </w:r>
            <w:r>
              <w:rPr>
                <w:rFonts w:ascii="Arial" w:hAnsi="Arial"/>
                <w:b/>
                <w:color w:val="FFFFFF"/>
                <w:w w:val="115"/>
                <w:sz w:val="16"/>
              </w:rPr>
              <w:t>need</w:t>
              <w:tab/>
              <w:t>want</w:t>
            </w:r>
            <w:r>
              <w:rPr>
                <w:rFonts w:ascii="Arial" w:hAnsi="Arial"/>
                <w:b/>
                <w:color w:val="FFFFFF"/>
                <w:spacing w:val="-25"/>
                <w:w w:val="115"/>
                <w:sz w:val="16"/>
              </w:rPr>
              <w:t> </w:t>
            </w:r>
            <w:r>
              <w:rPr>
                <w:rFonts w:ascii="Arial" w:hAnsi="Arial"/>
                <w:b/>
                <w:color w:val="FFFFFF"/>
                <w:w w:val="115"/>
                <w:sz w:val="16"/>
              </w:rPr>
              <w:t>to</w:t>
            </w:r>
            <w:r>
              <w:rPr>
                <w:rFonts w:ascii="Arial" w:hAnsi="Arial"/>
                <w:b/>
                <w:color w:val="FFFFFF"/>
                <w:spacing w:val="-25"/>
                <w:w w:val="115"/>
                <w:sz w:val="16"/>
              </w:rPr>
              <w:t> </w:t>
            </w:r>
            <w:r>
              <w:rPr>
                <w:rFonts w:ascii="Arial" w:hAnsi="Arial"/>
                <w:b/>
                <w:color w:val="FFFFFF"/>
                <w:w w:val="115"/>
                <w:sz w:val="16"/>
              </w:rPr>
              <w:t>work</w:t>
            </w:r>
            <w:r>
              <w:rPr>
                <w:rFonts w:ascii="Arial" w:hAnsi="Arial"/>
                <w:b/>
                <w:color w:val="FFFFFF"/>
                <w:spacing w:val="-25"/>
                <w:w w:val="115"/>
                <w:sz w:val="16"/>
              </w:rPr>
              <w:t> </w:t>
            </w:r>
            <w:r>
              <w:rPr>
                <w:rFonts w:ascii="Arial" w:hAnsi="Arial"/>
                <w:b/>
                <w:color w:val="FFFFFF"/>
                <w:w w:val="115"/>
                <w:sz w:val="16"/>
              </w:rPr>
              <w:t>on</w:t>
            </w:r>
            <w:r>
              <w:rPr>
                <w:rFonts w:ascii="Arial" w:hAnsi="Arial"/>
                <w:b/>
                <w:color w:val="FFFFFF"/>
                <w:spacing w:val="-25"/>
                <w:w w:val="115"/>
                <w:sz w:val="16"/>
              </w:rPr>
              <w:t> </w:t>
            </w:r>
            <w:r>
              <w:rPr>
                <w:rFonts w:ascii="Arial" w:hAnsi="Arial"/>
                <w:b/>
                <w:color w:val="FFFFFF"/>
                <w:w w:val="115"/>
                <w:sz w:val="16"/>
              </w:rPr>
              <w:t>this”)</w:t>
            </w:r>
            <w:r>
              <w:rPr>
                <w:rFonts w:ascii="Arial" w:hAnsi="Arial"/>
                <w:b/>
                <w:color w:val="FFFFFF"/>
                <w:spacing w:val="-26"/>
                <w:w w:val="115"/>
                <w:sz w:val="16"/>
              </w:rPr>
              <w:t> </w:t>
            </w:r>
            <w:r>
              <w:rPr>
                <w:rFonts w:ascii="Arial" w:hAnsi="Arial"/>
                <w:b/>
                <w:color w:val="FFFFFF"/>
                <w:w w:val="115"/>
                <w:sz w:val="16"/>
              </w:rPr>
              <w:t>and</w:t>
            </w:r>
          </w:p>
          <w:p>
            <w:pPr>
              <w:pStyle w:val="TableParagraph"/>
              <w:tabs>
                <w:tab w:pos="2116" w:val="left" w:leader="none"/>
              </w:tabs>
              <w:spacing w:before="16"/>
              <w:ind w:right="96"/>
              <w:jc w:val="right"/>
              <w:rPr>
                <w:rFonts w:ascii="Arial" w:hAnsi="Arial"/>
                <w:b/>
                <w:sz w:val="16"/>
              </w:rPr>
            </w:pPr>
            <w:r>
              <w:rPr>
                <w:rFonts w:ascii="Arial" w:hAnsi="Arial"/>
                <w:b/>
                <w:color w:val="FFFFFF"/>
                <w:w w:val="110"/>
                <w:sz w:val="16"/>
              </w:rPr>
              <w:t>to change</w:t>
            </w:r>
            <w:r>
              <w:rPr>
                <w:rFonts w:ascii="Arial" w:hAnsi="Arial"/>
                <w:b/>
                <w:color w:val="FFFFFF"/>
                <w:spacing w:val="-7"/>
                <w:w w:val="110"/>
                <w:sz w:val="16"/>
              </w:rPr>
              <w:t> </w:t>
            </w:r>
            <w:r>
              <w:rPr>
                <w:rFonts w:ascii="Arial" w:hAnsi="Arial"/>
                <w:b/>
                <w:color w:val="FFFFFF"/>
                <w:w w:val="110"/>
                <w:sz w:val="16"/>
              </w:rPr>
              <w:t>to</w:t>
            </w:r>
            <w:r>
              <w:rPr>
                <w:rFonts w:ascii="Arial" w:hAnsi="Arial"/>
                <w:b/>
                <w:color w:val="FFFFFF"/>
                <w:spacing w:val="-4"/>
                <w:w w:val="110"/>
                <w:sz w:val="16"/>
              </w:rPr>
              <w:t> </w:t>
            </w:r>
            <w:r>
              <w:rPr>
                <w:rFonts w:ascii="Arial" w:hAnsi="Arial"/>
                <w:b/>
                <w:color w:val="FFFFFF"/>
                <w:w w:val="110"/>
                <w:sz w:val="16"/>
              </w:rPr>
              <w:t>decrease</w:t>
              <w:tab/>
            </w:r>
            <w:r>
              <w:rPr>
                <w:rFonts w:ascii="Arial" w:hAnsi="Arial"/>
                <w:b/>
                <w:color w:val="FFFFFF"/>
                <w:sz w:val="16"/>
              </w:rPr>
              <w:t>1</w:t>
            </w:r>
            <w:r>
              <w:rPr>
                <w:rFonts w:ascii="Arial" w:hAnsi="Arial"/>
                <w:b/>
                <w:color w:val="FFFFFF"/>
                <w:spacing w:val="-18"/>
                <w:sz w:val="16"/>
              </w:rPr>
              <w:t> </w:t>
            </w:r>
            <w:r>
              <w:rPr>
                <w:rFonts w:ascii="Arial" w:hAnsi="Arial"/>
                <w:b/>
                <w:color w:val="FFFFFF"/>
                <w:w w:val="110"/>
                <w:sz w:val="16"/>
              </w:rPr>
              <w:t>=</w:t>
            </w:r>
            <w:r>
              <w:rPr>
                <w:rFonts w:ascii="Arial" w:hAnsi="Arial"/>
                <w:b/>
                <w:color w:val="FFFFFF"/>
                <w:spacing w:val="-22"/>
                <w:w w:val="110"/>
                <w:sz w:val="16"/>
              </w:rPr>
              <w:t> </w:t>
            </w:r>
            <w:r>
              <w:rPr>
                <w:rFonts w:ascii="Arial" w:hAnsi="Arial"/>
                <w:b/>
                <w:color w:val="FFFFFF"/>
                <w:w w:val="110"/>
                <w:sz w:val="16"/>
              </w:rPr>
              <w:t>lowest</w:t>
            </w:r>
            <w:r>
              <w:rPr>
                <w:rFonts w:ascii="Arial" w:hAnsi="Arial"/>
                <w:b/>
                <w:color w:val="FFFFFF"/>
                <w:spacing w:val="-23"/>
                <w:w w:val="110"/>
                <w:sz w:val="16"/>
              </w:rPr>
              <w:t> </w:t>
            </w:r>
            <w:r>
              <w:rPr>
                <w:rFonts w:ascii="Arial" w:hAnsi="Arial"/>
                <w:b/>
                <w:color w:val="FFFFFF"/>
                <w:w w:val="110"/>
                <w:sz w:val="16"/>
              </w:rPr>
              <w:t>priority</w:t>
            </w:r>
            <w:r>
              <w:rPr>
                <w:rFonts w:ascii="Arial" w:hAnsi="Arial"/>
                <w:b/>
                <w:color w:val="FFFFFF"/>
                <w:spacing w:val="-22"/>
                <w:w w:val="110"/>
                <w:sz w:val="16"/>
              </w:rPr>
              <w:t> </w:t>
            </w:r>
            <w:r>
              <w:rPr>
                <w:rFonts w:ascii="Arial" w:hAnsi="Arial"/>
                <w:b/>
                <w:color w:val="FFFFFF"/>
                <w:w w:val="110"/>
                <w:sz w:val="16"/>
              </w:rPr>
              <w:t>(“I</w:t>
            </w:r>
            <w:r>
              <w:rPr>
                <w:rFonts w:ascii="Arial" w:hAnsi="Arial"/>
                <w:b/>
                <w:color w:val="FFFFFF"/>
                <w:spacing w:val="-22"/>
                <w:w w:val="110"/>
                <w:sz w:val="16"/>
              </w:rPr>
              <w:t> </w:t>
            </w:r>
            <w:r>
              <w:rPr>
                <w:rFonts w:ascii="Arial" w:hAnsi="Arial"/>
                <w:b/>
                <w:color w:val="FFFFFF"/>
                <w:w w:val="110"/>
                <w:sz w:val="16"/>
              </w:rPr>
              <w:t>really</w:t>
            </w:r>
            <w:r>
              <w:rPr>
                <w:rFonts w:ascii="Arial" w:hAnsi="Arial"/>
                <w:b/>
                <w:color w:val="FFFFFF"/>
                <w:spacing w:val="-23"/>
                <w:w w:val="110"/>
                <w:sz w:val="16"/>
              </w:rPr>
              <w:t> </w:t>
            </w:r>
            <w:r>
              <w:rPr>
                <w:rFonts w:ascii="Arial" w:hAnsi="Arial"/>
                <w:b/>
                <w:color w:val="FFFFFF"/>
                <w:w w:val="110"/>
                <w:sz w:val="16"/>
              </w:rPr>
              <w:t>do</w:t>
            </w:r>
          </w:p>
          <w:p>
            <w:pPr>
              <w:pStyle w:val="TableParagraph"/>
              <w:tabs>
                <w:tab w:pos="2398" w:val="left" w:leader="none"/>
              </w:tabs>
              <w:spacing w:before="16"/>
              <w:ind w:left="642"/>
              <w:rPr>
                <w:rFonts w:ascii="Arial" w:hAnsi="Arial"/>
                <w:b/>
                <w:sz w:val="16"/>
              </w:rPr>
            </w:pPr>
            <w:r>
              <w:rPr>
                <w:rFonts w:ascii="Arial" w:hAnsi="Arial"/>
                <w:b/>
                <w:color w:val="FFFFFF"/>
                <w:w w:val="110"/>
                <w:sz w:val="16"/>
              </w:rPr>
              <w:t>this</w:t>
            </w:r>
            <w:r>
              <w:rPr>
                <w:rFonts w:ascii="Arial" w:hAnsi="Arial"/>
                <w:b/>
                <w:color w:val="FFFFFF"/>
                <w:spacing w:val="-14"/>
                <w:w w:val="110"/>
                <w:sz w:val="16"/>
              </w:rPr>
              <w:t> </w:t>
            </w:r>
            <w:r>
              <w:rPr>
                <w:rFonts w:ascii="Arial" w:hAnsi="Arial"/>
                <w:b/>
                <w:color w:val="FFFFFF"/>
                <w:spacing w:val="-2"/>
                <w:w w:val="110"/>
                <w:sz w:val="16"/>
              </w:rPr>
              <w:t>score?</w:t>
              <w:tab/>
            </w:r>
            <w:r>
              <w:rPr>
                <w:rFonts w:ascii="Arial" w:hAnsi="Arial"/>
                <w:b/>
                <w:color w:val="FFFFFF"/>
                <w:w w:val="110"/>
                <w:sz w:val="16"/>
              </w:rPr>
              <w:t>not want to work on</w:t>
            </w:r>
            <w:r>
              <w:rPr>
                <w:rFonts w:ascii="Arial" w:hAnsi="Arial"/>
                <w:b/>
                <w:color w:val="FFFFFF"/>
                <w:spacing w:val="-25"/>
                <w:w w:val="110"/>
                <w:sz w:val="16"/>
              </w:rPr>
              <w:t> </w:t>
            </w:r>
            <w:r>
              <w:rPr>
                <w:rFonts w:ascii="Arial" w:hAnsi="Arial"/>
                <w:b/>
                <w:color w:val="FFFFFF"/>
                <w:w w:val="110"/>
                <w:sz w:val="16"/>
              </w:rPr>
              <w:t>this”)</w:t>
            </w: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05"/>
                <w:sz w:val="18"/>
              </w:rPr>
              <w:t>Opioid use</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tabs>
                <w:tab w:pos="3258" w:val="left" w:leader="none"/>
              </w:tabs>
              <w:spacing w:before="118"/>
              <w:rPr>
                <w:rFonts w:ascii="Arial"/>
                <w:b/>
                <w:sz w:val="18"/>
              </w:rPr>
            </w:pPr>
            <w:r>
              <w:rPr>
                <w:rFonts w:ascii="Arial"/>
                <w:b/>
                <w:color w:val="231F20"/>
                <w:w w:val="110"/>
                <w:sz w:val="18"/>
              </w:rPr>
              <w:t>Other</w:t>
            </w:r>
            <w:r>
              <w:rPr>
                <w:rFonts w:ascii="Arial"/>
                <w:b/>
                <w:color w:val="231F20"/>
                <w:spacing w:val="-16"/>
                <w:w w:val="110"/>
                <w:sz w:val="18"/>
              </w:rPr>
              <w:t> </w:t>
            </w:r>
            <w:r>
              <w:rPr>
                <w:rFonts w:ascii="Arial"/>
                <w:b/>
                <w:color w:val="231F20"/>
                <w:w w:val="110"/>
                <w:sz w:val="18"/>
              </w:rPr>
              <w:t>illicit</w:t>
            </w:r>
            <w:r>
              <w:rPr>
                <w:rFonts w:ascii="Arial"/>
                <w:b/>
                <w:color w:val="231F20"/>
                <w:spacing w:val="-16"/>
                <w:w w:val="110"/>
                <w:sz w:val="18"/>
              </w:rPr>
              <w:t> </w:t>
            </w:r>
            <w:r>
              <w:rPr>
                <w:rFonts w:ascii="Arial"/>
                <w:b/>
                <w:color w:val="231F20"/>
                <w:w w:val="110"/>
                <w:sz w:val="18"/>
              </w:rPr>
              <w:t>drug</w:t>
            </w:r>
            <w:r>
              <w:rPr>
                <w:rFonts w:ascii="Arial"/>
                <w:b/>
                <w:color w:val="231F20"/>
                <w:spacing w:val="-15"/>
                <w:w w:val="110"/>
                <w:sz w:val="18"/>
              </w:rPr>
              <w:t> </w:t>
            </w:r>
            <w:r>
              <w:rPr>
                <w:rFonts w:ascii="Arial"/>
                <w:b/>
                <w:color w:val="231F20"/>
                <w:w w:val="110"/>
                <w:sz w:val="18"/>
              </w:rPr>
              <w:t>use:</w:t>
            </w:r>
            <w:r>
              <w:rPr>
                <w:rFonts w:ascii="Arial"/>
                <w:b/>
                <w:color w:val="231F20"/>
                <w:sz w:val="18"/>
              </w:rPr>
              <w:t> </w:t>
            </w:r>
            <w:r>
              <w:rPr>
                <w:rFonts w:ascii="Arial"/>
                <w:b/>
                <w:color w:val="231F20"/>
                <w:w w:val="99"/>
                <w:sz w:val="18"/>
                <w:u w:val="single" w:color="7F8184"/>
              </w:rPr>
              <w:t> </w:t>
            </w:r>
            <w:r>
              <w:rPr>
                <w:rFonts w:ascii="Arial"/>
                <w:b/>
                <w:color w:val="231F20"/>
                <w:sz w:val="18"/>
                <w:u w:val="single" w:color="7F8184"/>
              </w:rPr>
              <w:tab/>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05"/>
                <w:sz w:val="18"/>
              </w:rPr>
              <w:t>Alcohol use</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05"/>
                <w:sz w:val="18"/>
              </w:rPr>
              <w:t>Tobacco use</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Physical health</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5"/>
                <w:sz w:val="18"/>
              </w:rPr>
              <w:t>Mental health</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05"/>
                <w:sz w:val="18"/>
              </w:rPr>
              <w:t>Legal/court issues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05"/>
                <w:sz w:val="18"/>
              </w:rPr>
              <w:t>Finances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Job/employment</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Hobbies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Family relations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Partner relations</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Supportive drug-free network</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Education</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831" w:hRule="atLeast"/>
        </w:trPr>
        <w:tc>
          <w:tcPr>
            <w:tcW w:w="3356" w:type="dxa"/>
            <w:tcBorders>
              <w:left w:val="nil"/>
            </w:tcBorders>
          </w:tcPr>
          <w:p>
            <w:pPr>
              <w:pStyle w:val="TableParagraph"/>
              <w:spacing w:before="118"/>
              <w:rPr>
                <w:rFonts w:ascii="Arial"/>
                <w:b/>
                <w:sz w:val="18"/>
              </w:rPr>
            </w:pPr>
            <w:r>
              <w:rPr>
                <w:rFonts w:ascii="Arial"/>
                <w:b/>
                <w:color w:val="231F20"/>
                <w:w w:val="110"/>
                <w:sz w:val="18"/>
              </w:rPr>
              <w:t>Keeping medication safe</w:t>
            </w:r>
          </w:p>
          <w:p>
            <w:pPr>
              <w:pStyle w:val="TableParagraph"/>
              <w:spacing w:line="235" w:lineRule="auto" w:before="10"/>
              <w:ind w:right="423"/>
              <w:rPr>
                <w:sz w:val="18"/>
              </w:rPr>
            </w:pPr>
            <w:r>
              <w:rPr>
                <w:color w:val="414142"/>
                <w:w w:val="120"/>
                <w:sz w:val="18"/>
              </w:rPr>
              <w:t>(e.g., not giving it away, selling it, having it stolen)</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Other</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r>
        <w:trPr>
          <w:trHeight w:val="527" w:hRule="atLeast"/>
        </w:trPr>
        <w:tc>
          <w:tcPr>
            <w:tcW w:w="3356" w:type="dxa"/>
            <w:tcBorders>
              <w:left w:val="nil"/>
            </w:tcBorders>
          </w:tcPr>
          <w:p>
            <w:pPr>
              <w:pStyle w:val="TableParagraph"/>
              <w:spacing w:before="118"/>
              <w:rPr>
                <w:rFonts w:ascii="Arial"/>
                <w:b/>
                <w:sz w:val="18"/>
              </w:rPr>
            </w:pPr>
            <w:r>
              <w:rPr>
                <w:rFonts w:ascii="Arial"/>
                <w:b/>
                <w:color w:val="231F20"/>
                <w:w w:val="110"/>
                <w:sz w:val="18"/>
              </w:rPr>
              <w:t>Other</w:t>
            </w:r>
          </w:p>
        </w:tc>
        <w:tc>
          <w:tcPr>
            <w:tcW w:w="1980" w:type="dxa"/>
          </w:tcPr>
          <w:p>
            <w:pPr>
              <w:pStyle w:val="TableParagraph"/>
              <w:rPr>
                <w:rFonts w:ascii="Times New Roman"/>
                <w:sz w:val="16"/>
              </w:rPr>
            </w:pPr>
          </w:p>
        </w:tc>
        <w:tc>
          <w:tcPr>
            <w:tcW w:w="2189" w:type="dxa"/>
          </w:tcPr>
          <w:p>
            <w:pPr>
              <w:pStyle w:val="TableParagraph"/>
              <w:rPr>
                <w:rFonts w:ascii="Times New Roman"/>
                <w:sz w:val="16"/>
              </w:rPr>
            </w:pPr>
          </w:p>
        </w:tc>
        <w:tc>
          <w:tcPr>
            <w:tcW w:w="2585" w:type="dxa"/>
            <w:tcBorders>
              <w:right w:val="nil"/>
            </w:tcBorders>
          </w:tcPr>
          <w:p>
            <w:pPr>
              <w:pStyle w:val="TableParagraph"/>
              <w:rPr>
                <w:rFonts w:ascii="Times New Roman"/>
                <w:sz w:val="16"/>
              </w:rPr>
            </w:pPr>
          </w:p>
        </w:tc>
      </w:tr>
    </w:tbl>
    <w:p>
      <w:pPr>
        <w:spacing w:before="165"/>
        <w:ind w:left="140" w:right="0" w:firstLine="0"/>
        <w:jc w:val="left"/>
        <w:rPr>
          <w:rFonts w:ascii="Calibri"/>
          <w:i/>
          <w:sz w:val="16"/>
        </w:rPr>
      </w:pPr>
      <w:r>
        <w:rPr>
          <w:rFonts w:ascii="Calibri"/>
          <w:i/>
          <w:color w:val="606163"/>
          <w:w w:val="120"/>
          <w:sz w:val="16"/>
        </w:rPr>
        <w:t>M. Lofwall, February 27, 2017 (personal communication). Adapted with permission.</w:t>
      </w:r>
    </w:p>
    <w:p>
      <w:pPr>
        <w:spacing w:after="0"/>
        <w:jc w:val="left"/>
        <w:rPr>
          <w:rFonts w:ascii="Calibri"/>
          <w:sz w:val="16"/>
        </w:rPr>
        <w:sectPr>
          <w:pgSz w:w="12240" w:h="15840"/>
          <w:pgMar w:header="576" w:footer="677" w:top="1340" w:bottom="860" w:left="940" w:right="920"/>
        </w:sectPr>
      </w:pPr>
    </w:p>
    <w:p>
      <w:pPr>
        <w:pStyle w:val="BodyText"/>
        <w:spacing w:before="11"/>
        <w:rPr>
          <w:rFonts w:ascii="Calibri"/>
          <w:i/>
          <w:sz w:val="25"/>
        </w:rPr>
      </w:pPr>
    </w:p>
    <w:p>
      <w:pPr>
        <w:pStyle w:val="Heading3"/>
        <w:spacing w:before="89"/>
        <w:ind w:left="148"/>
      </w:pPr>
      <w:bookmarkStart w:name="_TOC_250013" w:id="102"/>
      <w:bookmarkEnd w:id="102"/>
      <w:r>
        <w:rPr>
          <w:color w:val="137692"/>
          <w:w w:val="105"/>
        </w:rPr>
        <w:t>Sample Medical Management Visit Form</w:t>
      </w:r>
    </w:p>
    <w:p>
      <w:pPr>
        <w:pStyle w:val="BodyText"/>
        <w:spacing w:before="7"/>
        <w:rPr>
          <w:rFonts w:ascii="Calibri"/>
          <w:b/>
          <w:sz w:val="26"/>
        </w:rPr>
      </w:pPr>
    </w:p>
    <w:p>
      <w:pPr>
        <w:tabs>
          <w:tab w:pos="6851" w:val="left" w:leader="none"/>
          <w:tab w:pos="7347" w:val="left" w:leader="none"/>
          <w:tab w:pos="10164" w:val="left" w:leader="none"/>
        </w:tabs>
        <w:spacing w:before="100"/>
        <w:ind w:left="148" w:right="0" w:firstLine="0"/>
        <w:jc w:val="left"/>
        <w:rPr>
          <w:rFonts w:ascii="Calibri" w:hAnsi="Calibri"/>
          <w:b/>
          <w:sz w:val="18"/>
        </w:rPr>
      </w:pPr>
      <w:r>
        <w:rPr>
          <w:rFonts w:ascii="Calibri" w:hAnsi="Calibri"/>
          <w:b/>
          <w:color w:val="4D4D4F"/>
          <w:w w:val="115"/>
          <w:sz w:val="18"/>
        </w:rPr>
        <w:t>Patient’s</w:t>
      </w:r>
      <w:r>
        <w:rPr>
          <w:rFonts w:ascii="Calibri" w:hAnsi="Calibri"/>
          <w:b/>
          <w:color w:val="4D4D4F"/>
          <w:spacing w:val="-7"/>
          <w:w w:val="115"/>
          <w:sz w:val="18"/>
        </w:rPr>
        <w:t> </w:t>
      </w:r>
      <w:r>
        <w:rPr>
          <w:rFonts w:ascii="Calibri" w:hAnsi="Calibri"/>
          <w:b/>
          <w:color w:val="4D4D4F"/>
          <w:w w:val="115"/>
          <w:sz w:val="18"/>
        </w:rPr>
        <w:t>Name:</w:t>
      </w:r>
      <w:r>
        <w:rPr>
          <w:rFonts w:ascii="Calibri" w:hAnsi="Calibri"/>
          <w:b/>
          <w:color w:val="4D4D4F"/>
          <w:w w:val="115"/>
          <w:sz w:val="18"/>
          <w:u w:val="single" w:color="7F8184"/>
        </w:rPr>
        <w:t> </w:t>
        <w:tab/>
      </w:r>
      <w:r>
        <w:rPr>
          <w:rFonts w:ascii="Calibri" w:hAnsi="Calibri"/>
          <w:b/>
          <w:color w:val="4D4D4F"/>
          <w:w w:val="115"/>
          <w:sz w:val="18"/>
        </w:rPr>
        <w:tab/>
        <w:t>ID#</w:t>
      </w:r>
      <w:r>
        <w:rPr>
          <w:rFonts w:ascii="Calibri" w:hAnsi="Calibri"/>
          <w:b/>
          <w:color w:val="4D4D4F"/>
          <w:w w:val="130"/>
          <w:sz w:val="18"/>
          <w:u w:val="single" w:color="7F8184"/>
        </w:rPr>
        <w:t> </w:t>
      </w:r>
      <w:r>
        <w:rPr>
          <w:rFonts w:ascii="Calibri" w:hAnsi="Calibri"/>
          <w:b/>
          <w:color w:val="4D4D4F"/>
          <w:sz w:val="18"/>
          <w:u w:val="single" w:color="7F8184"/>
        </w:rPr>
        <w:tab/>
      </w:r>
    </w:p>
    <w:p>
      <w:pPr>
        <w:pStyle w:val="BodyText"/>
        <w:spacing w:before="11"/>
        <w:rPr>
          <w:rFonts w:ascii="Calibri"/>
          <w:b/>
          <w:sz w:val="14"/>
        </w:rPr>
      </w:pPr>
    </w:p>
    <w:p>
      <w:pPr>
        <w:spacing w:after="0"/>
        <w:rPr>
          <w:rFonts w:ascii="Calibri"/>
          <w:sz w:val="14"/>
        </w:rPr>
        <w:sectPr>
          <w:pgSz w:w="12240" w:h="15840"/>
          <w:pgMar w:header="576" w:footer="677" w:top="1340" w:bottom="860" w:left="940" w:right="920"/>
        </w:sectPr>
      </w:pPr>
    </w:p>
    <w:p>
      <w:pPr>
        <w:pStyle w:val="BodyText"/>
        <w:spacing w:before="11"/>
        <w:rPr>
          <w:rFonts w:ascii="Calibri"/>
          <w:b/>
          <w:sz w:val="17"/>
        </w:rPr>
      </w:pPr>
    </w:p>
    <w:p>
      <w:pPr>
        <w:tabs>
          <w:tab w:pos="2461" w:val="left" w:leader="none"/>
        </w:tabs>
        <w:spacing w:before="0"/>
        <w:ind w:left="148" w:right="0" w:firstLine="0"/>
        <w:jc w:val="left"/>
        <w:rPr>
          <w:rFonts w:ascii="Calibri"/>
          <w:b/>
          <w:sz w:val="18"/>
        </w:rPr>
      </w:pPr>
      <w:r>
        <w:rPr>
          <w:rFonts w:ascii="Calibri"/>
          <w:b/>
          <w:color w:val="4D4D4F"/>
          <w:w w:val="115"/>
          <w:sz w:val="18"/>
        </w:rPr>
        <w:t>Date:</w:t>
      </w:r>
      <w:r>
        <w:rPr>
          <w:rFonts w:ascii="Calibri"/>
          <w:b/>
          <w:color w:val="4D4D4F"/>
          <w:spacing w:val="9"/>
          <w:sz w:val="18"/>
        </w:rPr>
        <w:t> </w:t>
      </w:r>
      <w:r>
        <w:rPr>
          <w:rFonts w:ascii="Calibri"/>
          <w:b/>
          <w:color w:val="4D4D4F"/>
          <w:w w:val="130"/>
          <w:sz w:val="18"/>
          <w:u w:val="single" w:color="7F8184"/>
        </w:rPr>
        <w:t> </w:t>
      </w:r>
      <w:r>
        <w:rPr>
          <w:rFonts w:ascii="Calibri"/>
          <w:b/>
          <w:color w:val="4D4D4F"/>
          <w:sz w:val="18"/>
          <w:u w:val="single" w:color="7F8184"/>
        </w:rPr>
        <w:tab/>
      </w:r>
    </w:p>
    <w:p>
      <w:pPr>
        <w:pStyle w:val="BodyText"/>
        <w:spacing w:before="11"/>
        <w:rPr>
          <w:rFonts w:ascii="Calibri"/>
          <w:b/>
          <w:sz w:val="17"/>
        </w:rPr>
      </w:pPr>
      <w:r>
        <w:rPr/>
        <w:br w:type="column"/>
      </w:r>
      <w:r>
        <w:rPr>
          <w:rFonts w:ascii="Calibri"/>
          <w:b/>
          <w:sz w:val="17"/>
        </w:rPr>
      </w:r>
    </w:p>
    <w:p>
      <w:pPr>
        <w:tabs>
          <w:tab w:pos="1647" w:val="left" w:leader="none"/>
        </w:tabs>
        <w:spacing w:before="0"/>
        <w:ind w:left="148" w:right="0" w:firstLine="0"/>
        <w:jc w:val="left"/>
        <w:rPr>
          <w:rFonts w:ascii="Calibri"/>
          <w:b/>
          <w:sz w:val="18"/>
        </w:rPr>
      </w:pPr>
      <w:r>
        <w:rPr>
          <w:rFonts w:ascii="Calibri"/>
          <w:b/>
          <w:color w:val="4D4D4F"/>
          <w:w w:val="115"/>
          <w:sz w:val="18"/>
        </w:rPr>
        <w:t>Week#:</w:t>
      </w:r>
      <w:r>
        <w:rPr>
          <w:rFonts w:ascii="Calibri"/>
          <w:b/>
          <w:color w:val="4D4D4F"/>
          <w:spacing w:val="12"/>
          <w:sz w:val="18"/>
        </w:rPr>
        <w:t> </w:t>
      </w:r>
      <w:r>
        <w:rPr>
          <w:rFonts w:ascii="Calibri"/>
          <w:b/>
          <w:color w:val="4D4D4F"/>
          <w:w w:val="130"/>
          <w:sz w:val="18"/>
          <w:u w:val="single" w:color="7F8184"/>
        </w:rPr>
        <w:t> </w:t>
      </w:r>
      <w:r>
        <w:rPr>
          <w:rFonts w:ascii="Calibri"/>
          <w:b/>
          <w:color w:val="4D4D4F"/>
          <w:sz w:val="18"/>
          <w:u w:val="single" w:color="7F8184"/>
        </w:rPr>
        <w:tab/>
      </w:r>
    </w:p>
    <w:p>
      <w:pPr>
        <w:tabs>
          <w:tab w:pos="1407" w:val="left" w:leader="none"/>
          <w:tab w:pos="2671" w:val="left" w:leader="none"/>
        </w:tabs>
        <w:spacing w:before="90"/>
        <w:ind w:left="148" w:right="0" w:firstLine="0"/>
        <w:jc w:val="left"/>
        <w:rPr>
          <w:sz w:val="18"/>
        </w:rPr>
      </w:pPr>
      <w:r>
        <w:rPr/>
        <w:br w:type="column"/>
      </w:r>
      <w:r>
        <w:rPr>
          <w:rFonts w:ascii="Calibri" w:hAnsi="Calibri"/>
          <w:b/>
          <w:color w:val="4D4D4F"/>
          <w:w w:val="110"/>
          <w:sz w:val="18"/>
        </w:rPr>
        <w:t>Dose:</w:t>
      </w:r>
      <w:r>
        <w:rPr>
          <w:rFonts w:ascii="Calibri" w:hAnsi="Calibri"/>
          <w:b/>
          <w:color w:val="4D4D4F"/>
          <w:w w:val="110"/>
          <w:sz w:val="18"/>
          <w:u w:val="single" w:color="7F8184"/>
        </w:rPr>
        <w:t> </w:t>
        <w:tab/>
      </w:r>
      <w:r>
        <w:rPr>
          <w:color w:val="4D4D4F"/>
          <w:w w:val="110"/>
          <w:sz w:val="18"/>
        </w:rPr>
        <w:t>mg</w:t>
        <w:tab/>
      </w:r>
      <w:r>
        <w:rPr>
          <w:rFonts w:ascii="Arial" w:hAnsi="Arial"/>
          <w:b/>
          <w:color w:val="4D4D4F"/>
          <w:w w:val="110"/>
          <w:sz w:val="32"/>
        </w:rPr>
        <w:t>□</w:t>
      </w:r>
      <w:r>
        <w:rPr>
          <w:rFonts w:ascii="Arial" w:hAnsi="Arial"/>
          <w:b/>
          <w:color w:val="4D4D4F"/>
          <w:spacing w:val="-57"/>
          <w:w w:val="110"/>
          <w:sz w:val="32"/>
        </w:rPr>
        <w:t> </w:t>
      </w:r>
      <w:r>
        <w:rPr>
          <w:color w:val="4D4D4F"/>
          <w:w w:val="110"/>
          <w:sz w:val="18"/>
        </w:rPr>
        <w:t>No Show</w:t>
      </w:r>
    </w:p>
    <w:p>
      <w:pPr>
        <w:spacing w:after="0"/>
        <w:jc w:val="left"/>
        <w:rPr>
          <w:sz w:val="18"/>
        </w:rPr>
        <w:sectPr>
          <w:type w:val="continuous"/>
          <w:pgSz w:w="12240" w:h="15840"/>
          <w:pgMar w:top="540" w:bottom="280" w:left="940" w:right="920"/>
          <w:cols w:num="3" w:equalWidth="0">
            <w:col w:w="2502" w:space="762"/>
            <w:col w:w="1688" w:space="762"/>
            <w:col w:w="4666"/>
          </w:cols>
        </w:sectPr>
      </w:pPr>
    </w:p>
    <w:p>
      <w:pPr>
        <w:pStyle w:val="BodyText"/>
        <w:rPr>
          <w:sz w:val="20"/>
        </w:rPr>
      </w:pPr>
    </w:p>
    <w:p>
      <w:pPr>
        <w:pStyle w:val="BodyText"/>
        <w:spacing w:before="10"/>
        <w:rPr>
          <w:sz w:val="15"/>
        </w:rPr>
      </w:pPr>
    </w:p>
    <w:p>
      <w:pPr>
        <w:spacing w:before="101"/>
        <w:ind w:left="147" w:right="0" w:firstLine="0"/>
        <w:jc w:val="left"/>
        <w:rPr>
          <w:rFonts w:ascii="Calibri"/>
          <w:b/>
          <w:sz w:val="18"/>
        </w:rPr>
      </w:pPr>
      <w:r>
        <w:rPr>
          <w:rFonts w:ascii="Calibri"/>
          <w:b/>
          <w:color w:val="4D4D4F"/>
          <w:w w:val="110"/>
          <w:sz w:val="18"/>
        </w:rPr>
        <w:t>Heroin/cocaine or other illicit drug use since last visit?</w:t>
      </w:r>
    </w:p>
    <w:p>
      <w:pPr>
        <w:pStyle w:val="BodyText"/>
        <w:spacing w:before="5"/>
        <w:rPr>
          <w:rFonts w:ascii="Calibri"/>
          <w:b/>
          <w:sz w:val="27"/>
        </w:rPr>
      </w:pPr>
      <w:r>
        <w:rPr/>
        <w:pict>
          <v:shape style="position:absolute;margin-left:54.3992pt;margin-top:18.971239pt;width:504pt;height:.1pt;mso-position-horizontal-relative:page;mso-position-vertical-relative:paragraph;z-index:-15668736;mso-wrap-distance-left:0;mso-wrap-distance-right:0" coordorigin="1088,379" coordsize="10080,0" path="m1088,379l11168,379e" filled="false" stroked="true" strokeweight=".45pt" strokecolor="#7f8184">
            <v:path arrowok="t"/>
            <v:stroke dashstyle="solid"/>
            <w10:wrap type="topAndBottom"/>
          </v:shape>
        </w:pict>
      </w:r>
    </w:p>
    <w:p>
      <w:pPr>
        <w:pStyle w:val="BodyText"/>
        <w:spacing w:before="10"/>
        <w:rPr>
          <w:rFonts w:ascii="Calibri"/>
          <w:b/>
          <w:sz w:val="31"/>
        </w:rPr>
      </w:pPr>
    </w:p>
    <w:p>
      <w:pPr>
        <w:spacing w:before="0"/>
        <w:ind w:left="147" w:right="0" w:firstLine="0"/>
        <w:jc w:val="left"/>
        <w:rPr>
          <w:rFonts w:ascii="Calibri"/>
          <w:b/>
          <w:sz w:val="18"/>
        </w:rPr>
      </w:pPr>
      <w:r>
        <w:rPr>
          <w:rFonts w:ascii="Calibri"/>
          <w:b/>
          <w:color w:val="4D4D4F"/>
          <w:w w:val="115"/>
          <w:sz w:val="18"/>
        </w:rPr>
        <w:t>Symptoms or signs that might indicate return to use (e.g., changes in mood, physical appearance)?</w:t>
      </w:r>
    </w:p>
    <w:p>
      <w:pPr>
        <w:pStyle w:val="BodyText"/>
        <w:spacing w:before="6"/>
        <w:rPr>
          <w:rFonts w:ascii="Calibri"/>
          <w:b/>
          <w:sz w:val="27"/>
        </w:rPr>
      </w:pPr>
      <w:r>
        <w:rPr/>
        <w:pict>
          <v:shape style="position:absolute;margin-left:54.3992pt;margin-top:18.994762pt;width:504pt;height:.1pt;mso-position-horizontal-relative:page;mso-position-vertical-relative:paragraph;z-index:-15668224;mso-wrap-distance-left:0;mso-wrap-distance-right:0" coordorigin="1088,380" coordsize="10080,0" path="m1088,380l11168,380e" filled="false" stroked="true" strokeweight=".45pt" strokecolor="#7f8184">
            <v:path arrowok="t"/>
            <v:stroke dashstyle="solid"/>
            <w10:wrap type="topAndBottom"/>
          </v:shape>
        </w:pict>
      </w:r>
    </w:p>
    <w:p>
      <w:pPr>
        <w:pStyle w:val="BodyText"/>
        <w:rPr>
          <w:rFonts w:ascii="Calibri"/>
          <w:b/>
        </w:rPr>
      </w:pPr>
    </w:p>
    <w:p>
      <w:pPr>
        <w:pStyle w:val="BodyText"/>
        <w:spacing w:before="2"/>
        <w:rPr>
          <w:rFonts w:ascii="Calibri"/>
          <w:b/>
          <w:sz w:val="17"/>
        </w:rPr>
      </w:pPr>
    </w:p>
    <w:p>
      <w:pPr>
        <w:spacing w:before="0"/>
        <w:ind w:left="147" w:right="0" w:firstLine="0"/>
        <w:jc w:val="left"/>
        <w:rPr>
          <w:rFonts w:ascii="Calibri"/>
          <w:b/>
          <w:sz w:val="18"/>
        </w:rPr>
      </w:pPr>
      <w:r>
        <w:rPr>
          <w:rFonts w:ascii="Calibri"/>
          <w:b/>
          <w:color w:val="4D4D4F"/>
          <w:w w:val="110"/>
          <w:sz w:val="18"/>
        </w:rPr>
        <w:t>Since the last visit, are there any problems with the following:</w:t>
      </w:r>
    </w:p>
    <w:p>
      <w:pPr>
        <w:spacing w:before="81"/>
        <w:ind w:left="1254" w:right="3528" w:firstLine="0"/>
        <w:jc w:val="center"/>
        <w:rPr>
          <w:sz w:val="18"/>
        </w:rPr>
      </w:pPr>
      <w:r>
        <w:rPr/>
        <w:pict>
          <v:line style="position:absolute;mso-position-horizontal-relative:page;mso-position-vertical-relative:paragraph;z-index:15792128" from="222.160004pt,95.312386pt" to="558.401004pt,95.312386pt" stroked="true" strokeweight=".5pt" strokecolor="#808285">
            <v:stroke dashstyle="solid"/>
            <w10:wrap type="none"/>
          </v:line>
        </w:pict>
      </w:r>
      <w:r>
        <w:rPr/>
        <w:pict>
          <v:line style="position:absolute;mso-position-horizontal-relative:page;mso-position-vertical-relative:paragraph;z-index:15792640" from="222.160004pt,75.362389pt" to="558.401004pt,75.362389pt" stroked="true" strokeweight=".5pt" strokecolor="#808285">
            <v:stroke dashstyle="solid"/>
            <w10:wrap type="none"/>
          </v:line>
        </w:pict>
      </w:r>
      <w:r>
        <w:rPr/>
        <w:pict>
          <v:line style="position:absolute;mso-position-horizontal-relative:page;mso-position-vertical-relative:paragraph;z-index:15793152" from="222.160004pt,55.714386pt" to="558.401004pt,55.714386pt" stroked="true" strokeweight=".5pt" strokecolor="#808285">
            <v:stroke dashstyle="solid"/>
            <w10:wrap type="none"/>
          </v:line>
        </w:pict>
      </w:r>
      <w:r>
        <w:rPr/>
        <w:pict>
          <v:line style="position:absolute;mso-position-horizontal-relative:page;mso-position-vertical-relative:paragraph;z-index:15793664" from="222.160004pt,36.065388pt" to="558.401004pt,36.065388pt" stroked="true" strokeweight=".5pt" strokecolor="#808285">
            <v:stroke dashstyle="solid"/>
            <w10:wrap type="none"/>
          </v:line>
        </w:pict>
      </w:r>
      <w:r>
        <w:rPr>
          <w:color w:val="4D4D4F"/>
          <w:w w:val="115"/>
          <w:sz w:val="18"/>
        </w:rPr>
        <w:t>If yes, explain</w:t>
      </w:r>
    </w:p>
    <w:p>
      <w:pPr>
        <w:pStyle w:val="BodyText"/>
        <w:spacing w:before="3"/>
        <w:rPr>
          <w:sz w:val="5"/>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2"/>
        <w:gridCol w:w="844"/>
        <w:gridCol w:w="666"/>
      </w:tblGrid>
      <w:tr>
        <w:trPr>
          <w:trHeight w:val="375" w:hRule="atLeast"/>
        </w:trPr>
        <w:tc>
          <w:tcPr>
            <w:tcW w:w="1322" w:type="dxa"/>
          </w:tcPr>
          <w:p>
            <w:pPr>
              <w:pStyle w:val="TableParagraph"/>
              <w:spacing w:before="122"/>
              <w:ind w:left="50"/>
              <w:rPr>
                <w:rFonts w:ascii="Gill Sans MT"/>
                <w:sz w:val="18"/>
              </w:rPr>
            </w:pPr>
            <w:r>
              <w:rPr>
                <w:rFonts w:ascii="Gill Sans MT"/>
                <w:color w:val="4D4D4F"/>
                <w:w w:val="110"/>
                <w:sz w:val="18"/>
              </w:rPr>
              <w:t>Drug Use</w:t>
            </w:r>
          </w:p>
        </w:tc>
        <w:tc>
          <w:tcPr>
            <w:tcW w:w="844" w:type="dxa"/>
          </w:tcPr>
          <w:p>
            <w:pPr>
              <w:pStyle w:val="TableParagraph"/>
              <w:spacing w:line="355" w:lineRule="exact"/>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line="355" w:lineRule="exact"/>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r>
        <w:trPr>
          <w:trHeight w:val="392" w:hRule="atLeast"/>
        </w:trPr>
        <w:tc>
          <w:tcPr>
            <w:tcW w:w="1322" w:type="dxa"/>
          </w:tcPr>
          <w:p>
            <w:pPr>
              <w:pStyle w:val="TableParagraph"/>
              <w:spacing w:before="140"/>
              <w:ind w:left="50"/>
              <w:rPr>
                <w:rFonts w:ascii="Gill Sans MT"/>
                <w:sz w:val="18"/>
              </w:rPr>
            </w:pPr>
            <w:r>
              <w:rPr>
                <w:rFonts w:ascii="Gill Sans MT"/>
                <w:color w:val="4D4D4F"/>
                <w:w w:val="110"/>
                <w:sz w:val="18"/>
              </w:rPr>
              <w:t>Alcohol Use</w:t>
            </w:r>
          </w:p>
        </w:tc>
        <w:tc>
          <w:tcPr>
            <w:tcW w:w="844" w:type="dxa"/>
          </w:tcPr>
          <w:p>
            <w:pPr>
              <w:pStyle w:val="TableParagraph"/>
              <w:spacing w:line="366" w:lineRule="exact" w:before="7"/>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line="366" w:lineRule="exact" w:before="7"/>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r>
        <w:trPr>
          <w:trHeight w:val="395" w:hRule="atLeast"/>
        </w:trPr>
        <w:tc>
          <w:tcPr>
            <w:tcW w:w="1322" w:type="dxa"/>
          </w:tcPr>
          <w:p>
            <w:pPr>
              <w:pStyle w:val="TableParagraph"/>
              <w:spacing w:before="140"/>
              <w:ind w:left="50"/>
              <w:rPr>
                <w:rFonts w:ascii="Gill Sans MT"/>
                <w:sz w:val="18"/>
              </w:rPr>
            </w:pPr>
            <w:r>
              <w:rPr>
                <w:rFonts w:ascii="Gill Sans MT"/>
                <w:color w:val="4D4D4F"/>
                <w:w w:val="110"/>
                <w:sz w:val="18"/>
              </w:rPr>
              <w:t>Psychiatric</w:t>
            </w:r>
          </w:p>
        </w:tc>
        <w:tc>
          <w:tcPr>
            <w:tcW w:w="844" w:type="dxa"/>
          </w:tcPr>
          <w:p>
            <w:pPr>
              <w:pStyle w:val="TableParagraph"/>
              <w:spacing w:before="7"/>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before="7"/>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r>
        <w:trPr>
          <w:trHeight w:val="395" w:hRule="atLeast"/>
        </w:trPr>
        <w:tc>
          <w:tcPr>
            <w:tcW w:w="1322" w:type="dxa"/>
          </w:tcPr>
          <w:p>
            <w:pPr>
              <w:pStyle w:val="TableParagraph"/>
              <w:spacing w:before="143"/>
              <w:ind w:left="50"/>
              <w:rPr>
                <w:rFonts w:ascii="Gill Sans MT"/>
                <w:sz w:val="18"/>
              </w:rPr>
            </w:pPr>
            <w:r>
              <w:rPr>
                <w:rFonts w:ascii="Gill Sans MT"/>
                <w:color w:val="4D4D4F"/>
                <w:w w:val="115"/>
                <w:sz w:val="18"/>
              </w:rPr>
              <w:t>Medical</w:t>
            </w:r>
          </w:p>
        </w:tc>
        <w:tc>
          <w:tcPr>
            <w:tcW w:w="844" w:type="dxa"/>
          </w:tcPr>
          <w:p>
            <w:pPr>
              <w:pStyle w:val="TableParagraph"/>
              <w:spacing w:line="366" w:lineRule="exact" w:before="10"/>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line="366" w:lineRule="exact" w:before="10"/>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r>
        <w:trPr>
          <w:trHeight w:val="392" w:hRule="atLeast"/>
        </w:trPr>
        <w:tc>
          <w:tcPr>
            <w:tcW w:w="1322" w:type="dxa"/>
          </w:tcPr>
          <w:p>
            <w:pPr>
              <w:pStyle w:val="TableParagraph"/>
              <w:spacing w:before="140"/>
              <w:ind w:left="50"/>
              <w:rPr>
                <w:rFonts w:ascii="Gill Sans MT"/>
                <w:sz w:val="18"/>
              </w:rPr>
            </w:pPr>
            <w:r>
              <w:rPr>
                <w:rFonts w:ascii="Gill Sans MT"/>
                <w:color w:val="4D4D4F"/>
                <w:w w:val="110"/>
                <w:sz w:val="18"/>
              </w:rPr>
              <w:t>Employment</w:t>
            </w:r>
          </w:p>
        </w:tc>
        <w:tc>
          <w:tcPr>
            <w:tcW w:w="844" w:type="dxa"/>
          </w:tcPr>
          <w:p>
            <w:pPr>
              <w:pStyle w:val="TableParagraph"/>
              <w:spacing w:line="366" w:lineRule="exact" w:before="7"/>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line="366" w:lineRule="exact" w:before="7"/>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r>
        <w:trPr>
          <w:trHeight w:val="392" w:hRule="atLeast"/>
        </w:trPr>
        <w:tc>
          <w:tcPr>
            <w:tcW w:w="1322" w:type="dxa"/>
          </w:tcPr>
          <w:p>
            <w:pPr>
              <w:pStyle w:val="TableParagraph"/>
              <w:spacing w:before="140"/>
              <w:ind w:left="50"/>
              <w:rPr>
                <w:rFonts w:ascii="Gill Sans MT"/>
                <w:sz w:val="18"/>
              </w:rPr>
            </w:pPr>
            <w:r>
              <w:rPr>
                <w:rFonts w:ascii="Gill Sans MT"/>
                <w:color w:val="4D4D4F"/>
                <w:w w:val="115"/>
                <w:sz w:val="18"/>
              </w:rPr>
              <w:t>Social/Family</w:t>
            </w:r>
          </w:p>
        </w:tc>
        <w:tc>
          <w:tcPr>
            <w:tcW w:w="844" w:type="dxa"/>
          </w:tcPr>
          <w:p>
            <w:pPr>
              <w:pStyle w:val="TableParagraph"/>
              <w:spacing w:line="366" w:lineRule="exact" w:before="7"/>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line="366" w:lineRule="exact" w:before="7"/>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r>
        <w:trPr>
          <w:trHeight w:val="375" w:hRule="atLeast"/>
        </w:trPr>
        <w:tc>
          <w:tcPr>
            <w:tcW w:w="1322" w:type="dxa"/>
          </w:tcPr>
          <w:p>
            <w:pPr>
              <w:pStyle w:val="TableParagraph"/>
              <w:spacing w:before="140"/>
              <w:ind w:left="50"/>
              <w:rPr>
                <w:rFonts w:ascii="Gill Sans MT"/>
                <w:sz w:val="18"/>
              </w:rPr>
            </w:pPr>
            <w:r>
              <w:rPr>
                <w:rFonts w:ascii="Gill Sans MT"/>
                <w:color w:val="4D4D4F"/>
                <w:w w:val="120"/>
                <w:sz w:val="18"/>
              </w:rPr>
              <w:t>Legal</w:t>
            </w:r>
          </w:p>
        </w:tc>
        <w:tc>
          <w:tcPr>
            <w:tcW w:w="844" w:type="dxa"/>
          </w:tcPr>
          <w:p>
            <w:pPr>
              <w:pStyle w:val="TableParagraph"/>
              <w:spacing w:line="348" w:lineRule="exact" w:before="7"/>
              <w:ind w:right="123"/>
              <w:jc w:val="right"/>
              <w:rPr>
                <w:rFonts w:ascii="Gill Sans MT" w:hAnsi="Gill Sans MT"/>
                <w:sz w:val="18"/>
              </w:rPr>
            </w:pPr>
            <w:r>
              <w:rPr>
                <w:rFonts w:ascii="Arial" w:hAnsi="Arial"/>
                <w:b/>
                <w:color w:val="4D4D4F"/>
                <w:w w:val="105"/>
                <w:sz w:val="32"/>
              </w:rPr>
              <w:t>□ </w:t>
            </w:r>
            <w:r>
              <w:rPr>
                <w:rFonts w:ascii="Gill Sans MT" w:hAnsi="Gill Sans MT"/>
                <w:color w:val="4D4D4F"/>
                <w:w w:val="105"/>
                <w:sz w:val="18"/>
              </w:rPr>
              <w:t>Yes</w:t>
            </w:r>
          </w:p>
        </w:tc>
        <w:tc>
          <w:tcPr>
            <w:tcW w:w="666" w:type="dxa"/>
          </w:tcPr>
          <w:p>
            <w:pPr>
              <w:pStyle w:val="TableParagraph"/>
              <w:spacing w:line="348" w:lineRule="exact" w:before="7"/>
              <w:ind w:right="49"/>
              <w:jc w:val="right"/>
              <w:rPr>
                <w:rFonts w:ascii="Gill Sans MT" w:hAnsi="Gill Sans MT"/>
                <w:sz w:val="18"/>
              </w:rPr>
            </w:pPr>
            <w:r>
              <w:rPr>
                <w:rFonts w:ascii="Arial" w:hAnsi="Arial"/>
                <w:b/>
                <w:color w:val="4D4D4F"/>
                <w:sz w:val="32"/>
              </w:rPr>
              <w:t>□ </w:t>
            </w:r>
            <w:r>
              <w:rPr>
                <w:rFonts w:ascii="Gill Sans MT" w:hAnsi="Gill Sans MT"/>
                <w:color w:val="4D4D4F"/>
                <w:sz w:val="18"/>
              </w:rPr>
              <w:t>No</w:t>
            </w:r>
          </w:p>
        </w:tc>
      </w:tr>
    </w:tbl>
    <w:p>
      <w:pPr>
        <w:pStyle w:val="BodyText"/>
        <w:spacing w:line="20" w:lineRule="exact"/>
        <w:ind w:left="3498"/>
        <w:rPr>
          <w:sz w:val="2"/>
        </w:rPr>
      </w:pPr>
      <w:r>
        <w:rPr>
          <w:sz w:val="2"/>
        </w:rPr>
        <w:pict>
          <v:group style="width:336.25pt;height:.5pt;mso-position-horizontal-relative:char;mso-position-vertical-relative:line" coordorigin="0,0" coordsize="6725,10">
            <v:line style="position:absolute" from="0,5" to="6725,5" stroked="true" strokeweight=".5pt" strokecolor="#808285">
              <v:stroke dashstyle="solid"/>
            </v:line>
          </v:group>
        </w:pict>
      </w:r>
      <w:r>
        <w:rPr>
          <w:sz w:val="2"/>
        </w:rPr>
      </w:r>
    </w:p>
    <w:p>
      <w:pPr>
        <w:pStyle w:val="BodyText"/>
        <w:rPr>
          <w:sz w:val="20"/>
        </w:rPr>
      </w:pPr>
    </w:p>
    <w:p>
      <w:pPr>
        <w:pStyle w:val="BodyText"/>
        <w:spacing w:before="11"/>
        <w:rPr>
          <w:sz w:val="29"/>
        </w:rPr>
      </w:pPr>
    </w:p>
    <w:p>
      <w:pPr>
        <w:tabs>
          <w:tab w:pos="4657" w:val="left" w:leader="none"/>
          <w:tab w:pos="5414" w:val="left" w:leader="none"/>
        </w:tabs>
        <w:spacing w:before="0"/>
        <w:ind w:left="148" w:right="0" w:firstLine="0"/>
        <w:jc w:val="left"/>
        <w:rPr>
          <w:sz w:val="18"/>
        </w:rPr>
      </w:pPr>
      <w:r>
        <w:rPr/>
        <w:pict>
          <v:line style="position:absolute;mso-position-horizontal-relative:page;mso-position-vertical-relative:paragraph;z-index:15791104" from="222.160004pt,-48.988098pt" to="558.401004pt,-48.988098pt" stroked="true" strokeweight=".5pt" strokecolor="#808285">
            <v:stroke dashstyle="solid"/>
            <w10:wrap type="none"/>
          </v:line>
        </w:pict>
      </w:r>
      <w:r>
        <w:rPr/>
        <w:pict>
          <v:line style="position:absolute;mso-position-horizontal-relative:page;mso-position-vertical-relative:paragraph;z-index:15791616" from="222.160004pt,-68.6371pt" to="558.401004pt,-68.6371pt" stroked="true" strokeweight=".5pt" strokecolor="#808285">
            <v:stroke dashstyle="solid"/>
            <w10:wrap type="none"/>
          </v:line>
        </w:pict>
      </w:r>
      <w:r>
        <w:rPr>
          <w:color w:val="4D4D4F"/>
          <w:w w:val="110"/>
          <w:sz w:val="18"/>
        </w:rPr>
        <w:t>Any new problem to add to </w:t>
      </w:r>
      <w:r>
        <w:rPr>
          <w:color w:val="4D4D4F"/>
          <w:spacing w:val="-3"/>
          <w:w w:val="110"/>
          <w:sz w:val="18"/>
        </w:rPr>
        <w:t>Treatment</w:t>
      </w:r>
      <w:r>
        <w:rPr>
          <w:color w:val="4D4D4F"/>
          <w:spacing w:val="-14"/>
          <w:w w:val="110"/>
          <w:sz w:val="18"/>
        </w:rPr>
        <w:t> </w:t>
      </w:r>
      <w:r>
        <w:rPr>
          <w:color w:val="4D4D4F"/>
          <w:w w:val="110"/>
          <w:sz w:val="18"/>
        </w:rPr>
        <w:t>Plan</w:t>
      </w:r>
      <w:r>
        <w:rPr>
          <w:color w:val="4D4D4F"/>
          <w:spacing w:val="-2"/>
          <w:w w:val="110"/>
          <w:sz w:val="18"/>
        </w:rPr>
        <w:t> </w:t>
      </w:r>
      <w:r>
        <w:rPr>
          <w:color w:val="4D4D4F"/>
          <w:w w:val="110"/>
          <w:sz w:val="18"/>
        </w:rPr>
        <w:t>Review?</w:t>
        <w:tab/>
      </w:r>
      <w:r>
        <w:rPr>
          <w:rFonts w:ascii="Arial" w:hAnsi="Arial"/>
          <w:b/>
          <w:color w:val="4D4D4F"/>
          <w:w w:val="110"/>
          <w:sz w:val="32"/>
        </w:rPr>
        <w:t>□</w:t>
      </w:r>
      <w:r>
        <w:rPr>
          <w:rFonts w:ascii="Arial" w:hAnsi="Arial"/>
          <w:b/>
          <w:color w:val="4D4D4F"/>
          <w:spacing w:val="-54"/>
          <w:w w:val="110"/>
          <w:sz w:val="32"/>
        </w:rPr>
        <w:t> </w:t>
      </w:r>
      <w:r>
        <w:rPr>
          <w:color w:val="4D4D4F"/>
          <w:spacing w:val="-7"/>
          <w:w w:val="110"/>
          <w:sz w:val="18"/>
        </w:rPr>
        <w:t>Yes</w:t>
        <w:tab/>
      </w:r>
      <w:r>
        <w:rPr>
          <w:rFonts w:ascii="Arial" w:hAnsi="Arial"/>
          <w:b/>
          <w:color w:val="4D4D4F"/>
          <w:w w:val="110"/>
          <w:sz w:val="32"/>
        </w:rPr>
        <w:t>□</w:t>
      </w:r>
      <w:r>
        <w:rPr>
          <w:rFonts w:ascii="Arial" w:hAnsi="Arial"/>
          <w:b/>
          <w:color w:val="4D4D4F"/>
          <w:spacing w:val="-48"/>
          <w:w w:val="110"/>
          <w:sz w:val="32"/>
        </w:rPr>
        <w:t> </w:t>
      </w:r>
      <w:r>
        <w:rPr>
          <w:color w:val="4D4D4F"/>
          <w:w w:val="110"/>
          <w:sz w:val="18"/>
        </w:rPr>
        <w:t>No</w:t>
      </w:r>
    </w:p>
    <w:p>
      <w:pPr>
        <w:pStyle w:val="BodyText"/>
        <w:spacing w:before="3"/>
        <w:rPr>
          <w:sz w:val="27"/>
        </w:rPr>
      </w:pPr>
      <w:r>
        <w:rPr/>
        <w:pict>
          <v:shape style="position:absolute;margin-left:54.408199pt;margin-top:18.036272pt;width:504pt;height:.1pt;mso-position-horizontal-relative:page;mso-position-vertical-relative:paragraph;z-index:-15667200;mso-wrap-distance-left:0;mso-wrap-distance-right:0" coordorigin="1088,361" coordsize="10080,0" path="m1088,361l11168,361e" filled="false" stroked="true" strokeweight=".45pt" strokecolor="#7f8184">
            <v:path arrowok="t"/>
            <v:stroke dashstyle="solid"/>
            <w10:wrap type="topAndBottom"/>
          </v:shape>
        </w:pict>
      </w:r>
    </w:p>
    <w:p>
      <w:pPr>
        <w:pStyle w:val="BodyText"/>
        <w:spacing w:before="8"/>
        <w:rPr>
          <w:sz w:val="30"/>
        </w:rPr>
      </w:pPr>
    </w:p>
    <w:p>
      <w:pPr>
        <w:tabs>
          <w:tab w:pos="10176" w:val="left" w:leader="none"/>
        </w:tabs>
        <w:spacing w:before="1"/>
        <w:ind w:left="148" w:right="0" w:firstLine="0"/>
        <w:jc w:val="left"/>
        <w:rPr>
          <w:sz w:val="18"/>
        </w:rPr>
      </w:pPr>
      <w:r>
        <w:rPr>
          <w:color w:val="4D4D4F"/>
          <w:w w:val="110"/>
          <w:sz w:val="18"/>
        </w:rPr>
        <w:t>Plan to address any new</w:t>
      </w:r>
      <w:r>
        <w:rPr>
          <w:color w:val="4D4D4F"/>
          <w:spacing w:val="13"/>
          <w:w w:val="110"/>
          <w:sz w:val="18"/>
        </w:rPr>
        <w:t> </w:t>
      </w:r>
      <w:r>
        <w:rPr>
          <w:color w:val="4D4D4F"/>
          <w:w w:val="110"/>
          <w:sz w:val="18"/>
        </w:rPr>
        <w:t>problem</w:t>
      </w:r>
      <w:r>
        <w:rPr>
          <w:color w:val="4D4D4F"/>
          <w:spacing w:val="-1"/>
          <w:sz w:val="18"/>
        </w:rPr>
        <w:t> </w:t>
      </w:r>
      <w:r>
        <w:rPr>
          <w:color w:val="4D4D4F"/>
          <w:w w:val="100"/>
          <w:sz w:val="18"/>
          <w:u w:val="single" w:color="7F8184"/>
        </w:rPr>
        <w:t> </w:t>
      </w:r>
      <w:r>
        <w:rPr>
          <w:color w:val="4D4D4F"/>
          <w:sz w:val="18"/>
          <w:u w:val="single" w:color="7F8184"/>
        </w:rPr>
        <w:tab/>
      </w:r>
    </w:p>
    <w:p>
      <w:pPr>
        <w:pStyle w:val="BodyText"/>
        <w:spacing w:before="6"/>
        <w:rPr>
          <w:sz w:val="29"/>
        </w:rPr>
      </w:pPr>
      <w:r>
        <w:rPr/>
        <w:pict>
          <v:shape style="position:absolute;margin-left:54.408199pt;margin-top:19.319971pt;width:504pt;height:.1pt;mso-position-horizontal-relative:page;mso-position-vertical-relative:paragraph;z-index:-15666688;mso-wrap-distance-left:0;mso-wrap-distance-right:0" coordorigin="1088,386" coordsize="10080,0" path="m1088,386l11168,386e" filled="false" stroked="true" strokeweight=".45pt" strokecolor="#7f8184">
            <v:path arrowok="t"/>
            <v:stroke dashstyle="solid"/>
            <w10:wrap type="topAndBottom"/>
          </v:shape>
        </w:pict>
      </w:r>
    </w:p>
    <w:p>
      <w:pPr>
        <w:pStyle w:val="BodyText"/>
        <w:spacing w:before="4"/>
        <w:rPr>
          <w:sz w:val="15"/>
        </w:rPr>
      </w:pPr>
    </w:p>
    <w:p>
      <w:pPr>
        <w:tabs>
          <w:tab w:pos="6805" w:val="left" w:leader="none"/>
          <w:tab w:pos="7562" w:val="left" w:leader="none"/>
        </w:tabs>
        <w:spacing w:before="90"/>
        <w:ind w:left="148" w:right="0" w:firstLine="0"/>
        <w:jc w:val="left"/>
        <w:rPr>
          <w:sz w:val="18"/>
        </w:rPr>
      </w:pPr>
      <w:r>
        <w:rPr>
          <w:color w:val="4D4D4F"/>
          <w:w w:val="110"/>
          <w:sz w:val="18"/>
        </w:rPr>
        <w:t>Participation</w:t>
      </w:r>
      <w:r>
        <w:rPr>
          <w:color w:val="4D4D4F"/>
          <w:spacing w:val="-7"/>
          <w:w w:val="110"/>
          <w:sz w:val="18"/>
        </w:rPr>
        <w:t> </w:t>
      </w:r>
      <w:r>
        <w:rPr>
          <w:color w:val="4D4D4F"/>
          <w:w w:val="110"/>
          <w:sz w:val="18"/>
        </w:rPr>
        <w:t>in</w:t>
      </w:r>
      <w:r>
        <w:rPr>
          <w:color w:val="4D4D4F"/>
          <w:spacing w:val="-7"/>
          <w:w w:val="110"/>
          <w:sz w:val="18"/>
        </w:rPr>
        <w:t> </w:t>
      </w:r>
      <w:r>
        <w:rPr>
          <w:color w:val="4D4D4F"/>
          <w:w w:val="110"/>
          <w:sz w:val="18"/>
        </w:rPr>
        <w:t>Narcotics</w:t>
      </w:r>
      <w:r>
        <w:rPr>
          <w:color w:val="4D4D4F"/>
          <w:spacing w:val="-7"/>
          <w:w w:val="110"/>
          <w:sz w:val="18"/>
        </w:rPr>
        <w:t> </w:t>
      </w:r>
      <w:r>
        <w:rPr>
          <w:color w:val="4D4D4F"/>
          <w:w w:val="110"/>
          <w:sz w:val="18"/>
        </w:rPr>
        <w:t>Anonymous</w:t>
      </w:r>
      <w:r>
        <w:rPr>
          <w:color w:val="4D4D4F"/>
          <w:spacing w:val="-6"/>
          <w:w w:val="110"/>
          <w:sz w:val="18"/>
        </w:rPr>
        <w:t> </w:t>
      </w:r>
      <w:r>
        <w:rPr>
          <w:color w:val="4D4D4F"/>
          <w:w w:val="110"/>
          <w:sz w:val="18"/>
        </w:rPr>
        <w:t>or</w:t>
      </w:r>
      <w:r>
        <w:rPr>
          <w:color w:val="4D4D4F"/>
          <w:spacing w:val="-7"/>
          <w:w w:val="110"/>
          <w:sz w:val="18"/>
        </w:rPr>
        <w:t> </w:t>
      </w:r>
      <w:r>
        <w:rPr>
          <w:color w:val="4D4D4F"/>
          <w:w w:val="110"/>
          <w:sz w:val="18"/>
        </w:rPr>
        <w:t>Alcoholics</w:t>
      </w:r>
      <w:r>
        <w:rPr>
          <w:color w:val="4D4D4F"/>
          <w:spacing w:val="-7"/>
          <w:w w:val="110"/>
          <w:sz w:val="18"/>
        </w:rPr>
        <w:t> </w:t>
      </w:r>
      <w:r>
        <w:rPr>
          <w:color w:val="4D4D4F"/>
          <w:w w:val="110"/>
          <w:sz w:val="18"/>
        </w:rPr>
        <w:t>Anonymous</w:t>
      </w:r>
      <w:r>
        <w:rPr>
          <w:color w:val="4D4D4F"/>
          <w:spacing w:val="-6"/>
          <w:w w:val="110"/>
          <w:sz w:val="18"/>
        </w:rPr>
        <w:t> </w:t>
      </w:r>
      <w:r>
        <w:rPr>
          <w:color w:val="4D4D4F"/>
          <w:w w:val="110"/>
          <w:sz w:val="18"/>
        </w:rPr>
        <w:t>since</w:t>
      </w:r>
      <w:r>
        <w:rPr>
          <w:color w:val="4D4D4F"/>
          <w:spacing w:val="-7"/>
          <w:w w:val="110"/>
          <w:sz w:val="18"/>
        </w:rPr>
        <w:t> </w:t>
      </w:r>
      <w:r>
        <w:rPr>
          <w:color w:val="4D4D4F"/>
          <w:w w:val="110"/>
          <w:sz w:val="18"/>
        </w:rPr>
        <w:t>last</w:t>
      </w:r>
      <w:r>
        <w:rPr>
          <w:color w:val="4D4D4F"/>
          <w:spacing w:val="-7"/>
          <w:w w:val="110"/>
          <w:sz w:val="18"/>
        </w:rPr>
        <w:t> </w:t>
      </w:r>
      <w:r>
        <w:rPr>
          <w:color w:val="4D4D4F"/>
          <w:w w:val="110"/>
          <w:sz w:val="18"/>
        </w:rPr>
        <w:t>visit?</w:t>
        <w:tab/>
      </w:r>
      <w:r>
        <w:rPr>
          <w:rFonts w:ascii="Arial" w:hAnsi="Arial"/>
          <w:b/>
          <w:color w:val="4D4D4F"/>
          <w:w w:val="110"/>
          <w:sz w:val="32"/>
        </w:rPr>
        <w:t>□</w:t>
      </w:r>
      <w:r>
        <w:rPr>
          <w:rFonts w:ascii="Arial" w:hAnsi="Arial"/>
          <w:b/>
          <w:color w:val="4D4D4F"/>
          <w:spacing w:val="-53"/>
          <w:w w:val="110"/>
          <w:sz w:val="32"/>
        </w:rPr>
        <w:t> </w:t>
      </w:r>
      <w:r>
        <w:rPr>
          <w:color w:val="4D4D4F"/>
          <w:spacing w:val="-7"/>
          <w:w w:val="110"/>
          <w:sz w:val="18"/>
        </w:rPr>
        <w:t>Yes</w:t>
        <w:tab/>
      </w:r>
      <w:r>
        <w:rPr>
          <w:rFonts w:ascii="Arial" w:hAnsi="Arial"/>
          <w:b/>
          <w:color w:val="4D4D4F"/>
          <w:w w:val="110"/>
          <w:sz w:val="32"/>
        </w:rPr>
        <w:t>□</w:t>
      </w:r>
      <w:r>
        <w:rPr>
          <w:rFonts w:ascii="Arial" w:hAnsi="Arial"/>
          <w:b/>
          <w:color w:val="4D4D4F"/>
          <w:spacing w:val="-49"/>
          <w:w w:val="110"/>
          <w:sz w:val="32"/>
        </w:rPr>
        <w:t> </w:t>
      </w:r>
      <w:r>
        <w:rPr>
          <w:color w:val="4D4D4F"/>
          <w:w w:val="110"/>
          <w:sz w:val="18"/>
        </w:rPr>
        <w:t>No</w:t>
      </w:r>
    </w:p>
    <w:p>
      <w:pPr>
        <w:pStyle w:val="BodyText"/>
        <w:spacing w:before="9"/>
        <w:rPr>
          <w:sz w:val="20"/>
        </w:rPr>
      </w:pPr>
    </w:p>
    <w:p>
      <w:pPr>
        <w:tabs>
          <w:tab w:pos="3119" w:val="left" w:leader="none"/>
          <w:tab w:pos="3469" w:val="left" w:leader="none"/>
          <w:tab w:pos="10151" w:val="left" w:leader="none"/>
        </w:tabs>
        <w:spacing w:before="100"/>
        <w:ind w:left="148" w:right="0" w:firstLine="0"/>
        <w:jc w:val="left"/>
        <w:rPr>
          <w:sz w:val="18"/>
        </w:rPr>
      </w:pPr>
      <w:r>
        <w:rPr>
          <w:color w:val="4D4D4F"/>
          <w:w w:val="115"/>
          <w:sz w:val="18"/>
        </w:rPr>
        <w:t>Length</w:t>
      </w:r>
      <w:r>
        <w:rPr>
          <w:color w:val="4D4D4F"/>
          <w:spacing w:val="-11"/>
          <w:w w:val="115"/>
          <w:sz w:val="18"/>
        </w:rPr>
        <w:t> </w:t>
      </w:r>
      <w:r>
        <w:rPr>
          <w:color w:val="4D4D4F"/>
          <w:w w:val="115"/>
          <w:sz w:val="18"/>
        </w:rPr>
        <w:t>of</w:t>
      </w:r>
      <w:r>
        <w:rPr>
          <w:color w:val="4D4D4F"/>
          <w:spacing w:val="-10"/>
          <w:w w:val="115"/>
          <w:sz w:val="18"/>
        </w:rPr>
        <w:t> </w:t>
      </w:r>
      <w:r>
        <w:rPr>
          <w:color w:val="4D4D4F"/>
          <w:w w:val="115"/>
          <w:sz w:val="18"/>
        </w:rPr>
        <w:t>Session:</w:t>
      </w:r>
      <w:r>
        <w:rPr>
          <w:color w:val="4D4D4F"/>
          <w:w w:val="115"/>
          <w:sz w:val="18"/>
          <w:u w:val="single" w:color="7F8184"/>
        </w:rPr>
        <w:t> </w:t>
        <w:tab/>
      </w:r>
      <w:r>
        <w:rPr>
          <w:color w:val="4D4D4F"/>
          <w:w w:val="115"/>
          <w:sz w:val="18"/>
        </w:rPr>
        <w:tab/>
      </w:r>
      <w:r>
        <w:rPr>
          <w:color w:val="4D4D4F"/>
          <w:w w:val="110"/>
          <w:sz w:val="18"/>
        </w:rPr>
        <w:t>Healthcare Professional</w:t>
      </w:r>
      <w:r>
        <w:rPr>
          <w:color w:val="4D4D4F"/>
          <w:spacing w:val="24"/>
          <w:w w:val="110"/>
          <w:sz w:val="18"/>
        </w:rPr>
        <w:t> </w:t>
      </w:r>
      <w:r>
        <w:rPr>
          <w:color w:val="4D4D4F"/>
          <w:w w:val="110"/>
          <w:sz w:val="18"/>
        </w:rPr>
        <w:t>Signature:</w:t>
      </w:r>
      <w:r>
        <w:rPr>
          <w:color w:val="4D4D4F"/>
          <w:spacing w:val="-1"/>
          <w:sz w:val="18"/>
        </w:rPr>
        <w:t> </w:t>
      </w:r>
      <w:r>
        <w:rPr>
          <w:color w:val="4D4D4F"/>
          <w:w w:val="100"/>
          <w:sz w:val="18"/>
          <w:u w:val="single" w:color="7F8184"/>
        </w:rPr>
        <w:t> </w:t>
      </w:r>
      <w:r>
        <w:rPr>
          <w:color w:val="4D4D4F"/>
          <w:sz w:val="18"/>
          <w:u w:val="single" w:color="7F8184"/>
        </w:rPr>
        <w:tab/>
      </w:r>
    </w:p>
    <w:p>
      <w:pPr>
        <w:pStyle w:val="BodyText"/>
        <w:spacing w:before="8"/>
        <w:rPr>
          <w:sz w:val="25"/>
        </w:rPr>
      </w:pPr>
    </w:p>
    <w:p>
      <w:pPr>
        <w:spacing w:before="98"/>
        <w:ind w:left="148" w:right="0" w:firstLine="0"/>
        <w:jc w:val="left"/>
        <w:rPr>
          <w:rFonts w:ascii="Arial"/>
          <w:i/>
          <w:sz w:val="16"/>
        </w:rPr>
      </w:pPr>
      <w:r>
        <w:rPr>
          <w:rFonts w:ascii="Arial"/>
          <w:i/>
          <w:color w:val="4D4D4F"/>
          <w:sz w:val="16"/>
        </w:rPr>
        <w:t>D. Fiellin, December 3, 2016 (personal communication). Adapted with permission.</w:t>
      </w:r>
    </w:p>
    <w:p>
      <w:pPr>
        <w:spacing w:after="0"/>
        <w:jc w:val="left"/>
        <w:rPr>
          <w:rFonts w:ascii="Arial"/>
          <w:sz w:val="16"/>
        </w:rPr>
        <w:sectPr>
          <w:type w:val="continuous"/>
          <w:pgSz w:w="12240" w:h="15840"/>
          <w:pgMar w:top="540" w:bottom="280" w:left="940" w:right="920"/>
        </w:sectPr>
      </w:pPr>
    </w:p>
    <w:p>
      <w:pPr>
        <w:pStyle w:val="BodyText"/>
        <w:spacing w:before="5"/>
        <w:rPr>
          <w:rFonts w:ascii="Arial"/>
          <w:i/>
          <w:sz w:val="27"/>
        </w:rPr>
      </w:pPr>
    </w:p>
    <w:p>
      <w:pPr>
        <w:pStyle w:val="Heading3"/>
        <w:spacing w:before="89"/>
      </w:pPr>
      <w:bookmarkStart w:name="_TOC_250012" w:id="103"/>
      <w:bookmarkEnd w:id="103"/>
      <w:r>
        <w:rPr>
          <w:color w:val="137692"/>
          <w:w w:val="110"/>
        </w:rPr>
        <w:t>Sample Buprenorphine Diversion Control Policy</w:t>
      </w:r>
    </w:p>
    <w:p>
      <w:pPr>
        <w:pStyle w:val="BodyText"/>
        <w:spacing w:before="3"/>
        <w:rPr>
          <w:rFonts w:ascii="Calibri"/>
          <w:b/>
          <w:sz w:val="28"/>
        </w:rPr>
      </w:pPr>
    </w:p>
    <w:p>
      <w:pPr>
        <w:pStyle w:val="Heading7"/>
      </w:pPr>
      <w:r>
        <w:rPr>
          <w:color w:val="4D4D4F"/>
          <w:w w:val="115"/>
        </w:rPr>
        <w:t>XYZ Medical Practice</w:t>
      </w:r>
    </w:p>
    <w:p>
      <w:pPr>
        <w:spacing w:before="86"/>
        <w:ind w:left="140" w:right="0" w:firstLine="0"/>
        <w:jc w:val="left"/>
        <w:rPr>
          <w:rFonts w:ascii="Calibri" w:hAnsi="Calibri"/>
          <w:b/>
          <w:sz w:val="22"/>
        </w:rPr>
      </w:pPr>
      <w:r>
        <w:rPr>
          <w:rFonts w:ascii="Calibri" w:hAnsi="Calibri"/>
          <w:b/>
          <w:color w:val="4D4D4F"/>
          <w:w w:val="115"/>
          <w:sz w:val="22"/>
        </w:rPr>
        <w:t>Ofﬁce-Based Opioid Use Disorder Policy and Procedure Manual</w:t>
      </w:r>
    </w:p>
    <w:p>
      <w:pPr>
        <w:tabs>
          <w:tab w:pos="1579" w:val="left" w:leader="none"/>
          <w:tab w:pos="3559" w:val="left" w:leader="none"/>
        </w:tabs>
        <w:spacing w:line="352" w:lineRule="auto" w:before="169"/>
        <w:ind w:left="140" w:right="2124" w:firstLine="0"/>
        <w:jc w:val="left"/>
        <w:rPr>
          <w:sz w:val="18"/>
        </w:rPr>
      </w:pPr>
      <w:r>
        <w:rPr>
          <w:color w:val="4D4D4F"/>
          <w:w w:val="110"/>
          <w:sz w:val="18"/>
        </w:rPr>
        <w:t>Policy</w:t>
      </w:r>
      <w:r>
        <w:rPr>
          <w:color w:val="4D4D4F"/>
          <w:spacing w:val="-7"/>
          <w:w w:val="110"/>
          <w:sz w:val="18"/>
        </w:rPr>
        <w:t> </w:t>
      </w:r>
      <w:r>
        <w:rPr>
          <w:color w:val="4D4D4F"/>
          <w:w w:val="110"/>
          <w:sz w:val="18"/>
        </w:rPr>
        <w:t>Title:</w:t>
        <w:tab/>
        <w:t>Diversion</w:t>
      </w:r>
      <w:r>
        <w:rPr>
          <w:color w:val="4D4D4F"/>
          <w:spacing w:val="-9"/>
          <w:w w:val="110"/>
          <w:sz w:val="18"/>
        </w:rPr>
        <w:t> </w:t>
      </w:r>
      <w:r>
        <w:rPr>
          <w:color w:val="4D4D4F"/>
          <w:w w:val="110"/>
          <w:sz w:val="18"/>
        </w:rPr>
        <w:t>Control</w:t>
      </w:r>
      <w:r>
        <w:rPr>
          <w:color w:val="4D4D4F"/>
          <w:spacing w:val="-9"/>
          <w:w w:val="110"/>
          <w:sz w:val="18"/>
        </w:rPr>
        <w:t> </w:t>
      </w:r>
      <w:r>
        <w:rPr>
          <w:color w:val="4D4D4F"/>
          <w:w w:val="110"/>
          <w:sz w:val="18"/>
        </w:rPr>
        <w:t>for</w:t>
      </w:r>
      <w:r>
        <w:rPr>
          <w:color w:val="4D4D4F"/>
          <w:spacing w:val="-9"/>
          <w:w w:val="110"/>
          <w:sz w:val="18"/>
        </w:rPr>
        <w:t> </w:t>
      </w:r>
      <w:r>
        <w:rPr>
          <w:color w:val="4D4D4F"/>
          <w:w w:val="110"/>
          <w:sz w:val="18"/>
        </w:rPr>
        <w:t>Patients</w:t>
      </w:r>
      <w:r>
        <w:rPr>
          <w:color w:val="4D4D4F"/>
          <w:spacing w:val="-8"/>
          <w:w w:val="110"/>
          <w:sz w:val="18"/>
        </w:rPr>
        <w:t> </w:t>
      </w:r>
      <w:r>
        <w:rPr>
          <w:color w:val="4D4D4F"/>
          <w:w w:val="110"/>
          <w:sz w:val="18"/>
        </w:rPr>
        <w:t>Prescribed</w:t>
      </w:r>
      <w:r>
        <w:rPr>
          <w:color w:val="4D4D4F"/>
          <w:spacing w:val="-9"/>
          <w:w w:val="110"/>
          <w:sz w:val="18"/>
        </w:rPr>
        <w:t> </w:t>
      </w:r>
      <w:r>
        <w:rPr>
          <w:color w:val="4D4D4F"/>
          <w:w w:val="110"/>
          <w:sz w:val="18"/>
        </w:rPr>
        <w:t>Transmucosal</w:t>
      </w:r>
      <w:r>
        <w:rPr>
          <w:color w:val="4D4D4F"/>
          <w:spacing w:val="-9"/>
          <w:w w:val="110"/>
          <w:sz w:val="18"/>
        </w:rPr>
        <w:t> </w:t>
      </w:r>
      <w:r>
        <w:rPr>
          <w:color w:val="4D4D4F"/>
          <w:w w:val="110"/>
          <w:sz w:val="18"/>
        </w:rPr>
        <w:t>(Sublingual)</w:t>
      </w:r>
      <w:r>
        <w:rPr>
          <w:color w:val="4D4D4F"/>
          <w:spacing w:val="-9"/>
          <w:w w:val="110"/>
          <w:sz w:val="18"/>
        </w:rPr>
        <w:t> </w:t>
      </w:r>
      <w:r>
        <w:rPr>
          <w:color w:val="4D4D4F"/>
          <w:spacing w:val="-3"/>
          <w:w w:val="110"/>
          <w:sz w:val="18"/>
        </w:rPr>
        <w:t>Buprenorphine </w:t>
      </w:r>
      <w:r>
        <w:rPr>
          <w:color w:val="4D4D4F"/>
          <w:w w:val="110"/>
          <w:sz w:val="18"/>
        </w:rPr>
        <w:t>Effective</w:t>
      </w:r>
      <w:r>
        <w:rPr>
          <w:color w:val="4D4D4F"/>
          <w:spacing w:val="4"/>
          <w:w w:val="110"/>
          <w:sz w:val="18"/>
        </w:rPr>
        <w:t> </w:t>
      </w:r>
      <w:r>
        <w:rPr>
          <w:color w:val="4D4D4F"/>
          <w:w w:val="110"/>
          <w:sz w:val="18"/>
        </w:rPr>
        <w:t>Date:</w:t>
        <w:tab/>
      </w:r>
      <w:r>
        <w:rPr>
          <w:color w:val="4D4D4F"/>
          <w:w w:val="110"/>
          <w:sz w:val="18"/>
          <w:u w:val="single" w:color="7F8184"/>
        </w:rPr>
        <w:t> </w:t>
        <w:tab/>
      </w:r>
      <w:r>
        <w:rPr>
          <w:color w:val="4D4D4F"/>
          <w:w w:val="110"/>
          <w:sz w:val="18"/>
        </w:rPr>
        <w:t>(Month, </w:t>
      </w:r>
      <w:r>
        <w:rPr>
          <w:color w:val="4D4D4F"/>
          <w:spacing w:val="-4"/>
          <w:w w:val="110"/>
          <w:sz w:val="18"/>
        </w:rPr>
        <w:t>Day,</w:t>
      </w:r>
      <w:r>
        <w:rPr>
          <w:color w:val="4D4D4F"/>
          <w:spacing w:val="-11"/>
          <w:w w:val="110"/>
          <w:sz w:val="18"/>
        </w:rPr>
        <w:t> </w:t>
      </w:r>
      <w:r>
        <w:rPr>
          <w:color w:val="4D4D4F"/>
          <w:spacing w:val="-4"/>
          <w:w w:val="110"/>
          <w:sz w:val="18"/>
        </w:rPr>
        <w:t>Year)</w:t>
      </w:r>
    </w:p>
    <w:p>
      <w:pPr>
        <w:pStyle w:val="BodyText"/>
        <w:spacing w:before="3"/>
        <w:rPr>
          <w:sz w:val="26"/>
        </w:rPr>
      </w:pPr>
    </w:p>
    <w:p>
      <w:pPr>
        <w:spacing w:line="247" w:lineRule="auto" w:before="0"/>
        <w:ind w:left="140" w:right="275" w:firstLine="0"/>
        <w:jc w:val="left"/>
        <w:rPr>
          <w:sz w:val="18"/>
        </w:rPr>
      </w:pPr>
      <w:r>
        <w:rPr>
          <w:color w:val="4D4D4F"/>
          <w:w w:val="110"/>
          <w:sz w:val="18"/>
        </w:rPr>
        <w:t>This Diversion Control Policy is provided for educational and informational purposes only. It is intended to offer healthcare professionals guiding principles and policies regarding best practices in diversion control for patients who are prescribed buprenorphine. This policy is not intended to establish a legal or medical standard of care. Healthcare professionals should use their personal and professional judgment in interpreting these guidelines and applying them to the particular circum- stances of their individual patients and practice arrangements. The information provided in this Policy is provided “as is” with no guarantee as to its accuracy or completeness.</w:t>
      </w:r>
    </w:p>
    <w:p>
      <w:pPr>
        <w:spacing w:line="247" w:lineRule="auto" w:before="96"/>
        <w:ind w:left="140" w:right="0" w:firstLine="0"/>
        <w:jc w:val="left"/>
        <w:rPr>
          <w:sz w:val="18"/>
        </w:rPr>
      </w:pPr>
      <w:r>
        <w:rPr>
          <w:color w:val="4D4D4F"/>
          <w:w w:val="110"/>
          <w:sz w:val="18"/>
        </w:rPr>
        <w:t>Preamble: Healthcare professionals can now treat up to 275 patients with buprenorphine. This increased access may contrib- ute to increased diversion, misuse, and related harms. Signs that a patient is misusing or diverting buprenorphine include (1) missed appointments; (2) requests for early reﬁlls because pills were lost, stolen, or other reasons; (3) urine screens negative for buprenorphine, positive for opioids; (4) claims of being allergic or intolerant to naloxone and requesting monotherapy;</w:t>
      </w:r>
    </w:p>
    <w:p>
      <w:pPr>
        <w:pStyle w:val="ListParagraph"/>
        <w:numPr>
          <w:ilvl w:val="0"/>
          <w:numId w:val="48"/>
        </w:numPr>
        <w:tabs>
          <w:tab w:pos="391" w:val="left" w:leader="none"/>
        </w:tabs>
        <w:spacing w:line="247" w:lineRule="auto" w:before="4" w:after="0"/>
        <w:ind w:left="140" w:right="401" w:firstLine="0"/>
        <w:jc w:val="left"/>
        <w:rPr>
          <w:sz w:val="18"/>
        </w:rPr>
      </w:pPr>
      <w:r>
        <w:rPr>
          <w:color w:val="4D4D4F"/>
          <w:w w:val="110"/>
          <w:sz w:val="18"/>
        </w:rPr>
        <w:t>nonhealing</w:t>
      </w:r>
      <w:r>
        <w:rPr>
          <w:color w:val="4D4D4F"/>
          <w:spacing w:val="-6"/>
          <w:w w:val="110"/>
          <w:sz w:val="18"/>
        </w:rPr>
        <w:t> </w:t>
      </w:r>
      <w:r>
        <w:rPr>
          <w:color w:val="4D4D4F"/>
          <w:w w:val="110"/>
          <w:sz w:val="18"/>
        </w:rPr>
        <w:t>or</w:t>
      </w:r>
      <w:r>
        <w:rPr>
          <w:color w:val="4D4D4F"/>
          <w:spacing w:val="-6"/>
          <w:w w:val="110"/>
          <w:sz w:val="18"/>
        </w:rPr>
        <w:t> </w:t>
      </w:r>
      <w:r>
        <w:rPr>
          <w:color w:val="4D4D4F"/>
          <w:w w:val="110"/>
          <w:sz w:val="18"/>
        </w:rPr>
        <w:t>fresh</w:t>
      </w:r>
      <w:r>
        <w:rPr>
          <w:color w:val="4D4D4F"/>
          <w:spacing w:val="-5"/>
          <w:w w:val="110"/>
          <w:sz w:val="18"/>
        </w:rPr>
        <w:t> </w:t>
      </w:r>
      <w:r>
        <w:rPr>
          <w:color w:val="4D4D4F"/>
          <w:w w:val="110"/>
          <w:sz w:val="18"/>
        </w:rPr>
        <w:t>track</w:t>
      </w:r>
      <w:r>
        <w:rPr>
          <w:color w:val="4D4D4F"/>
          <w:spacing w:val="-6"/>
          <w:w w:val="110"/>
          <w:sz w:val="18"/>
        </w:rPr>
        <w:t> </w:t>
      </w:r>
      <w:r>
        <w:rPr>
          <w:color w:val="4D4D4F"/>
          <w:w w:val="110"/>
          <w:sz w:val="18"/>
        </w:rPr>
        <w:t>marks;</w:t>
      </w:r>
      <w:r>
        <w:rPr>
          <w:color w:val="4D4D4F"/>
          <w:spacing w:val="-5"/>
          <w:w w:val="110"/>
          <w:sz w:val="18"/>
        </w:rPr>
        <w:t> </w:t>
      </w:r>
      <w:r>
        <w:rPr>
          <w:color w:val="4D4D4F"/>
          <w:w w:val="110"/>
          <w:sz w:val="18"/>
        </w:rPr>
        <w:t>or</w:t>
      </w:r>
      <w:r>
        <w:rPr>
          <w:color w:val="4D4D4F"/>
          <w:spacing w:val="-6"/>
          <w:w w:val="110"/>
          <w:sz w:val="18"/>
        </w:rPr>
        <w:t> </w:t>
      </w:r>
      <w:r>
        <w:rPr>
          <w:color w:val="4D4D4F"/>
          <w:w w:val="110"/>
          <w:sz w:val="18"/>
        </w:rPr>
        <w:t>(5)</w:t>
      </w:r>
      <w:r>
        <w:rPr>
          <w:color w:val="4D4D4F"/>
          <w:spacing w:val="-5"/>
          <w:w w:val="110"/>
          <w:sz w:val="18"/>
        </w:rPr>
        <w:t> </w:t>
      </w:r>
      <w:r>
        <w:rPr>
          <w:color w:val="4D4D4F"/>
          <w:w w:val="110"/>
          <w:sz w:val="18"/>
        </w:rPr>
        <w:t>police</w:t>
      </w:r>
      <w:r>
        <w:rPr>
          <w:color w:val="4D4D4F"/>
          <w:spacing w:val="-6"/>
          <w:w w:val="110"/>
          <w:sz w:val="18"/>
        </w:rPr>
        <w:t> </w:t>
      </w:r>
      <w:r>
        <w:rPr>
          <w:color w:val="4D4D4F"/>
          <w:w w:val="110"/>
          <w:sz w:val="18"/>
        </w:rPr>
        <w:t>reports</w:t>
      </w:r>
      <w:r>
        <w:rPr>
          <w:color w:val="4D4D4F"/>
          <w:spacing w:val="-6"/>
          <w:w w:val="110"/>
          <w:sz w:val="18"/>
        </w:rPr>
        <w:t> </w:t>
      </w:r>
      <w:r>
        <w:rPr>
          <w:color w:val="4D4D4F"/>
          <w:w w:val="110"/>
          <w:sz w:val="18"/>
        </w:rPr>
        <w:t>of</w:t>
      </w:r>
      <w:r>
        <w:rPr>
          <w:color w:val="4D4D4F"/>
          <w:spacing w:val="-5"/>
          <w:w w:val="110"/>
          <w:sz w:val="18"/>
        </w:rPr>
        <w:t> </w:t>
      </w:r>
      <w:r>
        <w:rPr>
          <w:color w:val="4D4D4F"/>
          <w:w w:val="110"/>
          <w:sz w:val="18"/>
        </w:rPr>
        <w:t>selling</w:t>
      </w:r>
      <w:r>
        <w:rPr>
          <w:color w:val="4D4D4F"/>
          <w:spacing w:val="-6"/>
          <w:w w:val="110"/>
          <w:sz w:val="18"/>
        </w:rPr>
        <w:t> </w:t>
      </w:r>
      <w:r>
        <w:rPr>
          <w:color w:val="4D4D4F"/>
          <w:w w:val="110"/>
          <w:sz w:val="18"/>
        </w:rPr>
        <w:t>on</w:t>
      </w:r>
      <w:r>
        <w:rPr>
          <w:color w:val="4D4D4F"/>
          <w:spacing w:val="-5"/>
          <w:w w:val="110"/>
          <w:sz w:val="18"/>
        </w:rPr>
        <w:t> </w:t>
      </w:r>
      <w:r>
        <w:rPr>
          <w:color w:val="4D4D4F"/>
          <w:w w:val="110"/>
          <w:sz w:val="18"/>
        </w:rPr>
        <w:t>the</w:t>
      </w:r>
      <w:r>
        <w:rPr>
          <w:color w:val="4D4D4F"/>
          <w:spacing w:val="-6"/>
          <w:w w:val="110"/>
          <w:sz w:val="18"/>
        </w:rPr>
        <w:t> </w:t>
      </w:r>
      <w:r>
        <w:rPr>
          <w:color w:val="4D4D4F"/>
          <w:w w:val="110"/>
          <w:sz w:val="18"/>
        </w:rPr>
        <w:t>streets.</w:t>
      </w:r>
      <w:r>
        <w:rPr>
          <w:color w:val="4D4D4F"/>
          <w:spacing w:val="-5"/>
          <w:w w:val="110"/>
          <w:sz w:val="18"/>
        </w:rPr>
        <w:t> </w:t>
      </w:r>
      <w:r>
        <w:rPr>
          <w:color w:val="4D4D4F"/>
          <w:w w:val="110"/>
          <w:sz w:val="18"/>
        </w:rPr>
        <w:t>Likewise,</w:t>
      </w:r>
      <w:r>
        <w:rPr>
          <w:color w:val="4D4D4F"/>
          <w:spacing w:val="-6"/>
          <w:w w:val="110"/>
          <w:sz w:val="18"/>
        </w:rPr>
        <w:t> </w:t>
      </w:r>
      <w:r>
        <w:rPr>
          <w:color w:val="4D4D4F"/>
          <w:w w:val="110"/>
          <w:sz w:val="18"/>
        </w:rPr>
        <w:t>there</w:t>
      </w:r>
      <w:r>
        <w:rPr>
          <w:color w:val="4D4D4F"/>
          <w:spacing w:val="-5"/>
          <w:w w:val="110"/>
          <w:sz w:val="18"/>
        </w:rPr>
        <w:t> </w:t>
      </w:r>
      <w:r>
        <w:rPr>
          <w:color w:val="4D4D4F"/>
          <w:w w:val="110"/>
          <w:sz w:val="18"/>
        </w:rPr>
        <w:t>are</w:t>
      </w:r>
      <w:r>
        <w:rPr>
          <w:color w:val="4D4D4F"/>
          <w:spacing w:val="-6"/>
          <w:w w:val="110"/>
          <w:sz w:val="18"/>
        </w:rPr>
        <w:t> </w:t>
      </w:r>
      <w:r>
        <w:rPr>
          <w:color w:val="4D4D4F"/>
          <w:w w:val="110"/>
          <w:sz w:val="18"/>
        </w:rPr>
        <w:t>a</w:t>
      </w:r>
      <w:r>
        <w:rPr>
          <w:color w:val="4D4D4F"/>
          <w:spacing w:val="-6"/>
          <w:w w:val="110"/>
          <w:sz w:val="18"/>
        </w:rPr>
        <w:t> </w:t>
      </w:r>
      <w:r>
        <w:rPr>
          <w:color w:val="4D4D4F"/>
          <w:w w:val="110"/>
          <w:sz w:val="18"/>
        </w:rPr>
        <w:t>range</w:t>
      </w:r>
      <w:r>
        <w:rPr>
          <w:color w:val="4D4D4F"/>
          <w:spacing w:val="-5"/>
          <w:w w:val="110"/>
          <w:sz w:val="18"/>
        </w:rPr>
        <w:t> </w:t>
      </w:r>
      <w:r>
        <w:rPr>
          <w:color w:val="4D4D4F"/>
          <w:w w:val="110"/>
          <w:sz w:val="18"/>
        </w:rPr>
        <w:t>of</w:t>
      </w:r>
      <w:r>
        <w:rPr>
          <w:color w:val="4D4D4F"/>
          <w:spacing w:val="-6"/>
          <w:w w:val="110"/>
          <w:sz w:val="18"/>
        </w:rPr>
        <w:t> </w:t>
      </w:r>
      <w:r>
        <w:rPr>
          <w:color w:val="4D4D4F"/>
          <w:w w:val="110"/>
          <w:sz w:val="18"/>
        </w:rPr>
        <w:t>reasons</w:t>
      </w:r>
      <w:r>
        <w:rPr>
          <w:color w:val="4D4D4F"/>
          <w:spacing w:val="-5"/>
          <w:w w:val="110"/>
          <w:sz w:val="18"/>
        </w:rPr>
        <w:t> for </w:t>
      </w:r>
      <w:r>
        <w:rPr>
          <w:color w:val="4D4D4F"/>
          <w:w w:val="110"/>
          <w:sz w:val="18"/>
        </w:rPr>
        <w:t>diversion and misuse (e.g., diverting to family/friends with untreated opioid addiction with the intent of trying to “help” convince them to also get treatment; diverting to family/friends on a treatment waiting list; selling some or all of the medication to pay off old drug debts/purchase preferred opioid of misuse/pay for treatment in places where there are inadequate addiction treatment professionals taking private insurance or Medicaid for such reasons as inadequate reim- bursement/no reimbursement/burdensome prior authorization</w:t>
      </w:r>
      <w:r>
        <w:rPr>
          <w:color w:val="4D4D4F"/>
          <w:spacing w:val="-21"/>
          <w:w w:val="110"/>
          <w:sz w:val="18"/>
        </w:rPr>
        <w:t> </w:t>
      </w:r>
      <w:r>
        <w:rPr>
          <w:color w:val="4D4D4F"/>
          <w:w w:val="110"/>
          <w:sz w:val="18"/>
        </w:rPr>
        <w:t>process).</w:t>
      </w:r>
    </w:p>
    <w:p>
      <w:pPr>
        <w:spacing w:line="247" w:lineRule="auto" w:before="96"/>
        <w:ind w:left="140" w:right="0" w:firstLine="0"/>
        <w:jc w:val="left"/>
        <w:rPr>
          <w:sz w:val="18"/>
        </w:rPr>
      </w:pPr>
      <w:r>
        <w:rPr>
          <w:color w:val="4D4D4F"/>
          <w:w w:val="110"/>
          <w:sz w:val="18"/>
        </w:rPr>
        <w:t>The safety and health of patients and others in the community could be at risk if misuse and diversion are not addressed proactively throughout treatment. The reputation of XYZ Medical Practice may also be put at risk.</w:t>
      </w:r>
    </w:p>
    <w:p>
      <w:pPr>
        <w:spacing w:line="247" w:lineRule="auto" w:before="90"/>
        <w:ind w:left="140" w:right="367" w:firstLine="0"/>
        <w:jc w:val="both"/>
        <w:rPr>
          <w:sz w:val="10"/>
        </w:rPr>
      </w:pPr>
      <w:r>
        <w:rPr>
          <w:color w:val="4D4D4F"/>
          <w:w w:val="110"/>
          <w:sz w:val="18"/>
        </w:rPr>
        <w:t>Deﬁnitions:</w:t>
      </w:r>
      <w:r>
        <w:rPr>
          <w:color w:val="4D4D4F"/>
          <w:spacing w:val="-8"/>
          <w:w w:val="110"/>
          <w:sz w:val="18"/>
        </w:rPr>
        <w:t> </w:t>
      </w:r>
      <w:r>
        <w:rPr>
          <w:rFonts w:ascii="Arial" w:hAnsi="Arial"/>
          <w:i/>
          <w:color w:val="4D4D4F"/>
          <w:w w:val="110"/>
          <w:sz w:val="18"/>
        </w:rPr>
        <w:t>Diversion</w:t>
      </w:r>
      <w:r>
        <w:rPr>
          <w:rFonts w:ascii="Arial" w:hAnsi="Arial"/>
          <w:i/>
          <w:color w:val="4D4D4F"/>
          <w:spacing w:val="-7"/>
          <w:w w:val="110"/>
          <w:sz w:val="18"/>
        </w:rPr>
        <w:t> </w:t>
      </w:r>
      <w:r>
        <w:rPr>
          <w:color w:val="4D4D4F"/>
          <w:w w:val="110"/>
          <w:sz w:val="18"/>
        </w:rPr>
        <w:t>is</w:t>
      </w:r>
      <w:r>
        <w:rPr>
          <w:color w:val="4D4D4F"/>
          <w:spacing w:val="-7"/>
          <w:w w:val="110"/>
          <w:sz w:val="18"/>
        </w:rPr>
        <w:t> </w:t>
      </w:r>
      <w:r>
        <w:rPr>
          <w:color w:val="4D4D4F"/>
          <w:w w:val="110"/>
          <w:sz w:val="18"/>
        </w:rPr>
        <w:t>deﬁned</w:t>
      </w:r>
      <w:r>
        <w:rPr>
          <w:color w:val="4D4D4F"/>
          <w:spacing w:val="-8"/>
          <w:w w:val="110"/>
          <w:sz w:val="18"/>
        </w:rPr>
        <w:t> </w:t>
      </w:r>
      <w:r>
        <w:rPr>
          <w:color w:val="4D4D4F"/>
          <w:w w:val="110"/>
          <w:sz w:val="18"/>
        </w:rPr>
        <w:t>as</w:t>
      </w:r>
      <w:r>
        <w:rPr>
          <w:color w:val="4D4D4F"/>
          <w:spacing w:val="-7"/>
          <w:w w:val="110"/>
          <w:sz w:val="18"/>
        </w:rPr>
        <w:t> </w:t>
      </w:r>
      <w:r>
        <w:rPr>
          <w:color w:val="4D4D4F"/>
          <w:w w:val="110"/>
          <w:sz w:val="18"/>
        </w:rPr>
        <w:t>the</w:t>
      </w:r>
      <w:r>
        <w:rPr>
          <w:color w:val="4D4D4F"/>
          <w:spacing w:val="-7"/>
          <w:w w:val="110"/>
          <w:sz w:val="18"/>
        </w:rPr>
        <w:t> </w:t>
      </w:r>
      <w:r>
        <w:rPr>
          <w:color w:val="4D4D4F"/>
          <w:w w:val="110"/>
          <w:sz w:val="18"/>
        </w:rPr>
        <w:t>unauthorized</w:t>
      </w:r>
      <w:r>
        <w:rPr>
          <w:color w:val="4D4D4F"/>
          <w:spacing w:val="-7"/>
          <w:w w:val="110"/>
          <w:sz w:val="18"/>
        </w:rPr>
        <w:t> </w:t>
      </w:r>
      <w:r>
        <w:rPr>
          <w:color w:val="4D4D4F"/>
          <w:w w:val="110"/>
          <w:sz w:val="18"/>
        </w:rPr>
        <w:t>rerouting</w:t>
      </w:r>
      <w:r>
        <w:rPr>
          <w:color w:val="4D4D4F"/>
          <w:spacing w:val="-8"/>
          <w:w w:val="110"/>
          <w:sz w:val="18"/>
        </w:rPr>
        <w:t> </w:t>
      </w:r>
      <w:r>
        <w:rPr>
          <w:color w:val="4D4D4F"/>
          <w:w w:val="110"/>
          <w:sz w:val="18"/>
        </w:rPr>
        <w:t>or</w:t>
      </w:r>
      <w:r>
        <w:rPr>
          <w:color w:val="4D4D4F"/>
          <w:spacing w:val="-7"/>
          <w:w w:val="110"/>
          <w:sz w:val="18"/>
        </w:rPr>
        <w:t> </w:t>
      </w:r>
      <w:r>
        <w:rPr>
          <w:color w:val="4D4D4F"/>
          <w:w w:val="110"/>
          <w:sz w:val="18"/>
        </w:rPr>
        <w:t>misappropriation</w:t>
      </w:r>
      <w:r>
        <w:rPr>
          <w:color w:val="4D4D4F"/>
          <w:spacing w:val="-7"/>
          <w:w w:val="110"/>
          <w:sz w:val="18"/>
        </w:rPr>
        <w:t> </w:t>
      </w:r>
      <w:r>
        <w:rPr>
          <w:color w:val="4D4D4F"/>
          <w:w w:val="110"/>
          <w:sz w:val="18"/>
        </w:rPr>
        <w:t>of</w:t>
      </w:r>
      <w:r>
        <w:rPr>
          <w:color w:val="4D4D4F"/>
          <w:spacing w:val="-7"/>
          <w:w w:val="110"/>
          <w:sz w:val="18"/>
        </w:rPr>
        <w:t> </w:t>
      </w:r>
      <w:r>
        <w:rPr>
          <w:color w:val="4D4D4F"/>
          <w:w w:val="110"/>
          <w:sz w:val="18"/>
        </w:rPr>
        <w:t>prescription</w:t>
      </w:r>
      <w:r>
        <w:rPr>
          <w:color w:val="4D4D4F"/>
          <w:spacing w:val="-8"/>
          <w:w w:val="110"/>
          <w:sz w:val="18"/>
        </w:rPr>
        <w:t> </w:t>
      </w:r>
      <w:r>
        <w:rPr>
          <w:color w:val="4D4D4F"/>
          <w:w w:val="110"/>
          <w:sz w:val="18"/>
        </w:rPr>
        <w:t>medication</w:t>
      </w:r>
      <w:r>
        <w:rPr>
          <w:color w:val="4D4D4F"/>
          <w:spacing w:val="-7"/>
          <w:w w:val="110"/>
          <w:sz w:val="18"/>
        </w:rPr>
        <w:t> </w:t>
      </w:r>
      <w:r>
        <w:rPr>
          <w:color w:val="4D4D4F"/>
          <w:w w:val="110"/>
          <w:sz w:val="18"/>
        </w:rPr>
        <w:t>to</w:t>
      </w:r>
      <w:r>
        <w:rPr>
          <w:color w:val="4D4D4F"/>
          <w:spacing w:val="-7"/>
          <w:w w:val="110"/>
          <w:sz w:val="18"/>
        </w:rPr>
        <w:t> </w:t>
      </w:r>
      <w:r>
        <w:rPr>
          <w:color w:val="4D4D4F"/>
          <w:w w:val="110"/>
          <w:sz w:val="18"/>
        </w:rPr>
        <w:t>someone other than for whom it was intended (including sharing or selling a prescribed medication); </w:t>
      </w:r>
      <w:r>
        <w:rPr>
          <w:rFonts w:ascii="Arial" w:hAnsi="Arial"/>
          <w:i/>
          <w:color w:val="4D4D4F"/>
          <w:w w:val="110"/>
          <w:sz w:val="18"/>
        </w:rPr>
        <w:t>misuse </w:t>
      </w:r>
      <w:r>
        <w:rPr>
          <w:color w:val="4D4D4F"/>
          <w:w w:val="110"/>
          <w:sz w:val="18"/>
        </w:rPr>
        <w:t>includes taking </w:t>
      </w:r>
      <w:r>
        <w:rPr>
          <w:color w:val="4D4D4F"/>
          <w:spacing w:val="-3"/>
          <w:w w:val="110"/>
          <w:sz w:val="18"/>
        </w:rPr>
        <w:t>medica- </w:t>
      </w:r>
      <w:r>
        <w:rPr>
          <w:color w:val="4D4D4F"/>
          <w:w w:val="110"/>
          <w:sz w:val="18"/>
        </w:rPr>
        <w:t>tion</w:t>
      </w:r>
      <w:r>
        <w:rPr>
          <w:color w:val="4D4D4F"/>
          <w:spacing w:val="-5"/>
          <w:w w:val="110"/>
          <w:sz w:val="18"/>
        </w:rPr>
        <w:t> </w:t>
      </w:r>
      <w:r>
        <w:rPr>
          <w:color w:val="4D4D4F"/>
          <w:w w:val="110"/>
          <w:sz w:val="18"/>
        </w:rPr>
        <w:t>in</w:t>
      </w:r>
      <w:r>
        <w:rPr>
          <w:color w:val="4D4D4F"/>
          <w:spacing w:val="-5"/>
          <w:w w:val="110"/>
          <w:sz w:val="18"/>
        </w:rPr>
        <w:t> </w:t>
      </w:r>
      <w:r>
        <w:rPr>
          <w:color w:val="4D4D4F"/>
          <w:w w:val="110"/>
          <w:sz w:val="18"/>
        </w:rPr>
        <w:t>a</w:t>
      </w:r>
      <w:r>
        <w:rPr>
          <w:color w:val="4D4D4F"/>
          <w:spacing w:val="-4"/>
          <w:w w:val="110"/>
          <w:sz w:val="18"/>
        </w:rPr>
        <w:t> </w:t>
      </w:r>
      <w:r>
        <w:rPr>
          <w:color w:val="4D4D4F"/>
          <w:spacing w:val="-3"/>
          <w:w w:val="110"/>
          <w:sz w:val="18"/>
        </w:rPr>
        <w:t>manner,</w:t>
      </w:r>
      <w:r>
        <w:rPr>
          <w:color w:val="4D4D4F"/>
          <w:spacing w:val="-5"/>
          <w:w w:val="110"/>
          <w:sz w:val="18"/>
        </w:rPr>
        <w:t> </w:t>
      </w:r>
      <w:r>
        <w:rPr>
          <w:color w:val="4D4D4F"/>
          <w:w w:val="110"/>
          <w:sz w:val="18"/>
        </w:rPr>
        <w:t>by</w:t>
      </w:r>
      <w:r>
        <w:rPr>
          <w:color w:val="4D4D4F"/>
          <w:spacing w:val="-5"/>
          <w:w w:val="110"/>
          <w:sz w:val="18"/>
        </w:rPr>
        <w:t> </w:t>
      </w:r>
      <w:r>
        <w:rPr>
          <w:color w:val="4D4D4F"/>
          <w:w w:val="110"/>
          <w:sz w:val="18"/>
        </w:rPr>
        <w:t>route</w:t>
      </w:r>
      <w:r>
        <w:rPr>
          <w:color w:val="4D4D4F"/>
          <w:spacing w:val="-4"/>
          <w:w w:val="110"/>
          <w:sz w:val="18"/>
        </w:rPr>
        <w:t> </w:t>
      </w:r>
      <w:r>
        <w:rPr>
          <w:color w:val="4D4D4F"/>
          <w:w w:val="110"/>
          <w:sz w:val="18"/>
        </w:rPr>
        <w:t>or</w:t>
      </w:r>
      <w:r>
        <w:rPr>
          <w:color w:val="4D4D4F"/>
          <w:spacing w:val="-5"/>
          <w:w w:val="110"/>
          <w:sz w:val="18"/>
        </w:rPr>
        <w:t> </w:t>
      </w:r>
      <w:r>
        <w:rPr>
          <w:color w:val="4D4D4F"/>
          <w:w w:val="110"/>
          <w:sz w:val="18"/>
        </w:rPr>
        <w:t>by</w:t>
      </w:r>
      <w:r>
        <w:rPr>
          <w:color w:val="4D4D4F"/>
          <w:spacing w:val="-4"/>
          <w:w w:val="110"/>
          <w:sz w:val="18"/>
        </w:rPr>
        <w:t> </w:t>
      </w:r>
      <w:r>
        <w:rPr>
          <w:color w:val="4D4D4F"/>
          <w:w w:val="110"/>
          <w:sz w:val="18"/>
        </w:rPr>
        <w:t>dose,</w:t>
      </w:r>
      <w:r>
        <w:rPr>
          <w:color w:val="4D4D4F"/>
          <w:spacing w:val="-5"/>
          <w:w w:val="110"/>
          <w:sz w:val="18"/>
        </w:rPr>
        <w:t> </w:t>
      </w:r>
      <w:r>
        <w:rPr>
          <w:color w:val="4D4D4F"/>
          <w:w w:val="110"/>
          <w:sz w:val="18"/>
        </w:rPr>
        <w:t>other</w:t>
      </w:r>
      <w:r>
        <w:rPr>
          <w:color w:val="4D4D4F"/>
          <w:spacing w:val="-5"/>
          <w:w w:val="110"/>
          <w:sz w:val="18"/>
        </w:rPr>
        <w:t> </w:t>
      </w:r>
      <w:r>
        <w:rPr>
          <w:color w:val="4D4D4F"/>
          <w:w w:val="110"/>
          <w:sz w:val="18"/>
        </w:rPr>
        <w:t>than</w:t>
      </w:r>
      <w:r>
        <w:rPr>
          <w:color w:val="4D4D4F"/>
          <w:spacing w:val="-4"/>
          <w:w w:val="110"/>
          <w:sz w:val="18"/>
        </w:rPr>
        <w:t> </w:t>
      </w:r>
      <w:r>
        <w:rPr>
          <w:color w:val="4D4D4F"/>
          <w:w w:val="110"/>
          <w:sz w:val="18"/>
        </w:rPr>
        <w:t>prescribed.</w:t>
      </w:r>
      <w:r>
        <w:rPr>
          <w:color w:val="4D4D4F"/>
          <w:w w:val="110"/>
          <w:position w:val="6"/>
          <w:sz w:val="10"/>
        </w:rPr>
        <w:t>384</w:t>
      </w:r>
    </w:p>
    <w:p>
      <w:pPr>
        <w:spacing w:line="247" w:lineRule="auto" w:before="92"/>
        <w:ind w:left="140" w:right="157" w:firstLine="0"/>
        <w:jc w:val="left"/>
        <w:rPr>
          <w:sz w:val="18"/>
        </w:rPr>
      </w:pPr>
      <w:r>
        <w:rPr>
          <w:color w:val="4D4D4F"/>
          <w:w w:val="110"/>
          <w:sz w:val="18"/>
        </w:rPr>
        <w:t>Purpose: Misuse and diversion should be deﬁned and discussed with patients at the time of treatment entry; periodically throughout treatment, particularly when there have been returns to illicit drug use; and when suspected (e.g., incorrect buprenorphine pill/ﬁlm count) or conﬁrmed. These procedures will establish the steps to be taken to prevent, monitor, and respond to misuse and diversion of buprenorphine. The response should be therapeutic and matched to the patients’ needs, as untreated opioid use disorder and treatment dropout/administrative discharges may lead to increased patient morbidity and mortality and further use of diverted medications or illicit opioids associated with overdose death.</w:t>
      </w:r>
    </w:p>
    <w:p>
      <w:pPr>
        <w:pStyle w:val="BodyText"/>
        <w:spacing w:before="1"/>
        <w:rPr>
          <w:sz w:val="16"/>
        </w:rPr>
      </w:pPr>
    </w:p>
    <w:p>
      <w:pPr>
        <w:spacing w:before="0"/>
        <w:ind w:left="140" w:right="0" w:firstLine="0"/>
        <w:jc w:val="left"/>
        <w:rPr>
          <w:rFonts w:ascii="Calibri"/>
          <w:b/>
          <w:sz w:val="20"/>
        </w:rPr>
      </w:pPr>
      <w:r>
        <w:rPr>
          <w:rFonts w:ascii="Calibri"/>
          <w:b/>
          <w:color w:val="4D4D4F"/>
          <w:w w:val="115"/>
          <w:sz w:val="20"/>
        </w:rPr>
        <w:t>Procedures for Prevention:</w:t>
      </w:r>
    </w:p>
    <w:p>
      <w:pPr>
        <w:pStyle w:val="ListParagraph"/>
        <w:numPr>
          <w:ilvl w:val="1"/>
          <w:numId w:val="48"/>
        </w:numPr>
        <w:tabs>
          <w:tab w:pos="770" w:val="left" w:leader="none"/>
        </w:tabs>
        <w:spacing w:line="247" w:lineRule="auto" w:before="65" w:after="0"/>
        <w:ind w:left="770" w:right="565" w:hanging="180"/>
        <w:jc w:val="left"/>
        <w:rPr>
          <w:sz w:val="18"/>
        </w:rPr>
      </w:pPr>
      <w:r>
        <w:rPr>
          <w:color w:val="4D4D4F"/>
          <w:w w:val="110"/>
          <w:sz w:val="18"/>
        </w:rPr>
        <w:t>Use buprenorphine/naloxone combination products when medically indicated and cost is not an issue. Reserve the daily buprenorphine monoproducts for pregnant patients and patients who could not afford treatment if</w:t>
      </w:r>
      <w:r>
        <w:rPr>
          <w:color w:val="4D4D4F"/>
          <w:spacing w:val="39"/>
          <w:w w:val="110"/>
          <w:sz w:val="18"/>
        </w:rPr>
        <w:t> </w:t>
      </w:r>
      <w:r>
        <w:rPr>
          <w:color w:val="4D4D4F"/>
          <w:spacing w:val="-5"/>
          <w:w w:val="110"/>
          <w:sz w:val="18"/>
        </w:rPr>
        <w:t>the</w:t>
      </w:r>
    </w:p>
    <w:p>
      <w:pPr>
        <w:spacing w:line="247" w:lineRule="auto" w:before="0"/>
        <w:ind w:left="770" w:right="0" w:firstLine="0"/>
        <w:jc w:val="left"/>
        <w:rPr>
          <w:sz w:val="18"/>
        </w:rPr>
      </w:pPr>
      <w:r>
        <w:rPr>
          <w:color w:val="4D4D4F"/>
          <w:w w:val="110"/>
          <w:sz w:val="18"/>
        </w:rPr>
        <w:t>combination</w:t>
      </w:r>
      <w:r>
        <w:rPr>
          <w:color w:val="4D4D4F"/>
          <w:spacing w:val="-6"/>
          <w:w w:val="110"/>
          <w:sz w:val="18"/>
        </w:rPr>
        <w:t> </w:t>
      </w:r>
      <w:r>
        <w:rPr>
          <w:color w:val="4D4D4F"/>
          <w:w w:val="110"/>
          <w:sz w:val="18"/>
        </w:rPr>
        <w:t>product</w:t>
      </w:r>
      <w:r>
        <w:rPr>
          <w:color w:val="4D4D4F"/>
          <w:spacing w:val="-6"/>
          <w:w w:val="110"/>
          <w:sz w:val="18"/>
        </w:rPr>
        <w:t> </w:t>
      </w:r>
      <w:r>
        <w:rPr>
          <w:color w:val="4D4D4F"/>
          <w:w w:val="110"/>
          <w:sz w:val="18"/>
        </w:rPr>
        <w:t>were</w:t>
      </w:r>
      <w:r>
        <w:rPr>
          <w:color w:val="4D4D4F"/>
          <w:spacing w:val="-5"/>
          <w:w w:val="110"/>
          <w:sz w:val="18"/>
        </w:rPr>
        <w:t> </w:t>
      </w:r>
      <w:r>
        <w:rPr>
          <w:color w:val="4D4D4F"/>
          <w:w w:val="110"/>
          <w:sz w:val="18"/>
        </w:rPr>
        <w:t>required,</w:t>
      </w:r>
      <w:r>
        <w:rPr>
          <w:color w:val="4D4D4F"/>
          <w:spacing w:val="-6"/>
          <w:w w:val="110"/>
          <w:sz w:val="18"/>
        </w:rPr>
        <w:t> </w:t>
      </w:r>
      <w:r>
        <w:rPr>
          <w:color w:val="4D4D4F"/>
          <w:w w:val="110"/>
          <w:sz w:val="18"/>
        </w:rPr>
        <w:t>who</w:t>
      </w:r>
      <w:r>
        <w:rPr>
          <w:color w:val="4D4D4F"/>
          <w:spacing w:val="-6"/>
          <w:w w:val="110"/>
          <w:sz w:val="18"/>
        </w:rPr>
        <w:t> </w:t>
      </w:r>
      <w:r>
        <w:rPr>
          <w:color w:val="4D4D4F"/>
          <w:w w:val="110"/>
          <w:sz w:val="18"/>
        </w:rPr>
        <w:t>have</w:t>
      </w:r>
      <w:r>
        <w:rPr>
          <w:color w:val="4D4D4F"/>
          <w:spacing w:val="-5"/>
          <w:w w:val="110"/>
          <w:sz w:val="18"/>
        </w:rPr>
        <w:t> </w:t>
      </w:r>
      <w:r>
        <w:rPr>
          <w:color w:val="4D4D4F"/>
          <w:w w:val="110"/>
          <w:sz w:val="18"/>
        </w:rPr>
        <w:t>a</w:t>
      </w:r>
      <w:r>
        <w:rPr>
          <w:color w:val="4D4D4F"/>
          <w:spacing w:val="-6"/>
          <w:w w:val="110"/>
          <w:sz w:val="18"/>
        </w:rPr>
        <w:t> </w:t>
      </w:r>
      <w:r>
        <w:rPr>
          <w:color w:val="4D4D4F"/>
          <w:w w:val="110"/>
          <w:sz w:val="18"/>
        </w:rPr>
        <w:t>history</w:t>
      </w:r>
      <w:r>
        <w:rPr>
          <w:color w:val="4D4D4F"/>
          <w:spacing w:val="-5"/>
          <w:w w:val="110"/>
          <w:sz w:val="18"/>
        </w:rPr>
        <w:t> </w:t>
      </w:r>
      <w:r>
        <w:rPr>
          <w:color w:val="4D4D4F"/>
          <w:w w:val="110"/>
          <w:sz w:val="18"/>
        </w:rPr>
        <w:t>of</w:t>
      </w:r>
      <w:r>
        <w:rPr>
          <w:color w:val="4D4D4F"/>
          <w:spacing w:val="-6"/>
          <w:w w:val="110"/>
          <w:sz w:val="18"/>
        </w:rPr>
        <w:t> </w:t>
      </w:r>
      <w:r>
        <w:rPr>
          <w:color w:val="4D4D4F"/>
          <w:w w:val="110"/>
          <w:sz w:val="18"/>
        </w:rPr>
        <w:t>stability</w:t>
      </w:r>
      <w:r>
        <w:rPr>
          <w:color w:val="4D4D4F"/>
          <w:spacing w:val="-6"/>
          <w:w w:val="110"/>
          <w:sz w:val="18"/>
        </w:rPr>
        <w:t> </w:t>
      </w:r>
      <w:r>
        <w:rPr>
          <w:color w:val="4D4D4F"/>
          <w:w w:val="110"/>
          <w:sz w:val="18"/>
        </w:rPr>
        <w:t>in</w:t>
      </w:r>
      <w:r>
        <w:rPr>
          <w:color w:val="4D4D4F"/>
          <w:spacing w:val="-5"/>
          <w:w w:val="110"/>
          <w:sz w:val="18"/>
        </w:rPr>
        <w:t> </w:t>
      </w:r>
      <w:r>
        <w:rPr>
          <w:color w:val="4D4D4F"/>
          <w:w w:val="110"/>
          <w:sz w:val="18"/>
        </w:rPr>
        <w:t>treatment</w:t>
      </w:r>
      <w:r>
        <w:rPr>
          <w:color w:val="4D4D4F"/>
          <w:spacing w:val="-6"/>
          <w:w w:val="110"/>
          <w:sz w:val="18"/>
        </w:rPr>
        <w:t> </w:t>
      </w:r>
      <w:r>
        <w:rPr>
          <w:color w:val="4D4D4F"/>
          <w:w w:val="110"/>
          <w:sz w:val="18"/>
        </w:rPr>
        <w:t>and</w:t>
      </w:r>
      <w:r>
        <w:rPr>
          <w:color w:val="4D4D4F"/>
          <w:spacing w:val="-6"/>
          <w:w w:val="110"/>
          <w:sz w:val="18"/>
        </w:rPr>
        <w:t> </w:t>
      </w:r>
      <w:r>
        <w:rPr>
          <w:color w:val="4D4D4F"/>
          <w:w w:val="110"/>
          <w:sz w:val="18"/>
        </w:rPr>
        <w:t>low</w:t>
      </w:r>
      <w:r>
        <w:rPr>
          <w:color w:val="4D4D4F"/>
          <w:spacing w:val="-5"/>
          <w:w w:val="110"/>
          <w:sz w:val="18"/>
        </w:rPr>
        <w:t> </w:t>
      </w:r>
      <w:r>
        <w:rPr>
          <w:color w:val="4D4D4F"/>
          <w:w w:val="110"/>
          <w:sz w:val="18"/>
        </w:rPr>
        <w:t>diversion</w:t>
      </w:r>
      <w:r>
        <w:rPr>
          <w:color w:val="4D4D4F"/>
          <w:spacing w:val="-6"/>
          <w:w w:val="110"/>
          <w:sz w:val="18"/>
        </w:rPr>
        <w:t> </w:t>
      </w:r>
      <w:r>
        <w:rPr>
          <w:color w:val="4D4D4F"/>
          <w:w w:val="110"/>
          <w:sz w:val="18"/>
        </w:rPr>
        <w:t>risk,</w:t>
      </w:r>
      <w:r>
        <w:rPr>
          <w:color w:val="4D4D4F"/>
          <w:spacing w:val="-5"/>
          <w:w w:val="110"/>
          <w:sz w:val="18"/>
        </w:rPr>
        <w:t> </w:t>
      </w:r>
      <w:r>
        <w:rPr>
          <w:color w:val="4D4D4F"/>
          <w:w w:val="110"/>
          <w:sz w:val="18"/>
        </w:rPr>
        <w:t>or</w:t>
      </w:r>
      <w:r>
        <w:rPr>
          <w:color w:val="4D4D4F"/>
          <w:spacing w:val="-6"/>
          <w:w w:val="110"/>
          <w:sz w:val="18"/>
        </w:rPr>
        <w:t> </w:t>
      </w:r>
      <w:r>
        <w:rPr>
          <w:color w:val="4D4D4F"/>
          <w:w w:val="110"/>
          <w:sz w:val="18"/>
        </w:rPr>
        <w:t>who</w:t>
      </w:r>
      <w:r>
        <w:rPr>
          <w:color w:val="4D4D4F"/>
          <w:spacing w:val="-6"/>
          <w:w w:val="110"/>
          <w:sz w:val="18"/>
        </w:rPr>
        <w:t> </w:t>
      </w:r>
      <w:r>
        <w:rPr>
          <w:color w:val="4D4D4F"/>
          <w:spacing w:val="-4"/>
          <w:w w:val="110"/>
          <w:sz w:val="18"/>
        </w:rPr>
        <w:t>have </w:t>
      </w:r>
      <w:r>
        <w:rPr>
          <w:color w:val="4D4D4F"/>
          <w:w w:val="110"/>
          <w:sz w:val="18"/>
        </w:rPr>
        <w:t>arrangements for observed dosing. Buprenorphine monoproducts are recommended for pregnant</w:t>
      </w:r>
      <w:r>
        <w:rPr>
          <w:color w:val="4D4D4F"/>
          <w:spacing w:val="-8"/>
          <w:w w:val="110"/>
          <w:sz w:val="18"/>
        </w:rPr>
        <w:t> </w:t>
      </w:r>
      <w:r>
        <w:rPr>
          <w:color w:val="4D4D4F"/>
          <w:w w:val="110"/>
          <w:sz w:val="18"/>
        </w:rPr>
        <w:t>women.</w:t>
      </w:r>
    </w:p>
    <w:p>
      <w:pPr>
        <w:pStyle w:val="ListParagraph"/>
        <w:numPr>
          <w:ilvl w:val="1"/>
          <w:numId w:val="48"/>
        </w:numPr>
        <w:tabs>
          <w:tab w:pos="770" w:val="left" w:leader="none"/>
        </w:tabs>
        <w:spacing w:line="247" w:lineRule="auto" w:before="25" w:after="0"/>
        <w:ind w:left="770" w:right="178" w:hanging="180"/>
        <w:jc w:val="left"/>
        <w:rPr>
          <w:sz w:val="18"/>
        </w:rPr>
      </w:pPr>
      <w:r>
        <w:rPr>
          <w:color w:val="4D4D4F"/>
          <w:w w:val="115"/>
          <w:sz w:val="18"/>
        </w:rPr>
        <w:t>Counsel patients on safe storage of, and nonsharing of, medications. Patients must agree to safe storage of their medication. This is even more critical if there are children in the home where the patient lives. Counsel patients about acquiring locked devices and avoiding storage in parts of the home frequented by visitors (e.g., do not recommend</w:t>
      </w:r>
      <w:r>
        <w:rPr>
          <w:color w:val="4D4D4F"/>
          <w:spacing w:val="-30"/>
          <w:w w:val="115"/>
          <w:sz w:val="18"/>
        </w:rPr>
        <w:t> </w:t>
      </w:r>
      <w:r>
        <w:rPr>
          <w:color w:val="4D4D4F"/>
          <w:w w:val="115"/>
          <w:sz w:val="18"/>
        </w:rPr>
        <w:t>storage</w:t>
      </w:r>
      <w:r>
        <w:rPr>
          <w:color w:val="4D4D4F"/>
          <w:spacing w:val="-30"/>
          <w:w w:val="115"/>
          <w:sz w:val="18"/>
        </w:rPr>
        <w:t> </w:t>
      </w:r>
      <w:r>
        <w:rPr>
          <w:color w:val="4D4D4F"/>
          <w:w w:val="115"/>
          <w:sz w:val="18"/>
        </w:rPr>
        <w:t>in</w:t>
      </w:r>
      <w:r>
        <w:rPr>
          <w:color w:val="4D4D4F"/>
          <w:spacing w:val="-30"/>
          <w:w w:val="115"/>
          <w:sz w:val="18"/>
        </w:rPr>
        <w:t> </w:t>
      </w:r>
      <w:r>
        <w:rPr>
          <w:color w:val="4D4D4F"/>
          <w:w w:val="115"/>
          <w:sz w:val="18"/>
        </w:rPr>
        <w:t>the</w:t>
      </w:r>
      <w:r>
        <w:rPr>
          <w:color w:val="4D4D4F"/>
          <w:spacing w:val="-30"/>
          <w:w w:val="115"/>
          <w:sz w:val="18"/>
        </w:rPr>
        <w:t> </w:t>
      </w:r>
      <w:r>
        <w:rPr>
          <w:color w:val="4D4D4F"/>
          <w:w w:val="115"/>
          <w:sz w:val="18"/>
        </w:rPr>
        <w:t>kitchen</w:t>
      </w:r>
      <w:r>
        <w:rPr>
          <w:color w:val="4D4D4F"/>
          <w:spacing w:val="-30"/>
          <w:w w:val="115"/>
          <w:sz w:val="18"/>
        </w:rPr>
        <w:t> </w:t>
      </w:r>
      <w:r>
        <w:rPr>
          <w:color w:val="4D4D4F"/>
          <w:w w:val="115"/>
          <w:sz w:val="18"/>
        </w:rPr>
        <w:t>or</w:t>
      </w:r>
      <w:r>
        <w:rPr>
          <w:color w:val="4D4D4F"/>
          <w:spacing w:val="-30"/>
          <w:w w:val="115"/>
          <w:sz w:val="18"/>
        </w:rPr>
        <w:t> </w:t>
      </w:r>
      <w:r>
        <w:rPr>
          <w:color w:val="4D4D4F"/>
          <w:w w:val="115"/>
          <w:sz w:val="18"/>
        </w:rPr>
        <w:t>common</w:t>
      </w:r>
      <w:r>
        <w:rPr>
          <w:color w:val="4D4D4F"/>
          <w:spacing w:val="-30"/>
          <w:w w:val="115"/>
          <w:sz w:val="18"/>
        </w:rPr>
        <w:t> </w:t>
      </w:r>
      <w:r>
        <w:rPr>
          <w:color w:val="4D4D4F"/>
          <w:w w:val="115"/>
          <w:sz w:val="18"/>
        </w:rPr>
        <w:t>bathrooms).</w:t>
      </w:r>
      <w:r>
        <w:rPr>
          <w:color w:val="4D4D4F"/>
          <w:spacing w:val="-30"/>
          <w:w w:val="115"/>
          <w:sz w:val="18"/>
        </w:rPr>
        <w:t> </w:t>
      </w:r>
      <w:r>
        <w:rPr>
          <w:color w:val="4D4D4F"/>
          <w:w w:val="115"/>
          <w:sz w:val="18"/>
        </w:rPr>
        <w:t>Proactively</w:t>
      </w:r>
      <w:r>
        <w:rPr>
          <w:color w:val="4D4D4F"/>
          <w:spacing w:val="-30"/>
          <w:w w:val="115"/>
          <w:sz w:val="18"/>
        </w:rPr>
        <w:t> </w:t>
      </w:r>
      <w:r>
        <w:rPr>
          <w:color w:val="4D4D4F"/>
          <w:w w:val="115"/>
          <w:sz w:val="18"/>
        </w:rPr>
        <w:t>discuss</w:t>
      </w:r>
      <w:r>
        <w:rPr>
          <w:color w:val="4D4D4F"/>
          <w:spacing w:val="-30"/>
          <w:w w:val="115"/>
          <w:sz w:val="18"/>
        </w:rPr>
        <w:t> </w:t>
      </w:r>
      <w:r>
        <w:rPr>
          <w:color w:val="4D4D4F"/>
          <w:w w:val="115"/>
          <w:sz w:val="18"/>
        </w:rPr>
        <w:t>how</w:t>
      </w:r>
      <w:r>
        <w:rPr>
          <w:color w:val="4D4D4F"/>
          <w:spacing w:val="-30"/>
          <w:w w:val="115"/>
          <w:sz w:val="18"/>
        </w:rPr>
        <w:t> </w:t>
      </w:r>
      <w:r>
        <w:rPr>
          <w:color w:val="4D4D4F"/>
          <w:w w:val="115"/>
          <w:sz w:val="18"/>
        </w:rPr>
        <w:t>medication</w:t>
      </w:r>
      <w:r>
        <w:rPr>
          <w:color w:val="4D4D4F"/>
          <w:spacing w:val="-30"/>
          <w:w w:val="115"/>
          <w:sz w:val="18"/>
        </w:rPr>
        <w:t> </w:t>
      </w:r>
      <w:r>
        <w:rPr>
          <w:color w:val="4D4D4F"/>
          <w:w w:val="115"/>
          <w:sz w:val="18"/>
        </w:rPr>
        <w:t>should</w:t>
      </w:r>
      <w:r>
        <w:rPr>
          <w:color w:val="4D4D4F"/>
          <w:spacing w:val="-30"/>
          <w:w w:val="115"/>
          <w:sz w:val="18"/>
        </w:rPr>
        <w:t> </w:t>
      </w:r>
      <w:r>
        <w:rPr>
          <w:color w:val="4D4D4F"/>
          <w:w w:val="115"/>
          <w:sz w:val="18"/>
        </w:rPr>
        <w:t>be</w:t>
      </w:r>
      <w:r>
        <w:rPr>
          <w:color w:val="4D4D4F"/>
          <w:spacing w:val="-30"/>
          <w:w w:val="115"/>
          <w:sz w:val="18"/>
        </w:rPr>
        <w:t> </w:t>
      </w:r>
      <w:r>
        <w:rPr>
          <w:color w:val="4D4D4F"/>
          <w:w w:val="115"/>
          <w:sz w:val="18"/>
        </w:rPr>
        <w:t>stored</w:t>
      </w:r>
      <w:r>
        <w:rPr>
          <w:color w:val="4D4D4F"/>
          <w:spacing w:val="-29"/>
          <w:w w:val="115"/>
          <w:sz w:val="18"/>
        </w:rPr>
        <w:t> </w:t>
      </w:r>
      <w:r>
        <w:rPr>
          <w:color w:val="4D4D4F"/>
          <w:spacing w:val="-5"/>
          <w:w w:val="115"/>
          <w:sz w:val="18"/>
        </w:rPr>
        <w:t>and </w:t>
      </w:r>
      <w:r>
        <w:rPr>
          <w:color w:val="4D4D4F"/>
          <w:w w:val="115"/>
          <w:sz w:val="18"/>
        </w:rPr>
        <w:t>transported</w:t>
      </w:r>
      <w:r>
        <w:rPr>
          <w:color w:val="4D4D4F"/>
          <w:spacing w:val="-10"/>
          <w:w w:val="115"/>
          <w:sz w:val="18"/>
        </w:rPr>
        <w:t> </w:t>
      </w:r>
      <w:r>
        <w:rPr>
          <w:color w:val="4D4D4F"/>
          <w:w w:val="115"/>
          <w:sz w:val="18"/>
        </w:rPr>
        <w:t>when</w:t>
      </w:r>
      <w:r>
        <w:rPr>
          <w:color w:val="4D4D4F"/>
          <w:spacing w:val="-9"/>
          <w:w w:val="115"/>
          <w:sz w:val="18"/>
        </w:rPr>
        <w:t> </w:t>
      </w:r>
      <w:r>
        <w:rPr>
          <w:color w:val="4D4D4F"/>
          <w:w w:val="115"/>
          <w:sz w:val="18"/>
        </w:rPr>
        <w:t>traveling</w:t>
      </w:r>
      <w:r>
        <w:rPr>
          <w:color w:val="4D4D4F"/>
          <w:spacing w:val="-9"/>
          <w:w w:val="115"/>
          <w:sz w:val="18"/>
        </w:rPr>
        <w:t> </w:t>
      </w:r>
      <w:r>
        <w:rPr>
          <w:color w:val="4D4D4F"/>
          <w:w w:val="115"/>
          <w:sz w:val="18"/>
        </w:rPr>
        <w:t>to</w:t>
      </w:r>
      <w:r>
        <w:rPr>
          <w:color w:val="4D4D4F"/>
          <w:spacing w:val="-10"/>
          <w:w w:val="115"/>
          <w:sz w:val="18"/>
        </w:rPr>
        <w:t> </w:t>
      </w:r>
      <w:r>
        <w:rPr>
          <w:color w:val="4D4D4F"/>
          <w:w w:val="115"/>
          <w:sz w:val="18"/>
        </w:rPr>
        <w:t>minimize</w:t>
      </w:r>
      <w:r>
        <w:rPr>
          <w:color w:val="4D4D4F"/>
          <w:spacing w:val="-9"/>
          <w:w w:val="115"/>
          <w:sz w:val="18"/>
        </w:rPr>
        <w:t> </w:t>
      </w:r>
      <w:r>
        <w:rPr>
          <w:color w:val="4D4D4F"/>
          <w:w w:val="115"/>
          <w:sz w:val="18"/>
        </w:rPr>
        <w:t>risk</w:t>
      </w:r>
      <w:r>
        <w:rPr>
          <w:color w:val="4D4D4F"/>
          <w:spacing w:val="-9"/>
          <w:w w:val="115"/>
          <w:sz w:val="18"/>
        </w:rPr>
        <w:t> </w:t>
      </w:r>
      <w:r>
        <w:rPr>
          <w:color w:val="4D4D4F"/>
          <w:w w:val="115"/>
          <w:sz w:val="18"/>
        </w:rPr>
        <w:t>of</w:t>
      </w:r>
      <w:r>
        <w:rPr>
          <w:color w:val="4D4D4F"/>
          <w:spacing w:val="-10"/>
          <w:w w:val="115"/>
          <w:sz w:val="18"/>
        </w:rPr>
        <w:t> </w:t>
      </w:r>
      <w:r>
        <w:rPr>
          <w:color w:val="4D4D4F"/>
          <w:w w:val="115"/>
          <w:sz w:val="18"/>
        </w:rPr>
        <w:t>unintended</w:t>
      </w:r>
      <w:r>
        <w:rPr>
          <w:color w:val="4D4D4F"/>
          <w:spacing w:val="-9"/>
          <w:w w:val="115"/>
          <w:sz w:val="18"/>
        </w:rPr>
        <w:t> </w:t>
      </w:r>
      <w:r>
        <w:rPr>
          <w:color w:val="4D4D4F"/>
          <w:w w:val="115"/>
          <w:sz w:val="18"/>
        </w:rPr>
        <w:t>loss.</w:t>
      </w:r>
    </w:p>
    <w:p>
      <w:pPr>
        <w:pStyle w:val="ListParagraph"/>
        <w:numPr>
          <w:ilvl w:val="1"/>
          <w:numId w:val="48"/>
        </w:numPr>
        <w:tabs>
          <w:tab w:pos="770" w:val="left" w:leader="none"/>
        </w:tabs>
        <w:spacing w:line="247" w:lineRule="auto" w:before="26" w:after="0"/>
        <w:ind w:left="770" w:right="477" w:hanging="180"/>
        <w:jc w:val="left"/>
        <w:rPr>
          <w:sz w:val="18"/>
        </w:rPr>
      </w:pPr>
      <w:r>
        <w:rPr>
          <w:color w:val="4D4D4F"/>
          <w:w w:val="110"/>
          <w:sz w:val="18"/>
        </w:rPr>
        <w:t>Counsel patients on taking medication as instructed and not sharing medication. Explicitly explain to patients </w:t>
      </w:r>
      <w:r>
        <w:rPr>
          <w:color w:val="4D4D4F"/>
          <w:spacing w:val="-6"/>
          <w:w w:val="110"/>
          <w:sz w:val="18"/>
        </w:rPr>
        <w:t>the </w:t>
      </w:r>
      <w:r>
        <w:rPr>
          <w:color w:val="4D4D4F"/>
          <w:w w:val="110"/>
          <w:sz w:val="18"/>
        </w:rPr>
        <w:t>deﬁnitions of diversion and misuse, with examples. Patients are required to take medication as instructed by the healthcare</w:t>
      </w:r>
      <w:r>
        <w:rPr>
          <w:color w:val="4D4D4F"/>
          <w:spacing w:val="-5"/>
          <w:w w:val="110"/>
          <w:sz w:val="18"/>
        </w:rPr>
        <w:t> </w:t>
      </w:r>
      <w:r>
        <w:rPr>
          <w:color w:val="4D4D4F"/>
          <w:w w:val="110"/>
          <w:sz w:val="18"/>
        </w:rPr>
        <w:t>professional;</w:t>
      </w:r>
      <w:r>
        <w:rPr>
          <w:color w:val="4D4D4F"/>
          <w:spacing w:val="-4"/>
          <w:w w:val="110"/>
          <w:sz w:val="18"/>
        </w:rPr>
        <w:t> </w:t>
      </w:r>
      <w:r>
        <w:rPr>
          <w:color w:val="4D4D4F"/>
          <w:w w:val="110"/>
          <w:sz w:val="18"/>
        </w:rPr>
        <w:t>for</w:t>
      </w:r>
      <w:r>
        <w:rPr>
          <w:color w:val="4D4D4F"/>
          <w:spacing w:val="-4"/>
          <w:w w:val="110"/>
          <w:sz w:val="18"/>
        </w:rPr>
        <w:t> </w:t>
      </w:r>
      <w:r>
        <w:rPr>
          <w:color w:val="4D4D4F"/>
          <w:w w:val="110"/>
          <w:sz w:val="18"/>
        </w:rPr>
        <w:t>example,</w:t>
      </w:r>
      <w:r>
        <w:rPr>
          <w:color w:val="4D4D4F"/>
          <w:spacing w:val="-4"/>
          <w:w w:val="110"/>
          <w:sz w:val="18"/>
        </w:rPr>
        <w:t> </w:t>
      </w:r>
      <w:r>
        <w:rPr>
          <w:color w:val="4D4D4F"/>
          <w:w w:val="110"/>
          <w:sz w:val="18"/>
        </w:rPr>
        <w:t>they</w:t>
      </w:r>
      <w:r>
        <w:rPr>
          <w:color w:val="4D4D4F"/>
          <w:spacing w:val="-4"/>
          <w:w w:val="110"/>
          <w:sz w:val="18"/>
        </w:rPr>
        <w:t> </w:t>
      </w:r>
      <w:r>
        <w:rPr>
          <w:color w:val="4D4D4F"/>
          <w:w w:val="110"/>
          <w:sz w:val="18"/>
        </w:rPr>
        <w:t>may</w:t>
      </w:r>
      <w:r>
        <w:rPr>
          <w:color w:val="4D4D4F"/>
          <w:spacing w:val="-4"/>
          <w:w w:val="110"/>
          <w:sz w:val="18"/>
        </w:rPr>
        <w:t> </w:t>
      </w:r>
      <w:r>
        <w:rPr>
          <w:color w:val="4D4D4F"/>
          <w:w w:val="110"/>
          <w:sz w:val="18"/>
        </w:rPr>
        <w:t>not</w:t>
      </w:r>
      <w:r>
        <w:rPr>
          <w:color w:val="4D4D4F"/>
          <w:spacing w:val="-4"/>
          <w:w w:val="110"/>
          <w:sz w:val="18"/>
        </w:rPr>
        <w:t> </w:t>
      </w:r>
      <w:r>
        <w:rPr>
          <w:color w:val="4D4D4F"/>
          <w:w w:val="110"/>
          <w:sz w:val="18"/>
        </w:rPr>
        <w:t>crush</w:t>
      </w:r>
      <w:r>
        <w:rPr>
          <w:color w:val="4D4D4F"/>
          <w:spacing w:val="-4"/>
          <w:w w:val="110"/>
          <w:sz w:val="18"/>
        </w:rPr>
        <w:t> </w:t>
      </w:r>
      <w:r>
        <w:rPr>
          <w:color w:val="4D4D4F"/>
          <w:w w:val="110"/>
          <w:sz w:val="18"/>
        </w:rPr>
        <w:t>or</w:t>
      </w:r>
      <w:r>
        <w:rPr>
          <w:color w:val="4D4D4F"/>
          <w:spacing w:val="-4"/>
          <w:w w:val="110"/>
          <w:sz w:val="18"/>
        </w:rPr>
        <w:t> </w:t>
      </w:r>
      <w:r>
        <w:rPr>
          <w:color w:val="4D4D4F"/>
          <w:w w:val="110"/>
          <w:sz w:val="18"/>
        </w:rPr>
        <w:t>inject</w:t>
      </w:r>
      <w:r>
        <w:rPr>
          <w:color w:val="4D4D4F"/>
          <w:spacing w:val="-5"/>
          <w:w w:val="110"/>
          <w:sz w:val="18"/>
        </w:rPr>
        <w:t> </w:t>
      </w:r>
      <w:r>
        <w:rPr>
          <w:color w:val="4D4D4F"/>
          <w:w w:val="110"/>
          <w:sz w:val="18"/>
        </w:rPr>
        <w:t>the</w:t>
      </w:r>
      <w:r>
        <w:rPr>
          <w:color w:val="4D4D4F"/>
          <w:spacing w:val="-4"/>
          <w:w w:val="110"/>
          <w:sz w:val="18"/>
        </w:rPr>
        <w:t> </w:t>
      </w:r>
      <w:r>
        <w:rPr>
          <w:color w:val="4D4D4F"/>
          <w:w w:val="110"/>
          <w:sz w:val="18"/>
        </w:rPr>
        <w:t>medication.</w:t>
      </w:r>
    </w:p>
    <w:p>
      <w:pPr>
        <w:pStyle w:val="ListParagraph"/>
        <w:numPr>
          <w:ilvl w:val="1"/>
          <w:numId w:val="48"/>
        </w:numPr>
        <w:tabs>
          <w:tab w:pos="770" w:val="left" w:leader="none"/>
        </w:tabs>
        <w:spacing w:line="247" w:lineRule="auto" w:before="25" w:after="0"/>
        <w:ind w:left="770" w:right="271" w:hanging="180"/>
        <w:jc w:val="left"/>
        <w:rPr>
          <w:sz w:val="18"/>
        </w:rPr>
      </w:pPr>
      <w:r>
        <w:rPr>
          <w:color w:val="4D4D4F"/>
          <w:w w:val="110"/>
          <w:sz w:val="18"/>
        </w:rPr>
        <w:t>Check the prescription drug monitoring program for new patients and check regularly thereafter. Prescription drug monitoring</w:t>
      </w:r>
      <w:r>
        <w:rPr>
          <w:color w:val="4D4D4F"/>
          <w:spacing w:val="-6"/>
          <w:w w:val="110"/>
          <w:sz w:val="18"/>
        </w:rPr>
        <w:t> </w:t>
      </w:r>
      <w:r>
        <w:rPr>
          <w:color w:val="4D4D4F"/>
          <w:w w:val="110"/>
          <w:sz w:val="18"/>
        </w:rPr>
        <w:t>program</w:t>
      </w:r>
      <w:r>
        <w:rPr>
          <w:color w:val="4D4D4F"/>
          <w:spacing w:val="-6"/>
          <w:w w:val="110"/>
          <w:sz w:val="18"/>
        </w:rPr>
        <w:t> </w:t>
      </w:r>
      <w:r>
        <w:rPr>
          <w:color w:val="4D4D4F"/>
          <w:w w:val="110"/>
          <w:sz w:val="18"/>
        </w:rPr>
        <w:t>reports</w:t>
      </w:r>
      <w:r>
        <w:rPr>
          <w:color w:val="4D4D4F"/>
          <w:spacing w:val="-6"/>
          <w:w w:val="110"/>
          <w:sz w:val="18"/>
        </w:rPr>
        <w:t> </w:t>
      </w:r>
      <w:r>
        <w:rPr>
          <w:color w:val="4D4D4F"/>
          <w:w w:val="110"/>
          <w:sz w:val="18"/>
        </w:rPr>
        <w:t>can</w:t>
      </w:r>
      <w:r>
        <w:rPr>
          <w:color w:val="4D4D4F"/>
          <w:spacing w:val="-6"/>
          <w:w w:val="110"/>
          <w:sz w:val="18"/>
        </w:rPr>
        <w:t> </w:t>
      </w:r>
      <w:r>
        <w:rPr>
          <w:color w:val="4D4D4F"/>
          <w:w w:val="110"/>
          <w:sz w:val="18"/>
        </w:rPr>
        <w:t>be</w:t>
      </w:r>
      <w:r>
        <w:rPr>
          <w:color w:val="4D4D4F"/>
          <w:spacing w:val="-5"/>
          <w:w w:val="110"/>
          <w:sz w:val="18"/>
        </w:rPr>
        <w:t> </w:t>
      </w:r>
      <w:r>
        <w:rPr>
          <w:color w:val="4D4D4F"/>
          <w:w w:val="110"/>
          <w:sz w:val="18"/>
        </w:rPr>
        <w:t>a</w:t>
      </w:r>
      <w:r>
        <w:rPr>
          <w:color w:val="4D4D4F"/>
          <w:spacing w:val="-6"/>
          <w:w w:val="110"/>
          <w:sz w:val="18"/>
        </w:rPr>
        <w:t> </w:t>
      </w:r>
      <w:r>
        <w:rPr>
          <w:color w:val="4D4D4F"/>
          <w:w w:val="110"/>
          <w:sz w:val="18"/>
        </w:rPr>
        <w:t>useful</w:t>
      </w:r>
      <w:r>
        <w:rPr>
          <w:color w:val="4D4D4F"/>
          <w:spacing w:val="-6"/>
          <w:w w:val="110"/>
          <w:sz w:val="18"/>
        </w:rPr>
        <w:t> </w:t>
      </w:r>
      <w:r>
        <w:rPr>
          <w:color w:val="4D4D4F"/>
          <w:w w:val="110"/>
          <w:sz w:val="18"/>
        </w:rPr>
        <w:t>resource</w:t>
      </w:r>
      <w:r>
        <w:rPr>
          <w:color w:val="4D4D4F"/>
          <w:spacing w:val="-6"/>
          <w:w w:val="110"/>
          <w:sz w:val="18"/>
        </w:rPr>
        <w:t> </w:t>
      </w:r>
      <w:r>
        <w:rPr>
          <w:color w:val="4D4D4F"/>
          <w:w w:val="110"/>
          <w:sz w:val="18"/>
        </w:rPr>
        <w:t>when</w:t>
      </w:r>
      <w:r>
        <w:rPr>
          <w:color w:val="4D4D4F"/>
          <w:spacing w:val="-5"/>
          <w:w w:val="110"/>
          <w:sz w:val="18"/>
        </w:rPr>
        <w:t> </w:t>
      </w:r>
      <w:r>
        <w:rPr>
          <w:color w:val="4D4D4F"/>
          <w:w w:val="110"/>
          <w:sz w:val="18"/>
        </w:rPr>
        <w:t>there</w:t>
      </w:r>
      <w:r>
        <w:rPr>
          <w:color w:val="4D4D4F"/>
          <w:spacing w:val="-6"/>
          <w:w w:val="110"/>
          <w:sz w:val="18"/>
        </w:rPr>
        <w:t> </w:t>
      </w:r>
      <w:r>
        <w:rPr>
          <w:color w:val="4D4D4F"/>
          <w:w w:val="110"/>
          <w:sz w:val="18"/>
        </w:rPr>
        <w:t>is</w:t>
      </w:r>
      <w:r>
        <w:rPr>
          <w:color w:val="4D4D4F"/>
          <w:spacing w:val="-6"/>
          <w:w w:val="110"/>
          <w:sz w:val="18"/>
        </w:rPr>
        <w:t> </w:t>
      </w:r>
      <w:r>
        <w:rPr>
          <w:color w:val="4D4D4F"/>
          <w:w w:val="110"/>
          <w:sz w:val="18"/>
        </w:rPr>
        <w:t>little</w:t>
      </w:r>
      <w:r>
        <w:rPr>
          <w:color w:val="4D4D4F"/>
          <w:spacing w:val="-6"/>
          <w:w w:val="110"/>
          <w:sz w:val="18"/>
        </w:rPr>
        <w:t> </w:t>
      </w:r>
      <w:r>
        <w:rPr>
          <w:color w:val="4D4D4F"/>
          <w:w w:val="110"/>
          <w:sz w:val="18"/>
        </w:rPr>
        <w:t>history</w:t>
      </w:r>
      <w:r>
        <w:rPr>
          <w:color w:val="4D4D4F"/>
          <w:spacing w:val="-5"/>
          <w:w w:val="110"/>
          <w:sz w:val="18"/>
        </w:rPr>
        <w:t> </w:t>
      </w:r>
      <w:r>
        <w:rPr>
          <w:color w:val="4D4D4F"/>
          <w:w w:val="110"/>
          <w:sz w:val="18"/>
        </w:rPr>
        <w:t>available</w:t>
      </w:r>
      <w:r>
        <w:rPr>
          <w:color w:val="4D4D4F"/>
          <w:spacing w:val="-6"/>
          <w:w w:val="110"/>
          <w:sz w:val="18"/>
        </w:rPr>
        <w:t> </w:t>
      </w:r>
      <w:r>
        <w:rPr>
          <w:color w:val="4D4D4F"/>
          <w:w w:val="110"/>
          <w:sz w:val="18"/>
        </w:rPr>
        <w:t>or</w:t>
      </w:r>
      <w:r>
        <w:rPr>
          <w:color w:val="4D4D4F"/>
          <w:spacing w:val="-6"/>
          <w:w w:val="110"/>
          <w:sz w:val="18"/>
        </w:rPr>
        <w:t> </w:t>
      </w:r>
      <w:r>
        <w:rPr>
          <w:color w:val="4D4D4F"/>
          <w:w w:val="110"/>
          <w:sz w:val="18"/>
        </w:rPr>
        <w:t>when</w:t>
      </w:r>
      <w:r>
        <w:rPr>
          <w:color w:val="4D4D4F"/>
          <w:spacing w:val="-6"/>
          <w:w w:val="110"/>
          <w:sz w:val="18"/>
        </w:rPr>
        <w:t> </w:t>
      </w:r>
      <w:r>
        <w:rPr>
          <w:color w:val="4D4D4F"/>
          <w:w w:val="110"/>
          <w:sz w:val="18"/>
        </w:rPr>
        <w:t>there</w:t>
      </w:r>
      <w:r>
        <w:rPr>
          <w:color w:val="4D4D4F"/>
          <w:spacing w:val="-6"/>
          <w:w w:val="110"/>
          <w:sz w:val="18"/>
        </w:rPr>
        <w:t> </w:t>
      </w:r>
      <w:r>
        <w:rPr>
          <w:color w:val="4D4D4F"/>
          <w:w w:val="110"/>
          <w:sz w:val="18"/>
        </w:rPr>
        <w:t>is</w:t>
      </w:r>
      <w:r>
        <w:rPr>
          <w:color w:val="4D4D4F"/>
          <w:spacing w:val="-5"/>
          <w:w w:val="110"/>
          <w:sz w:val="18"/>
        </w:rPr>
        <w:t> </w:t>
      </w:r>
      <w:r>
        <w:rPr>
          <w:color w:val="4D4D4F"/>
          <w:w w:val="110"/>
          <w:sz w:val="18"/>
        </w:rPr>
        <w:t>a</w:t>
      </w:r>
      <w:r>
        <w:rPr>
          <w:color w:val="4D4D4F"/>
          <w:spacing w:val="-6"/>
          <w:w w:val="110"/>
          <w:sz w:val="18"/>
        </w:rPr>
        <w:t> </w:t>
      </w:r>
      <w:r>
        <w:rPr>
          <w:color w:val="4D4D4F"/>
          <w:w w:val="110"/>
          <w:sz w:val="18"/>
        </w:rPr>
        <w:t>concern based on observation. Check for prescriptions that interact with buprenorphine and for other buprenorphine prescribers.</w:t>
      </w:r>
    </w:p>
    <w:p>
      <w:pPr>
        <w:spacing w:after="0" w:line="247" w:lineRule="auto"/>
        <w:jc w:val="left"/>
        <w:rPr>
          <w:sz w:val="18"/>
        </w:rPr>
        <w:sectPr>
          <w:pgSz w:w="12240" w:h="15840"/>
          <w:pgMar w:header="576" w:footer="677" w:top="1340" w:bottom="860" w:left="940" w:right="920"/>
        </w:sectPr>
      </w:pPr>
    </w:p>
    <w:p>
      <w:pPr>
        <w:pStyle w:val="BodyText"/>
        <w:spacing w:before="9"/>
        <w:rPr>
          <w:sz w:val="26"/>
        </w:rPr>
      </w:pPr>
    </w:p>
    <w:p>
      <w:pPr>
        <w:pStyle w:val="ListParagraph"/>
        <w:numPr>
          <w:ilvl w:val="1"/>
          <w:numId w:val="48"/>
        </w:numPr>
        <w:tabs>
          <w:tab w:pos="770" w:val="left" w:leader="none"/>
        </w:tabs>
        <w:spacing w:line="247" w:lineRule="auto" w:before="93" w:after="0"/>
        <w:ind w:left="770" w:right="269" w:hanging="180"/>
        <w:jc w:val="left"/>
        <w:rPr>
          <w:sz w:val="18"/>
        </w:rPr>
      </w:pPr>
      <w:r>
        <w:rPr>
          <w:color w:val="4D4D4F"/>
          <w:w w:val="110"/>
          <w:sz w:val="18"/>
        </w:rPr>
        <w:t>Prescribe a therapeutic dose that is tailored to the patient’s needs. Do not routinely provide an additional supply “just in case.” Question patients who say they need a signiﬁcantly higher dose, particularly when they are already </w:t>
      </w:r>
      <w:r>
        <w:rPr>
          <w:color w:val="4D4D4F"/>
          <w:spacing w:val="-9"/>
          <w:w w:val="110"/>
          <w:sz w:val="18"/>
        </w:rPr>
        <w:t>at </w:t>
      </w:r>
      <w:r>
        <w:rPr>
          <w:color w:val="4D4D4F"/>
          <w:w w:val="110"/>
          <w:sz w:val="18"/>
        </w:rPr>
        <w:t>24 mg per day of buprenorphine</w:t>
      </w:r>
      <w:r>
        <w:rPr>
          <w:color w:val="4D4D4F"/>
          <w:spacing w:val="-25"/>
          <w:w w:val="110"/>
          <w:sz w:val="18"/>
        </w:rPr>
        <w:t> </w:t>
      </w:r>
      <w:r>
        <w:rPr>
          <w:color w:val="4D4D4F"/>
          <w:w w:val="110"/>
          <w:sz w:val="18"/>
        </w:rPr>
        <w:t>equivalents.</w:t>
      </w:r>
    </w:p>
    <w:p>
      <w:pPr>
        <w:pStyle w:val="ListParagraph"/>
        <w:numPr>
          <w:ilvl w:val="1"/>
          <w:numId w:val="48"/>
        </w:numPr>
        <w:tabs>
          <w:tab w:pos="770" w:val="left" w:leader="none"/>
        </w:tabs>
        <w:spacing w:line="247" w:lineRule="auto" w:before="25" w:after="0"/>
        <w:ind w:left="770" w:right="263" w:hanging="180"/>
        <w:jc w:val="left"/>
        <w:rPr>
          <w:sz w:val="18"/>
        </w:rPr>
      </w:pPr>
      <w:r>
        <w:rPr>
          <w:color w:val="4D4D4F"/>
          <w:w w:val="110"/>
          <w:sz w:val="18"/>
        </w:rPr>
        <w:t>Make sure the patient understands the practice’s treatment agreement and prescription policies. The XYZ Medical Practice’s treatment agreement and other documentation are clear about policies regarding number of doses in each prescription, reﬁlls, and rules on “lost” prescriptions. Review the policies in person with the patient. Offer an opportunity for questions. Patient and provider must sign the agreement. Review the policies again with the </w:t>
      </w:r>
      <w:r>
        <w:rPr>
          <w:color w:val="4D4D4F"/>
          <w:spacing w:val="-3"/>
          <w:w w:val="110"/>
          <w:sz w:val="18"/>
        </w:rPr>
        <w:t>patient </w:t>
      </w:r>
      <w:r>
        <w:rPr>
          <w:color w:val="4D4D4F"/>
          <w:w w:val="110"/>
          <w:sz w:val="18"/>
        </w:rPr>
        <w:t>at subsequent appointments. See Sample Buprenorphine </w:t>
      </w:r>
      <w:r>
        <w:rPr>
          <w:color w:val="4D4D4F"/>
          <w:spacing w:val="-3"/>
          <w:w w:val="110"/>
          <w:sz w:val="18"/>
        </w:rPr>
        <w:t>Treatment </w:t>
      </w:r>
      <w:r>
        <w:rPr>
          <w:color w:val="4D4D4F"/>
          <w:w w:val="110"/>
          <w:sz w:val="18"/>
        </w:rPr>
        <w:t>Agreement or Sample XR-NTX </w:t>
      </w:r>
      <w:r>
        <w:rPr>
          <w:color w:val="4D4D4F"/>
          <w:spacing w:val="-3"/>
          <w:w w:val="110"/>
          <w:sz w:val="18"/>
        </w:rPr>
        <w:t>Treatment </w:t>
      </w:r>
      <w:r>
        <w:rPr>
          <w:color w:val="4D4D4F"/>
          <w:w w:val="110"/>
          <w:sz w:val="18"/>
        </w:rPr>
        <w:t>Agreement as</w:t>
      </w:r>
      <w:r>
        <w:rPr>
          <w:color w:val="4D4D4F"/>
          <w:spacing w:val="-10"/>
          <w:w w:val="110"/>
          <w:sz w:val="18"/>
        </w:rPr>
        <w:t> </w:t>
      </w:r>
      <w:r>
        <w:rPr>
          <w:color w:val="4D4D4F"/>
          <w:w w:val="110"/>
          <w:sz w:val="18"/>
        </w:rPr>
        <w:t>needed.</w:t>
      </w:r>
    </w:p>
    <w:p>
      <w:pPr>
        <w:pStyle w:val="BodyText"/>
        <w:spacing w:before="11"/>
        <w:rPr>
          <w:sz w:val="15"/>
        </w:rPr>
      </w:pPr>
    </w:p>
    <w:p>
      <w:pPr>
        <w:spacing w:before="0"/>
        <w:ind w:left="140" w:right="0" w:firstLine="0"/>
        <w:jc w:val="left"/>
        <w:rPr>
          <w:rFonts w:ascii="Calibri"/>
          <w:b/>
          <w:sz w:val="20"/>
        </w:rPr>
      </w:pPr>
      <w:r>
        <w:rPr>
          <w:rFonts w:ascii="Calibri"/>
          <w:b/>
          <w:color w:val="4D4D4F"/>
          <w:w w:val="115"/>
          <w:sz w:val="20"/>
        </w:rPr>
        <w:t>Procedures for Monitoring:</w:t>
      </w:r>
    </w:p>
    <w:p>
      <w:pPr>
        <w:pStyle w:val="ListParagraph"/>
        <w:numPr>
          <w:ilvl w:val="1"/>
          <w:numId w:val="48"/>
        </w:numPr>
        <w:tabs>
          <w:tab w:pos="770" w:val="left" w:leader="none"/>
        </w:tabs>
        <w:spacing w:line="247" w:lineRule="auto" w:before="65" w:after="0"/>
        <w:ind w:left="770" w:right="227" w:hanging="180"/>
        <w:jc w:val="left"/>
        <w:rPr>
          <w:sz w:val="18"/>
        </w:rPr>
      </w:pPr>
      <w:r>
        <w:rPr>
          <w:color w:val="4D4D4F"/>
          <w:w w:val="110"/>
          <w:sz w:val="18"/>
        </w:rPr>
        <w:t>Request random urine tests. The presence of buprenorphine in the urine indicates that the patient has taken some portion of the prescribed dose. Absence of buprenorphine in the urine supports nonadherence. </w:t>
      </w:r>
      <w:r>
        <w:rPr>
          <w:color w:val="4D4D4F"/>
          <w:spacing w:val="-3"/>
          <w:w w:val="110"/>
          <w:sz w:val="18"/>
        </w:rPr>
        <w:t>Testing </w:t>
      </w:r>
      <w:r>
        <w:rPr>
          <w:color w:val="4D4D4F"/>
          <w:w w:val="110"/>
          <w:sz w:val="18"/>
        </w:rPr>
        <w:t>for bu- prenorphine metabolites (which are present only if buprenorphine is metabolized) should periodically be included </w:t>
      </w:r>
      <w:r>
        <w:rPr>
          <w:color w:val="4D4D4F"/>
          <w:spacing w:val="-8"/>
          <w:w w:val="110"/>
          <w:sz w:val="18"/>
        </w:rPr>
        <w:t>to </w:t>
      </w:r>
      <w:r>
        <w:rPr>
          <w:color w:val="4D4D4F"/>
          <w:w w:val="110"/>
          <w:sz w:val="18"/>
        </w:rPr>
        <w:t>minimize the possibility that buprenorphine is added directly to the urine sample. Dipstick tests can be subverted or replaced.</w:t>
      </w:r>
      <w:r>
        <w:rPr>
          <w:color w:val="4D4D4F"/>
          <w:spacing w:val="4"/>
          <w:w w:val="110"/>
          <w:sz w:val="18"/>
        </w:rPr>
        <w:t> </w:t>
      </w:r>
      <w:r>
        <w:rPr>
          <w:color w:val="4D4D4F"/>
          <w:w w:val="110"/>
          <w:sz w:val="18"/>
        </w:rPr>
        <w:t>A</w:t>
      </w:r>
      <w:r>
        <w:rPr>
          <w:color w:val="4D4D4F"/>
          <w:spacing w:val="5"/>
          <w:w w:val="110"/>
          <w:sz w:val="18"/>
        </w:rPr>
        <w:t> </w:t>
      </w:r>
      <w:r>
        <w:rPr>
          <w:color w:val="4D4D4F"/>
          <w:w w:val="110"/>
          <w:sz w:val="18"/>
        </w:rPr>
        <w:t>range</w:t>
      </w:r>
      <w:r>
        <w:rPr>
          <w:color w:val="4D4D4F"/>
          <w:spacing w:val="5"/>
          <w:w w:val="110"/>
          <w:sz w:val="18"/>
        </w:rPr>
        <w:t> </w:t>
      </w:r>
      <w:r>
        <w:rPr>
          <w:color w:val="4D4D4F"/>
          <w:w w:val="110"/>
          <w:sz w:val="18"/>
        </w:rPr>
        <w:t>of</w:t>
      </w:r>
      <w:r>
        <w:rPr>
          <w:color w:val="4D4D4F"/>
          <w:spacing w:val="5"/>
          <w:w w:val="110"/>
          <w:sz w:val="18"/>
        </w:rPr>
        <w:t> </w:t>
      </w:r>
      <w:r>
        <w:rPr>
          <w:color w:val="4D4D4F"/>
          <w:w w:val="110"/>
          <w:sz w:val="18"/>
        </w:rPr>
        <w:t>strategies</w:t>
      </w:r>
      <w:r>
        <w:rPr>
          <w:color w:val="4D4D4F"/>
          <w:spacing w:val="5"/>
          <w:w w:val="110"/>
          <w:sz w:val="18"/>
        </w:rPr>
        <w:t> </w:t>
      </w:r>
      <w:r>
        <w:rPr>
          <w:color w:val="4D4D4F"/>
          <w:w w:val="110"/>
          <w:sz w:val="18"/>
        </w:rPr>
        <w:t>can</w:t>
      </w:r>
      <w:r>
        <w:rPr>
          <w:color w:val="4D4D4F"/>
          <w:spacing w:val="5"/>
          <w:w w:val="110"/>
          <w:sz w:val="18"/>
        </w:rPr>
        <w:t> </w:t>
      </w:r>
      <w:r>
        <w:rPr>
          <w:color w:val="4D4D4F"/>
          <w:w w:val="110"/>
          <w:sz w:val="18"/>
        </w:rPr>
        <w:t>be</w:t>
      </w:r>
      <w:r>
        <w:rPr>
          <w:color w:val="4D4D4F"/>
          <w:spacing w:val="5"/>
          <w:w w:val="110"/>
          <w:sz w:val="18"/>
        </w:rPr>
        <w:t> </w:t>
      </w:r>
      <w:r>
        <w:rPr>
          <w:color w:val="4D4D4F"/>
          <w:w w:val="110"/>
          <w:sz w:val="18"/>
        </w:rPr>
        <w:t>used</w:t>
      </w:r>
      <w:r>
        <w:rPr>
          <w:color w:val="4D4D4F"/>
          <w:spacing w:val="5"/>
          <w:w w:val="110"/>
          <w:sz w:val="18"/>
        </w:rPr>
        <w:t> </w:t>
      </w:r>
      <w:r>
        <w:rPr>
          <w:color w:val="4D4D4F"/>
          <w:w w:val="110"/>
          <w:sz w:val="18"/>
        </w:rPr>
        <w:t>to</w:t>
      </w:r>
      <w:r>
        <w:rPr>
          <w:color w:val="4D4D4F"/>
          <w:spacing w:val="5"/>
          <w:w w:val="110"/>
          <w:sz w:val="18"/>
        </w:rPr>
        <w:t> </w:t>
      </w:r>
      <w:r>
        <w:rPr>
          <w:color w:val="4D4D4F"/>
          <w:w w:val="110"/>
          <w:sz w:val="18"/>
        </w:rPr>
        <w:t>minimize</w:t>
      </w:r>
      <w:r>
        <w:rPr>
          <w:color w:val="4D4D4F"/>
          <w:spacing w:val="5"/>
          <w:w w:val="110"/>
          <w:sz w:val="18"/>
        </w:rPr>
        <w:t> </w:t>
      </w:r>
      <w:r>
        <w:rPr>
          <w:color w:val="4D4D4F"/>
          <w:w w:val="110"/>
          <w:sz w:val="18"/>
        </w:rPr>
        <w:t>falsiﬁed</w:t>
      </w:r>
      <w:r>
        <w:rPr>
          <w:color w:val="4D4D4F"/>
          <w:spacing w:val="5"/>
          <w:w w:val="110"/>
          <w:sz w:val="18"/>
        </w:rPr>
        <w:t> </w:t>
      </w:r>
      <w:r>
        <w:rPr>
          <w:color w:val="4D4D4F"/>
          <w:w w:val="110"/>
          <w:sz w:val="18"/>
        </w:rPr>
        <w:t>urine</w:t>
      </w:r>
      <w:r>
        <w:rPr>
          <w:color w:val="4D4D4F"/>
          <w:spacing w:val="5"/>
          <w:w w:val="110"/>
          <w:sz w:val="18"/>
        </w:rPr>
        <w:t> </w:t>
      </w:r>
      <w:r>
        <w:rPr>
          <w:color w:val="4D4D4F"/>
          <w:w w:val="110"/>
          <w:sz w:val="18"/>
        </w:rPr>
        <w:t>collections,</w:t>
      </w:r>
      <w:r>
        <w:rPr>
          <w:color w:val="4D4D4F"/>
          <w:spacing w:val="5"/>
          <w:w w:val="110"/>
          <w:sz w:val="18"/>
        </w:rPr>
        <w:t> </w:t>
      </w:r>
      <w:r>
        <w:rPr>
          <w:color w:val="4D4D4F"/>
          <w:w w:val="110"/>
          <w:sz w:val="18"/>
        </w:rPr>
        <w:t>including</w:t>
      </w:r>
      <w:r>
        <w:rPr>
          <w:color w:val="4D4D4F"/>
          <w:spacing w:val="5"/>
          <w:w w:val="110"/>
          <w:sz w:val="18"/>
        </w:rPr>
        <w:t> </w:t>
      </w:r>
      <w:r>
        <w:rPr>
          <w:color w:val="4D4D4F"/>
          <w:w w:val="110"/>
          <w:sz w:val="18"/>
        </w:rPr>
        <w:t>(1)</w:t>
      </w:r>
      <w:r>
        <w:rPr>
          <w:color w:val="4D4D4F"/>
          <w:spacing w:val="5"/>
          <w:w w:val="110"/>
          <w:sz w:val="18"/>
        </w:rPr>
        <w:t> </w:t>
      </w:r>
      <w:r>
        <w:rPr>
          <w:color w:val="4D4D4F"/>
          <w:w w:val="110"/>
          <w:sz w:val="18"/>
        </w:rPr>
        <w:t>observed</w:t>
      </w:r>
      <w:r>
        <w:rPr>
          <w:color w:val="4D4D4F"/>
          <w:spacing w:val="5"/>
          <w:w w:val="110"/>
          <w:sz w:val="18"/>
        </w:rPr>
        <w:t> </w:t>
      </w:r>
      <w:r>
        <w:rPr>
          <w:color w:val="4D4D4F"/>
          <w:w w:val="110"/>
          <w:sz w:val="18"/>
        </w:rPr>
        <w:t>collection;</w:t>
      </w:r>
    </w:p>
    <w:p>
      <w:pPr>
        <w:spacing w:line="247" w:lineRule="auto" w:before="3"/>
        <w:ind w:left="770" w:right="174" w:firstLine="0"/>
        <w:jc w:val="left"/>
        <w:rPr>
          <w:sz w:val="18"/>
        </w:rPr>
      </w:pPr>
      <w:r>
        <w:rPr>
          <w:color w:val="4D4D4F"/>
          <w:w w:val="110"/>
          <w:sz w:val="18"/>
        </w:rPr>
        <w:t>(2) disallowing carry-in items (e.g., purses, backpacks) in the bathroom; (3) turning off running water and coloring toilet water to eliminate the possibility of dilution; (4) monitoring the bathroom door so that only one person can go in; and (5) testing the temperature of the urine immediately after voiding.</w:t>
      </w:r>
    </w:p>
    <w:p>
      <w:pPr>
        <w:pStyle w:val="ListParagraph"/>
        <w:numPr>
          <w:ilvl w:val="1"/>
          <w:numId w:val="48"/>
        </w:numPr>
        <w:tabs>
          <w:tab w:pos="770" w:val="left" w:leader="none"/>
        </w:tabs>
        <w:spacing w:line="247" w:lineRule="auto" w:before="26" w:after="0"/>
        <w:ind w:left="770" w:right="190" w:hanging="180"/>
        <w:jc w:val="left"/>
        <w:rPr>
          <w:sz w:val="18"/>
        </w:rPr>
      </w:pPr>
      <w:r>
        <w:rPr>
          <w:color w:val="4D4D4F"/>
          <w:w w:val="110"/>
          <w:sz w:val="18"/>
        </w:rPr>
        <w:t>Schedule unannounced pill/ﬁlm counts. Periodically ask patients who are at high risk at initial or subsequent appoint- ments</w:t>
      </w:r>
      <w:r>
        <w:rPr>
          <w:color w:val="4D4D4F"/>
          <w:spacing w:val="-5"/>
          <w:w w:val="110"/>
          <w:sz w:val="18"/>
        </w:rPr>
        <w:t> </w:t>
      </w:r>
      <w:r>
        <w:rPr>
          <w:color w:val="4D4D4F"/>
          <w:w w:val="110"/>
          <w:sz w:val="18"/>
        </w:rPr>
        <w:t>to</w:t>
      </w:r>
      <w:r>
        <w:rPr>
          <w:color w:val="4D4D4F"/>
          <w:spacing w:val="-4"/>
          <w:w w:val="110"/>
          <w:sz w:val="18"/>
        </w:rPr>
        <w:t> </w:t>
      </w:r>
      <w:r>
        <w:rPr>
          <w:color w:val="4D4D4F"/>
          <w:w w:val="110"/>
          <w:sz w:val="18"/>
        </w:rPr>
        <w:t>bring</w:t>
      </w:r>
      <w:r>
        <w:rPr>
          <w:color w:val="4D4D4F"/>
          <w:spacing w:val="-5"/>
          <w:w w:val="110"/>
          <w:sz w:val="18"/>
        </w:rPr>
        <w:t> </w:t>
      </w:r>
      <w:r>
        <w:rPr>
          <w:color w:val="4D4D4F"/>
          <w:w w:val="110"/>
          <w:sz w:val="18"/>
        </w:rPr>
        <w:t>in</w:t>
      </w:r>
      <w:r>
        <w:rPr>
          <w:color w:val="4D4D4F"/>
          <w:spacing w:val="-4"/>
          <w:w w:val="110"/>
          <w:sz w:val="18"/>
        </w:rPr>
        <w:t> </w:t>
      </w:r>
      <w:r>
        <w:rPr>
          <w:color w:val="4D4D4F"/>
          <w:w w:val="110"/>
          <w:sz w:val="18"/>
        </w:rPr>
        <w:t>their</w:t>
      </w:r>
      <w:r>
        <w:rPr>
          <w:color w:val="4D4D4F"/>
          <w:spacing w:val="-5"/>
          <w:w w:val="110"/>
          <w:sz w:val="18"/>
        </w:rPr>
        <w:t> </w:t>
      </w:r>
      <w:r>
        <w:rPr>
          <w:color w:val="4D4D4F"/>
          <w:w w:val="110"/>
          <w:sz w:val="18"/>
        </w:rPr>
        <w:t>medication</w:t>
      </w:r>
      <w:r>
        <w:rPr>
          <w:color w:val="4D4D4F"/>
          <w:spacing w:val="-4"/>
          <w:w w:val="110"/>
          <w:sz w:val="18"/>
        </w:rPr>
        <w:t> </w:t>
      </w:r>
      <w:r>
        <w:rPr>
          <w:color w:val="4D4D4F"/>
          <w:w w:val="110"/>
          <w:sz w:val="18"/>
        </w:rPr>
        <w:t>containers</w:t>
      </w:r>
      <w:r>
        <w:rPr>
          <w:color w:val="4D4D4F"/>
          <w:spacing w:val="-5"/>
          <w:w w:val="110"/>
          <w:sz w:val="18"/>
        </w:rPr>
        <w:t> </w:t>
      </w:r>
      <w:r>
        <w:rPr>
          <w:color w:val="4D4D4F"/>
          <w:w w:val="110"/>
          <w:sz w:val="18"/>
        </w:rPr>
        <w:t>for</w:t>
      </w:r>
      <w:r>
        <w:rPr>
          <w:color w:val="4D4D4F"/>
          <w:spacing w:val="-4"/>
          <w:w w:val="110"/>
          <w:sz w:val="18"/>
        </w:rPr>
        <w:t> </w:t>
      </w:r>
      <w:r>
        <w:rPr>
          <w:color w:val="4D4D4F"/>
          <w:w w:val="110"/>
          <w:sz w:val="18"/>
        </w:rPr>
        <w:t>a</w:t>
      </w:r>
      <w:r>
        <w:rPr>
          <w:color w:val="4D4D4F"/>
          <w:spacing w:val="-5"/>
          <w:w w:val="110"/>
          <w:sz w:val="18"/>
        </w:rPr>
        <w:t> </w:t>
      </w:r>
      <w:r>
        <w:rPr>
          <w:color w:val="4D4D4F"/>
          <w:w w:val="110"/>
          <w:sz w:val="18"/>
        </w:rPr>
        <w:t>pill/ﬁlm</w:t>
      </w:r>
      <w:r>
        <w:rPr>
          <w:color w:val="4D4D4F"/>
          <w:spacing w:val="-4"/>
          <w:w w:val="110"/>
          <w:sz w:val="18"/>
        </w:rPr>
        <w:t> </w:t>
      </w:r>
      <w:r>
        <w:rPr>
          <w:color w:val="4D4D4F"/>
          <w:w w:val="110"/>
          <w:sz w:val="18"/>
        </w:rPr>
        <w:t>count.</w:t>
      </w:r>
    </w:p>
    <w:p>
      <w:pPr>
        <w:pStyle w:val="ListParagraph"/>
        <w:numPr>
          <w:ilvl w:val="1"/>
          <w:numId w:val="48"/>
        </w:numPr>
        <w:tabs>
          <w:tab w:pos="770" w:val="left" w:leader="none"/>
        </w:tabs>
        <w:spacing w:line="247" w:lineRule="auto" w:before="23" w:after="0"/>
        <w:ind w:left="770" w:right="168" w:hanging="180"/>
        <w:jc w:val="left"/>
        <w:rPr>
          <w:sz w:val="18"/>
        </w:rPr>
      </w:pPr>
      <w:r>
        <w:rPr>
          <w:color w:val="4D4D4F"/>
          <w:w w:val="115"/>
          <w:sz w:val="18"/>
        </w:rPr>
        <w:t>With</w:t>
      </w:r>
      <w:r>
        <w:rPr>
          <w:color w:val="4D4D4F"/>
          <w:spacing w:val="-26"/>
          <w:w w:val="115"/>
          <w:sz w:val="18"/>
        </w:rPr>
        <w:t> </w:t>
      </w:r>
      <w:r>
        <w:rPr>
          <w:color w:val="4D4D4F"/>
          <w:w w:val="115"/>
          <w:sz w:val="18"/>
        </w:rPr>
        <w:t>unannounced</w:t>
      </w:r>
      <w:r>
        <w:rPr>
          <w:color w:val="4D4D4F"/>
          <w:spacing w:val="-25"/>
          <w:w w:val="115"/>
          <w:sz w:val="18"/>
        </w:rPr>
        <w:t> </w:t>
      </w:r>
      <w:r>
        <w:rPr>
          <w:color w:val="4D4D4F"/>
          <w:w w:val="115"/>
          <w:sz w:val="18"/>
        </w:rPr>
        <w:t>monitoring</w:t>
      </w:r>
      <w:r>
        <w:rPr>
          <w:color w:val="4D4D4F"/>
          <w:spacing w:val="-26"/>
          <w:w w:val="115"/>
          <w:sz w:val="18"/>
        </w:rPr>
        <w:t> </w:t>
      </w:r>
      <w:r>
        <w:rPr>
          <w:color w:val="4D4D4F"/>
          <w:w w:val="115"/>
          <w:sz w:val="18"/>
        </w:rPr>
        <w:t>(both</w:t>
      </w:r>
      <w:r>
        <w:rPr>
          <w:color w:val="4D4D4F"/>
          <w:spacing w:val="-25"/>
          <w:w w:val="115"/>
          <w:sz w:val="18"/>
        </w:rPr>
        <w:t> </w:t>
      </w:r>
      <w:r>
        <w:rPr>
          <w:color w:val="4D4D4F"/>
          <w:w w:val="115"/>
          <w:sz w:val="18"/>
        </w:rPr>
        <w:t>pill/ﬁlm</w:t>
      </w:r>
      <w:r>
        <w:rPr>
          <w:color w:val="4D4D4F"/>
          <w:spacing w:val="-26"/>
          <w:w w:val="115"/>
          <w:sz w:val="18"/>
        </w:rPr>
        <w:t> </w:t>
      </w:r>
      <w:r>
        <w:rPr>
          <w:color w:val="4D4D4F"/>
          <w:w w:val="115"/>
          <w:sz w:val="18"/>
        </w:rPr>
        <w:t>counts</w:t>
      </w:r>
      <w:r>
        <w:rPr>
          <w:color w:val="4D4D4F"/>
          <w:spacing w:val="-25"/>
          <w:w w:val="115"/>
          <w:sz w:val="18"/>
        </w:rPr>
        <w:t> </w:t>
      </w:r>
      <w:r>
        <w:rPr>
          <w:color w:val="4D4D4F"/>
          <w:w w:val="115"/>
          <w:sz w:val="18"/>
        </w:rPr>
        <w:t>and</w:t>
      </w:r>
      <w:r>
        <w:rPr>
          <w:color w:val="4D4D4F"/>
          <w:spacing w:val="-25"/>
          <w:w w:val="115"/>
          <w:sz w:val="18"/>
        </w:rPr>
        <w:t> </w:t>
      </w:r>
      <w:r>
        <w:rPr>
          <w:color w:val="4D4D4F"/>
          <w:w w:val="115"/>
          <w:sz w:val="18"/>
        </w:rPr>
        <w:t>urine</w:t>
      </w:r>
      <w:r>
        <w:rPr>
          <w:color w:val="4D4D4F"/>
          <w:spacing w:val="-26"/>
          <w:w w:val="115"/>
          <w:sz w:val="18"/>
        </w:rPr>
        <w:t> </w:t>
      </w:r>
      <w:r>
        <w:rPr>
          <w:color w:val="4D4D4F"/>
          <w:w w:val="115"/>
          <w:sz w:val="18"/>
        </w:rPr>
        <w:t>tests),</w:t>
      </w:r>
      <w:r>
        <w:rPr>
          <w:color w:val="4D4D4F"/>
          <w:spacing w:val="-25"/>
          <w:w w:val="115"/>
          <w:sz w:val="18"/>
        </w:rPr>
        <w:t> </w:t>
      </w:r>
      <w:r>
        <w:rPr>
          <w:color w:val="4D4D4F"/>
          <w:w w:val="115"/>
          <w:sz w:val="18"/>
        </w:rPr>
        <w:t>the</w:t>
      </w:r>
      <w:r>
        <w:rPr>
          <w:color w:val="4D4D4F"/>
          <w:spacing w:val="-26"/>
          <w:w w:val="115"/>
          <w:sz w:val="18"/>
        </w:rPr>
        <w:t> </w:t>
      </w:r>
      <w:r>
        <w:rPr>
          <w:color w:val="4D4D4F"/>
          <w:w w:val="115"/>
          <w:sz w:val="18"/>
        </w:rPr>
        <w:t>patient</w:t>
      </w:r>
      <w:r>
        <w:rPr>
          <w:color w:val="4D4D4F"/>
          <w:spacing w:val="-25"/>
          <w:w w:val="115"/>
          <w:sz w:val="18"/>
        </w:rPr>
        <w:t> </w:t>
      </w:r>
      <w:r>
        <w:rPr>
          <w:color w:val="4D4D4F"/>
          <w:w w:val="115"/>
          <w:sz w:val="18"/>
        </w:rPr>
        <w:t>is</w:t>
      </w:r>
      <w:r>
        <w:rPr>
          <w:color w:val="4D4D4F"/>
          <w:spacing w:val="-26"/>
          <w:w w:val="115"/>
          <w:sz w:val="18"/>
        </w:rPr>
        <w:t> </w:t>
      </w:r>
      <w:r>
        <w:rPr>
          <w:color w:val="4D4D4F"/>
          <w:w w:val="115"/>
          <w:sz w:val="18"/>
        </w:rPr>
        <w:t>contacted</w:t>
      </w:r>
      <w:r>
        <w:rPr>
          <w:color w:val="4D4D4F"/>
          <w:spacing w:val="-25"/>
          <w:w w:val="115"/>
          <w:sz w:val="18"/>
        </w:rPr>
        <w:t> </w:t>
      </w:r>
      <w:r>
        <w:rPr>
          <w:color w:val="4D4D4F"/>
          <w:w w:val="115"/>
          <w:sz w:val="18"/>
        </w:rPr>
        <w:t>and</w:t>
      </w:r>
      <w:r>
        <w:rPr>
          <w:color w:val="4D4D4F"/>
          <w:spacing w:val="-25"/>
          <w:w w:val="115"/>
          <w:sz w:val="18"/>
        </w:rPr>
        <w:t> </w:t>
      </w:r>
      <w:r>
        <w:rPr>
          <w:color w:val="4D4D4F"/>
          <w:w w:val="115"/>
          <w:sz w:val="18"/>
        </w:rPr>
        <w:t>must</w:t>
      </w:r>
      <w:r>
        <w:rPr>
          <w:color w:val="4D4D4F"/>
          <w:spacing w:val="-26"/>
          <w:w w:val="115"/>
          <w:sz w:val="18"/>
        </w:rPr>
        <w:t> </w:t>
      </w:r>
      <w:r>
        <w:rPr>
          <w:color w:val="4D4D4F"/>
          <w:w w:val="115"/>
          <w:sz w:val="18"/>
        </w:rPr>
        <w:t>appear</w:t>
      </w:r>
      <w:r>
        <w:rPr>
          <w:color w:val="4D4D4F"/>
          <w:spacing w:val="-25"/>
          <w:w w:val="115"/>
          <w:sz w:val="18"/>
        </w:rPr>
        <w:t> </w:t>
      </w:r>
      <w:r>
        <w:rPr>
          <w:color w:val="4D4D4F"/>
          <w:spacing w:val="-3"/>
          <w:w w:val="115"/>
          <w:sz w:val="18"/>
        </w:rPr>
        <w:t>within </w:t>
      </w:r>
      <w:r>
        <w:rPr>
          <w:color w:val="4D4D4F"/>
          <w:w w:val="115"/>
          <w:sz w:val="18"/>
        </w:rPr>
        <w:t>a</w:t>
      </w:r>
      <w:r>
        <w:rPr>
          <w:color w:val="4D4D4F"/>
          <w:spacing w:val="-17"/>
          <w:w w:val="115"/>
          <w:sz w:val="18"/>
        </w:rPr>
        <w:t> </w:t>
      </w:r>
      <w:r>
        <w:rPr>
          <w:color w:val="4D4D4F"/>
          <w:w w:val="115"/>
          <w:sz w:val="18"/>
        </w:rPr>
        <w:t>speciﬁed</w:t>
      </w:r>
      <w:r>
        <w:rPr>
          <w:color w:val="4D4D4F"/>
          <w:spacing w:val="-16"/>
          <w:w w:val="115"/>
          <w:sz w:val="18"/>
        </w:rPr>
        <w:t> </w:t>
      </w:r>
      <w:r>
        <w:rPr>
          <w:color w:val="4D4D4F"/>
          <w:w w:val="115"/>
          <w:sz w:val="18"/>
        </w:rPr>
        <w:t>time</w:t>
      </w:r>
      <w:r>
        <w:rPr>
          <w:color w:val="4D4D4F"/>
          <w:spacing w:val="-16"/>
          <w:w w:val="115"/>
          <w:sz w:val="18"/>
        </w:rPr>
        <w:t> </w:t>
      </w:r>
      <w:r>
        <w:rPr>
          <w:color w:val="4D4D4F"/>
          <w:w w:val="115"/>
          <w:sz w:val="18"/>
        </w:rPr>
        <w:t>period</w:t>
      </w:r>
      <w:r>
        <w:rPr>
          <w:color w:val="4D4D4F"/>
          <w:spacing w:val="-17"/>
          <w:w w:val="115"/>
          <w:sz w:val="18"/>
        </w:rPr>
        <w:t> </w:t>
      </w:r>
      <w:r>
        <w:rPr>
          <w:color w:val="4D4D4F"/>
          <w:w w:val="115"/>
          <w:sz w:val="18"/>
        </w:rPr>
        <w:t>(e.g.,</w:t>
      </w:r>
      <w:r>
        <w:rPr>
          <w:color w:val="4D4D4F"/>
          <w:spacing w:val="-16"/>
          <w:w w:val="115"/>
          <w:sz w:val="18"/>
        </w:rPr>
        <w:t> </w:t>
      </w:r>
      <w:r>
        <w:rPr>
          <w:color w:val="4D4D4F"/>
          <w:w w:val="115"/>
          <w:sz w:val="18"/>
        </w:rPr>
        <w:t>24</w:t>
      </w:r>
      <w:r>
        <w:rPr>
          <w:color w:val="4D4D4F"/>
          <w:spacing w:val="-16"/>
          <w:w w:val="115"/>
          <w:sz w:val="18"/>
        </w:rPr>
        <w:t> </w:t>
      </w:r>
      <w:r>
        <w:rPr>
          <w:color w:val="4D4D4F"/>
          <w:w w:val="115"/>
          <w:sz w:val="18"/>
        </w:rPr>
        <w:t>hours)</w:t>
      </w:r>
      <w:r>
        <w:rPr>
          <w:color w:val="4D4D4F"/>
          <w:spacing w:val="-17"/>
          <w:w w:val="115"/>
          <w:sz w:val="18"/>
        </w:rPr>
        <w:t> </w:t>
      </w:r>
      <w:r>
        <w:rPr>
          <w:color w:val="4D4D4F"/>
          <w:w w:val="115"/>
          <w:sz w:val="18"/>
        </w:rPr>
        <w:t>after</w:t>
      </w:r>
      <w:r>
        <w:rPr>
          <w:color w:val="4D4D4F"/>
          <w:spacing w:val="-16"/>
          <w:w w:val="115"/>
          <w:sz w:val="18"/>
        </w:rPr>
        <w:t> </w:t>
      </w:r>
      <w:r>
        <w:rPr>
          <w:color w:val="4D4D4F"/>
          <w:w w:val="115"/>
          <w:sz w:val="18"/>
        </w:rPr>
        <w:t>the</w:t>
      </w:r>
      <w:r>
        <w:rPr>
          <w:color w:val="4D4D4F"/>
          <w:spacing w:val="-16"/>
          <w:w w:val="115"/>
          <w:sz w:val="18"/>
        </w:rPr>
        <w:t> </w:t>
      </w:r>
      <w:r>
        <w:rPr>
          <w:color w:val="4D4D4F"/>
          <w:w w:val="115"/>
          <w:sz w:val="18"/>
        </w:rPr>
        <w:t>phone</w:t>
      </w:r>
      <w:r>
        <w:rPr>
          <w:color w:val="4D4D4F"/>
          <w:spacing w:val="-17"/>
          <w:w w:val="115"/>
          <w:sz w:val="18"/>
        </w:rPr>
        <w:t> </w:t>
      </w:r>
      <w:r>
        <w:rPr>
          <w:color w:val="4D4D4F"/>
          <w:w w:val="115"/>
          <w:sz w:val="18"/>
        </w:rPr>
        <w:t>call.</w:t>
      </w:r>
      <w:r>
        <w:rPr>
          <w:color w:val="4D4D4F"/>
          <w:spacing w:val="-16"/>
          <w:w w:val="115"/>
          <w:sz w:val="18"/>
        </w:rPr>
        <w:t> </w:t>
      </w:r>
      <w:r>
        <w:rPr>
          <w:color w:val="4D4D4F"/>
          <w:w w:val="115"/>
          <w:sz w:val="18"/>
        </w:rPr>
        <w:t>If</w:t>
      </w:r>
      <w:r>
        <w:rPr>
          <w:color w:val="4D4D4F"/>
          <w:spacing w:val="-16"/>
          <w:w w:val="115"/>
          <w:sz w:val="18"/>
        </w:rPr>
        <w:t> </w:t>
      </w:r>
      <w:r>
        <w:rPr>
          <w:color w:val="4D4D4F"/>
          <w:w w:val="115"/>
          <w:sz w:val="18"/>
        </w:rPr>
        <w:t>the</w:t>
      </w:r>
      <w:r>
        <w:rPr>
          <w:color w:val="4D4D4F"/>
          <w:spacing w:val="-17"/>
          <w:w w:val="115"/>
          <w:sz w:val="18"/>
        </w:rPr>
        <w:t> </w:t>
      </w:r>
      <w:r>
        <w:rPr>
          <w:color w:val="4D4D4F"/>
          <w:w w:val="115"/>
          <w:sz w:val="18"/>
        </w:rPr>
        <w:t>patient</w:t>
      </w:r>
      <w:r>
        <w:rPr>
          <w:color w:val="4D4D4F"/>
          <w:spacing w:val="-16"/>
          <w:w w:val="115"/>
          <w:sz w:val="18"/>
        </w:rPr>
        <w:t> </w:t>
      </w:r>
      <w:r>
        <w:rPr>
          <w:color w:val="4D4D4F"/>
          <w:w w:val="115"/>
          <w:sz w:val="18"/>
        </w:rPr>
        <w:t>doesn’t</w:t>
      </w:r>
      <w:r>
        <w:rPr>
          <w:color w:val="4D4D4F"/>
          <w:spacing w:val="-16"/>
          <w:w w:val="115"/>
          <w:sz w:val="18"/>
        </w:rPr>
        <w:t> </w:t>
      </w:r>
      <w:r>
        <w:rPr>
          <w:color w:val="4D4D4F"/>
          <w:w w:val="115"/>
          <w:sz w:val="18"/>
        </w:rPr>
        <w:t>show,</w:t>
      </w:r>
      <w:r>
        <w:rPr>
          <w:color w:val="4D4D4F"/>
          <w:spacing w:val="-16"/>
          <w:w w:val="115"/>
          <w:sz w:val="18"/>
        </w:rPr>
        <w:t> </w:t>
      </w:r>
      <w:r>
        <w:rPr>
          <w:color w:val="4D4D4F"/>
          <w:w w:val="115"/>
          <w:sz w:val="18"/>
        </w:rPr>
        <w:t>then</w:t>
      </w:r>
      <w:r>
        <w:rPr>
          <w:color w:val="4D4D4F"/>
          <w:spacing w:val="-17"/>
          <w:w w:val="115"/>
          <w:sz w:val="18"/>
        </w:rPr>
        <w:t> </w:t>
      </w:r>
      <w:r>
        <w:rPr>
          <w:color w:val="4D4D4F"/>
          <w:w w:val="115"/>
          <w:sz w:val="18"/>
        </w:rPr>
        <w:t>the</w:t>
      </w:r>
      <w:r>
        <w:rPr>
          <w:color w:val="4D4D4F"/>
          <w:spacing w:val="-16"/>
          <w:w w:val="115"/>
          <w:sz w:val="18"/>
        </w:rPr>
        <w:t> </w:t>
      </w:r>
      <w:r>
        <w:rPr>
          <w:color w:val="4D4D4F"/>
          <w:w w:val="115"/>
          <w:sz w:val="18"/>
        </w:rPr>
        <w:t>provider</w:t>
      </w:r>
      <w:r>
        <w:rPr>
          <w:color w:val="4D4D4F"/>
          <w:spacing w:val="-16"/>
          <w:w w:val="115"/>
          <w:sz w:val="18"/>
        </w:rPr>
        <w:t> </w:t>
      </w:r>
      <w:r>
        <w:rPr>
          <w:color w:val="4D4D4F"/>
          <w:w w:val="115"/>
          <w:sz w:val="18"/>
        </w:rPr>
        <w:t>should consider</w:t>
      </w:r>
      <w:r>
        <w:rPr>
          <w:color w:val="4D4D4F"/>
          <w:spacing w:val="-10"/>
          <w:w w:val="115"/>
          <w:sz w:val="18"/>
        </w:rPr>
        <w:t> </w:t>
      </w:r>
      <w:r>
        <w:rPr>
          <w:color w:val="4D4D4F"/>
          <w:w w:val="115"/>
          <w:sz w:val="18"/>
        </w:rPr>
        <w:t>this</w:t>
      </w:r>
      <w:r>
        <w:rPr>
          <w:color w:val="4D4D4F"/>
          <w:spacing w:val="-9"/>
          <w:w w:val="115"/>
          <w:sz w:val="18"/>
        </w:rPr>
        <w:t> </w:t>
      </w:r>
      <w:r>
        <w:rPr>
          <w:color w:val="4D4D4F"/>
          <w:w w:val="115"/>
          <w:sz w:val="18"/>
        </w:rPr>
        <w:t>as</w:t>
      </w:r>
      <w:r>
        <w:rPr>
          <w:color w:val="4D4D4F"/>
          <w:spacing w:val="-9"/>
          <w:w w:val="115"/>
          <w:sz w:val="18"/>
        </w:rPr>
        <w:t> </w:t>
      </w:r>
      <w:r>
        <w:rPr>
          <w:color w:val="4D4D4F"/>
          <w:w w:val="115"/>
          <w:sz w:val="18"/>
        </w:rPr>
        <w:t>a</w:t>
      </w:r>
      <w:r>
        <w:rPr>
          <w:color w:val="4D4D4F"/>
          <w:spacing w:val="-9"/>
          <w:w w:val="115"/>
          <w:sz w:val="18"/>
        </w:rPr>
        <w:t> </w:t>
      </w:r>
      <w:r>
        <w:rPr>
          <w:color w:val="4D4D4F"/>
          <w:w w:val="115"/>
          <w:sz w:val="18"/>
        </w:rPr>
        <w:t>positive</w:t>
      </w:r>
      <w:r>
        <w:rPr>
          <w:color w:val="4D4D4F"/>
          <w:spacing w:val="-9"/>
          <w:w w:val="115"/>
          <w:sz w:val="18"/>
        </w:rPr>
        <w:t> </w:t>
      </w:r>
      <w:r>
        <w:rPr>
          <w:color w:val="4D4D4F"/>
          <w:w w:val="115"/>
          <w:sz w:val="18"/>
        </w:rPr>
        <w:t>indicator</w:t>
      </w:r>
      <w:r>
        <w:rPr>
          <w:color w:val="4D4D4F"/>
          <w:spacing w:val="-9"/>
          <w:w w:val="115"/>
          <w:sz w:val="18"/>
        </w:rPr>
        <w:t> </w:t>
      </w:r>
      <w:r>
        <w:rPr>
          <w:color w:val="4D4D4F"/>
          <w:w w:val="115"/>
          <w:sz w:val="18"/>
        </w:rPr>
        <w:t>of</w:t>
      </w:r>
      <w:r>
        <w:rPr>
          <w:color w:val="4D4D4F"/>
          <w:spacing w:val="-9"/>
          <w:w w:val="115"/>
          <w:sz w:val="18"/>
        </w:rPr>
        <w:t> </w:t>
      </w:r>
      <w:r>
        <w:rPr>
          <w:color w:val="4D4D4F"/>
          <w:w w:val="115"/>
          <w:sz w:val="18"/>
        </w:rPr>
        <w:t>misuse</w:t>
      </w:r>
      <w:r>
        <w:rPr>
          <w:color w:val="4D4D4F"/>
          <w:spacing w:val="-9"/>
          <w:w w:val="115"/>
          <w:sz w:val="18"/>
        </w:rPr>
        <w:t> </w:t>
      </w:r>
      <w:r>
        <w:rPr>
          <w:color w:val="4D4D4F"/>
          <w:w w:val="115"/>
          <w:sz w:val="18"/>
        </w:rPr>
        <w:t>or</w:t>
      </w:r>
      <w:r>
        <w:rPr>
          <w:color w:val="4D4D4F"/>
          <w:spacing w:val="-9"/>
          <w:w w:val="115"/>
          <w:sz w:val="18"/>
        </w:rPr>
        <w:t> </w:t>
      </w:r>
      <w:r>
        <w:rPr>
          <w:color w:val="4D4D4F"/>
          <w:w w:val="115"/>
          <w:sz w:val="18"/>
        </w:rPr>
        <w:t>diversion.</w:t>
      </w:r>
    </w:p>
    <w:p>
      <w:pPr>
        <w:pStyle w:val="ListParagraph"/>
        <w:numPr>
          <w:ilvl w:val="1"/>
          <w:numId w:val="48"/>
        </w:numPr>
        <w:tabs>
          <w:tab w:pos="770" w:val="left" w:leader="none"/>
        </w:tabs>
        <w:spacing w:line="247" w:lineRule="auto" w:before="24" w:after="0"/>
        <w:ind w:left="770" w:right="389" w:hanging="180"/>
        <w:jc w:val="left"/>
        <w:rPr>
          <w:sz w:val="18"/>
        </w:rPr>
      </w:pPr>
      <w:r>
        <w:rPr>
          <w:color w:val="4D4D4F"/>
          <w:w w:val="110"/>
          <w:sz w:val="18"/>
        </w:rPr>
        <w:t>Directly observe ingestion. Patients take medication in front of the healthcare professional or another qualiﬁed clinician and are observed until the medication dissolves in the mouth (transmucosal [sublingual or buccal] absorp- tion). Patients who are having difﬁculty adhering to their buprenorphine can have their medication provided </w:t>
      </w:r>
      <w:r>
        <w:rPr>
          <w:color w:val="4D4D4F"/>
          <w:spacing w:val="-3"/>
          <w:w w:val="110"/>
          <w:sz w:val="18"/>
        </w:rPr>
        <w:t>under </w:t>
      </w:r>
      <w:r>
        <w:rPr>
          <w:color w:val="4D4D4F"/>
          <w:w w:val="110"/>
          <w:sz w:val="18"/>
        </w:rPr>
        <w:t>direct observation in the ofﬁce for a designated frequency (e.g., three</w:t>
      </w:r>
      <w:r>
        <w:rPr>
          <w:color w:val="4D4D4F"/>
          <w:spacing w:val="-36"/>
          <w:w w:val="110"/>
          <w:sz w:val="18"/>
        </w:rPr>
        <w:t> </w:t>
      </w:r>
      <w:r>
        <w:rPr>
          <w:color w:val="4D4D4F"/>
          <w:w w:val="110"/>
          <w:sz w:val="18"/>
        </w:rPr>
        <w:t>times/week).</w:t>
      </w:r>
    </w:p>
    <w:p>
      <w:pPr>
        <w:pStyle w:val="ListParagraph"/>
        <w:numPr>
          <w:ilvl w:val="1"/>
          <w:numId w:val="48"/>
        </w:numPr>
        <w:tabs>
          <w:tab w:pos="770" w:val="left" w:leader="none"/>
        </w:tabs>
        <w:spacing w:line="247" w:lineRule="auto" w:before="26" w:after="0"/>
        <w:ind w:left="770" w:right="359" w:hanging="180"/>
        <w:jc w:val="left"/>
        <w:rPr>
          <w:sz w:val="18"/>
        </w:rPr>
      </w:pPr>
      <w:r>
        <w:rPr>
          <w:color w:val="4D4D4F"/>
          <w:w w:val="110"/>
          <w:sz w:val="18"/>
        </w:rPr>
        <w:t>Limit</w:t>
      </w:r>
      <w:r>
        <w:rPr>
          <w:color w:val="4D4D4F"/>
          <w:spacing w:val="-3"/>
          <w:w w:val="110"/>
          <w:sz w:val="18"/>
        </w:rPr>
        <w:t> </w:t>
      </w:r>
      <w:r>
        <w:rPr>
          <w:color w:val="4D4D4F"/>
          <w:w w:val="110"/>
          <w:sz w:val="18"/>
        </w:rPr>
        <w:t>medication</w:t>
      </w:r>
      <w:r>
        <w:rPr>
          <w:color w:val="4D4D4F"/>
          <w:spacing w:val="-3"/>
          <w:w w:val="110"/>
          <w:sz w:val="18"/>
        </w:rPr>
        <w:t> </w:t>
      </w:r>
      <w:r>
        <w:rPr>
          <w:color w:val="4D4D4F"/>
          <w:w w:val="110"/>
          <w:sz w:val="18"/>
        </w:rPr>
        <w:t>supply.</w:t>
      </w:r>
      <w:r>
        <w:rPr>
          <w:color w:val="4D4D4F"/>
          <w:spacing w:val="-3"/>
          <w:w w:val="110"/>
          <w:sz w:val="18"/>
        </w:rPr>
        <w:t> </w:t>
      </w:r>
      <w:r>
        <w:rPr>
          <w:color w:val="4D4D4F"/>
          <w:w w:val="110"/>
          <w:sz w:val="18"/>
        </w:rPr>
        <w:t>When</w:t>
      </w:r>
      <w:r>
        <w:rPr>
          <w:color w:val="4D4D4F"/>
          <w:spacing w:val="-3"/>
          <w:w w:val="110"/>
          <w:sz w:val="18"/>
        </w:rPr>
        <w:t> </w:t>
      </w:r>
      <w:r>
        <w:rPr>
          <w:color w:val="4D4D4F"/>
          <w:w w:val="110"/>
          <w:sz w:val="18"/>
        </w:rPr>
        <w:t>directly</w:t>
      </w:r>
      <w:r>
        <w:rPr>
          <w:color w:val="4D4D4F"/>
          <w:spacing w:val="-2"/>
          <w:w w:val="110"/>
          <w:sz w:val="18"/>
        </w:rPr>
        <w:t> </w:t>
      </w:r>
      <w:r>
        <w:rPr>
          <w:color w:val="4D4D4F"/>
          <w:w w:val="110"/>
          <w:sz w:val="18"/>
        </w:rPr>
        <w:t>observed</w:t>
      </w:r>
      <w:r>
        <w:rPr>
          <w:color w:val="4D4D4F"/>
          <w:spacing w:val="-3"/>
          <w:w w:val="110"/>
          <w:sz w:val="18"/>
        </w:rPr>
        <w:t> </w:t>
      </w:r>
      <w:r>
        <w:rPr>
          <w:color w:val="4D4D4F"/>
          <w:w w:val="110"/>
          <w:sz w:val="18"/>
        </w:rPr>
        <w:t>doses</w:t>
      </w:r>
      <w:r>
        <w:rPr>
          <w:color w:val="4D4D4F"/>
          <w:spacing w:val="-3"/>
          <w:w w:val="110"/>
          <w:sz w:val="18"/>
        </w:rPr>
        <w:t> </w:t>
      </w:r>
      <w:r>
        <w:rPr>
          <w:color w:val="4D4D4F"/>
          <w:w w:val="110"/>
          <w:sz w:val="18"/>
        </w:rPr>
        <w:t>in</w:t>
      </w:r>
      <w:r>
        <w:rPr>
          <w:color w:val="4D4D4F"/>
          <w:spacing w:val="-3"/>
          <w:w w:val="110"/>
          <w:sz w:val="18"/>
        </w:rPr>
        <w:t> </w:t>
      </w:r>
      <w:r>
        <w:rPr>
          <w:color w:val="4D4D4F"/>
          <w:w w:val="110"/>
          <w:sz w:val="18"/>
        </w:rPr>
        <w:t>the</w:t>
      </w:r>
      <w:r>
        <w:rPr>
          <w:color w:val="4D4D4F"/>
          <w:spacing w:val="-3"/>
          <w:w w:val="110"/>
          <w:sz w:val="18"/>
        </w:rPr>
        <w:t> </w:t>
      </w:r>
      <w:r>
        <w:rPr>
          <w:color w:val="4D4D4F"/>
          <w:w w:val="110"/>
          <w:sz w:val="18"/>
        </w:rPr>
        <w:t>ofﬁce</w:t>
      </w:r>
      <w:r>
        <w:rPr>
          <w:color w:val="4D4D4F"/>
          <w:spacing w:val="-2"/>
          <w:w w:val="110"/>
          <w:sz w:val="18"/>
        </w:rPr>
        <w:t> </w:t>
      </w:r>
      <w:r>
        <w:rPr>
          <w:color w:val="4D4D4F"/>
          <w:w w:val="110"/>
          <w:sz w:val="18"/>
        </w:rPr>
        <w:t>are</w:t>
      </w:r>
      <w:r>
        <w:rPr>
          <w:color w:val="4D4D4F"/>
          <w:spacing w:val="-3"/>
          <w:w w:val="110"/>
          <w:sz w:val="18"/>
        </w:rPr>
        <w:t> </w:t>
      </w:r>
      <w:r>
        <w:rPr>
          <w:color w:val="4D4D4F"/>
          <w:w w:val="110"/>
          <w:sz w:val="18"/>
        </w:rPr>
        <w:t>not</w:t>
      </w:r>
      <w:r>
        <w:rPr>
          <w:color w:val="4D4D4F"/>
          <w:spacing w:val="-3"/>
          <w:w w:val="110"/>
          <w:sz w:val="18"/>
        </w:rPr>
        <w:t> </w:t>
      </w:r>
      <w:r>
        <w:rPr>
          <w:color w:val="4D4D4F"/>
          <w:w w:val="110"/>
          <w:sz w:val="18"/>
        </w:rPr>
        <w:t>practical,</w:t>
      </w:r>
      <w:r>
        <w:rPr>
          <w:color w:val="4D4D4F"/>
          <w:spacing w:val="-3"/>
          <w:w w:val="110"/>
          <w:sz w:val="18"/>
        </w:rPr>
        <w:t> </w:t>
      </w:r>
      <w:r>
        <w:rPr>
          <w:color w:val="4D4D4F"/>
          <w:w w:val="110"/>
          <w:sz w:val="18"/>
        </w:rPr>
        <w:t>short</w:t>
      </w:r>
      <w:r>
        <w:rPr>
          <w:color w:val="4D4D4F"/>
          <w:spacing w:val="-3"/>
          <w:w w:val="110"/>
          <w:sz w:val="18"/>
        </w:rPr>
        <w:t> </w:t>
      </w:r>
      <w:r>
        <w:rPr>
          <w:color w:val="4D4D4F"/>
          <w:w w:val="110"/>
          <w:sz w:val="18"/>
        </w:rPr>
        <w:t>prescription</w:t>
      </w:r>
      <w:r>
        <w:rPr>
          <w:color w:val="4D4D4F"/>
          <w:spacing w:val="-2"/>
          <w:w w:val="110"/>
          <w:sz w:val="18"/>
        </w:rPr>
        <w:t> </w:t>
      </w:r>
      <w:r>
        <w:rPr>
          <w:color w:val="4D4D4F"/>
          <w:w w:val="110"/>
          <w:sz w:val="18"/>
        </w:rPr>
        <w:t>time</w:t>
      </w:r>
      <w:r>
        <w:rPr>
          <w:color w:val="4D4D4F"/>
          <w:spacing w:val="-3"/>
          <w:w w:val="110"/>
          <w:sz w:val="18"/>
        </w:rPr>
        <w:t> spans </w:t>
      </w:r>
      <w:r>
        <w:rPr>
          <w:color w:val="4D4D4F"/>
          <w:w w:val="110"/>
          <w:sz w:val="18"/>
        </w:rPr>
        <w:t>can be used (e.g., weekly, 3 days at a</w:t>
      </w:r>
      <w:r>
        <w:rPr>
          <w:color w:val="4D4D4F"/>
          <w:spacing w:val="-38"/>
          <w:w w:val="110"/>
          <w:sz w:val="18"/>
        </w:rPr>
        <w:t> </w:t>
      </w:r>
      <w:r>
        <w:rPr>
          <w:color w:val="4D4D4F"/>
          <w:w w:val="110"/>
          <w:sz w:val="18"/>
        </w:rPr>
        <w:t>time).</w:t>
      </w:r>
    </w:p>
    <w:p>
      <w:pPr>
        <w:pStyle w:val="BodyText"/>
        <w:spacing w:before="7"/>
        <w:rPr>
          <w:sz w:val="15"/>
        </w:rPr>
      </w:pPr>
    </w:p>
    <w:p>
      <w:pPr>
        <w:spacing w:before="0"/>
        <w:ind w:left="140" w:right="0" w:firstLine="0"/>
        <w:jc w:val="left"/>
        <w:rPr>
          <w:rFonts w:ascii="Calibri"/>
          <w:b/>
          <w:sz w:val="20"/>
        </w:rPr>
      </w:pPr>
      <w:r>
        <w:rPr>
          <w:rFonts w:ascii="Calibri"/>
          <w:b/>
          <w:color w:val="4D4D4F"/>
          <w:w w:val="115"/>
          <w:sz w:val="20"/>
        </w:rPr>
        <w:t>Procedures To Respond to Misuse or Diversion:</w:t>
      </w:r>
    </w:p>
    <w:p>
      <w:pPr>
        <w:spacing w:line="247" w:lineRule="auto" w:before="85"/>
        <w:ind w:left="140" w:right="422" w:firstLine="0"/>
        <w:jc w:val="left"/>
        <w:rPr>
          <w:sz w:val="18"/>
        </w:rPr>
      </w:pPr>
      <w:r>
        <w:rPr>
          <w:color w:val="4D4D4F"/>
          <w:w w:val="110"/>
          <w:sz w:val="18"/>
        </w:rPr>
        <w:t>Misuse or diversion doesn’t mean automatic discharge from the practice. However, it will require consideration of one or more of the following procedures:</w:t>
      </w:r>
    </w:p>
    <w:p>
      <w:pPr>
        <w:pStyle w:val="ListParagraph"/>
        <w:numPr>
          <w:ilvl w:val="1"/>
          <w:numId w:val="48"/>
        </w:numPr>
        <w:tabs>
          <w:tab w:pos="770" w:val="left" w:leader="none"/>
        </w:tabs>
        <w:spacing w:line="247" w:lineRule="auto" w:before="72" w:after="0"/>
        <w:ind w:left="770" w:right="217" w:hanging="180"/>
        <w:jc w:val="left"/>
        <w:rPr>
          <w:sz w:val="18"/>
        </w:rPr>
      </w:pPr>
      <w:r>
        <w:rPr>
          <w:color w:val="4D4D4F"/>
          <w:w w:val="110"/>
          <w:sz w:val="18"/>
        </w:rPr>
        <w:t>Evaluate the misuse and diversion. For instance, describe the incident of misuse (e.g., “the patient took the pre- scribed dose on three or more occasions by intravenous route immediately after starting treatment, stating that she believed the dose would not be adequate by sublingual route; she has just initiated treatment”) or diversion (“the patient gave half of dose to his wife, who is still using heroin and was withdrawing, because he did not want her to have to buy heroin off the street; she is on a waiting list for treatment”) and tailor the response to the behavior</w:t>
      </w:r>
      <w:r>
        <w:rPr>
          <w:color w:val="4D4D4F"/>
          <w:spacing w:val="-22"/>
          <w:w w:val="110"/>
          <w:sz w:val="18"/>
        </w:rPr>
        <w:t> </w:t>
      </w:r>
      <w:r>
        <w:rPr>
          <w:color w:val="4D4D4F"/>
          <w:spacing w:val="-3"/>
          <w:w w:val="110"/>
          <w:sz w:val="18"/>
        </w:rPr>
        <w:t>(e.g., </w:t>
      </w:r>
      <w:r>
        <w:rPr>
          <w:color w:val="4D4D4F"/>
          <w:w w:val="110"/>
          <w:sz w:val="18"/>
        </w:rPr>
        <w:t>reeducation of the patient on buprenorphine pharmacology in the ﬁrst example above; assistance with treatment entry for the spouse in the second example). Reassess the treatment plan and patient progress. Strongly consider smaller supplies of medication and supervised dosing for any patient who is taking medication intravenously or in- tranasally or diverting, regardless of reason. </w:t>
      </w:r>
      <w:r>
        <w:rPr>
          <w:color w:val="4D4D4F"/>
          <w:spacing w:val="-3"/>
          <w:w w:val="110"/>
          <w:sz w:val="18"/>
        </w:rPr>
        <w:t>Treatment </w:t>
      </w:r>
      <w:r>
        <w:rPr>
          <w:color w:val="4D4D4F"/>
          <w:w w:val="110"/>
          <w:sz w:val="18"/>
        </w:rPr>
        <w:t>structure may need to be increased, including more frequent appointments, supervised administration, and increased psychosocial</w:t>
      </w:r>
      <w:r>
        <w:rPr>
          <w:color w:val="4D4D4F"/>
          <w:spacing w:val="-19"/>
          <w:w w:val="110"/>
          <w:sz w:val="18"/>
        </w:rPr>
        <w:t> </w:t>
      </w:r>
      <w:r>
        <w:rPr>
          <w:color w:val="4D4D4F"/>
          <w:w w:val="110"/>
          <w:sz w:val="18"/>
        </w:rPr>
        <w:t>support.</w:t>
      </w:r>
    </w:p>
    <w:p>
      <w:pPr>
        <w:pStyle w:val="ListParagraph"/>
        <w:numPr>
          <w:ilvl w:val="1"/>
          <w:numId w:val="48"/>
        </w:numPr>
        <w:tabs>
          <w:tab w:pos="770" w:val="left" w:leader="none"/>
        </w:tabs>
        <w:spacing w:line="247" w:lineRule="auto" w:before="31" w:after="0"/>
        <w:ind w:left="770" w:right="158" w:hanging="180"/>
        <w:jc w:val="left"/>
        <w:rPr>
          <w:sz w:val="18"/>
        </w:rPr>
      </w:pPr>
      <w:r>
        <w:rPr>
          <w:color w:val="4D4D4F"/>
          <w:w w:val="110"/>
          <w:sz w:val="18"/>
        </w:rPr>
        <w:t>Intensify treatment or level of care, if needed. Some patients may require an alternative treatment setting or pharma- cotherapy such as methadone. The clinician will discuss these alternatives with the patient to ensure optimal patient outcome. This should be discussed at treatment onset so the patient is aware of the consequences of misuse and diversion.</w:t>
      </w:r>
    </w:p>
    <w:p>
      <w:pPr>
        <w:pStyle w:val="ListParagraph"/>
        <w:numPr>
          <w:ilvl w:val="1"/>
          <w:numId w:val="48"/>
        </w:numPr>
        <w:tabs>
          <w:tab w:pos="770" w:val="left" w:leader="none"/>
        </w:tabs>
        <w:spacing w:line="247" w:lineRule="auto" w:before="25" w:after="0"/>
        <w:ind w:left="770" w:right="271" w:hanging="180"/>
        <w:jc w:val="left"/>
        <w:rPr>
          <w:sz w:val="18"/>
        </w:rPr>
      </w:pPr>
      <w:r>
        <w:rPr>
          <w:color w:val="4D4D4F"/>
          <w:w w:val="115"/>
          <w:sz w:val="18"/>
        </w:rPr>
        <w:t>Document</w:t>
      </w:r>
      <w:r>
        <w:rPr>
          <w:color w:val="4D4D4F"/>
          <w:spacing w:val="-20"/>
          <w:w w:val="115"/>
          <w:sz w:val="18"/>
        </w:rPr>
        <w:t> </w:t>
      </w:r>
      <w:r>
        <w:rPr>
          <w:color w:val="4D4D4F"/>
          <w:w w:val="115"/>
          <w:sz w:val="18"/>
        </w:rPr>
        <w:t>and</w:t>
      </w:r>
      <w:r>
        <w:rPr>
          <w:color w:val="4D4D4F"/>
          <w:spacing w:val="-19"/>
          <w:w w:val="115"/>
          <w:sz w:val="18"/>
        </w:rPr>
        <w:t> </w:t>
      </w:r>
      <w:r>
        <w:rPr>
          <w:color w:val="4D4D4F"/>
          <w:w w:val="115"/>
          <w:sz w:val="18"/>
        </w:rPr>
        <w:t>describe</w:t>
      </w:r>
      <w:r>
        <w:rPr>
          <w:color w:val="4D4D4F"/>
          <w:spacing w:val="-20"/>
          <w:w w:val="115"/>
          <w:sz w:val="18"/>
        </w:rPr>
        <w:t> </w:t>
      </w:r>
      <w:r>
        <w:rPr>
          <w:color w:val="4D4D4F"/>
          <w:w w:val="115"/>
          <w:sz w:val="18"/>
        </w:rPr>
        <w:t>the</w:t>
      </w:r>
      <w:r>
        <w:rPr>
          <w:color w:val="4D4D4F"/>
          <w:spacing w:val="-19"/>
          <w:w w:val="115"/>
          <w:sz w:val="18"/>
        </w:rPr>
        <w:t> </w:t>
      </w:r>
      <w:r>
        <w:rPr>
          <w:color w:val="4D4D4F"/>
          <w:w w:val="115"/>
          <w:sz w:val="18"/>
        </w:rPr>
        <w:t>misuse</w:t>
      </w:r>
      <w:r>
        <w:rPr>
          <w:color w:val="4D4D4F"/>
          <w:spacing w:val="-20"/>
          <w:w w:val="115"/>
          <w:sz w:val="18"/>
        </w:rPr>
        <w:t> </w:t>
      </w:r>
      <w:r>
        <w:rPr>
          <w:color w:val="4D4D4F"/>
          <w:w w:val="115"/>
          <w:sz w:val="18"/>
        </w:rPr>
        <w:t>and</w:t>
      </w:r>
      <w:r>
        <w:rPr>
          <w:color w:val="4D4D4F"/>
          <w:spacing w:val="-19"/>
          <w:w w:val="115"/>
          <w:sz w:val="18"/>
        </w:rPr>
        <w:t> </w:t>
      </w:r>
      <w:r>
        <w:rPr>
          <w:color w:val="4D4D4F"/>
          <w:w w:val="115"/>
          <w:sz w:val="18"/>
        </w:rPr>
        <w:t>diversion</w:t>
      </w:r>
      <w:r>
        <w:rPr>
          <w:color w:val="4D4D4F"/>
          <w:spacing w:val="-20"/>
          <w:w w:val="115"/>
          <w:sz w:val="18"/>
        </w:rPr>
        <w:t> </w:t>
      </w:r>
      <w:r>
        <w:rPr>
          <w:color w:val="4D4D4F"/>
          <w:w w:val="115"/>
          <w:sz w:val="18"/>
        </w:rPr>
        <w:t>incident.</w:t>
      </w:r>
      <w:r>
        <w:rPr>
          <w:color w:val="4D4D4F"/>
          <w:spacing w:val="-19"/>
          <w:w w:val="115"/>
          <w:sz w:val="18"/>
        </w:rPr>
        <w:t> </w:t>
      </w:r>
      <w:r>
        <w:rPr>
          <w:color w:val="4D4D4F"/>
          <w:w w:val="115"/>
          <w:sz w:val="18"/>
        </w:rPr>
        <w:t>Also</w:t>
      </w:r>
      <w:r>
        <w:rPr>
          <w:color w:val="4D4D4F"/>
          <w:spacing w:val="-20"/>
          <w:w w:val="115"/>
          <w:sz w:val="18"/>
        </w:rPr>
        <w:t> </w:t>
      </w:r>
      <w:r>
        <w:rPr>
          <w:color w:val="4D4D4F"/>
          <w:w w:val="115"/>
          <w:sz w:val="18"/>
        </w:rPr>
        <w:t>document</w:t>
      </w:r>
      <w:r>
        <w:rPr>
          <w:color w:val="4D4D4F"/>
          <w:spacing w:val="-19"/>
          <w:w w:val="115"/>
          <w:sz w:val="18"/>
        </w:rPr>
        <w:t> </w:t>
      </w:r>
      <w:r>
        <w:rPr>
          <w:color w:val="4D4D4F"/>
          <w:w w:val="115"/>
          <w:sz w:val="18"/>
        </w:rPr>
        <w:t>the</w:t>
      </w:r>
      <w:r>
        <w:rPr>
          <w:color w:val="4D4D4F"/>
          <w:spacing w:val="-20"/>
          <w:w w:val="115"/>
          <w:sz w:val="18"/>
        </w:rPr>
        <w:t> </w:t>
      </w:r>
      <w:r>
        <w:rPr>
          <w:color w:val="4D4D4F"/>
          <w:w w:val="115"/>
          <w:sz w:val="18"/>
        </w:rPr>
        <w:t>clinical</w:t>
      </w:r>
      <w:r>
        <w:rPr>
          <w:color w:val="4D4D4F"/>
          <w:spacing w:val="-19"/>
          <w:w w:val="115"/>
          <w:sz w:val="18"/>
        </w:rPr>
        <w:t> </w:t>
      </w:r>
      <w:r>
        <w:rPr>
          <w:color w:val="4D4D4F"/>
          <w:w w:val="115"/>
          <w:sz w:val="18"/>
        </w:rPr>
        <w:t>thinking</w:t>
      </w:r>
      <w:r>
        <w:rPr>
          <w:color w:val="4D4D4F"/>
          <w:spacing w:val="-19"/>
          <w:w w:val="115"/>
          <w:sz w:val="18"/>
        </w:rPr>
        <w:t> </w:t>
      </w:r>
      <w:r>
        <w:rPr>
          <w:color w:val="4D4D4F"/>
          <w:w w:val="115"/>
          <w:sz w:val="18"/>
        </w:rPr>
        <w:t>that</w:t>
      </w:r>
      <w:r>
        <w:rPr>
          <w:color w:val="4D4D4F"/>
          <w:spacing w:val="-20"/>
          <w:w w:val="115"/>
          <w:sz w:val="18"/>
        </w:rPr>
        <w:t> </w:t>
      </w:r>
      <w:r>
        <w:rPr>
          <w:color w:val="4D4D4F"/>
          <w:w w:val="115"/>
          <w:sz w:val="18"/>
        </w:rPr>
        <w:t>supports</w:t>
      </w:r>
      <w:r>
        <w:rPr>
          <w:color w:val="4D4D4F"/>
          <w:spacing w:val="-19"/>
          <w:w w:val="115"/>
          <w:sz w:val="18"/>
        </w:rPr>
        <w:t> </w:t>
      </w:r>
      <w:r>
        <w:rPr>
          <w:color w:val="4D4D4F"/>
          <w:w w:val="115"/>
          <w:sz w:val="18"/>
        </w:rPr>
        <w:t>the clinical</w:t>
      </w:r>
      <w:r>
        <w:rPr>
          <w:color w:val="4D4D4F"/>
          <w:spacing w:val="-20"/>
          <w:w w:val="115"/>
          <w:sz w:val="18"/>
        </w:rPr>
        <w:t> </w:t>
      </w:r>
      <w:r>
        <w:rPr>
          <w:color w:val="4D4D4F"/>
          <w:w w:val="115"/>
          <w:sz w:val="18"/>
        </w:rPr>
        <w:t>response,</w:t>
      </w:r>
      <w:r>
        <w:rPr>
          <w:color w:val="4D4D4F"/>
          <w:spacing w:val="-19"/>
          <w:w w:val="115"/>
          <w:sz w:val="18"/>
        </w:rPr>
        <w:t> </w:t>
      </w:r>
      <w:r>
        <w:rPr>
          <w:color w:val="4D4D4F"/>
          <w:w w:val="115"/>
          <w:sz w:val="18"/>
        </w:rPr>
        <w:t>which</w:t>
      </w:r>
      <w:r>
        <w:rPr>
          <w:color w:val="4D4D4F"/>
          <w:spacing w:val="-19"/>
          <w:w w:val="115"/>
          <w:sz w:val="18"/>
        </w:rPr>
        <w:t> </w:t>
      </w:r>
      <w:r>
        <w:rPr>
          <w:color w:val="4D4D4F"/>
          <w:w w:val="115"/>
          <w:sz w:val="18"/>
        </w:rPr>
        <w:t>should</w:t>
      </w:r>
      <w:r>
        <w:rPr>
          <w:color w:val="4D4D4F"/>
          <w:spacing w:val="-19"/>
          <w:w w:val="115"/>
          <w:sz w:val="18"/>
        </w:rPr>
        <w:t> </w:t>
      </w:r>
      <w:r>
        <w:rPr>
          <w:color w:val="4D4D4F"/>
          <w:w w:val="115"/>
          <w:sz w:val="18"/>
        </w:rPr>
        <w:t>be</w:t>
      </w:r>
      <w:r>
        <w:rPr>
          <w:color w:val="4D4D4F"/>
          <w:spacing w:val="-20"/>
          <w:w w:val="115"/>
          <w:sz w:val="18"/>
        </w:rPr>
        <w:t> </w:t>
      </w:r>
      <w:r>
        <w:rPr>
          <w:color w:val="4D4D4F"/>
          <w:w w:val="115"/>
          <w:sz w:val="18"/>
        </w:rPr>
        <w:t>aimed</w:t>
      </w:r>
      <w:r>
        <w:rPr>
          <w:color w:val="4D4D4F"/>
          <w:spacing w:val="-19"/>
          <w:w w:val="115"/>
          <w:sz w:val="18"/>
        </w:rPr>
        <w:t> </w:t>
      </w:r>
      <w:r>
        <w:rPr>
          <w:color w:val="4D4D4F"/>
          <w:w w:val="115"/>
          <w:sz w:val="18"/>
        </w:rPr>
        <w:t>at</w:t>
      </w:r>
      <w:r>
        <w:rPr>
          <w:color w:val="4D4D4F"/>
          <w:spacing w:val="-19"/>
          <w:w w:val="115"/>
          <w:sz w:val="18"/>
        </w:rPr>
        <w:t> </w:t>
      </w:r>
      <w:r>
        <w:rPr>
          <w:color w:val="4D4D4F"/>
          <w:w w:val="115"/>
          <w:sz w:val="18"/>
        </w:rPr>
        <w:t>minimizing</w:t>
      </w:r>
      <w:r>
        <w:rPr>
          <w:color w:val="4D4D4F"/>
          <w:spacing w:val="-19"/>
          <w:w w:val="115"/>
          <w:sz w:val="18"/>
        </w:rPr>
        <w:t> </w:t>
      </w:r>
      <w:r>
        <w:rPr>
          <w:color w:val="4D4D4F"/>
          <w:w w:val="115"/>
          <w:sz w:val="18"/>
        </w:rPr>
        <w:t>risk</w:t>
      </w:r>
      <w:r>
        <w:rPr>
          <w:color w:val="4D4D4F"/>
          <w:spacing w:val="-20"/>
          <w:w w:val="115"/>
          <w:sz w:val="18"/>
        </w:rPr>
        <w:t> </w:t>
      </w:r>
      <w:r>
        <w:rPr>
          <w:color w:val="4D4D4F"/>
          <w:w w:val="115"/>
          <w:sz w:val="18"/>
        </w:rPr>
        <w:t>of</w:t>
      </w:r>
      <w:r>
        <w:rPr>
          <w:color w:val="4D4D4F"/>
          <w:spacing w:val="-19"/>
          <w:w w:val="115"/>
          <w:sz w:val="18"/>
        </w:rPr>
        <w:t> </w:t>
      </w:r>
      <w:r>
        <w:rPr>
          <w:color w:val="4D4D4F"/>
          <w:w w:val="115"/>
          <w:sz w:val="18"/>
        </w:rPr>
        <w:t>diversion</w:t>
      </w:r>
      <w:r>
        <w:rPr>
          <w:color w:val="4D4D4F"/>
          <w:spacing w:val="-19"/>
          <w:w w:val="115"/>
          <w:sz w:val="18"/>
        </w:rPr>
        <w:t> </w:t>
      </w:r>
      <w:r>
        <w:rPr>
          <w:color w:val="4D4D4F"/>
          <w:w w:val="115"/>
          <w:sz w:val="18"/>
        </w:rPr>
        <w:t>and</w:t>
      </w:r>
      <w:r>
        <w:rPr>
          <w:color w:val="4D4D4F"/>
          <w:spacing w:val="-19"/>
          <w:w w:val="115"/>
          <w:sz w:val="18"/>
        </w:rPr>
        <w:t> </w:t>
      </w:r>
      <w:r>
        <w:rPr>
          <w:color w:val="4D4D4F"/>
          <w:w w:val="115"/>
          <w:sz w:val="18"/>
        </w:rPr>
        <w:t>misuse</w:t>
      </w:r>
      <w:r>
        <w:rPr>
          <w:color w:val="4D4D4F"/>
          <w:spacing w:val="-20"/>
          <w:w w:val="115"/>
          <w:sz w:val="18"/>
        </w:rPr>
        <w:t> </w:t>
      </w:r>
      <w:r>
        <w:rPr>
          <w:color w:val="4D4D4F"/>
          <w:w w:val="115"/>
          <w:sz w:val="18"/>
        </w:rPr>
        <w:t>and</w:t>
      </w:r>
      <w:r>
        <w:rPr>
          <w:color w:val="4D4D4F"/>
          <w:spacing w:val="-19"/>
          <w:w w:val="115"/>
          <w:sz w:val="18"/>
        </w:rPr>
        <w:t> </w:t>
      </w:r>
      <w:r>
        <w:rPr>
          <w:color w:val="4D4D4F"/>
          <w:w w:val="115"/>
          <w:sz w:val="18"/>
        </w:rPr>
        <w:t>treating</w:t>
      </w:r>
      <w:r>
        <w:rPr>
          <w:color w:val="4D4D4F"/>
          <w:spacing w:val="-19"/>
          <w:w w:val="115"/>
          <w:sz w:val="18"/>
        </w:rPr>
        <w:t> </w:t>
      </w:r>
      <w:r>
        <w:rPr>
          <w:color w:val="4D4D4F"/>
          <w:w w:val="115"/>
          <w:sz w:val="18"/>
        </w:rPr>
        <w:t>the</w:t>
      </w:r>
      <w:r>
        <w:rPr>
          <w:color w:val="4D4D4F"/>
          <w:spacing w:val="-19"/>
          <w:w w:val="115"/>
          <w:sz w:val="18"/>
        </w:rPr>
        <w:t> </w:t>
      </w:r>
      <w:r>
        <w:rPr>
          <w:color w:val="4D4D4F"/>
          <w:w w:val="115"/>
          <w:sz w:val="18"/>
        </w:rPr>
        <w:t>patient’s</w:t>
      </w:r>
      <w:r>
        <w:rPr>
          <w:color w:val="4D4D4F"/>
          <w:spacing w:val="-20"/>
          <w:w w:val="115"/>
          <w:sz w:val="18"/>
        </w:rPr>
        <w:t> </w:t>
      </w:r>
      <w:r>
        <w:rPr>
          <w:color w:val="4D4D4F"/>
          <w:spacing w:val="-3"/>
          <w:w w:val="115"/>
          <w:sz w:val="18"/>
        </w:rPr>
        <w:t>opioid </w:t>
      </w:r>
      <w:r>
        <w:rPr>
          <w:color w:val="4D4D4F"/>
          <w:w w:val="115"/>
          <w:sz w:val="18"/>
        </w:rPr>
        <w:t>use</w:t>
      </w:r>
      <w:r>
        <w:rPr>
          <w:color w:val="4D4D4F"/>
          <w:spacing w:val="-9"/>
          <w:w w:val="115"/>
          <w:sz w:val="18"/>
        </w:rPr>
        <w:t> </w:t>
      </w:r>
      <w:r>
        <w:rPr>
          <w:color w:val="4D4D4F"/>
          <w:w w:val="115"/>
          <w:sz w:val="18"/>
        </w:rPr>
        <w:t>disorder</w:t>
      </w:r>
      <w:r>
        <w:rPr>
          <w:color w:val="4D4D4F"/>
          <w:spacing w:val="-8"/>
          <w:w w:val="115"/>
          <w:sz w:val="18"/>
        </w:rPr>
        <w:t> </w:t>
      </w:r>
      <w:r>
        <w:rPr>
          <w:color w:val="4D4D4F"/>
          <w:w w:val="115"/>
          <w:sz w:val="18"/>
        </w:rPr>
        <w:t>at</w:t>
      </w:r>
      <w:r>
        <w:rPr>
          <w:color w:val="4D4D4F"/>
          <w:spacing w:val="-8"/>
          <w:w w:val="115"/>
          <w:sz w:val="18"/>
        </w:rPr>
        <w:t> </w:t>
      </w:r>
      <w:r>
        <w:rPr>
          <w:color w:val="4D4D4F"/>
          <w:w w:val="115"/>
          <w:sz w:val="18"/>
        </w:rPr>
        <w:t>the</w:t>
      </w:r>
      <w:r>
        <w:rPr>
          <w:color w:val="4D4D4F"/>
          <w:spacing w:val="-8"/>
          <w:w w:val="115"/>
          <w:sz w:val="18"/>
        </w:rPr>
        <w:t> </w:t>
      </w:r>
      <w:r>
        <w:rPr>
          <w:color w:val="4D4D4F"/>
          <w:w w:val="115"/>
          <w:sz w:val="18"/>
        </w:rPr>
        <w:t>level</w:t>
      </w:r>
      <w:r>
        <w:rPr>
          <w:color w:val="4D4D4F"/>
          <w:spacing w:val="-8"/>
          <w:w w:val="115"/>
          <w:sz w:val="18"/>
        </w:rPr>
        <w:t> </w:t>
      </w:r>
      <w:r>
        <w:rPr>
          <w:color w:val="4D4D4F"/>
          <w:w w:val="115"/>
          <w:sz w:val="18"/>
        </w:rPr>
        <w:t>of</w:t>
      </w:r>
      <w:r>
        <w:rPr>
          <w:color w:val="4D4D4F"/>
          <w:spacing w:val="-8"/>
          <w:w w:val="115"/>
          <w:sz w:val="18"/>
        </w:rPr>
        <w:t> </w:t>
      </w:r>
      <w:r>
        <w:rPr>
          <w:color w:val="4D4D4F"/>
          <w:w w:val="115"/>
          <w:sz w:val="18"/>
        </w:rPr>
        <w:t>care</w:t>
      </w:r>
      <w:r>
        <w:rPr>
          <w:color w:val="4D4D4F"/>
          <w:spacing w:val="-8"/>
          <w:w w:val="115"/>
          <w:sz w:val="18"/>
        </w:rPr>
        <w:t> </w:t>
      </w:r>
      <w:r>
        <w:rPr>
          <w:color w:val="4D4D4F"/>
          <w:w w:val="115"/>
          <w:sz w:val="18"/>
        </w:rPr>
        <w:t>needed.</w:t>
      </w:r>
    </w:p>
    <w:p>
      <w:pPr>
        <w:pStyle w:val="BodyText"/>
        <w:spacing w:before="6"/>
        <w:rPr>
          <w:sz w:val="15"/>
        </w:rPr>
      </w:pPr>
    </w:p>
    <w:p>
      <w:pPr>
        <w:spacing w:line="247" w:lineRule="auto" w:before="0"/>
        <w:ind w:left="140" w:right="214" w:hanging="1"/>
        <w:jc w:val="left"/>
        <w:rPr>
          <w:sz w:val="18"/>
        </w:rPr>
      </w:pPr>
      <w:r>
        <w:rPr>
          <w:color w:val="4D4D4F"/>
          <w:w w:val="110"/>
          <w:sz w:val="18"/>
        </w:rPr>
        <w:t>Policy</w:t>
      </w:r>
      <w:r>
        <w:rPr>
          <w:color w:val="4D4D4F"/>
          <w:spacing w:val="-28"/>
          <w:w w:val="110"/>
          <w:sz w:val="18"/>
        </w:rPr>
        <w:t> </w:t>
      </w:r>
      <w:r>
        <w:rPr>
          <w:color w:val="4D4D4F"/>
          <w:w w:val="110"/>
          <w:sz w:val="18"/>
        </w:rPr>
        <w:t>adapted</w:t>
      </w:r>
      <w:r>
        <w:rPr>
          <w:color w:val="4D4D4F"/>
          <w:spacing w:val="-27"/>
          <w:w w:val="110"/>
          <w:sz w:val="18"/>
        </w:rPr>
        <w:t> </w:t>
      </w:r>
      <w:r>
        <w:rPr>
          <w:color w:val="4D4D4F"/>
          <w:w w:val="110"/>
          <w:sz w:val="18"/>
        </w:rPr>
        <w:t>from</w:t>
      </w:r>
      <w:r>
        <w:rPr>
          <w:color w:val="4D4D4F"/>
          <w:spacing w:val="-27"/>
          <w:w w:val="110"/>
          <w:sz w:val="18"/>
        </w:rPr>
        <w:t> </w:t>
      </w:r>
      <w:r>
        <w:rPr>
          <w:color w:val="4D4D4F"/>
          <w:spacing w:val="-3"/>
          <w:w w:val="110"/>
          <w:sz w:val="18"/>
        </w:rPr>
        <w:t>ASAM’s</w:t>
      </w:r>
      <w:r>
        <w:rPr>
          <w:color w:val="4D4D4F"/>
          <w:spacing w:val="-28"/>
          <w:w w:val="110"/>
          <w:sz w:val="18"/>
        </w:rPr>
        <w:t> </w:t>
      </w:r>
      <w:r>
        <w:rPr>
          <w:rFonts w:ascii="Arial" w:hAnsi="Arial"/>
          <w:i/>
          <w:color w:val="4D4D4F"/>
          <w:w w:val="110"/>
          <w:sz w:val="18"/>
        </w:rPr>
        <w:t>Ofﬁce-Based</w:t>
      </w:r>
      <w:r>
        <w:rPr>
          <w:rFonts w:ascii="Arial" w:hAnsi="Arial"/>
          <w:i/>
          <w:color w:val="4D4D4F"/>
          <w:spacing w:val="-27"/>
          <w:w w:val="110"/>
          <w:sz w:val="18"/>
        </w:rPr>
        <w:t> </w:t>
      </w:r>
      <w:r>
        <w:rPr>
          <w:rFonts w:ascii="Arial" w:hAnsi="Arial"/>
          <w:i/>
          <w:color w:val="4D4D4F"/>
          <w:w w:val="110"/>
          <w:sz w:val="18"/>
        </w:rPr>
        <w:t>Opioid</w:t>
      </w:r>
      <w:r>
        <w:rPr>
          <w:rFonts w:ascii="Arial" w:hAnsi="Arial"/>
          <w:i/>
          <w:color w:val="4D4D4F"/>
          <w:spacing w:val="-27"/>
          <w:w w:val="110"/>
          <w:sz w:val="18"/>
        </w:rPr>
        <w:t> </w:t>
      </w:r>
      <w:r>
        <w:rPr>
          <w:rFonts w:ascii="Arial" w:hAnsi="Arial"/>
          <w:i/>
          <w:color w:val="4D4D4F"/>
          <w:w w:val="110"/>
          <w:sz w:val="18"/>
        </w:rPr>
        <w:t>Use</w:t>
      </w:r>
      <w:r>
        <w:rPr>
          <w:rFonts w:ascii="Arial" w:hAnsi="Arial"/>
          <w:i/>
          <w:color w:val="4D4D4F"/>
          <w:spacing w:val="-27"/>
          <w:w w:val="110"/>
          <w:sz w:val="18"/>
        </w:rPr>
        <w:t> </w:t>
      </w:r>
      <w:r>
        <w:rPr>
          <w:rFonts w:ascii="Arial" w:hAnsi="Arial"/>
          <w:i/>
          <w:color w:val="4D4D4F"/>
          <w:w w:val="110"/>
          <w:sz w:val="18"/>
        </w:rPr>
        <w:t>Disorder</w:t>
      </w:r>
      <w:r>
        <w:rPr>
          <w:rFonts w:ascii="Arial" w:hAnsi="Arial"/>
          <w:i/>
          <w:color w:val="4D4D4F"/>
          <w:spacing w:val="-28"/>
          <w:w w:val="110"/>
          <w:sz w:val="18"/>
        </w:rPr>
        <w:t> </w:t>
      </w:r>
      <w:r>
        <w:rPr>
          <w:rFonts w:ascii="Arial" w:hAnsi="Arial"/>
          <w:i/>
          <w:color w:val="4D4D4F"/>
          <w:w w:val="110"/>
          <w:sz w:val="18"/>
        </w:rPr>
        <w:t>Policy</w:t>
      </w:r>
      <w:r>
        <w:rPr>
          <w:rFonts w:ascii="Arial" w:hAnsi="Arial"/>
          <w:i/>
          <w:color w:val="4D4D4F"/>
          <w:spacing w:val="-27"/>
          <w:w w:val="110"/>
          <w:sz w:val="18"/>
        </w:rPr>
        <w:t> </w:t>
      </w:r>
      <w:r>
        <w:rPr>
          <w:rFonts w:ascii="Arial" w:hAnsi="Arial"/>
          <w:i/>
          <w:color w:val="4D4D4F"/>
          <w:w w:val="110"/>
          <w:sz w:val="18"/>
        </w:rPr>
        <w:t>and</w:t>
      </w:r>
      <w:r>
        <w:rPr>
          <w:rFonts w:ascii="Arial" w:hAnsi="Arial"/>
          <w:i/>
          <w:color w:val="4D4D4F"/>
          <w:spacing w:val="-27"/>
          <w:w w:val="110"/>
          <w:sz w:val="18"/>
        </w:rPr>
        <w:t> </w:t>
      </w:r>
      <w:r>
        <w:rPr>
          <w:rFonts w:ascii="Arial" w:hAnsi="Arial"/>
          <w:i/>
          <w:color w:val="4D4D4F"/>
          <w:w w:val="110"/>
          <w:sz w:val="18"/>
        </w:rPr>
        <w:t>Procedure</w:t>
      </w:r>
      <w:r>
        <w:rPr>
          <w:rFonts w:ascii="Arial" w:hAnsi="Arial"/>
          <w:i/>
          <w:color w:val="4D4D4F"/>
          <w:spacing w:val="-27"/>
          <w:w w:val="110"/>
          <w:sz w:val="18"/>
        </w:rPr>
        <w:t> </w:t>
      </w:r>
      <w:r>
        <w:rPr>
          <w:rFonts w:ascii="Arial" w:hAnsi="Arial"/>
          <w:i/>
          <w:color w:val="4D4D4F"/>
          <w:w w:val="110"/>
          <w:sz w:val="18"/>
        </w:rPr>
        <w:t>Manual,</w:t>
      </w:r>
      <w:r>
        <w:rPr>
          <w:rFonts w:ascii="Arial" w:hAnsi="Arial"/>
          <w:i/>
          <w:color w:val="4D4D4F"/>
          <w:spacing w:val="-27"/>
          <w:w w:val="110"/>
          <w:sz w:val="18"/>
        </w:rPr>
        <w:t> </w:t>
      </w:r>
      <w:r>
        <w:rPr>
          <w:color w:val="4D4D4F"/>
          <w:w w:val="110"/>
          <w:sz w:val="18"/>
        </w:rPr>
        <w:t>which</w:t>
      </w:r>
      <w:r>
        <w:rPr>
          <w:color w:val="4D4D4F"/>
          <w:spacing w:val="-27"/>
          <w:w w:val="110"/>
          <w:sz w:val="18"/>
        </w:rPr>
        <w:t> </w:t>
      </w:r>
      <w:r>
        <w:rPr>
          <w:color w:val="4D4D4F"/>
          <w:w w:val="110"/>
          <w:sz w:val="18"/>
        </w:rPr>
        <w:t>is</w:t>
      </w:r>
      <w:r>
        <w:rPr>
          <w:color w:val="4D4D4F"/>
          <w:spacing w:val="-28"/>
          <w:w w:val="110"/>
          <w:sz w:val="18"/>
        </w:rPr>
        <w:t> </w:t>
      </w:r>
      <w:r>
        <w:rPr>
          <w:color w:val="4D4D4F"/>
          <w:w w:val="110"/>
          <w:sz w:val="18"/>
        </w:rPr>
        <w:t>updated</w:t>
      </w:r>
      <w:r>
        <w:rPr>
          <w:color w:val="4D4D4F"/>
          <w:spacing w:val="-27"/>
          <w:w w:val="110"/>
          <w:sz w:val="18"/>
        </w:rPr>
        <w:t> </w:t>
      </w:r>
      <w:r>
        <w:rPr>
          <w:color w:val="4D4D4F"/>
          <w:w w:val="110"/>
          <w:sz w:val="18"/>
        </w:rPr>
        <w:t>periodically; the most current version is available online</w:t>
      </w:r>
      <w:r>
        <w:rPr>
          <w:color w:val="4D4D4F"/>
          <w:spacing w:val="46"/>
          <w:w w:val="110"/>
          <w:sz w:val="18"/>
        </w:rPr>
        <w:t> </w:t>
      </w:r>
      <w:r>
        <w:rPr>
          <w:color w:val="4D4D4F"/>
          <w:w w:val="110"/>
          <w:sz w:val="18"/>
        </w:rPr>
        <w:t>(</w:t>
      </w:r>
      <w:hyperlink r:id="rId80">
        <w:r>
          <w:rPr>
            <w:color w:val="205E9F"/>
            <w:w w:val="110"/>
            <w:sz w:val="18"/>
            <w:u w:val="single" w:color="205E9F"/>
          </w:rPr>
          <w:t>https://www</w:t>
        </w:r>
      </w:hyperlink>
      <w:r>
        <w:rPr>
          <w:color w:val="205E9F"/>
          <w:w w:val="110"/>
          <w:sz w:val="18"/>
          <w:u w:val="single" w:color="205E9F"/>
        </w:rPr>
        <w:t>.asam.or</w:t>
      </w:r>
      <w:hyperlink r:id="rId80">
        <w:r>
          <w:rPr>
            <w:color w:val="205E9F"/>
            <w:w w:val="110"/>
            <w:sz w:val="18"/>
            <w:u w:val="single" w:color="205E9F"/>
          </w:rPr>
          <w:t>g/docs/default-source/advocacy/sample-diversion-policy</w:t>
        </w:r>
      </w:hyperlink>
    </w:p>
    <w:p>
      <w:pPr>
        <w:spacing w:before="2"/>
        <w:ind w:left="140" w:right="0" w:firstLine="0"/>
        <w:jc w:val="left"/>
        <w:rPr>
          <w:sz w:val="18"/>
        </w:rPr>
      </w:pPr>
      <w:r>
        <w:rPr>
          <w:color w:val="205E9F"/>
          <w:w w:val="115"/>
          <w:sz w:val="18"/>
          <w:u w:val="single" w:color="205E9F"/>
        </w:rPr>
        <w:t>.pdf?sfvrsn=6</w:t>
      </w:r>
      <w:r>
        <w:rPr>
          <w:color w:val="4D4D4F"/>
          <w:w w:val="115"/>
          <w:sz w:val="18"/>
        </w:rPr>
        <w:t>).</w:t>
      </w:r>
    </w:p>
    <w:p>
      <w:pPr>
        <w:pStyle w:val="BodyText"/>
        <w:spacing w:before="7"/>
        <w:rPr>
          <w:sz w:val="15"/>
        </w:rPr>
      </w:pPr>
    </w:p>
    <w:p>
      <w:pPr>
        <w:spacing w:before="0"/>
        <w:ind w:left="140" w:right="0" w:firstLine="0"/>
        <w:jc w:val="left"/>
        <w:rPr>
          <w:rFonts w:ascii="Arial"/>
          <w:i/>
          <w:sz w:val="9"/>
        </w:rPr>
      </w:pPr>
      <w:r>
        <w:rPr>
          <w:rFonts w:ascii="Arial"/>
          <w:i/>
          <w:color w:val="4D4D4F"/>
          <w:w w:val="105"/>
          <w:sz w:val="16"/>
        </w:rPr>
        <w:t>Adapted with permission.</w:t>
      </w:r>
      <w:r>
        <w:rPr>
          <w:rFonts w:ascii="Arial"/>
          <w:i/>
          <w:color w:val="4D4D4F"/>
          <w:w w:val="105"/>
          <w:position w:val="5"/>
          <w:sz w:val="9"/>
        </w:rPr>
        <w:t>385</w:t>
      </w:r>
    </w:p>
    <w:p>
      <w:pPr>
        <w:spacing w:after="0"/>
        <w:jc w:val="left"/>
        <w:rPr>
          <w:rFonts w:ascii="Arial"/>
          <w:sz w:val="9"/>
        </w:rPr>
        <w:sectPr>
          <w:pgSz w:w="12240" w:h="15840"/>
          <w:pgMar w:header="576" w:footer="677" w:top="1340" w:bottom="860" w:left="940" w:right="920"/>
        </w:sect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10"/>
        <w:rPr>
          <w:rFonts w:ascii="Arial"/>
          <w:i/>
          <w:sz w:val="23"/>
        </w:rPr>
      </w:pPr>
    </w:p>
    <w:p>
      <w:pPr>
        <w:spacing w:before="0"/>
        <w:ind w:left="3471" w:right="3489" w:firstLine="0"/>
        <w:jc w:val="center"/>
        <w:rPr>
          <w:rFonts w:ascii="Arial"/>
          <w:sz w:val="18"/>
        </w:rPr>
      </w:pPr>
      <w:r>
        <w:rPr>
          <w:rFonts w:ascii="Arial"/>
          <w:color w:val="414042"/>
          <w:w w:val="120"/>
          <w:sz w:val="18"/>
        </w:rPr>
        <w:t>This page intentionally left blank.</w:t>
      </w:r>
    </w:p>
    <w:p>
      <w:pPr>
        <w:spacing w:after="0"/>
        <w:jc w:val="center"/>
        <w:rPr>
          <w:rFonts w:ascii="Arial"/>
          <w:sz w:val="18"/>
        </w:rPr>
        <w:sectPr>
          <w:headerReference w:type="even" r:id="rId81"/>
          <w:footerReference w:type="even" r:id="rId82"/>
          <w:pgSz w:w="12240" w:h="15840"/>
          <w:pgMar w:header="0" w:footer="0" w:top="1500" w:bottom="280" w:left="940" w:right="920"/>
        </w:sectPr>
      </w:pPr>
    </w:p>
    <w:p>
      <w:pPr>
        <w:pStyle w:val="BodyText"/>
        <w:spacing w:before="4"/>
        <w:rPr>
          <w:rFonts w:ascii="Arial"/>
          <w:sz w:val="24"/>
        </w:rPr>
      </w:pPr>
    </w:p>
    <w:p>
      <w:pPr>
        <w:pStyle w:val="Heading1"/>
        <w:spacing w:line="228" w:lineRule="auto"/>
        <w:ind w:right="2059"/>
        <w:jc w:val="both"/>
      </w:pPr>
      <w:bookmarkStart w:name="_TOC_250011" w:id="104"/>
      <w:r>
        <w:rPr>
          <w:color w:val="414142"/>
          <w:w w:val="110"/>
        </w:rPr>
        <w:t>Chapter</w:t>
      </w:r>
      <w:r>
        <w:rPr>
          <w:color w:val="414142"/>
          <w:spacing w:val="-46"/>
          <w:w w:val="110"/>
        </w:rPr>
        <w:t> </w:t>
      </w:r>
      <w:r>
        <w:rPr>
          <w:color w:val="414142"/>
          <w:w w:val="110"/>
        </w:rPr>
        <w:t>3F:</w:t>
      </w:r>
      <w:r>
        <w:rPr>
          <w:color w:val="414142"/>
          <w:spacing w:val="-45"/>
          <w:w w:val="110"/>
        </w:rPr>
        <w:t> </w:t>
      </w:r>
      <w:r>
        <w:rPr>
          <w:color w:val="414142"/>
          <w:w w:val="110"/>
        </w:rPr>
        <w:t>Medical</w:t>
      </w:r>
      <w:r>
        <w:rPr>
          <w:color w:val="414142"/>
          <w:spacing w:val="-45"/>
          <w:w w:val="110"/>
        </w:rPr>
        <w:t> </w:t>
      </w:r>
      <w:r>
        <w:rPr>
          <w:color w:val="414142"/>
          <w:w w:val="110"/>
        </w:rPr>
        <w:t>Management</w:t>
      </w:r>
      <w:r>
        <w:rPr>
          <w:color w:val="414142"/>
          <w:spacing w:val="-45"/>
          <w:w w:val="110"/>
        </w:rPr>
        <w:t> </w:t>
      </w:r>
      <w:r>
        <w:rPr>
          <w:color w:val="414142"/>
          <w:spacing w:val="-4"/>
          <w:w w:val="110"/>
        </w:rPr>
        <w:t>of </w:t>
      </w:r>
      <w:r>
        <w:rPr>
          <w:color w:val="414142"/>
          <w:w w:val="110"/>
        </w:rPr>
        <w:t>Patients </w:t>
      </w:r>
      <w:r>
        <w:rPr>
          <w:color w:val="414142"/>
          <w:spacing w:val="-6"/>
          <w:w w:val="110"/>
        </w:rPr>
        <w:t>Taking </w:t>
      </w:r>
      <w:bookmarkEnd w:id="104"/>
      <w:r>
        <w:rPr>
          <w:color w:val="414142"/>
          <w:w w:val="110"/>
        </w:rPr>
        <w:t>OUD Medications in Hospital Settings</w:t>
      </w:r>
    </w:p>
    <w:p>
      <w:pPr>
        <w:pStyle w:val="BodyText"/>
        <w:spacing w:before="1"/>
        <w:rPr>
          <w:rFonts w:ascii="Calibri"/>
          <w:b/>
          <w:sz w:val="17"/>
        </w:rPr>
      </w:pPr>
      <w:r>
        <w:rPr/>
        <w:pict>
          <v:shape style="position:absolute;margin-left:53.75pt;margin-top:12.673074pt;width:504.05pt;height:62.25pt;mso-position-horizontal-relative:page;mso-position-vertical-relative:paragraph;z-index:-15663104;mso-wrap-distance-left:0;mso-wrap-distance-right:0" type="#_x0000_t202" filled="false" stroked="true" strokeweight=".5pt" strokecolor="#88aabd">
            <v:textbox inset="0,0,0,0">
              <w:txbxContent>
                <w:p>
                  <w:pPr>
                    <w:spacing w:line="247" w:lineRule="auto" w:before="229"/>
                    <w:ind w:left="270" w:right="336" w:firstLine="0"/>
                    <w:jc w:val="left"/>
                    <w:rPr>
                      <w:rFonts w:ascii="Trebuchet MS"/>
                      <w:b/>
                      <w:i/>
                      <w:sz w:val="22"/>
                    </w:rPr>
                  </w:pPr>
                  <w:r>
                    <w:rPr>
                      <w:rFonts w:ascii="Trebuchet MS"/>
                      <w:b/>
                      <w:i/>
                      <w:color w:val="137692"/>
                      <w:sz w:val="22"/>
                    </w:rPr>
                    <w:t>Chapter 3F guides </w:t>
                  </w:r>
                  <w:r>
                    <w:rPr>
                      <w:rFonts w:ascii="Trebuchet MS"/>
                      <w:b/>
                      <w:i/>
                      <w:color w:val="4D4D4F"/>
                      <w:sz w:val="22"/>
                    </w:rPr>
                    <w:t>the management of patients taking OUD medications in hospital </w:t>
                  </w:r>
                  <w:r>
                    <w:rPr>
                      <w:rFonts w:ascii="Trebuchet MS"/>
                      <w:b/>
                      <w:i/>
                      <w:color w:val="4D4D4F"/>
                      <w:sz w:val="22"/>
                    </w:rPr>
                    <w:t>settings.</w:t>
                  </w:r>
                  <w:r>
                    <w:rPr>
                      <w:rFonts w:ascii="Trebuchet MS"/>
                      <w:b/>
                      <w:i/>
                      <w:color w:val="4D4D4F"/>
                      <w:spacing w:val="-12"/>
                      <w:sz w:val="22"/>
                    </w:rPr>
                    <w:t> </w:t>
                  </w:r>
                  <w:r>
                    <w:rPr>
                      <w:rFonts w:ascii="Trebuchet MS"/>
                      <w:b/>
                      <w:i/>
                      <w:color w:val="4D4D4F"/>
                      <w:sz w:val="22"/>
                    </w:rPr>
                    <w:t>The</w:t>
                  </w:r>
                  <w:r>
                    <w:rPr>
                      <w:rFonts w:ascii="Trebuchet MS"/>
                      <w:b/>
                      <w:i/>
                      <w:color w:val="4D4D4F"/>
                      <w:spacing w:val="-12"/>
                      <w:sz w:val="22"/>
                    </w:rPr>
                    <w:t> </w:t>
                  </w:r>
                  <w:r>
                    <w:rPr>
                      <w:rFonts w:ascii="Trebuchet MS"/>
                      <w:b/>
                      <w:i/>
                      <w:color w:val="4D4D4F"/>
                      <w:sz w:val="22"/>
                    </w:rPr>
                    <w:t>audience</w:t>
                  </w:r>
                  <w:r>
                    <w:rPr>
                      <w:rFonts w:ascii="Trebuchet MS"/>
                      <w:b/>
                      <w:i/>
                      <w:color w:val="4D4D4F"/>
                      <w:spacing w:val="-12"/>
                      <w:sz w:val="22"/>
                    </w:rPr>
                    <w:t> </w:t>
                  </w:r>
                  <w:r>
                    <w:rPr>
                      <w:rFonts w:ascii="Trebuchet MS"/>
                      <w:b/>
                      <w:i/>
                      <w:color w:val="4D4D4F"/>
                      <w:sz w:val="22"/>
                    </w:rPr>
                    <w:t>is</w:t>
                  </w:r>
                  <w:r>
                    <w:rPr>
                      <w:rFonts w:ascii="Trebuchet MS"/>
                      <w:b/>
                      <w:i/>
                      <w:color w:val="4D4D4F"/>
                      <w:spacing w:val="-12"/>
                      <w:sz w:val="22"/>
                    </w:rPr>
                    <w:t> </w:t>
                  </w:r>
                  <w:r>
                    <w:rPr>
                      <w:rFonts w:ascii="Trebuchet MS"/>
                      <w:b/>
                      <w:i/>
                      <w:color w:val="4D4D4F"/>
                      <w:sz w:val="22"/>
                    </w:rPr>
                    <w:t>healthcare</w:t>
                  </w:r>
                  <w:r>
                    <w:rPr>
                      <w:rFonts w:ascii="Trebuchet MS"/>
                      <w:b/>
                      <w:i/>
                      <w:color w:val="4D4D4F"/>
                      <w:spacing w:val="-12"/>
                      <w:sz w:val="22"/>
                    </w:rPr>
                    <w:t> </w:t>
                  </w:r>
                  <w:r>
                    <w:rPr>
                      <w:rFonts w:ascii="Trebuchet MS"/>
                      <w:b/>
                      <w:i/>
                      <w:color w:val="4D4D4F"/>
                      <w:sz w:val="22"/>
                    </w:rPr>
                    <w:t>professionals</w:t>
                  </w:r>
                  <w:r>
                    <w:rPr>
                      <w:rFonts w:ascii="Trebuchet MS"/>
                      <w:b/>
                      <w:i/>
                      <w:color w:val="4D4D4F"/>
                      <w:spacing w:val="-12"/>
                      <w:sz w:val="22"/>
                    </w:rPr>
                    <w:t> </w:t>
                  </w:r>
                  <w:r>
                    <w:rPr>
                      <w:rFonts w:ascii="Trebuchet MS"/>
                      <w:b/>
                      <w:i/>
                      <w:color w:val="4D4D4F"/>
                      <w:sz w:val="22"/>
                    </w:rPr>
                    <w:t>in</w:t>
                  </w:r>
                  <w:r>
                    <w:rPr>
                      <w:rFonts w:ascii="Trebuchet MS"/>
                      <w:b/>
                      <w:i/>
                      <w:color w:val="4D4D4F"/>
                      <w:spacing w:val="-12"/>
                      <w:sz w:val="22"/>
                    </w:rPr>
                    <w:t> </w:t>
                  </w:r>
                  <w:r>
                    <w:rPr>
                      <w:rFonts w:ascii="Trebuchet MS"/>
                      <w:b/>
                      <w:i/>
                      <w:color w:val="4D4D4F"/>
                      <w:sz w:val="22"/>
                    </w:rPr>
                    <w:t>emergency,</w:t>
                  </w:r>
                  <w:r>
                    <w:rPr>
                      <w:rFonts w:ascii="Trebuchet MS"/>
                      <w:b/>
                      <w:i/>
                      <w:color w:val="4D4D4F"/>
                      <w:spacing w:val="-12"/>
                      <w:sz w:val="22"/>
                    </w:rPr>
                    <w:t> </w:t>
                  </w:r>
                  <w:r>
                    <w:rPr>
                      <w:rFonts w:ascii="Trebuchet MS"/>
                      <w:b/>
                      <w:i/>
                      <w:color w:val="4D4D4F"/>
                      <w:sz w:val="22"/>
                    </w:rPr>
                    <w:t>general</w:t>
                  </w:r>
                  <w:r>
                    <w:rPr>
                      <w:rFonts w:ascii="Trebuchet MS"/>
                      <w:b/>
                      <w:i/>
                      <w:color w:val="4D4D4F"/>
                      <w:spacing w:val="-11"/>
                      <w:sz w:val="22"/>
                    </w:rPr>
                    <w:t> </w:t>
                  </w:r>
                  <w:r>
                    <w:rPr>
                      <w:rFonts w:ascii="Trebuchet MS"/>
                      <w:b/>
                      <w:i/>
                      <w:color w:val="4D4D4F"/>
                      <w:sz w:val="22"/>
                    </w:rPr>
                    <w:t>medical,</w:t>
                  </w:r>
                  <w:r>
                    <w:rPr>
                      <w:rFonts w:ascii="Trebuchet MS"/>
                      <w:b/>
                      <w:i/>
                      <w:color w:val="4D4D4F"/>
                      <w:spacing w:val="-12"/>
                      <w:sz w:val="22"/>
                    </w:rPr>
                    <w:t> </w:t>
                  </w:r>
                  <w:r>
                    <w:rPr>
                      <w:rFonts w:ascii="Trebuchet MS"/>
                      <w:b/>
                      <w:i/>
                      <w:color w:val="4D4D4F"/>
                      <w:sz w:val="22"/>
                    </w:rPr>
                    <w:t>surgical, psychiatric, and obstetric</w:t>
                  </w:r>
                  <w:r>
                    <w:rPr>
                      <w:rFonts w:ascii="Trebuchet MS"/>
                      <w:b/>
                      <w:i/>
                      <w:color w:val="4D4D4F"/>
                      <w:spacing w:val="5"/>
                      <w:sz w:val="22"/>
                    </w:rPr>
                    <w:t> </w:t>
                  </w:r>
                  <w:r>
                    <w:rPr>
                      <w:rFonts w:ascii="Trebuchet MS"/>
                      <w:b/>
                      <w:i/>
                      <w:color w:val="4D4D4F"/>
                      <w:spacing w:val="2"/>
                      <w:sz w:val="22"/>
                    </w:rPr>
                    <w:t>units.</w:t>
                  </w:r>
                </w:p>
              </w:txbxContent>
            </v:textbox>
            <v:stroke dashstyle="solid"/>
            <w10:wrap type="topAndBottom"/>
          </v:shape>
        </w:pict>
      </w:r>
    </w:p>
    <w:p>
      <w:pPr>
        <w:pStyle w:val="BodyText"/>
        <w:rPr>
          <w:rFonts w:ascii="Calibri"/>
          <w:b/>
          <w:sz w:val="20"/>
        </w:rPr>
      </w:pPr>
    </w:p>
    <w:p>
      <w:pPr>
        <w:pStyle w:val="BodyText"/>
        <w:spacing w:before="5"/>
        <w:rPr>
          <w:rFonts w:ascii="Calibri"/>
          <w:b/>
          <w:sz w:val="16"/>
        </w:rPr>
      </w:pPr>
    </w:p>
    <w:p>
      <w:pPr>
        <w:spacing w:after="0"/>
        <w:rPr>
          <w:rFonts w:ascii="Calibri"/>
          <w:sz w:val="16"/>
        </w:rPr>
        <w:sectPr>
          <w:headerReference w:type="default" r:id="rId83"/>
          <w:headerReference w:type="even" r:id="rId84"/>
          <w:footerReference w:type="default" r:id="rId85"/>
          <w:footerReference w:type="even" r:id="rId86"/>
          <w:pgSz w:w="12240" w:h="15840"/>
          <w:pgMar w:header="576" w:footer="677" w:top="1340" w:bottom="860" w:left="940" w:right="920"/>
          <w:pgNumType w:start="103"/>
        </w:sectPr>
      </w:pPr>
    </w:p>
    <w:p>
      <w:pPr>
        <w:pStyle w:val="BodyText"/>
        <w:spacing w:line="247" w:lineRule="auto" w:before="100"/>
        <w:ind w:left="140" w:right="83"/>
        <w:rPr>
          <w:sz w:val="13"/>
        </w:rPr>
      </w:pPr>
      <w:r>
        <w:rPr>
          <w:color w:val="4D4D4F"/>
          <w:w w:val="110"/>
        </w:rPr>
        <w:t>Patients with opioid use disorder (OUD) who present to emergency departments (EDs) or are admitted to hospitals for acute medical or psychiatric care can beneﬁt from medication  to treat OUD in the hospital setting. </w:t>
      </w:r>
      <w:r>
        <w:rPr>
          <w:color w:val="4D4D4F"/>
          <w:spacing w:val="2"/>
          <w:w w:val="110"/>
        </w:rPr>
        <w:t>During </w:t>
      </w:r>
      <w:r>
        <w:rPr>
          <w:color w:val="4D4D4F"/>
          <w:w w:val="110"/>
        </w:rPr>
        <w:t>acute medical illness, patients </w:t>
      </w:r>
      <w:r>
        <w:rPr>
          <w:color w:val="4D4D4F"/>
          <w:spacing w:val="2"/>
          <w:w w:val="110"/>
        </w:rPr>
        <w:t>experiencing </w:t>
      </w:r>
      <w:r>
        <w:rPr>
          <w:color w:val="4D4D4F"/>
          <w:w w:val="110"/>
        </w:rPr>
        <w:t>consequences of opioid use may be motivated to change.</w:t>
      </w:r>
      <w:r>
        <w:rPr>
          <w:color w:val="4D4D4F"/>
          <w:w w:val="110"/>
          <w:position w:val="7"/>
          <w:sz w:val="13"/>
        </w:rPr>
        <w:t>386 </w:t>
      </w:r>
      <w:r>
        <w:rPr>
          <w:color w:val="4D4D4F"/>
          <w:w w:val="110"/>
        </w:rPr>
        <w:t>Hospital-based providers can </w:t>
      </w:r>
      <w:r>
        <w:rPr>
          <w:color w:val="4D4D4F"/>
          <w:spacing w:val="-4"/>
          <w:w w:val="110"/>
        </w:rPr>
        <w:t>take </w:t>
      </w:r>
      <w:r>
        <w:rPr>
          <w:color w:val="4D4D4F"/>
          <w:spacing w:val="-3"/>
          <w:w w:val="110"/>
        </w:rPr>
        <w:t>this opportunity </w:t>
      </w:r>
      <w:r>
        <w:rPr>
          <w:color w:val="4D4D4F"/>
          <w:w w:val="110"/>
        </w:rPr>
        <w:t>to </w:t>
      </w:r>
      <w:r>
        <w:rPr>
          <w:color w:val="4D4D4F"/>
          <w:spacing w:val="-3"/>
          <w:w w:val="110"/>
        </w:rPr>
        <w:t>initiate long-term medication </w:t>
      </w:r>
      <w:r>
        <w:rPr>
          <w:color w:val="4D4D4F"/>
          <w:w w:val="110"/>
        </w:rPr>
        <w:t>maintenance.</w:t>
      </w:r>
      <w:r>
        <w:rPr>
          <w:color w:val="4D4D4F"/>
          <w:w w:val="110"/>
          <w:position w:val="7"/>
          <w:sz w:val="13"/>
        </w:rPr>
        <w:t>387,388</w:t>
      </w:r>
    </w:p>
    <w:p>
      <w:pPr>
        <w:pStyle w:val="BodyText"/>
        <w:spacing w:line="247" w:lineRule="auto" w:before="192"/>
        <w:ind w:left="140" w:right="76"/>
      </w:pPr>
      <w:r>
        <w:rPr>
          <w:color w:val="4D4D4F"/>
          <w:w w:val="110"/>
        </w:rPr>
        <w:t>Unfortunately, less than one-quarter of patients </w:t>
      </w:r>
      <w:r>
        <w:rPr>
          <w:color w:val="4D4D4F"/>
          <w:spacing w:val="-3"/>
          <w:w w:val="110"/>
        </w:rPr>
        <w:t>with </w:t>
      </w:r>
      <w:r>
        <w:rPr>
          <w:color w:val="4D4D4F"/>
          <w:w w:val="110"/>
        </w:rPr>
        <w:t>an </w:t>
      </w:r>
      <w:r>
        <w:rPr>
          <w:color w:val="4D4D4F"/>
          <w:spacing w:val="-4"/>
          <w:w w:val="110"/>
        </w:rPr>
        <w:t>opioid-related </w:t>
      </w:r>
      <w:r>
        <w:rPr>
          <w:color w:val="4D4D4F"/>
          <w:spacing w:val="-3"/>
          <w:w w:val="110"/>
        </w:rPr>
        <w:t>hospitalization </w:t>
      </w:r>
      <w:r>
        <w:rPr>
          <w:color w:val="4D4D4F"/>
          <w:spacing w:val="-4"/>
          <w:w w:val="110"/>
        </w:rPr>
        <w:t>are </w:t>
      </w:r>
      <w:r>
        <w:rPr>
          <w:color w:val="4D4D4F"/>
          <w:spacing w:val="-5"/>
          <w:w w:val="110"/>
        </w:rPr>
        <w:t>offered </w:t>
      </w:r>
      <w:r>
        <w:rPr>
          <w:color w:val="4D4D4F"/>
          <w:w w:val="110"/>
        </w:rPr>
        <w:t>Food and Drug Administration-approved med- ication for OUD within 30 days of discharge.</w:t>
      </w:r>
      <w:r>
        <w:rPr>
          <w:color w:val="4D4D4F"/>
          <w:w w:val="110"/>
          <w:position w:val="7"/>
          <w:sz w:val="13"/>
        </w:rPr>
        <w:t>389 </w:t>
      </w:r>
      <w:r>
        <w:rPr>
          <w:color w:val="4D4D4F"/>
          <w:w w:val="110"/>
        </w:rPr>
        <w:t>Patients who already take OUD medication may also present to the hospital. Thus, a broad understanding of how to manage their OUD medication during hospitalization is</w:t>
      </w:r>
      <w:r>
        <w:rPr>
          <w:color w:val="4D4D4F"/>
          <w:spacing w:val="20"/>
          <w:w w:val="110"/>
        </w:rPr>
        <w:t> </w:t>
      </w:r>
      <w:r>
        <w:rPr>
          <w:color w:val="4D4D4F"/>
          <w:w w:val="110"/>
        </w:rPr>
        <w:t>necessary.</w:t>
      </w:r>
    </w:p>
    <w:p>
      <w:pPr>
        <w:pStyle w:val="Heading7"/>
        <w:spacing w:line="235" w:lineRule="auto" w:before="189"/>
        <w:ind w:right="112"/>
        <w:jc w:val="both"/>
        <w:rPr>
          <w:rFonts w:ascii="Gill Sans MT"/>
          <w:b w:val="0"/>
        </w:rPr>
      </w:pPr>
      <w:r>
        <w:rPr>
          <w:color w:val="4D4D4F"/>
          <w:w w:val="110"/>
        </w:rPr>
        <w:t>The keys to effective patient management in general hospital settings </w:t>
      </w:r>
      <w:r>
        <w:rPr>
          <w:rFonts w:ascii="Gill Sans MT"/>
          <w:b w:val="0"/>
          <w:color w:val="4D4D4F"/>
          <w:w w:val="110"/>
        </w:rPr>
        <w:t>are:</w:t>
      </w:r>
    </w:p>
    <w:p>
      <w:pPr>
        <w:pStyle w:val="ListParagraph"/>
        <w:numPr>
          <w:ilvl w:val="0"/>
          <w:numId w:val="29"/>
        </w:numPr>
        <w:tabs>
          <w:tab w:pos="410" w:val="left" w:leader="none"/>
        </w:tabs>
        <w:spacing w:line="220" w:lineRule="auto" w:before="118" w:after="0"/>
        <w:ind w:left="410" w:right="144" w:hanging="270"/>
        <w:jc w:val="both"/>
        <w:rPr>
          <w:rFonts w:ascii="Arial" w:hAnsi="Arial"/>
          <w:color w:val="137692"/>
          <w:sz w:val="28"/>
        </w:rPr>
      </w:pPr>
      <w:r>
        <w:rPr>
          <w:rFonts w:ascii="Calibri" w:hAnsi="Calibri"/>
          <w:b/>
          <w:color w:val="4D4D4F"/>
          <w:w w:val="115"/>
          <w:sz w:val="22"/>
        </w:rPr>
        <w:t>Balancing pharmacotherapy for OUD</w:t>
      </w:r>
      <w:r>
        <w:rPr>
          <w:rFonts w:ascii="Calibri" w:hAnsi="Calibri"/>
          <w:b/>
          <w:color w:val="4D4D4F"/>
          <w:spacing w:val="-36"/>
          <w:w w:val="115"/>
          <w:sz w:val="22"/>
        </w:rPr>
        <w:t> </w:t>
      </w:r>
      <w:r>
        <w:rPr>
          <w:rFonts w:ascii="Calibri" w:hAnsi="Calibri"/>
          <w:b/>
          <w:color w:val="4D4D4F"/>
          <w:spacing w:val="-4"/>
          <w:w w:val="115"/>
          <w:sz w:val="22"/>
        </w:rPr>
        <w:t>with </w:t>
      </w:r>
      <w:r>
        <w:rPr>
          <w:rFonts w:ascii="Calibri" w:hAnsi="Calibri"/>
          <w:b/>
          <w:color w:val="4D4D4F"/>
          <w:w w:val="115"/>
          <w:sz w:val="22"/>
        </w:rPr>
        <w:t>other medical concerns </w:t>
      </w:r>
      <w:r>
        <w:rPr>
          <w:color w:val="4D4D4F"/>
          <w:w w:val="115"/>
          <w:sz w:val="22"/>
        </w:rPr>
        <w:t>(e.g., </w:t>
      </w:r>
      <w:r>
        <w:rPr>
          <w:color w:val="4D4D4F"/>
          <w:spacing w:val="-3"/>
          <w:w w:val="115"/>
          <w:sz w:val="22"/>
        </w:rPr>
        <w:t>surgery, </w:t>
      </w:r>
      <w:r>
        <w:rPr>
          <w:color w:val="4D4D4F"/>
          <w:w w:val="115"/>
          <w:sz w:val="22"/>
        </w:rPr>
        <w:t>pain management) during</w:t>
      </w:r>
      <w:r>
        <w:rPr>
          <w:color w:val="4D4D4F"/>
          <w:spacing w:val="-26"/>
          <w:w w:val="115"/>
          <w:sz w:val="22"/>
        </w:rPr>
        <w:t> </w:t>
      </w:r>
      <w:r>
        <w:rPr>
          <w:color w:val="4D4D4F"/>
          <w:w w:val="115"/>
          <w:sz w:val="22"/>
        </w:rPr>
        <w:t>hospitalization.</w:t>
      </w:r>
    </w:p>
    <w:p>
      <w:pPr>
        <w:pStyle w:val="Heading7"/>
        <w:numPr>
          <w:ilvl w:val="0"/>
          <w:numId w:val="29"/>
        </w:numPr>
        <w:tabs>
          <w:tab w:pos="410" w:val="left" w:leader="none"/>
        </w:tabs>
        <w:spacing w:line="315" w:lineRule="exact" w:before="39" w:after="0"/>
        <w:ind w:left="410" w:right="0" w:hanging="270"/>
        <w:jc w:val="both"/>
        <w:rPr>
          <w:rFonts w:ascii="Arial" w:hAnsi="Arial"/>
          <w:color w:val="137692"/>
          <w:sz w:val="28"/>
        </w:rPr>
      </w:pPr>
      <w:r>
        <w:rPr>
          <w:color w:val="4D4D4F"/>
          <w:w w:val="115"/>
        </w:rPr>
        <w:t>Careful management after</w:t>
      </w:r>
      <w:r>
        <w:rPr>
          <w:color w:val="4D4D4F"/>
          <w:spacing w:val="8"/>
          <w:w w:val="115"/>
        </w:rPr>
        <w:t> </w:t>
      </w:r>
      <w:r>
        <w:rPr>
          <w:color w:val="4D4D4F"/>
          <w:w w:val="115"/>
        </w:rPr>
        <w:t>discharge.</w:t>
      </w:r>
    </w:p>
    <w:p>
      <w:pPr>
        <w:pStyle w:val="ListParagraph"/>
        <w:numPr>
          <w:ilvl w:val="0"/>
          <w:numId w:val="29"/>
        </w:numPr>
        <w:tabs>
          <w:tab w:pos="410" w:val="left" w:leader="none"/>
        </w:tabs>
        <w:spacing w:line="264" w:lineRule="exact" w:before="4" w:after="0"/>
        <w:ind w:left="410" w:right="38" w:hanging="270"/>
        <w:jc w:val="left"/>
        <w:rPr>
          <w:rFonts w:ascii="Arial" w:hAnsi="Arial"/>
          <w:color w:val="137692"/>
          <w:sz w:val="28"/>
        </w:rPr>
      </w:pPr>
      <w:r>
        <w:rPr>
          <w:rFonts w:ascii="Calibri" w:hAnsi="Calibri"/>
          <w:b/>
          <w:color w:val="4D4D4F"/>
          <w:w w:val="110"/>
          <w:sz w:val="22"/>
        </w:rPr>
        <w:t>Seamless transfer to opioid  treatment </w:t>
      </w:r>
      <w:r>
        <w:rPr>
          <w:color w:val="4D4D4F"/>
          <w:w w:val="110"/>
          <w:sz w:val="22"/>
        </w:rPr>
        <w:t>via an</w:t>
      </w:r>
      <w:r>
        <w:rPr>
          <w:color w:val="4D4D4F"/>
          <w:spacing w:val="-14"/>
          <w:w w:val="110"/>
          <w:sz w:val="22"/>
        </w:rPr>
        <w:t> </w:t>
      </w:r>
      <w:r>
        <w:rPr>
          <w:color w:val="4D4D4F"/>
          <w:w w:val="110"/>
          <w:sz w:val="22"/>
        </w:rPr>
        <w:t>opioid</w:t>
      </w:r>
      <w:r>
        <w:rPr>
          <w:color w:val="4D4D4F"/>
          <w:spacing w:val="-13"/>
          <w:w w:val="110"/>
          <w:sz w:val="22"/>
        </w:rPr>
        <w:t> </w:t>
      </w:r>
      <w:r>
        <w:rPr>
          <w:color w:val="4D4D4F"/>
          <w:w w:val="110"/>
          <w:sz w:val="22"/>
        </w:rPr>
        <w:t>treatment</w:t>
      </w:r>
      <w:r>
        <w:rPr>
          <w:color w:val="4D4D4F"/>
          <w:spacing w:val="-14"/>
          <w:w w:val="110"/>
          <w:sz w:val="22"/>
        </w:rPr>
        <w:t> </w:t>
      </w:r>
      <w:r>
        <w:rPr>
          <w:color w:val="4D4D4F"/>
          <w:w w:val="110"/>
          <w:sz w:val="22"/>
        </w:rPr>
        <w:t>program</w:t>
      </w:r>
      <w:r>
        <w:rPr>
          <w:color w:val="4D4D4F"/>
          <w:spacing w:val="-13"/>
          <w:w w:val="110"/>
          <w:sz w:val="22"/>
        </w:rPr>
        <w:t> </w:t>
      </w:r>
      <w:r>
        <w:rPr>
          <w:color w:val="4D4D4F"/>
          <w:w w:val="110"/>
          <w:sz w:val="22"/>
        </w:rPr>
        <w:t>(OTP)</w:t>
      </w:r>
      <w:r>
        <w:rPr>
          <w:color w:val="4D4D4F"/>
          <w:spacing w:val="-14"/>
          <w:w w:val="110"/>
          <w:sz w:val="22"/>
        </w:rPr>
        <w:t> </w:t>
      </w:r>
      <w:r>
        <w:rPr>
          <w:color w:val="4D4D4F"/>
          <w:w w:val="110"/>
          <w:sz w:val="22"/>
        </w:rPr>
        <w:t>or</w:t>
      </w:r>
      <w:r>
        <w:rPr>
          <w:color w:val="4D4D4F"/>
          <w:spacing w:val="-13"/>
          <w:w w:val="110"/>
          <w:sz w:val="22"/>
        </w:rPr>
        <w:t> </w:t>
      </w:r>
      <w:r>
        <w:rPr>
          <w:color w:val="4D4D4F"/>
          <w:w w:val="110"/>
          <w:sz w:val="22"/>
        </w:rPr>
        <w:t>ofﬁce- </w:t>
      </w:r>
      <w:r>
        <w:rPr>
          <w:color w:val="4D4D4F"/>
          <w:spacing w:val="-3"/>
          <w:w w:val="110"/>
          <w:sz w:val="22"/>
        </w:rPr>
        <w:t>based opioid </w:t>
      </w:r>
      <w:r>
        <w:rPr>
          <w:color w:val="4D4D4F"/>
          <w:spacing w:val="-4"/>
          <w:w w:val="110"/>
          <w:sz w:val="22"/>
        </w:rPr>
        <w:t>treatment </w:t>
      </w:r>
      <w:r>
        <w:rPr>
          <w:color w:val="4D4D4F"/>
          <w:spacing w:val="-3"/>
          <w:w w:val="110"/>
          <w:sz w:val="22"/>
        </w:rPr>
        <w:t>(OBOT) </w:t>
      </w:r>
      <w:r>
        <w:rPr>
          <w:color w:val="4D4D4F"/>
          <w:spacing w:val="-4"/>
          <w:w w:val="110"/>
          <w:sz w:val="22"/>
        </w:rPr>
        <w:t>provider</w:t>
      </w:r>
      <w:r>
        <w:rPr>
          <w:color w:val="4D4D4F"/>
          <w:spacing w:val="-47"/>
          <w:w w:val="110"/>
          <w:sz w:val="22"/>
        </w:rPr>
        <w:t> </w:t>
      </w:r>
      <w:r>
        <w:rPr>
          <w:color w:val="4D4D4F"/>
          <w:spacing w:val="-3"/>
          <w:w w:val="110"/>
          <w:sz w:val="22"/>
        </w:rPr>
        <w:t>after </w:t>
      </w:r>
      <w:r>
        <w:rPr>
          <w:color w:val="4D4D4F"/>
          <w:w w:val="110"/>
          <w:sz w:val="22"/>
        </w:rPr>
        <w:t>discharge.</w:t>
      </w:r>
    </w:p>
    <w:p>
      <w:pPr>
        <w:pStyle w:val="BodyText"/>
        <w:spacing w:before="11"/>
        <w:rPr>
          <w:sz w:val="11"/>
        </w:rPr>
      </w:pPr>
      <w:r>
        <w:rPr/>
        <w:br w:type="column"/>
      </w:r>
      <w:r>
        <w:rPr>
          <w:sz w:val="11"/>
        </w:rPr>
      </w:r>
    </w:p>
    <w:p>
      <w:pPr>
        <w:pStyle w:val="BodyText"/>
        <w:ind w:left="981"/>
        <w:rPr>
          <w:sz w:val="20"/>
        </w:rPr>
      </w:pPr>
      <w:r>
        <w:rPr>
          <w:sz w:val="20"/>
        </w:rPr>
        <w:pict>
          <v:group style="width:162.450pt;height:185.85pt;mso-position-horizontal-relative:char;mso-position-vertical-relative:line" coordorigin="0,0" coordsize="3249,3717">
            <v:rect style="position:absolute;left:0;top:0;width:3249;height:3717" filled="true" fillcolor="#fff7f2" stroked="false">
              <v:fill type="solid"/>
            </v:rect>
            <v:shape style="position:absolute;left:660;top:1744;width:1930;height:1847" coordorigin="660,1745" coordsize="1930,1847" path="m1248,3147l1172,3147,1172,2926,1172,2863,1222,2863,1222,2782,1222,2319,1114,2319,1114,2782,1114,2863,1114,2926,982,2926,982,2863,982,2782,1114,2782,1114,2319,660,2319,660,2782,660,2863,660,2926,660,3147,660,3591,1248,3591,1248,3147xm2002,1745l1248,1745,1248,2863,2002,2863,2002,1745xm2589,2319l2489,2319,2489,2782,2489,2863,2489,2926,2357,2926,2357,2863,2357,2782,2489,2782,2489,2319,2027,2319,2027,2782,2027,2863,2078,2863,2078,2926,2078,3147,2002,3147,2002,3591,2589,3591,2589,3147,2589,2926,2589,2863,2589,2782,2589,2319xe" filled="true" fillcolor="#377f9a" stroked="false">
              <v:path arrowok="t"/>
              <v:fill type="solid"/>
            </v:shape>
            <v:shape style="position:absolute;left:1350;top:3322;width:546;height:269" type="#_x0000_t75" stroked="false">
              <v:imagedata r:id="rId87" o:title=""/>
            </v:shape>
            <v:rect style="position:absolute;left:1350;top:3147;width:546;height:176" filled="true" fillcolor="#377f9a" stroked="false">
              <v:fill type="solid"/>
            </v:rect>
            <v:shape style="position:absolute;left:761;top:2270;width:1728;height:1243" coordorigin="761,2270" coordsize="1728,1243" path="m893,3368l761,3368,761,3513,893,3513,893,3368xm893,3173l761,3173,761,3317,893,3317,893,3173xm893,2977l761,2977,761,3122,893,3122,893,2977xm893,2782l761,2782,761,2926,893,2926,893,2782xm893,2586l761,2586,761,2731,893,2731,893,2586xm1114,3368l982,3368,982,3513,1114,3513,1114,3368xm1114,3173l982,3173,982,3317,1114,3317,1114,3173xm1114,2977l982,2977,982,3122,1114,3122,1114,2977xm1114,2782l982,2782,982,2926,1114,2926,1114,2782xm1114,2586l982,2586,982,2731,1114,2731,1114,2586xm1471,2661l1339,2661,1339,2806,1471,2806,1471,2661xm1471,2466l1339,2466,1339,2610,1471,2610,1471,2466xm1471,2270l1339,2270,1339,2415,1471,2415,1471,2270xm1609,3218l1475,3218,1475,3294,1609,3294,1609,3218xm1692,2661l1560,2661,1560,2806,1692,2806,1692,2661xm1692,2466l1560,2466,1560,2610,1692,2610,1692,2466xm1692,2270l1560,2270,1560,2415,1692,2415,1692,2270xm1769,3218l1638,3218,1638,3294,1769,3294,1769,3218xm1913,2661l1781,2661,1781,2806,1913,2806,1913,2661xm1913,2466l1781,2466,1781,2610,1913,2610,1913,2466xm1913,2270l1781,2270,1781,2415,1913,2415,1913,2270xm2268,3368l2136,3368,2136,3513,2268,3513,2268,3368xm2268,3173l2136,3173,2136,3317,2268,3317,2268,3173xm2268,2977l2136,2977,2136,3122,2268,3122,2268,2977xm2268,2782l2136,2782,2136,2926,2268,2926,2268,2782xm2268,2586l2136,2586,2136,2731,2268,2731,2268,2586xm2489,3368l2357,3368,2357,3513,2489,3513,2489,3368xm2489,3173l2357,3173,2357,3317,2489,3317,2489,3173xm2489,2977l2357,2977,2357,3122,2489,3122,2489,2977xm2489,2782l2357,2782,2357,2926,2489,2926,2489,2782xm2489,2586l2357,2586,2357,2731,2489,2731,2489,2586xe" filled="true" fillcolor="#d6e8f7" stroked="false">
              <v:path arrowok="t"/>
              <v:fill type="solid"/>
            </v:shape>
            <v:rect style="position:absolute;left:1247;top:3147;width:103;height:445" filled="true" fillcolor="#6b98af" stroked="false">
              <v:fill type="solid"/>
            </v:rect>
            <v:shape style="position:absolute;left:1247;top:3147;width:103;height:445" coordorigin="1248,3147" coordsize="103,445" path="m1248,3591l1248,3147,1350,3147,1350,3591e" filled="false" stroked="true" strokeweight=".975pt" strokecolor="#ffffff">
              <v:path arrowok="t"/>
              <v:stroke dashstyle="solid"/>
            </v:shape>
            <v:rect style="position:absolute;left:1901;top:3147;width:101;height:445" filled="true" fillcolor="#6b98af" stroked="false">
              <v:fill type="solid"/>
            </v:rect>
            <v:shape style="position:absolute;left:1901;top:3147;width:101;height:445" coordorigin="1901,3147" coordsize="101,445" path="m1901,3591l1901,3147,2002,3147,2002,3591e" filled="false" stroked="true" strokeweight=".975pt" strokecolor="#ffffff">
              <v:path arrowok="t"/>
              <v:stroke dashstyle="solid"/>
            </v:shape>
            <v:shape style="position:absolute;left:1172;top:2862;width:908;height:285" coordorigin="1172,2863" coordsize="908,285" path="m2079,2863l1248,2863,1172,2863,1172,3147,2079,3147,2079,2863xe" filled="true" fillcolor="#6b98af" stroked="false">
              <v:path arrowok="t"/>
              <v:fill type="solid"/>
            </v:shape>
            <v:shape style="position:absolute;left:1172;top:2862;width:908;height:285" coordorigin="1172,2863" coordsize="908,285" path="m1248,2863l1172,2863,1172,3147,2079,3147,2079,2863,1248,2863xe" filled="false" stroked="true" strokeweight=".49pt" strokecolor="#ffffff">
              <v:path arrowok="t"/>
              <v:stroke dashstyle="solid"/>
            </v:shape>
            <v:shape style="position:absolute;left:1223;top:2933;width:809;height:135" coordorigin="1223,2933" coordsize="809,135" path="m1318,2935l1294,2935,1294,2987,1247,2987,1247,2935,1223,2935,1223,3066,1247,3066,1247,3009,1294,3009,1294,3066,1318,3066,1318,2935xm1453,3000l1452,2986,1449,2972,1444,2961,1440,2956,1437,2951,1429,2943,1428,2943,1428,2985,1428,3016,1425,3026,1413,3042,1405,3045,1386,3045,1378,3042,1366,3026,1363,3016,1363,2985,1366,2974,1378,2959,1386,2956,1405,2956,1413,2959,1419,2967,1425,2974,1428,2985,1428,2943,1419,2938,1408,2934,1395,2933,1386,2933,1377,2935,1364,2941,1359,2945,1354,2950,1350,2955,1346,2961,1343,2968,1340,2977,1338,2988,1338,3001,1339,3016,1342,3029,1347,3040,1354,3050,1362,3058,1372,3064,1383,3067,1396,3068,1408,3067,1419,3064,1429,3058,1437,3050,1440,3045,1444,3040,1449,3029,1452,3016,1452,3015,1453,3001,1453,3000xm1562,3019l1560,3012,1554,3001,1550,2997,1539,2990,1530,2987,1507,2981,1499,2978,1494,2973,1493,2971,1493,2964,1494,2961,1501,2956,1506,2955,1520,2955,1525,2956,1531,2962,1533,2967,1534,2973,1558,2972,1558,2961,1554,2951,1539,2937,1528,2933,1504,2933,1496,2935,1483,2941,1479,2945,1472,2957,1470,2963,1470,2980,1474,2989,1486,3001,1495,3005,1524,3013,1531,3016,1534,3018,1537,3022,1538,3025,1538,3033,1536,3037,1528,3044,1522,3046,1507,3046,1502,3044,1493,3036,1490,3029,1489,3021,1465,3023,1467,3038,1472,3049,1488,3064,1499,3068,1525,3068,1533,3066,1547,3060,1552,3055,1560,3042,1562,3035,1562,3019xm1673,2965l1671,2957,1671,2957,1662,2944,1656,2939,1649,2937,1648,2937,1648,2971,1648,2980,1647,2983,1644,2989,1641,2991,1638,2993,1635,2994,1629,2995,1606,2995,1606,2957,1626,2957,1632,2958,1639,2959,1642,2961,1647,2967,1648,2971,1648,2937,1645,2936,1635,2935,1582,2935,1582,3066,1606,3066,1606,3017,1633,3017,1641,3016,1647,3015,1651,3014,1655,3012,1663,3005,1666,3001,1670,2995,1672,2990,1673,2983,1673,2965xm1716,2935l1692,2935,1692,3066,1716,3066,1716,2935xm1825,2935l1731,2935,1731,2957,1766,2957,1766,3066,1790,3066,1790,2957,1825,2957,1825,2935xm1935,3066l1924,3036,1916,3014,1898,2966,1891,2946,1891,3014,1858,3014,1874,2966,1891,3014,1891,2946,1887,2935,1862,2935,1816,3066,1841,3066,1851,3036,1899,3036,1909,3066,1935,3066xm2032,3044l1972,3044,1972,2937,1948,2937,1948,3066,2032,3066,2032,3044xe" filled="true" fillcolor="#ffffff" stroked="false">
              <v:path arrowok="t"/>
              <v:fill type="solid"/>
            </v:shape>
            <v:shape style="position:absolute;left:1446;top:1803;width:371;height:371" type="#_x0000_t75" stroked="false">
              <v:imagedata r:id="rId88" o:title=""/>
            </v:shape>
            <v:shape style="position:absolute;left:0;top:0;width:3249;height:3717" type="#_x0000_t202" filled="false" stroked="false">
              <v:textbox inset="0,0,0,0">
                <w:txbxContent>
                  <w:p>
                    <w:pPr>
                      <w:spacing w:line="348" w:lineRule="exact" w:before="175"/>
                      <w:ind w:left="259" w:right="0" w:firstLine="0"/>
                      <w:jc w:val="left"/>
                      <w:rPr>
                        <w:rFonts w:ascii="Lucida Sans"/>
                        <w:b/>
                        <w:sz w:val="30"/>
                      </w:rPr>
                    </w:pPr>
                    <w:r>
                      <w:rPr>
                        <w:rFonts w:ascii="Lucida Sans"/>
                        <w:b/>
                        <w:color w:val="B15651"/>
                        <w:spacing w:val="17"/>
                        <w:sz w:val="30"/>
                      </w:rPr>
                      <w:t>OPIOID-RELATED</w:t>
                    </w:r>
                  </w:p>
                  <w:p>
                    <w:pPr>
                      <w:spacing w:line="297" w:lineRule="exact" w:before="0"/>
                      <w:ind w:left="259" w:right="0" w:firstLine="0"/>
                      <w:jc w:val="left"/>
                      <w:rPr>
                        <w:rFonts w:ascii="Tahoma"/>
                        <w:sz w:val="25"/>
                      </w:rPr>
                    </w:pPr>
                    <w:r>
                      <w:rPr>
                        <w:rFonts w:ascii="Tahoma"/>
                        <w:color w:val="B15651"/>
                        <w:w w:val="105"/>
                        <w:sz w:val="25"/>
                      </w:rPr>
                      <w:t>inpatient  hospital</w:t>
                    </w:r>
                    <w:r>
                      <w:rPr>
                        <w:rFonts w:ascii="Tahoma"/>
                        <w:color w:val="B15651"/>
                        <w:spacing w:val="-9"/>
                        <w:w w:val="105"/>
                        <w:sz w:val="25"/>
                      </w:rPr>
                      <w:t> </w:t>
                    </w:r>
                    <w:r>
                      <w:rPr>
                        <w:rFonts w:ascii="Tahoma"/>
                        <w:color w:val="B15651"/>
                        <w:w w:val="105"/>
                        <w:sz w:val="25"/>
                      </w:rPr>
                      <w:t>stays</w:t>
                    </w:r>
                  </w:p>
                  <w:p>
                    <w:pPr>
                      <w:spacing w:before="32"/>
                      <w:ind w:left="259" w:right="0" w:firstLine="0"/>
                      <w:jc w:val="left"/>
                      <w:rPr>
                        <w:rFonts w:ascii="Lucida Sans"/>
                        <w:b/>
                        <w:sz w:val="32"/>
                      </w:rPr>
                    </w:pPr>
                    <w:r>
                      <w:rPr>
                        <w:rFonts w:ascii="Lucida Sans"/>
                        <w:b/>
                        <w:color w:val="B15651"/>
                        <w:spacing w:val="-7"/>
                        <w:sz w:val="32"/>
                      </w:rPr>
                      <w:t>INCREASED</w:t>
                    </w:r>
                    <w:r>
                      <w:rPr>
                        <w:rFonts w:ascii="Lucida Sans"/>
                        <w:b/>
                        <w:color w:val="B15651"/>
                        <w:spacing w:val="-10"/>
                        <w:sz w:val="32"/>
                      </w:rPr>
                      <w:t> </w:t>
                    </w:r>
                    <w:r>
                      <w:rPr>
                        <w:rFonts w:ascii="Lucida Sans"/>
                        <w:b/>
                        <w:color w:val="B15651"/>
                        <w:spacing w:val="-7"/>
                        <w:sz w:val="32"/>
                      </w:rPr>
                      <w:t>117%</w:t>
                    </w:r>
                  </w:p>
                  <w:p>
                    <w:pPr>
                      <w:spacing w:before="9"/>
                      <w:ind w:left="259" w:right="0" w:firstLine="0"/>
                      <w:jc w:val="left"/>
                      <w:rPr>
                        <w:rFonts w:ascii="Tahoma"/>
                        <w:sz w:val="11"/>
                      </w:rPr>
                    </w:pPr>
                    <w:r>
                      <w:rPr>
                        <w:rFonts w:ascii="Tahoma"/>
                        <w:color w:val="B15651"/>
                        <w:spacing w:val="-11"/>
                        <w:w w:val="105"/>
                        <w:sz w:val="20"/>
                      </w:rPr>
                      <w:t>nationally</w:t>
                    </w:r>
                    <w:r>
                      <w:rPr>
                        <w:rFonts w:ascii="Tahoma"/>
                        <w:color w:val="B15651"/>
                        <w:spacing w:val="-34"/>
                        <w:w w:val="105"/>
                        <w:sz w:val="20"/>
                      </w:rPr>
                      <w:t> </w:t>
                    </w:r>
                    <w:r>
                      <w:rPr>
                        <w:rFonts w:ascii="Tahoma"/>
                        <w:color w:val="B15651"/>
                        <w:spacing w:val="-9"/>
                        <w:w w:val="105"/>
                        <w:sz w:val="20"/>
                      </w:rPr>
                      <w:t>from</w:t>
                    </w:r>
                    <w:r>
                      <w:rPr>
                        <w:rFonts w:ascii="Tahoma"/>
                        <w:color w:val="B15651"/>
                        <w:spacing w:val="-34"/>
                        <w:w w:val="105"/>
                        <w:sz w:val="20"/>
                      </w:rPr>
                      <w:t> </w:t>
                    </w:r>
                    <w:r>
                      <w:rPr>
                        <w:rFonts w:ascii="Tahoma"/>
                        <w:color w:val="B15651"/>
                        <w:spacing w:val="-9"/>
                        <w:w w:val="105"/>
                        <w:sz w:val="20"/>
                      </w:rPr>
                      <w:t>2005</w:t>
                    </w:r>
                    <w:r>
                      <w:rPr>
                        <w:rFonts w:ascii="Tahoma"/>
                        <w:color w:val="B15651"/>
                        <w:spacing w:val="-34"/>
                        <w:w w:val="105"/>
                        <w:sz w:val="20"/>
                      </w:rPr>
                      <w:t> </w:t>
                    </w:r>
                    <w:r>
                      <w:rPr>
                        <w:rFonts w:ascii="Tahoma"/>
                        <w:color w:val="B15651"/>
                        <w:spacing w:val="-6"/>
                        <w:w w:val="105"/>
                        <w:sz w:val="20"/>
                      </w:rPr>
                      <w:t>to</w:t>
                    </w:r>
                    <w:r>
                      <w:rPr>
                        <w:rFonts w:ascii="Tahoma"/>
                        <w:color w:val="B15651"/>
                        <w:spacing w:val="-34"/>
                        <w:w w:val="105"/>
                        <w:sz w:val="20"/>
                      </w:rPr>
                      <w:t> </w:t>
                    </w:r>
                    <w:r>
                      <w:rPr>
                        <w:rFonts w:ascii="Tahoma"/>
                        <w:color w:val="B15651"/>
                        <w:spacing w:val="-10"/>
                        <w:w w:val="105"/>
                        <w:sz w:val="20"/>
                      </w:rPr>
                      <w:t>2016.</w:t>
                    </w:r>
                    <w:r>
                      <w:rPr>
                        <w:rFonts w:ascii="Tahoma"/>
                        <w:color w:val="B15651"/>
                        <w:spacing w:val="-10"/>
                        <w:w w:val="105"/>
                        <w:position w:val="7"/>
                        <w:sz w:val="11"/>
                      </w:rPr>
                      <w:t>390,391</w:t>
                    </w:r>
                  </w:p>
                </w:txbxContent>
              </v:textbox>
              <w10:wrap type="none"/>
            </v:shape>
          </v:group>
        </w:pict>
      </w:r>
      <w:r>
        <w:rPr>
          <w:sz w:val="20"/>
        </w:rPr>
      </w:r>
    </w:p>
    <w:p>
      <w:pPr>
        <w:pStyle w:val="Heading2"/>
        <w:spacing w:line="208" w:lineRule="auto" w:before="318"/>
      </w:pPr>
      <w:bookmarkStart w:name="_TOC_250010" w:id="105"/>
      <w:r>
        <w:rPr>
          <w:color w:val="137692"/>
          <w:spacing w:val="-3"/>
          <w:w w:val="110"/>
        </w:rPr>
        <w:t>Hospitalized </w:t>
      </w:r>
      <w:r>
        <w:rPr>
          <w:color w:val="137692"/>
          <w:w w:val="110"/>
        </w:rPr>
        <w:t>or ED </w:t>
      </w:r>
      <w:r>
        <w:rPr>
          <w:color w:val="137692"/>
          <w:spacing w:val="-3"/>
          <w:w w:val="110"/>
        </w:rPr>
        <w:t>Patients </w:t>
      </w:r>
      <w:r>
        <w:rPr>
          <w:color w:val="137692"/>
          <w:spacing w:val="-6"/>
          <w:w w:val="110"/>
        </w:rPr>
        <w:t>Taking </w:t>
      </w:r>
      <w:r>
        <w:rPr>
          <w:color w:val="137692"/>
          <w:w w:val="110"/>
        </w:rPr>
        <w:t>Medication </w:t>
      </w:r>
      <w:r>
        <w:rPr>
          <w:color w:val="137692"/>
          <w:spacing w:val="-3"/>
          <w:w w:val="110"/>
        </w:rPr>
        <w:t>for </w:t>
      </w:r>
      <w:bookmarkEnd w:id="105"/>
      <w:r>
        <w:rPr>
          <w:color w:val="137692"/>
          <w:spacing w:val="-2"/>
          <w:w w:val="110"/>
        </w:rPr>
        <w:t>OUD</w:t>
      </w:r>
    </w:p>
    <w:p>
      <w:pPr>
        <w:pStyle w:val="BodyText"/>
        <w:spacing w:line="247" w:lineRule="auto" w:before="42"/>
        <w:ind w:left="140" w:right="205"/>
      </w:pPr>
      <w:r>
        <w:rPr>
          <w:color w:val="4D4D4F"/>
          <w:w w:val="110"/>
        </w:rPr>
        <w:t>Buprenorphine, methadone, and naltrexone may be ordered in EDs or inpatient hospital units. It’s essential for the patient to continue receiving OUD medication while hospitalized.</w:t>
      </w:r>
    </w:p>
    <w:p>
      <w:pPr>
        <w:pStyle w:val="BodyText"/>
        <w:spacing w:before="1"/>
        <w:rPr>
          <w:sz w:val="23"/>
        </w:rPr>
      </w:pPr>
    </w:p>
    <w:p>
      <w:pPr>
        <w:pStyle w:val="Heading3"/>
      </w:pPr>
      <w:bookmarkStart w:name="_TOC_250009" w:id="106"/>
      <w:bookmarkEnd w:id="106"/>
      <w:r>
        <w:rPr>
          <w:color w:val="137692"/>
          <w:w w:val="110"/>
        </w:rPr>
        <w:t>Pain Management</w:t>
      </w:r>
    </w:p>
    <w:p>
      <w:pPr>
        <w:spacing w:line="237" w:lineRule="auto" w:before="45"/>
        <w:ind w:left="140" w:right="274" w:firstLine="0"/>
        <w:jc w:val="left"/>
        <w:rPr>
          <w:sz w:val="22"/>
        </w:rPr>
      </w:pPr>
      <w:r>
        <w:rPr>
          <w:rFonts w:ascii="Calibri"/>
          <w:b/>
          <w:color w:val="4D4D4F"/>
          <w:w w:val="110"/>
          <w:sz w:val="22"/>
        </w:rPr>
        <w:t>Pain management for hospitalized patients who take OUD medication is a key element of medical management. Discuss pain manage- ment and engage in a shared decision-making process </w:t>
      </w:r>
      <w:r>
        <w:rPr>
          <w:color w:val="4D4D4F"/>
          <w:w w:val="110"/>
          <w:sz w:val="22"/>
        </w:rPr>
        <w:t>with patients being treated for OUD with buprenorphine, methadone, or naltrexone.</w:t>
      </w:r>
    </w:p>
    <w:p>
      <w:pPr>
        <w:spacing w:after="0" w:line="237" w:lineRule="auto"/>
        <w:jc w:val="left"/>
        <w:rPr>
          <w:sz w:val="22"/>
        </w:rPr>
        <w:sectPr>
          <w:type w:val="continuous"/>
          <w:pgSz w:w="12240" w:h="15840"/>
          <w:pgMar w:top="540" w:bottom="280" w:left="940" w:right="920"/>
          <w:cols w:num="2" w:equalWidth="0">
            <w:col w:w="4915" w:space="305"/>
            <w:col w:w="5160"/>
          </w:cols>
        </w:sectPr>
      </w:pPr>
    </w:p>
    <w:p>
      <w:pPr>
        <w:pStyle w:val="BodyText"/>
        <w:spacing w:before="10"/>
        <w:rPr>
          <w:sz w:val="26"/>
        </w:rPr>
      </w:pPr>
    </w:p>
    <w:p>
      <w:pPr>
        <w:spacing w:after="0"/>
        <w:rPr>
          <w:sz w:val="26"/>
        </w:rPr>
        <w:sectPr>
          <w:pgSz w:w="12240" w:h="15840"/>
          <w:pgMar w:header="576" w:footer="677" w:top="1340" w:bottom="860" w:left="940" w:right="920"/>
        </w:sectPr>
      </w:pPr>
    </w:p>
    <w:p>
      <w:pPr>
        <w:pStyle w:val="BodyText"/>
        <w:spacing w:line="247" w:lineRule="auto" w:before="106"/>
        <w:ind w:left="139" w:right="35"/>
      </w:pPr>
      <w:r>
        <w:rPr>
          <w:color w:val="4D4D4F"/>
          <w:w w:val="115"/>
        </w:rPr>
        <w:t>Patients may have strong preferences </w:t>
      </w:r>
      <w:r>
        <w:rPr>
          <w:color w:val="4D4D4F"/>
          <w:spacing w:val="2"/>
          <w:w w:val="115"/>
        </w:rPr>
        <w:t>and </w:t>
      </w:r>
      <w:r>
        <w:rPr>
          <w:color w:val="4D4D4F"/>
          <w:w w:val="115"/>
        </w:rPr>
        <w:t>opinions</w:t>
      </w:r>
      <w:r>
        <w:rPr>
          <w:color w:val="4D4D4F"/>
          <w:spacing w:val="-12"/>
          <w:w w:val="115"/>
        </w:rPr>
        <w:t> </w:t>
      </w:r>
      <w:r>
        <w:rPr>
          <w:color w:val="4D4D4F"/>
          <w:w w:val="115"/>
        </w:rPr>
        <w:t>about</w:t>
      </w:r>
      <w:r>
        <w:rPr>
          <w:color w:val="4D4D4F"/>
          <w:spacing w:val="-12"/>
          <w:w w:val="115"/>
        </w:rPr>
        <w:t> </w:t>
      </w:r>
      <w:r>
        <w:rPr>
          <w:color w:val="4D4D4F"/>
          <w:w w:val="115"/>
        </w:rPr>
        <w:t>pain</w:t>
      </w:r>
      <w:r>
        <w:rPr>
          <w:color w:val="4D4D4F"/>
          <w:spacing w:val="-12"/>
          <w:w w:val="115"/>
        </w:rPr>
        <w:t> </w:t>
      </w:r>
      <w:r>
        <w:rPr>
          <w:color w:val="4D4D4F"/>
          <w:w w:val="115"/>
        </w:rPr>
        <w:t>and</w:t>
      </w:r>
      <w:r>
        <w:rPr>
          <w:color w:val="4D4D4F"/>
          <w:spacing w:val="-12"/>
          <w:w w:val="115"/>
        </w:rPr>
        <w:t> </w:t>
      </w:r>
      <w:r>
        <w:rPr>
          <w:color w:val="4D4D4F"/>
          <w:w w:val="115"/>
        </w:rPr>
        <w:t>use</w:t>
      </w:r>
      <w:r>
        <w:rPr>
          <w:color w:val="4D4D4F"/>
          <w:spacing w:val="-11"/>
          <w:w w:val="115"/>
        </w:rPr>
        <w:t> </w:t>
      </w:r>
      <w:r>
        <w:rPr>
          <w:color w:val="4D4D4F"/>
          <w:w w:val="115"/>
        </w:rPr>
        <w:t>of</w:t>
      </w:r>
      <w:r>
        <w:rPr>
          <w:color w:val="4D4D4F"/>
          <w:spacing w:val="-12"/>
          <w:w w:val="115"/>
        </w:rPr>
        <w:t> </w:t>
      </w:r>
      <w:r>
        <w:rPr>
          <w:color w:val="4D4D4F"/>
          <w:w w:val="115"/>
        </w:rPr>
        <w:t>opioid</w:t>
      </w:r>
      <w:r>
        <w:rPr>
          <w:color w:val="4D4D4F"/>
          <w:spacing w:val="-12"/>
          <w:w w:val="115"/>
        </w:rPr>
        <w:t> </w:t>
      </w:r>
      <w:r>
        <w:rPr>
          <w:color w:val="4D4D4F"/>
          <w:w w:val="115"/>
        </w:rPr>
        <w:t>analgesics for pain treatment. Some patients may want to avoid</w:t>
      </w:r>
      <w:r>
        <w:rPr>
          <w:color w:val="4D4D4F"/>
          <w:spacing w:val="-19"/>
          <w:w w:val="115"/>
        </w:rPr>
        <w:t> </w:t>
      </w:r>
      <w:r>
        <w:rPr>
          <w:color w:val="4D4D4F"/>
          <w:w w:val="115"/>
        </w:rPr>
        <w:t>opioid</w:t>
      </w:r>
      <w:r>
        <w:rPr>
          <w:color w:val="4D4D4F"/>
          <w:spacing w:val="-18"/>
          <w:w w:val="115"/>
        </w:rPr>
        <w:t> </w:t>
      </w:r>
      <w:r>
        <w:rPr>
          <w:color w:val="4D4D4F"/>
          <w:w w:val="115"/>
        </w:rPr>
        <w:t>analgesics.</w:t>
      </w:r>
      <w:r>
        <w:rPr>
          <w:color w:val="4D4D4F"/>
          <w:spacing w:val="-18"/>
          <w:w w:val="115"/>
        </w:rPr>
        <w:t> </w:t>
      </w:r>
      <w:r>
        <w:rPr>
          <w:color w:val="4D4D4F"/>
          <w:w w:val="115"/>
        </w:rPr>
        <w:t>For</w:t>
      </w:r>
      <w:r>
        <w:rPr>
          <w:color w:val="4D4D4F"/>
          <w:spacing w:val="-18"/>
          <w:w w:val="115"/>
        </w:rPr>
        <w:t> </w:t>
      </w:r>
      <w:r>
        <w:rPr>
          <w:color w:val="4D4D4F"/>
          <w:w w:val="115"/>
        </w:rPr>
        <w:t>others,</w:t>
      </w:r>
      <w:r>
        <w:rPr>
          <w:color w:val="4D4D4F"/>
          <w:spacing w:val="-18"/>
          <w:w w:val="115"/>
        </w:rPr>
        <w:t> </w:t>
      </w:r>
      <w:r>
        <w:rPr>
          <w:color w:val="4D4D4F"/>
          <w:spacing w:val="-2"/>
          <w:w w:val="115"/>
        </w:rPr>
        <w:t>inadequately </w:t>
      </w:r>
      <w:r>
        <w:rPr>
          <w:color w:val="4D4D4F"/>
          <w:w w:val="115"/>
        </w:rPr>
        <w:t>treated</w:t>
      </w:r>
      <w:r>
        <w:rPr>
          <w:color w:val="4D4D4F"/>
          <w:spacing w:val="-13"/>
          <w:w w:val="115"/>
        </w:rPr>
        <w:t> </w:t>
      </w:r>
      <w:r>
        <w:rPr>
          <w:color w:val="4D4D4F"/>
          <w:w w:val="115"/>
        </w:rPr>
        <w:t>pain</w:t>
      </w:r>
      <w:r>
        <w:rPr>
          <w:color w:val="4D4D4F"/>
          <w:spacing w:val="-12"/>
          <w:w w:val="115"/>
        </w:rPr>
        <w:t> </w:t>
      </w:r>
      <w:r>
        <w:rPr>
          <w:color w:val="4D4D4F"/>
          <w:w w:val="115"/>
        </w:rPr>
        <w:t>may</w:t>
      </w:r>
      <w:r>
        <w:rPr>
          <w:color w:val="4D4D4F"/>
          <w:spacing w:val="-13"/>
          <w:w w:val="115"/>
        </w:rPr>
        <w:t> </w:t>
      </w:r>
      <w:r>
        <w:rPr>
          <w:color w:val="4D4D4F"/>
          <w:w w:val="115"/>
        </w:rPr>
        <w:t>be</w:t>
      </w:r>
      <w:r>
        <w:rPr>
          <w:color w:val="4D4D4F"/>
          <w:spacing w:val="-12"/>
          <w:w w:val="115"/>
        </w:rPr>
        <w:t> </w:t>
      </w:r>
      <w:r>
        <w:rPr>
          <w:color w:val="4D4D4F"/>
          <w:w w:val="115"/>
        </w:rPr>
        <w:t>a</w:t>
      </w:r>
      <w:r>
        <w:rPr>
          <w:color w:val="4D4D4F"/>
          <w:spacing w:val="-13"/>
          <w:w w:val="115"/>
        </w:rPr>
        <w:t> </w:t>
      </w:r>
      <w:r>
        <w:rPr>
          <w:color w:val="4D4D4F"/>
          <w:w w:val="115"/>
        </w:rPr>
        <w:t>trigger</w:t>
      </w:r>
      <w:r>
        <w:rPr>
          <w:color w:val="4D4D4F"/>
          <w:spacing w:val="-12"/>
          <w:w w:val="115"/>
        </w:rPr>
        <w:t> </w:t>
      </w:r>
      <w:r>
        <w:rPr>
          <w:color w:val="4D4D4F"/>
          <w:w w:val="115"/>
        </w:rPr>
        <w:t>for</w:t>
      </w:r>
      <w:r>
        <w:rPr>
          <w:color w:val="4D4D4F"/>
          <w:spacing w:val="-13"/>
          <w:w w:val="115"/>
        </w:rPr>
        <w:t> </w:t>
      </w:r>
      <w:r>
        <w:rPr>
          <w:color w:val="4D4D4F"/>
          <w:w w:val="115"/>
        </w:rPr>
        <w:t>illicit</w:t>
      </w:r>
      <w:r>
        <w:rPr>
          <w:color w:val="4D4D4F"/>
          <w:spacing w:val="-12"/>
          <w:w w:val="115"/>
        </w:rPr>
        <w:t> </w:t>
      </w:r>
      <w:r>
        <w:rPr>
          <w:color w:val="4D4D4F"/>
          <w:w w:val="115"/>
        </w:rPr>
        <w:t>drug</w:t>
      </w:r>
    </w:p>
    <w:p>
      <w:pPr>
        <w:pStyle w:val="BodyText"/>
        <w:spacing w:line="247" w:lineRule="auto" w:before="6"/>
        <w:ind w:left="139" w:right="161"/>
      </w:pPr>
      <w:r>
        <w:rPr>
          <w:color w:val="4D4D4F"/>
          <w:w w:val="110"/>
        </w:rPr>
        <w:t>use. Involve primary care pain specialists and addiction treatment providers in discussing options for managing OUD medication and pain during patient hospitalization.</w:t>
      </w:r>
    </w:p>
    <w:p>
      <w:pPr>
        <w:pStyle w:val="BodyText"/>
        <w:spacing w:before="1"/>
        <w:rPr>
          <w:sz w:val="23"/>
        </w:rPr>
      </w:pPr>
    </w:p>
    <w:p>
      <w:pPr>
        <w:pStyle w:val="Heading3"/>
      </w:pPr>
      <w:bookmarkStart w:name="_TOC_250008" w:id="107"/>
      <w:bookmarkEnd w:id="107"/>
      <w:r>
        <w:rPr>
          <w:color w:val="137692"/>
          <w:w w:val="110"/>
        </w:rPr>
        <w:t>Buprenorphine</w:t>
      </w:r>
    </w:p>
    <w:p>
      <w:pPr>
        <w:spacing w:line="247" w:lineRule="auto" w:before="47"/>
        <w:ind w:left="140" w:right="203" w:firstLine="0"/>
        <w:jc w:val="left"/>
        <w:rPr>
          <w:rFonts w:ascii="Calibri"/>
          <w:b/>
          <w:sz w:val="22"/>
        </w:rPr>
      </w:pPr>
      <w:r>
        <w:rPr>
          <w:color w:val="4D4D4F"/>
          <w:w w:val="110"/>
          <w:sz w:val="22"/>
        </w:rPr>
        <w:t>The hospital team will need to manage bu- prenorphine for patients who present to the ED or are hospitalized on buprenorphine main- tenance. </w:t>
      </w:r>
      <w:r>
        <w:rPr>
          <w:rFonts w:ascii="Calibri"/>
          <w:b/>
          <w:color w:val="4D4D4F"/>
          <w:w w:val="110"/>
          <w:sz w:val="22"/>
        </w:rPr>
        <w:t>Physicians in inpatient settings can</w:t>
      </w:r>
    </w:p>
    <w:p>
      <w:pPr>
        <w:spacing w:line="237" w:lineRule="auto" w:before="0"/>
        <w:ind w:left="140" w:right="203" w:firstLine="0"/>
        <w:jc w:val="left"/>
        <w:rPr>
          <w:sz w:val="22"/>
        </w:rPr>
      </w:pPr>
      <w:r>
        <w:rPr>
          <w:rFonts w:ascii="Calibri"/>
          <w:b/>
          <w:color w:val="4D4D4F"/>
          <w:w w:val="110"/>
          <w:sz w:val="22"/>
        </w:rPr>
        <w:t>legally order buprenorphine without a </w:t>
      </w:r>
      <w:r>
        <w:rPr>
          <w:rFonts w:ascii="Calibri"/>
          <w:b/>
          <w:color w:val="4D4D4F"/>
          <w:spacing w:val="-3"/>
          <w:w w:val="110"/>
          <w:sz w:val="22"/>
        </w:rPr>
        <w:t>waiver </w:t>
      </w:r>
      <w:r>
        <w:rPr>
          <w:rFonts w:ascii="Calibri"/>
          <w:b/>
          <w:color w:val="4D4D4F"/>
          <w:w w:val="110"/>
          <w:sz w:val="22"/>
        </w:rPr>
        <w:t>if a patient is admitted primarily for other medical reasons.</w:t>
      </w:r>
      <w:r>
        <w:rPr>
          <w:rFonts w:ascii="Calibri"/>
          <w:b/>
          <w:color w:val="4D4D4F"/>
          <w:w w:val="110"/>
          <w:position w:val="7"/>
          <w:sz w:val="13"/>
        </w:rPr>
        <w:t>392 </w:t>
      </w:r>
      <w:r>
        <w:rPr>
          <w:color w:val="4D4D4F"/>
          <w:w w:val="110"/>
          <w:sz w:val="22"/>
        </w:rPr>
        <w:t>Key medication manage- ment strategies</w:t>
      </w:r>
      <w:r>
        <w:rPr>
          <w:color w:val="4D4D4F"/>
          <w:spacing w:val="-10"/>
          <w:w w:val="110"/>
          <w:sz w:val="22"/>
        </w:rPr>
        <w:t> </w:t>
      </w:r>
      <w:r>
        <w:rPr>
          <w:color w:val="4D4D4F"/>
          <w:w w:val="110"/>
          <w:sz w:val="22"/>
        </w:rPr>
        <w:t>include:</w:t>
      </w:r>
    </w:p>
    <w:p>
      <w:pPr>
        <w:pStyle w:val="Heading7"/>
        <w:numPr>
          <w:ilvl w:val="0"/>
          <w:numId w:val="29"/>
        </w:numPr>
        <w:tabs>
          <w:tab w:pos="410" w:val="left" w:leader="none"/>
        </w:tabs>
        <w:spacing w:line="204" w:lineRule="auto" w:before="127" w:after="0"/>
        <w:ind w:left="410" w:right="338" w:hanging="270"/>
        <w:jc w:val="left"/>
        <w:rPr>
          <w:rFonts w:ascii="Arial" w:hAnsi="Arial"/>
          <w:b w:val="0"/>
          <w:color w:val="137692"/>
          <w:sz w:val="28"/>
        </w:rPr>
      </w:pPr>
      <w:r>
        <w:rPr>
          <w:color w:val="4D4D4F"/>
          <w:w w:val="115"/>
        </w:rPr>
        <w:t>Obtaining written consent to contact</w:t>
      </w:r>
      <w:r>
        <w:rPr>
          <w:color w:val="4D4D4F"/>
          <w:spacing w:val="-16"/>
          <w:w w:val="115"/>
        </w:rPr>
        <w:t> </w:t>
      </w:r>
      <w:r>
        <w:rPr>
          <w:color w:val="4D4D4F"/>
          <w:spacing w:val="-6"/>
          <w:w w:val="115"/>
        </w:rPr>
        <w:t>the </w:t>
      </w:r>
      <w:r>
        <w:rPr>
          <w:color w:val="4D4D4F"/>
          <w:w w:val="115"/>
        </w:rPr>
        <w:t>patient’s providers,</w:t>
      </w:r>
      <w:r>
        <w:rPr>
          <w:color w:val="4D4D4F"/>
          <w:spacing w:val="12"/>
          <w:w w:val="115"/>
        </w:rPr>
        <w:t> </w:t>
      </w:r>
      <w:r>
        <w:rPr>
          <w:rFonts w:ascii="Gill Sans MT" w:hAnsi="Gill Sans MT"/>
          <w:b w:val="0"/>
          <w:color w:val="4D4D4F"/>
          <w:w w:val="115"/>
        </w:rPr>
        <w:t>including:</w:t>
      </w:r>
    </w:p>
    <w:p>
      <w:pPr>
        <w:pStyle w:val="ListParagraph"/>
        <w:numPr>
          <w:ilvl w:val="1"/>
          <w:numId w:val="29"/>
        </w:numPr>
        <w:tabs>
          <w:tab w:pos="716" w:val="left" w:leader="none"/>
        </w:tabs>
        <w:spacing w:line="240" w:lineRule="auto" w:before="34" w:after="0"/>
        <w:ind w:left="716" w:right="0" w:hanging="271"/>
        <w:jc w:val="left"/>
        <w:rPr>
          <w:rFonts w:ascii="Arial" w:hAnsi="Arial"/>
          <w:color w:val="137692"/>
          <w:sz w:val="24"/>
        </w:rPr>
      </w:pPr>
      <w:r>
        <w:rPr>
          <w:color w:val="4D4D4F"/>
          <w:w w:val="110"/>
          <w:sz w:val="22"/>
        </w:rPr>
        <w:t>Primary care</w:t>
      </w:r>
      <w:r>
        <w:rPr>
          <w:color w:val="4D4D4F"/>
          <w:spacing w:val="-14"/>
          <w:w w:val="110"/>
          <w:sz w:val="22"/>
        </w:rPr>
        <w:t> </w:t>
      </w:r>
      <w:r>
        <w:rPr>
          <w:color w:val="4D4D4F"/>
          <w:spacing w:val="-3"/>
          <w:w w:val="110"/>
          <w:sz w:val="22"/>
        </w:rPr>
        <w:t>provider.</w:t>
      </w:r>
    </w:p>
    <w:p>
      <w:pPr>
        <w:pStyle w:val="ListParagraph"/>
        <w:numPr>
          <w:ilvl w:val="1"/>
          <w:numId w:val="29"/>
        </w:numPr>
        <w:tabs>
          <w:tab w:pos="716" w:val="left" w:leader="none"/>
        </w:tabs>
        <w:spacing w:line="240" w:lineRule="auto" w:before="31" w:after="0"/>
        <w:ind w:left="716" w:right="0" w:hanging="271"/>
        <w:jc w:val="left"/>
        <w:rPr>
          <w:rFonts w:ascii="Arial" w:hAnsi="Arial"/>
          <w:color w:val="137692"/>
          <w:sz w:val="24"/>
        </w:rPr>
      </w:pPr>
      <w:r>
        <w:rPr>
          <w:color w:val="4D4D4F"/>
          <w:w w:val="110"/>
          <w:sz w:val="22"/>
        </w:rPr>
        <w:t>Buprenorphine</w:t>
      </w:r>
      <w:r>
        <w:rPr>
          <w:color w:val="4D4D4F"/>
          <w:spacing w:val="-6"/>
          <w:w w:val="110"/>
          <w:sz w:val="22"/>
        </w:rPr>
        <w:t> </w:t>
      </w:r>
      <w:r>
        <w:rPr>
          <w:color w:val="4D4D4F"/>
          <w:spacing w:val="-3"/>
          <w:w w:val="110"/>
          <w:sz w:val="22"/>
        </w:rPr>
        <w:t>prescriber.</w:t>
      </w:r>
    </w:p>
    <w:p>
      <w:pPr>
        <w:pStyle w:val="ListParagraph"/>
        <w:numPr>
          <w:ilvl w:val="1"/>
          <w:numId w:val="29"/>
        </w:numPr>
        <w:tabs>
          <w:tab w:pos="716" w:val="left" w:leader="none"/>
        </w:tabs>
        <w:spacing w:line="240" w:lineRule="auto" w:before="31" w:after="0"/>
        <w:ind w:left="716" w:right="0" w:hanging="271"/>
        <w:jc w:val="left"/>
        <w:rPr>
          <w:rFonts w:ascii="Arial" w:hAnsi="Arial"/>
          <w:color w:val="137692"/>
          <w:sz w:val="24"/>
        </w:rPr>
      </w:pPr>
      <w:r>
        <w:rPr>
          <w:color w:val="4D4D4F"/>
          <w:w w:val="115"/>
          <w:sz w:val="22"/>
        </w:rPr>
        <w:t>Pharmacy.</w:t>
      </w:r>
    </w:p>
    <w:p>
      <w:pPr>
        <w:pStyle w:val="Heading7"/>
        <w:numPr>
          <w:ilvl w:val="0"/>
          <w:numId w:val="29"/>
        </w:numPr>
        <w:tabs>
          <w:tab w:pos="410" w:val="left" w:leader="none"/>
        </w:tabs>
        <w:spacing w:line="204" w:lineRule="auto" w:before="114" w:after="0"/>
        <w:ind w:left="410" w:right="529" w:hanging="270"/>
        <w:jc w:val="left"/>
        <w:rPr>
          <w:rFonts w:ascii="Arial" w:hAnsi="Arial"/>
          <w:b w:val="0"/>
          <w:color w:val="137692"/>
          <w:sz w:val="28"/>
        </w:rPr>
      </w:pPr>
      <w:r>
        <w:rPr>
          <w:color w:val="4D4D4F"/>
          <w:w w:val="115"/>
        </w:rPr>
        <w:t>Conﬁrming</w:t>
      </w:r>
      <w:r>
        <w:rPr>
          <w:color w:val="4D4D4F"/>
          <w:spacing w:val="-14"/>
          <w:w w:val="115"/>
        </w:rPr>
        <w:t> </w:t>
      </w:r>
      <w:r>
        <w:rPr>
          <w:color w:val="4D4D4F"/>
          <w:w w:val="115"/>
        </w:rPr>
        <w:t>the</w:t>
      </w:r>
      <w:r>
        <w:rPr>
          <w:color w:val="4D4D4F"/>
          <w:spacing w:val="-13"/>
          <w:w w:val="115"/>
        </w:rPr>
        <w:t> </w:t>
      </w:r>
      <w:r>
        <w:rPr>
          <w:color w:val="4D4D4F"/>
          <w:w w:val="115"/>
        </w:rPr>
        <w:t>patient’s</w:t>
      </w:r>
      <w:r>
        <w:rPr>
          <w:color w:val="4D4D4F"/>
          <w:spacing w:val="-13"/>
          <w:w w:val="115"/>
        </w:rPr>
        <w:t> </w:t>
      </w:r>
      <w:r>
        <w:rPr>
          <w:color w:val="4D4D4F"/>
          <w:w w:val="115"/>
        </w:rPr>
        <w:t>outpatient</w:t>
      </w:r>
      <w:r>
        <w:rPr>
          <w:color w:val="4D4D4F"/>
          <w:spacing w:val="-13"/>
          <w:w w:val="115"/>
        </w:rPr>
        <w:t> </w:t>
      </w:r>
      <w:r>
        <w:rPr>
          <w:color w:val="4D4D4F"/>
          <w:spacing w:val="-6"/>
          <w:w w:val="115"/>
        </w:rPr>
        <w:t>bu- </w:t>
      </w:r>
      <w:r>
        <w:rPr>
          <w:color w:val="4D4D4F"/>
          <w:w w:val="115"/>
        </w:rPr>
        <w:t>prenorphine dose</w:t>
      </w:r>
      <w:r>
        <w:rPr>
          <w:color w:val="4D4D4F"/>
          <w:spacing w:val="9"/>
          <w:w w:val="115"/>
        </w:rPr>
        <w:t> </w:t>
      </w:r>
      <w:r>
        <w:rPr>
          <w:rFonts w:ascii="Gill Sans MT" w:hAnsi="Gill Sans MT"/>
          <w:b w:val="0"/>
          <w:color w:val="4D4D4F"/>
          <w:w w:val="115"/>
        </w:rPr>
        <w:t>by:</w:t>
      </w:r>
    </w:p>
    <w:p>
      <w:pPr>
        <w:pStyle w:val="ListParagraph"/>
        <w:numPr>
          <w:ilvl w:val="1"/>
          <w:numId w:val="29"/>
        </w:numPr>
        <w:tabs>
          <w:tab w:pos="716" w:val="left" w:leader="none"/>
        </w:tabs>
        <w:spacing w:line="240" w:lineRule="auto" w:before="33" w:after="0"/>
        <w:ind w:left="716" w:right="0" w:hanging="271"/>
        <w:jc w:val="left"/>
        <w:rPr>
          <w:rFonts w:ascii="Arial" w:hAnsi="Arial"/>
          <w:color w:val="137692"/>
          <w:sz w:val="24"/>
        </w:rPr>
      </w:pPr>
      <w:r>
        <w:rPr>
          <w:color w:val="4D4D4F"/>
          <w:w w:val="110"/>
          <w:sz w:val="22"/>
        </w:rPr>
        <w:t>Checking prescribing</w:t>
      </w:r>
      <w:r>
        <w:rPr>
          <w:color w:val="4D4D4F"/>
          <w:spacing w:val="-11"/>
          <w:w w:val="110"/>
          <w:sz w:val="22"/>
        </w:rPr>
        <w:t> </w:t>
      </w:r>
      <w:r>
        <w:rPr>
          <w:color w:val="4D4D4F"/>
          <w:w w:val="110"/>
          <w:sz w:val="22"/>
        </w:rPr>
        <w:t>records.</w:t>
      </w:r>
    </w:p>
    <w:p>
      <w:pPr>
        <w:pStyle w:val="ListParagraph"/>
        <w:numPr>
          <w:ilvl w:val="1"/>
          <w:numId w:val="29"/>
        </w:numPr>
        <w:tabs>
          <w:tab w:pos="716" w:val="left" w:leader="none"/>
        </w:tabs>
        <w:spacing w:line="240" w:lineRule="auto" w:before="32" w:after="0"/>
        <w:ind w:left="716" w:right="0" w:hanging="271"/>
        <w:jc w:val="left"/>
        <w:rPr>
          <w:rFonts w:ascii="Arial" w:hAnsi="Arial"/>
          <w:color w:val="137692"/>
          <w:sz w:val="24"/>
        </w:rPr>
      </w:pPr>
      <w:r>
        <w:rPr>
          <w:color w:val="4D4D4F"/>
          <w:w w:val="110"/>
          <w:sz w:val="22"/>
        </w:rPr>
        <w:t>Contacting the prescriber or</w:t>
      </w:r>
      <w:r>
        <w:rPr>
          <w:color w:val="4D4D4F"/>
          <w:spacing w:val="-27"/>
          <w:w w:val="110"/>
          <w:sz w:val="22"/>
        </w:rPr>
        <w:t> </w:t>
      </w:r>
      <w:r>
        <w:rPr>
          <w:color w:val="4D4D4F"/>
          <w:w w:val="110"/>
          <w:sz w:val="22"/>
        </w:rPr>
        <w:t>pharmacy.</w:t>
      </w:r>
    </w:p>
    <w:p>
      <w:pPr>
        <w:pStyle w:val="ListParagraph"/>
        <w:numPr>
          <w:ilvl w:val="1"/>
          <w:numId w:val="29"/>
        </w:numPr>
        <w:tabs>
          <w:tab w:pos="716" w:val="left" w:leader="none"/>
        </w:tabs>
        <w:spacing w:line="240" w:lineRule="auto" w:before="31" w:after="0"/>
        <w:ind w:left="716" w:right="0" w:hanging="271"/>
        <w:jc w:val="left"/>
        <w:rPr>
          <w:rFonts w:ascii="Arial" w:hAnsi="Arial"/>
          <w:color w:val="137692"/>
          <w:sz w:val="24"/>
        </w:rPr>
      </w:pPr>
      <w:r>
        <w:rPr>
          <w:color w:val="4D4D4F"/>
          <w:w w:val="110"/>
          <w:sz w:val="22"/>
        </w:rPr>
        <w:t>Examining recent prescription</w:t>
      </w:r>
      <w:r>
        <w:rPr>
          <w:color w:val="4D4D4F"/>
          <w:spacing w:val="-9"/>
          <w:w w:val="110"/>
          <w:sz w:val="22"/>
        </w:rPr>
        <w:t> </w:t>
      </w:r>
      <w:r>
        <w:rPr>
          <w:color w:val="4D4D4F"/>
          <w:w w:val="110"/>
          <w:sz w:val="22"/>
        </w:rPr>
        <w:t>bottles.</w:t>
      </w:r>
    </w:p>
    <w:p>
      <w:pPr>
        <w:pStyle w:val="ListParagraph"/>
        <w:numPr>
          <w:ilvl w:val="1"/>
          <w:numId w:val="29"/>
        </w:numPr>
        <w:tabs>
          <w:tab w:pos="716" w:val="left" w:leader="none"/>
        </w:tabs>
        <w:spacing w:line="247" w:lineRule="auto" w:before="31" w:after="0"/>
        <w:ind w:left="716" w:right="73" w:hanging="270"/>
        <w:jc w:val="left"/>
        <w:rPr>
          <w:rFonts w:ascii="Arial" w:hAnsi="Arial"/>
          <w:color w:val="137692"/>
          <w:sz w:val="24"/>
        </w:rPr>
      </w:pPr>
      <w:r>
        <w:rPr>
          <w:color w:val="4D4D4F"/>
          <w:w w:val="110"/>
          <w:sz w:val="22"/>
        </w:rPr>
        <w:t>Checking the prescription drug monitoring program database before administering buprenorphine.</w:t>
      </w:r>
    </w:p>
    <w:p>
      <w:pPr>
        <w:pStyle w:val="ListParagraph"/>
        <w:numPr>
          <w:ilvl w:val="0"/>
          <w:numId w:val="29"/>
        </w:numPr>
        <w:tabs>
          <w:tab w:pos="410" w:val="left" w:leader="none"/>
        </w:tabs>
        <w:spacing w:line="208" w:lineRule="auto" w:before="104" w:after="0"/>
        <w:ind w:left="410" w:right="179" w:hanging="270"/>
        <w:jc w:val="both"/>
        <w:rPr>
          <w:rFonts w:ascii="Arial" w:hAnsi="Arial"/>
          <w:color w:val="137692"/>
          <w:sz w:val="28"/>
        </w:rPr>
      </w:pPr>
      <w:r>
        <w:rPr>
          <w:color w:val="4D4D4F"/>
          <w:w w:val="110"/>
          <w:sz w:val="22"/>
        </w:rPr>
        <w:t>Providing the usual daily dose to the </w:t>
      </w:r>
      <w:r>
        <w:rPr>
          <w:color w:val="4D4D4F"/>
          <w:spacing w:val="-3"/>
          <w:w w:val="110"/>
          <w:sz w:val="22"/>
        </w:rPr>
        <w:t>patient, </w:t>
      </w:r>
      <w:r>
        <w:rPr>
          <w:color w:val="4D4D4F"/>
          <w:w w:val="110"/>
          <w:sz w:val="22"/>
        </w:rPr>
        <w:t>once that dose is</w:t>
      </w:r>
      <w:r>
        <w:rPr>
          <w:color w:val="4D4D4F"/>
          <w:spacing w:val="-21"/>
          <w:w w:val="110"/>
          <w:sz w:val="22"/>
        </w:rPr>
        <w:t> </w:t>
      </w:r>
      <w:r>
        <w:rPr>
          <w:color w:val="4D4D4F"/>
          <w:w w:val="110"/>
          <w:sz w:val="22"/>
        </w:rPr>
        <w:t>conﬁrmed.</w:t>
      </w:r>
    </w:p>
    <w:p>
      <w:pPr>
        <w:pStyle w:val="ListParagraph"/>
        <w:numPr>
          <w:ilvl w:val="0"/>
          <w:numId w:val="29"/>
        </w:numPr>
        <w:tabs>
          <w:tab w:pos="410" w:val="left" w:leader="none"/>
        </w:tabs>
        <w:spacing w:line="208" w:lineRule="auto" w:before="69" w:after="0"/>
        <w:ind w:left="410" w:right="204" w:hanging="270"/>
        <w:jc w:val="both"/>
        <w:rPr>
          <w:rFonts w:ascii="Arial" w:hAnsi="Arial"/>
          <w:color w:val="137692"/>
          <w:sz w:val="28"/>
        </w:rPr>
      </w:pPr>
      <w:r>
        <w:rPr>
          <w:color w:val="4D4D4F"/>
          <w:w w:val="110"/>
          <w:sz w:val="22"/>
        </w:rPr>
        <w:t>Ensuring the patient’s outpatient prescriber understands the reason for any missed</w:t>
      </w:r>
      <w:r>
        <w:rPr>
          <w:color w:val="4D4D4F"/>
          <w:spacing w:val="10"/>
          <w:w w:val="110"/>
          <w:sz w:val="22"/>
        </w:rPr>
        <w:t> </w:t>
      </w:r>
      <w:r>
        <w:rPr>
          <w:color w:val="4D4D4F"/>
          <w:spacing w:val="-3"/>
          <w:w w:val="110"/>
          <w:sz w:val="22"/>
        </w:rPr>
        <w:t>visits.</w:t>
      </w:r>
    </w:p>
    <w:p>
      <w:pPr>
        <w:pStyle w:val="ListParagraph"/>
        <w:numPr>
          <w:ilvl w:val="0"/>
          <w:numId w:val="29"/>
        </w:numPr>
        <w:tabs>
          <w:tab w:pos="410" w:val="left" w:leader="none"/>
        </w:tabs>
        <w:spacing w:line="264" w:lineRule="exact" w:before="51" w:after="0"/>
        <w:ind w:left="410" w:right="208" w:hanging="270"/>
        <w:jc w:val="both"/>
        <w:rPr>
          <w:rFonts w:ascii="Arial" w:hAnsi="Arial"/>
          <w:color w:val="137692"/>
          <w:sz w:val="28"/>
        </w:rPr>
      </w:pPr>
      <w:r>
        <w:rPr>
          <w:color w:val="4D4D4F"/>
          <w:w w:val="110"/>
          <w:sz w:val="22"/>
        </w:rPr>
        <w:t>Informing the patient’s outpatient prescriber that the patient may test positive for </w:t>
      </w:r>
      <w:r>
        <w:rPr>
          <w:color w:val="4D4D4F"/>
          <w:spacing w:val="-3"/>
          <w:w w:val="110"/>
          <w:sz w:val="22"/>
        </w:rPr>
        <w:t>opioids </w:t>
      </w:r>
      <w:r>
        <w:rPr>
          <w:color w:val="4D4D4F"/>
          <w:w w:val="110"/>
          <w:sz w:val="22"/>
        </w:rPr>
        <w:t>if treated with opioid analgesics while in the hospital.</w:t>
      </w:r>
    </w:p>
    <w:p>
      <w:pPr>
        <w:pStyle w:val="ListParagraph"/>
        <w:numPr>
          <w:ilvl w:val="0"/>
          <w:numId w:val="29"/>
        </w:numPr>
        <w:tabs>
          <w:tab w:pos="410" w:val="left" w:leader="none"/>
        </w:tabs>
        <w:spacing w:line="264" w:lineRule="exact" w:before="44" w:after="0"/>
        <w:ind w:left="410" w:right="297" w:hanging="270"/>
        <w:jc w:val="left"/>
        <w:rPr>
          <w:rFonts w:ascii="Arial" w:hAnsi="Arial"/>
          <w:color w:val="137692"/>
          <w:sz w:val="28"/>
        </w:rPr>
      </w:pPr>
      <w:r>
        <w:rPr>
          <w:color w:val="4D4D4F"/>
          <w:w w:val="110"/>
          <w:sz w:val="22"/>
        </w:rPr>
        <w:t>Maintaining contact with the patient’s pre- </w:t>
      </w:r>
      <w:r>
        <w:rPr>
          <w:color w:val="4D4D4F"/>
          <w:spacing w:val="-3"/>
          <w:w w:val="110"/>
          <w:sz w:val="22"/>
        </w:rPr>
        <w:t>scriber, </w:t>
      </w:r>
      <w:r>
        <w:rPr>
          <w:color w:val="4D4D4F"/>
          <w:w w:val="110"/>
          <w:sz w:val="22"/>
        </w:rPr>
        <w:t>especially when a buprenorphine dose change is considered and in </w:t>
      </w:r>
      <w:r>
        <w:rPr>
          <w:color w:val="4D4D4F"/>
          <w:spacing w:val="-3"/>
          <w:w w:val="110"/>
          <w:sz w:val="22"/>
        </w:rPr>
        <w:t>discharge </w:t>
      </w:r>
      <w:r>
        <w:rPr>
          <w:color w:val="4D4D4F"/>
          <w:w w:val="110"/>
          <w:sz w:val="22"/>
        </w:rPr>
        <w:t>planning.</w:t>
      </w:r>
    </w:p>
    <w:p>
      <w:pPr>
        <w:spacing w:line="244" w:lineRule="auto" w:before="101"/>
        <w:ind w:left="139" w:right="452" w:firstLine="0"/>
        <w:jc w:val="left"/>
        <w:rPr>
          <w:sz w:val="22"/>
        </w:rPr>
      </w:pPr>
      <w:r>
        <w:rPr/>
        <w:br w:type="column"/>
      </w:r>
      <w:r>
        <w:rPr>
          <w:rFonts w:ascii="Calibri" w:hAnsi="Calibri"/>
          <w:b/>
          <w:color w:val="4D4D4F"/>
          <w:w w:val="110"/>
          <w:sz w:val="22"/>
        </w:rPr>
        <w:t>Patients with pain may continue their buprenorphine while in the hospital. </w:t>
      </w:r>
      <w:r>
        <w:rPr>
          <w:color w:val="4D4D4F"/>
          <w:w w:val="110"/>
          <w:sz w:val="22"/>
        </w:rPr>
        <w:t>For mild-to-moderate pain, dividing the patient’s usual buprenorphine dose three times per day (TID) may provide sufﬁcient pain relief.</w:t>
      </w:r>
      <w:r>
        <w:rPr>
          <w:color w:val="4D4D4F"/>
          <w:w w:val="110"/>
          <w:position w:val="7"/>
          <w:sz w:val="13"/>
        </w:rPr>
        <w:t>393 </w:t>
      </w:r>
      <w:r>
        <w:rPr>
          <w:color w:val="4D4D4F"/>
          <w:w w:val="110"/>
          <w:sz w:val="22"/>
        </w:rPr>
        <w:t>In some cases, increased buprenorphine dose may be appropriate. For moderate-to-severe pain, additional analgesia will be necessary. Two approaches to consider:</w:t>
      </w:r>
    </w:p>
    <w:p>
      <w:pPr>
        <w:pStyle w:val="ListParagraph"/>
        <w:numPr>
          <w:ilvl w:val="0"/>
          <w:numId w:val="49"/>
        </w:numPr>
        <w:tabs>
          <w:tab w:pos="589" w:val="left" w:leader="none"/>
          <w:tab w:pos="590" w:val="left" w:leader="none"/>
        </w:tabs>
        <w:spacing w:line="244" w:lineRule="auto" w:before="121" w:after="0"/>
        <w:ind w:left="589" w:right="210" w:hanging="450"/>
        <w:jc w:val="left"/>
        <w:rPr>
          <w:sz w:val="22"/>
        </w:rPr>
      </w:pPr>
      <w:r>
        <w:rPr>
          <w:rFonts w:ascii="Calibri" w:hAnsi="Calibri"/>
          <w:b/>
          <w:color w:val="4D4D4F"/>
          <w:w w:val="110"/>
          <w:sz w:val="22"/>
        </w:rPr>
        <w:t>Continue buprenorphine treatment and use full agonist opioids for added pain relief. </w:t>
      </w:r>
      <w:r>
        <w:rPr>
          <w:color w:val="4D4D4F"/>
          <w:w w:val="110"/>
          <w:sz w:val="22"/>
        </w:rPr>
        <w:t>Because of the partial blockade caused by buprenorphine, higher-than-usual doses of opioids will probably be required for pain relief. Fentanyl, hydromorphone, and morphine have relatively high binding afﬁnities for the mu-opioid receptor and are most likely to displace buprenorphine from receptors and provide improved analgesia. Once the painful condition has</w:t>
      </w:r>
      <w:r>
        <w:rPr>
          <w:color w:val="4D4D4F"/>
          <w:spacing w:val="3"/>
          <w:w w:val="110"/>
          <w:sz w:val="22"/>
        </w:rPr>
        <w:t> </w:t>
      </w:r>
      <w:r>
        <w:rPr>
          <w:color w:val="4D4D4F"/>
          <w:w w:val="110"/>
          <w:sz w:val="22"/>
        </w:rPr>
        <w:t>improved,</w:t>
      </w:r>
    </w:p>
    <w:p>
      <w:pPr>
        <w:pStyle w:val="BodyText"/>
        <w:spacing w:line="247" w:lineRule="auto" w:before="6"/>
        <w:ind w:left="589"/>
      </w:pPr>
      <w:r>
        <w:rPr>
          <w:color w:val="4D4D4F"/>
          <w:w w:val="110"/>
        </w:rPr>
        <w:t>if mild-to-moderate pain persists, bu- prenorphine can be divided TID to manage residual pain. This approach is usually successful and allows the patient to remain stable on buprenorphine.</w:t>
      </w:r>
    </w:p>
    <w:p>
      <w:pPr>
        <w:pStyle w:val="ListParagraph"/>
        <w:numPr>
          <w:ilvl w:val="0"/>
          <w:numId w:val="49"/>
        </w:numPr>
        <w:tabs>
          <w:tab w:pos="589" w:val="left" w:leader="none"/>
          <w:tab w:pos="590" w:val="left" w:leader="none"/>
        </w:tabs>
        <w:spacing w:line="244" w:lineRule="auto" w:before="181" w:after="0"/>
        <w:ind w:left="589" w:right="226" w:hanging="450"/>
        <w:jc w:val="left"/>
        <w:rPr>
          <w:sz w:val="22"/>
        </w:rPr>
      </w:pPr>
      <w:r>
        <w:rPr>
          <w:rFonts w:ascii="Calibri" w:hAnsi="Calibri"/>
          <w:b/>
          <w:color w:val="4D4D4F"/>
          <w:w w:val="110"/>
          <w:sz w:val="22"/>
        </w:rPr>
        <w:t>Discontinue buprenorphine upon hospi- talization and use full agonist opioids to treat pain and prevent withdrawal. </w:t>
      </w:r>
      <w:r>
        <w:rPr>
          <w:color w:val="4D4D4F"/>
          <w:w w:val="110"/>
          <w:sz w:val="22"/>
        </w:rPr>
        <w:t>This approach avoids the blockade effect of buprenorphine on the mu-opioid receptors but leaves the patient vulnerable to a </w:t>
      </w:r>
      <w:r>
        <w:rPr>
          <w:color w:val="4D4D4F"/>
          <w:spacing w:val="-4"/>
          <w:w w:val="110"/>
          <w:sz w:val="22"/>
        </w:rPr>
        <w:t>return </w:t>
      </w:r>
      <w:r>
        <w:rPr>
          <w:color w:val="4D4D4F"/>
          <w:w w:val="110"/>
          <w:sz w:val="22"/>
        </w:rPr>
        <w:t>to illicit opioid use. It may be useful if the ﬁrst approach does not achieve adequate pain control.</w:t>
      </w:r>
      <w:r>
        <w:rPr>
          <w:color w:val="4D4D4F"/>
          <w:w w:val="110"/>
          <w:position w:val="7"/>
          <w:sz w:val="13"/>
        </w:rPr>
        <w:t>394 </w:t>
      </w:r>
      <w:r>
        <w:rPr>
          <w:color w:val="4D4D4F"/>
          <w:w w:val="110"/>
          <w:sz w:val="22"/>
        </w:rPr>
        <w:t>Consider a consult by an addiction medicine, psychiatric, or pain management provider if appropriate and available.</w:t>
      </w:r>
    </w:p>
    <w:p>
      <w:pPr>
        <w:spacing w:line="244" w:lineRule="auto" w:before="184"/>
        <w:ind w:left="140" w:right="253" w:firstLine="0"/>
        <w:jc w:val="left"/>
        <w:rPr>
          <w:sz w:val="13"/>
        </w:rPr>
      </w:pPr>
      <w:r>
        <w:rPr>
          <w:rFonts w:ascii="Calibri"/>
          <w:b/>
          <w:color w:val="4D4D4F"/>
          <w:w w:val="110"/>
          <w:sz w:val="22"/>
        </w:rPr>
        <w:t>Pregnant women on buprenorphine can continue buprenorphine through their labor. </w:t>
      </w:r>
      <w:r>
        <w:rPr>
          <w:color w:val="4D4D4F"/>
          <w:w w:val="110"/>
          <w:sz w:val="22"/>
        </w:rPr>
        <w:t>Labor pain for pregnant patients on buprenor- phine can be managed effectively with epidural analgesia or intravenous opioids. Spinal anes- thesia is effective in patients on buprenorphine; patients can receive general anesthesia if needed.</w:t>
      </w:r>
      <w:r>
        <w:rPr>
          <w:color w:val="4D4D4F"/>
          <w:w w:val="110"/>
          <w:position w:val="7"/>
          <w:sz w:val="13"/>
        </w:rPr>
        <w:t>395</w:t>
      </w:r>
    </w:p>
    <w:p>
      <w:pPr>
        <w:spacing w:after="0" w:line="244" w:lineRule="auto"/>
        <w:jc w:val="left"/>
        <w:rPr>
          <w:sz w:val="13"/>
        </w:rPr>
        <w:sectPr>
          <w:type w:val="continuous"/>
          <w:pgSz w:w="12240" w:h="15840"/>
          <w:pgMar w:top="540" w:bottom="280" w:left="940" w:right="920"/>
          <w:cols w:num="2" w:equalWidth="0">
            <w:col w:w="5019" w:space="201"/>
            <w:col w:w="5160"/>
          </w:cols>
        </w:sectPr>
      </w:pPr>
    </w:p>
    <w:p>
      <w:pPr>
        <w:pStyle w:val="BodyText"/>
        <w:spacing w:before="4"/>
        <w:rPr>
          <w:sz w:val="27"/>
        </w:rPr>
      </w:pPr>
    </w:p>
    <w:p>
      <w:pPr>
        <w:spacing w:after="0"/>
        <w:rPr>
          <w:sz w:val="27"/>
        </w:rPr>
        <w:sectPr>
          <w:pgSz w:w="12240" w:h="15840"/>
          <w:pgMar w:header="576" w:footer="677" w:top="1340" w:bottom="860" w:left="940" w:right="920"/>
        </w:sectPr>
      </w:pPr>
    </w:p>
    <w:p>
      <w:pPr>
        <w:spacing w:line="240" w:lineRule="auto" w:before="100"/>
        <w:ind w:left="140" w:right="47" w:firstLine="0"/>
        <w:jc w:val="left"/>
        <w:rPr>
          <w:sz w:val="22"/>
        </w:rPr>
      </w:pPr>
      <w:r>
        <w:rPr>
          <w:color w:val="4D4D4F"/>
          <w:spacing w:val="-3"/>
          <w:w w:val="110"/>
          <w:sz w:val="22"/>
        </w:rPr>
        <w:t>Perioperative pain management </w:t>
      </w:r>
      <w:r>
        <w:rPr>
          <w:color w:val="4D4D4F"/>
          <w:w w:val="110"/>
          <w:sz w:val="22"/>
        </w:rPr>
        <w:t>of </w:t>
      </w:r>
      <w:r>
        <w:rPr>
          <w:color w:val="4D4D4F"/>
          <w:spacing w:val="-3"/>
          <w:w w:val="110"/>
          <w:sz w:val="22"/>
        </w:rPr>
        <w:t>patients on </w:t>
      </w:r>
      <w:r>
        <w:rPr>
          <w:color w:val="4D4D4F"/>
          <w:spacing w:val="-4"/>
          <w:w w:val="110"/>
          <w:sz w:val="22"/>
        </w:rPr>
        <w:t>buprenorphine requires </w:t>
      </w:r>
      <w:r>
        <w:rPr>
          <w:color w:val="4D4D4F"/>
          <w:spacing w:val="-3"/>
          <w:w w:val="110"/>
          <w:sz w:val="22"/>
        </w:rPr>
        <w:t>further </w:t>
      </w:r>
      <w:r>
        <w:rPr>
          <w:color w:val="4D4D4F"/>
          <w:spacing w:val="-6"/>
          <w:w w:val="110"/>
          <w:sz w:val="22"/>
        </w:rPr>
        <w:t>study, </w:t>
      </w:r>
      <w:r>
        <w:rPr>
          <w:color w:val="4D4D4F"/>
          <w:w w:val="110"/>
          <w:sz w:val="22"/>
        </w:rPr>
        <w:t>but </w:t>
      </w:r>
      <w:r>
        <w:rPr>
          <w:color w:val="4D4D4F"/>
          <w:spacing w:val="-3"/>
          <w:w w:val="110"/>
          <w:sz w:val="22"/>
        </w:rPr>
        <w:t>multiple </w:t>
      </w:r>
      <w:r>
        <w:rPr>
          <w:color w:val="4D4D4F"/>
          <w:spacing w:val="-4"/>
          <w:w w:val="110"/>
          <w:sz w:val="22"/>
        </w:rPr>
        <w:t>approaches </w:t>
      </w:r>
      <w:r>
        <w:rPr>
          <w:color w:val="4D4D4F"/>
          <w:spacing w:val="-3"/>
          <w:w w:val="110"/>
          <w:sz w:val="22"/>
        </w:rPr>
        <w:t>have been found </w:t>
      </w:r>
      <w:r>
        <w:rPr>
          <w:color w:val="4D4D4F"/>
          <w:spacing w:val="-4"/>
          <w:w w:val="110"/>
          <w:sz w:val="22"/>
        </w:rPr>
        <w:t>effective. </w:t>
      </w:r>
      <w:r>
        <w:rPr>
          <w:rFonts w:ascii="Calibri"/>
          <w:b/>
          <w:color w:val="4D4D4F"/>
          <w:spacing w:val="-3"/>
          <w:w w:val="110"/>
          <w:sz w:val="22"/>
        </w:rPr>
        <w:t>Most patients </w:t>
      </w:r>
      <w:r>
        <w:rPr>
          <w:rFonts w:ascii="Calibri"/>
          <w:b/>
          <w:color w:val="4D4D4F"/>
          <w:w w:val="110"/>
          <w:sz w:val="22"/>
        </w:rPr>
        <w:t>can </w:t>
      </w:r>
      <w:r>
        <w:rPr>
          <w:rFonts w:ascii="Calibri"/>
          <w:b/>
          <w:color w:val="4D4D4F"/>
          <w:spacing w:val="-3"/>
          <w:w w:val="110"/>
          <w:sz w:val="22"/>
        </w:rPr>
        <w:t>continue </w:t>
      </w:r>
      <w:r>
        <w:rPr>
          <w:rFonts w:ascii="Calibri"/>
          <w:b/>
          <w:color w:val="4D4D4F"/>
          <w:spacing w:val="-4"/>
          <w:w w:val="110"/>
          <w:sz w:val="22"/>
        </w:rPr>
        <w:t>buprenorphine  through </w:t>
      </w:r>
      <w:r>
        <w:rPr>
          <w:rFonts w:ascii="Calibri"/>
          <w:b/>
          <w:color w:val="4D4D4F"/>
          <w:w w:val="110"/>
          <w:sz w:val="22"/>
        </w:rPr>
        <w:t>the </w:t>
      </w:r>
      <w:r>
        <w:rPr>
          <w:rFonts w:ascii="Calibri"/>
          <w:b/>
          <w:color w:val="4D4D4F"/>
          <w:spacing w:val="-3"/>
          <w:w w:val="110"/>
          <w:sz w:val="22"/>
        </w:rPr>
        <w:t>operative period. </w:t>
      </w:r>
      <w:r>
        <w:rPr>
          <w:color w:val="4D4D4F"/>
          <w:spacing w:val="-8"/>
          <w:w w:val="110"/>
          <w:sz w:val="22"/>
        </w:rPr>
        <w:t>Treat</w:t>
      </w:r>
      <w:r>
        <w:rPr>
          <w:color w:val="4D4D4F"/>
          <w:spacing w:val="23"/>
          <w:w w:val="110"/>
          <w:sz w:val="22"/>
        </w:rPr>
        <w:t> </w:t>
      </w:r>
      <w:r>
        <w:rPr>
          <w:color w:val="4D4D4F"/>
          <w:spacing w:val="-3"/>
          <w:w w:val="110"/>
          <w:sz w:val="22"/>
        </w:rPr>
        <w:t>postoperative</w:t>
      </w:r>
    </w:p>
    <w:p>
      <w:pPr>
        <w:pStyle w:val="BodyText"/>
        <w:spacing w:line="247" w:lineRule="auto" w:before="4"/>
        <w:ind w:left="139" w:right="47"/>
      </w:pPr>
      <w:r>
        <w:rPr>
          <w:color w:val="4D4D4F"/>
          <w:spacing w:val="-3"/>
          <w:w w:val="110"/>
        </w:rPr>
        <w:t>pain with </w:t>
      </w:r>
      <w:r>
        <w:rPr>
          <w:color w:val="4D4D4F"/>
          <w:spacing w:val="-4"/>
          <w:w w:val="110"/>
        </w:rPr>
        <w:t>regional </w:t>
      </w:r>
      <w:r>
        <w:rPr>
          <w:color w:val="4D4D4F"/>
          <w:spacing w:val="-3"/>
          <w:w w:val="110"/>
        </w:rPr>
        <w:t>anesthesia, nonopioid pain management, </w:t>
      </w:r>
      <w:r>
        <w:rPr>
          <w:color w:val="4D4D4F"/>
          <w:w w:val="110"/>
        </w:rPr>
        <w:t>or </w:t>
      </w:r>
      <w:r>
        <w:rPr>
          <w:color w:val="4D4D4F"/>
          <w:spacing w:val="-3"/>
          <w:w w:val="110"/>
        </w:rPr>
        <w:t>full agonist opioids. Remember that higher doses </w:t>
      </w:r>
      <w:r>
        <w:rPr>
          <w:color w:val="4D4D4F"/>
          <w:spacing w:val="-4"/>
          <w:w w:val="110"/>
        </w:rPr>
        <w:t>are </w:t>
      </w:r>
      <w:r>
        <w:rPr>
          <w:color w:val="4D4D4F"/>
          <w:spacing w:val="-3"/>
          <w:w w:val="110"/>
        </w:rPr>
        <w:t>likely </w:t>
      </w:r>
      <w:r>
        <w:rPr>
          <w:color w:val="4D4D4F"/>
          <w:w w:val="110"/>
        </w:rPr>
        <w:t>to be </w:t>
      </w:r>
      <w:r>
        <w:rPr>
          <w:color w:val="4D4D4F"/>
          <w:spacing w:val="-5"/>
          <w:w w:val="110"/>
        </w:rPr>
        <w:t>necessary. </w:t>
      </w:r>
      <w:r>
        <w:rPr>
          <w:color w:val="4D4D4F"/>
          <w:spacing w:val="-3"/>
          <w:w w:val="110"/>
        </w:rPr>
        <w:t>Some data suggest that </w:t>
      </w:r>
      <w:r>
        <w:rPr>
          <w:color w:val="4D4D4F"/>
          <w:spacing w:val="-4"/>
          <w:w w:val="110"/>
        </w:rPr>
        <w:t>buprenorphine </w:t>
      </w:r>
      <w:r>
        <w:rPr>
          <w:color w:val="4D4D4F"/>
          <w:spacing w:val="-3"/>
          <w:w w:val="110"/>
        </w:rPr>
        <w:t>divided </w:t>
      </w:r>
      <w:r>
        <w:rPr>
          <w:color w:val="4D4D4F"/>
          <w:w w:val="110"/>
        </w:rPr>
        <w:t>TID </w:t>
      </w:r>
      <w:r>
        <w:rPr>
          <w:color w:val="4D4D4F"/>
          <w:spacing w:val="-3"/>
          <w:w w:val="110"/>
        </w:rPr>
        <w:t>may even </w:t>
      </w:r>
      <w:r>
        <w:rPr>
          <w:color w:val="4D4D4F"/>
          <w:w w:val="110"/>
        </w:rPr>
        <w:t>be as </w:t>
      </w:r>
      <w:r>
        <w:rPr>
          <w:color w:val="4D4D4F"/>
          <w:spacing w:val="-4"/>
          <w:w w:val="110"/>
        </w:rPr>
        <w:t>effective </w:t>
      </w:r>
      <w:r>
        <w:rPr>
          <w:color w:val="4D4D4F"/>
          <w:w w:val="110"/>
        </w:rPr>
        <w:t>as </w:t>
      </w:r>
      <w:r>
        <w:rPr>
          <w:color w:val="4D4D4F"/>
          <w:spacing w:val="-3"/>
          <w:w w:val="110"/>
        </w:rPr>
        <w:t>morphine </w:t>
      </w:r>
      <w:r>
        <w:rPr>
          <w:color w:val="4D4D4F"/>
          <w:w w:val="110"/>
        </w:rPr>
        <w:t>for </w:t>
      </w:r>
      <w:r>
        <w:rPr>
          <w:color w:val="4D4D4F"/>
          <w:spacing w:val="-3"/>
          <w:w w:val="110"/>
        </w:rPr>
        <w:t>postopera- tive pain control.</w:t>
      </w:r>
      <w:r>
        <w:rPr>
          <w:color w:val="4D4D4F"/>
          <w:spacing w:val="-3"/>
          <w:w w:val="110"/>
          <w:position w:val="7"/>
          <w:sz w:val="13"/>
        </w:rPr>
        <w:t>396 </w:t>
      </w:r>
      <w:r>
        <w:rPr>
          <w:color w:val="4D4D4F"/>
          <w:spacing w:val="-4"/>
          <w:w w:val="110"/>
        </w:rPr>
        <w:t>Alternatively, buprenorphine </w:t>
      </w:r>
      <w:r>
        <w:rPr>
          <w:color w:val="4D4D4F"/>
          <w:w w:val="110"/>
        </w:rPr>
        <w:t>can be </w:t>
      </w:r>
      <w:r>
        <w:rPr>
          <w:color w:val="4D4D4F"/>
          <w:spacing w:val="-3"/>
          <w:w w:val="110"/>
        </w:rPr>
        <w:t>discontinued </w:t>
      </w:r>
      <w:r>
        <w:rPr>
          <w:color w:val="4D4D4F"/>
          <w:w w:val="110"/>
        </w:rPr>
        <w:t>72 </w:t>
      </w:r>
      <w:r>
        <w:rPr>
          <w:color w:val="4D4D4F"/>
          <w:spacing w:val="-3"/>
          <w:w w:val="110"/>
        </w:rPr>
        <w:t>hours </w:t>
      </w:r>
      <w:r>
        <w:rPr>
          <w:color w:val="4D4D4F"/>
          <w:spacing w:val="-4"/>
          <w:w w:val="110"/>
        </w:rPr>
        <w:t>before </w:t>
      </w:r>
      <w:r>
        <w:rPr>
          <w:color w:val="4D4D4F"/>
          <w:w w:val="110"/>
        </w:rPr>
        <w:t>a </w:t>
      </w:r>
      <w:r>
        <w:rPr>
          <w:color w:val="4D4D4F"/>
          <w:spacing w:val="-3"/>
          <w:w w:val="110"/>
        </w:rPr>
        <w:t>planned </w:t>
      </w:r>
      <w:r>
        <w:rPr>
          <w:color w:val="4D4D4F"/>
          <w:spacing w:val="-4"/>
          <w:w w:val="110"/>
        </w:rPr>
        <w:t>surgery </w:t>
      </w:r>
      <w:r>
        <w:rPr>
          <w:color w:val="4D4D4F"/>
          <w:w w:val="110"/>
        </w:rPr>
        <w:t>and </w:t>
      </w:r>
      <w:r>
        <w:rPr>
          <w:color w:val="4D4D4F"/>
          <w:spacing w:val="-4"/>
          <w:w w:val="110"/>
        </w:rPr>
        <w:t>restarted </w:t>
      </w:r>
      <w:r>
        <w:rPr>
          <w:color w:val="4D4D4F"/>
          <w:spacing w:val="-3"/>
          <w:w w:val="110"/>
        </w:rPr>
        <w:t>after </w:t>
      </w:r>
      <w:r>
        <w:rPr>
          <w:color w:val="4D4D4F"/>
          <w:spacing w:val="-4"/>
          <w:w w:val="110"/>
        </w:rPr>
        <w:t>resolution </w:t>
      </w:r>
      <w:r>
        <w:rPr>
          <w:color w:val="4D4D4F"/>
          <w:w w:val="110"/>
        </w:rPr>
        <w:t>of </w:t>
      </w:r>
      <w:r>
        <w:rPr>
          <w:color w:val="4D4D4F"/>
          <w:spacing w:val="-3"/>
          <w:w w:val="110"/>
        </w:rPr>
        <w:t>acute postoperative pain. </w:t>
      </w:r>
      <w:r>
        <w:rPr>
          <w:color w:val="4D4D4F"/>
          <w:w w:val="110"/>
        </w:rPr>
        <w:t>The </w:t>
      </w:r>
      <w:r>
        <w:rPr>
          <w:color w:val="4D4D4F"/>
          <w:spacing w:val="-3"/>
          <w:w w:val="110"/>
        </w:rPr>
        <w:t>risk </w:t>
      </w:r>
      <w:r>
        <w:rPr>
          <w:color w:val="4D4D4F"/>
          <w:w w:val="110"/>
        </w:rPr>
        <w:t>of </w:t>
      </w:r>
      <w:r>
        <w:rPr>
          <w:color w:val="4D4D4F"/>
          <w:spacing w:val="-3"/>
          <w:w w:val="110"/>
        </w:rPr>
        <w:t>this </w:t>
      </w:r>
      <w:r>
        <w:rPr>
          <w:color w:val="4D4D4F"/>
          <w:spacing w:val="-4"/>
          <w:w w:val="110"/>
        </w:rPr>
        <w:t>approach </w:t>
      </w:r>
      <w:r>
        <w:rPr>
          <w:color w:val="4D4D4F"/>
          <w:spacing w:val="-3"/>
          <w:w w:val="110"/>
        </w:rPr>
        <w:t>is that </w:t>
      </w:r>
      <w:r>
        <w:rPr>
          <w:color w:val="4D4D4F"/>
          <w:w w:val="110"/>
        </w:rPr>
        <w:t>it </w:t>
      </w:r>
      <w:r>
        <w:rPr>
          <w:color w:val="4D4D4F"/>
          <w:spacing w:val="-3"/>
          <w:w w:val="110"/>
        </w:rPr>
        <w:t>leaves </w:t>
      </w:r>
      <w:r>
        <w:rPr>
          <w:color w:val="4D4D4F"/>
          <w:w w:val="110"/>
        </w:rPr>
        <w:t>the </w:t>
      </w:r>
      <w:r>
        <w:rPr>
          <w:color w:val="4D4D4F"/>
          <w:spacing w:val="-3"/>
          <w:w w:val="110"/>
        </w:rPr>
        <w:t>patient vulnerable </w:t>
      </w:r>
      <w:r>
        <w:rPr>
          <w:color w:val="4D4D4F"/>
          <w:w w:val="110"/>
        </w:rPr>
        <w:t>to a </w:t>
      </w:r>
      <w:r>
        <w:rPr>
          <w:color w:val="4D4D4F"/>
          <w:spacing w:val="-4"/>
          <w:w w:val="110"/>
        </w:rPr>
        <w:t>return</w:t>
      </w:r>
    </w:p>
    <w:p>
      <w:pPr>
        <w:pStyle w:val="BodyText"/>
        <w:spacing w:before="12"/>
        <w:ind w:left="139"/>
        <w:rPr>
          <w:sz w:val="13"/>
        </w:rPr>
      </w:pPr>
      <w:r>
        <w:rPr>
          <w:color w:val="4D4D4F"/>
          <w:w w:val="110"/>
        </w:rPr>
        <w:t>to use of illicit opioids.</w:t>
      </w:r>
      <w:r>
        <w:rPr>
          <w:color w:val="4D4D4F"/>
          <w:w w:val="110"/>
          <w:position w:val="7"/>
          <w:sz w:val="13"/>
        </w:rPr>
        <w:t>397</w:t>
      </w:r>
    </w:p>
    <w:p>
      <w:pPr>
        <w:pStyle w:val="BodyText"/>
        <w:spacing w:before="5"/>
        <w:rPr>
          <w:sz w:val="23"/>
        </w:rPr>
      </w:pPr>
    </w:p>
    <w:p>
      <w:pPr>
        <w:pStyle w:val="Heading3"/>
      </w:pPr>
      <w:bookmarkStart w:name="_TOC_250007" w:id="108"/>
      <w:bookmarkEnd w:id="108"/>
      <w:r>
        <w:rPr>
          <w:color w:val="137692"/>
          <w:w w:val="110"/>
        </w:rPr>
        <w:t>Methadone</w:t>
      </w:r>
    </w:p>
    <w:p>
      <w:pPr>
        <w:pStyle w:val="Heading7"/>
        <w:spacing w:line="235" w:lineRule="auto" w:before="47"/>
        <w:ind w:right="396"/>
      </w:pPr>
      <w:r>
        <w:rPr>
          <w:color w:val="4D4D4F"/>
          <w:w w:val="115"/>
        </w:rPr>
        <w:t>The hospital team will need to manage methadone for patients who present to the ED or are hospitalized on</w:t>
      </w:r>
      <w:r>
        <w:rPr>
          <w:color w:val="4D4D4F"/>
          <w:spacing w:val="-38"/>
          <w:w w:val="115"/>
        </w:rPr>
        <w:t> </w:t>
      </w:r>
      <w:r>
        <w:rPr>
          <w:color w:val="4D4D4F"/>
          <w:w w:val="115"/>
        </w:rPr>
        <w:t>methadone</w:t>
      </w:r>
    </w:p>
    <w:p>
      <w:pPr>
        <w:spacing w:before="0"/>
        <w:ind w:left="140" w:right="47" w:firstLine="0"/>
        <w:jc w:val="left"/>
        <w:rPr>
          <w:sz w:val="22"/>
        </w:rPr>
      </w:pPr>
      <w:r>
        <w:rPr/>
        <w:pict>
          <v:group style="position:absolute;margin-left:315.001007pt;margin-top:17.016930pt;width:243.5pt;height:333pt;mso-position-horizontal-relative:page;mso-position-vertical-relative:paragraph;z-index:15795200" coordorigin="6300,340" coordsize="4870,6660">
            <v:rect style="position:absolute;left:6305;top:345;width:4860;height:6650" filled="false" stroked="true" strokeweight=".5pt" strokecolor="#88aabd">
              <v:stroke dashstyle="solid"/>
            </v:rect>
            <v:shape style="position:absolute;left:6310;top:937;width:4850;height:6053" type="#_x0000_t202" filled="false" stroked="false">
              <v:textbox inset="0,0,0,0">
                <w:txbxContent>
                  <w:p>
                    <w:pPr>
                      <w:spacing w:line="278" w:lineRule="auto" w:before="59"/>
                      <w:ind w:left="230" w:right="0" w:firstLine="0"/>
                      <w:jc w:val="left"/>
                      <w:rPr>
                        <w:rFonts w:ascii="Arial"/>
                        <w:b/>
                        <w:sz w:val="24"/>
                      </w:rPr>
                    </w:pPr>
                    <w:r>
                      <w:rPr>
                        <w:rFonts w:ascii="Arial"/>
                        <w:b/>
                        <w:color w:val="137692"/>
                        <w:w w:val="110"/>
                        <w:sz w:val="24"/>
                      </w:rPr>
                      <w:t>Do Not Rely Solely on Patient Self- Report of Methadone Dosage</w:t>
                    </w:r>
                  </w:p>
                  <w:p>
                    <w:pPr>
                      <w:spacing w:line="348" w:lineRule="auto" w:before="154"/>
                      <w:ind w:left="230" w:right="218" w:firstLine="0"/>
                      <w:jc w:val="left"/>
                      <w:rPr>
                        <w:rFonts w:ascii="Arial" w:hAnsi="Arial"/>
                        <w:sz w:val="18"/>
                      </w:rPr>
                    </w:pPr>
                    <w:r>
                      <w:rPr>
                        <w:rFonts w:ascii="Arial" w:hAnsi="Arial"/>
                        <w:b/>
                        <w:color w:val="414142"/>
                        <w:w w:val="115"/>
                        <w:sz w:val="18"/>
                      </w:rPr>
                      <w:t>Do</w:t>
                    </w:r>
                    <w:r>
                      <w:rPr>
                        <w:rFonts w:ascii="Arial" w:hAnsi="Arial"/>
                        <w:b/>
                        <w:color w:val="414142"/>
                        <w:spacing w:val="-22"/>
                        <w:w w:val="115"/>
                        <w:sz w:val="18"/>
                      </w:rPr>
                      <w:t> </w:t>
                    </w:r>
                    <w:r>
                      <w:rPr>
                        <w:rFonts w:ascii="Arial" w:hAnsi="Arial"/>
                        <w:b/>
                        <w:color w:val="414142"/>
                        <w:w w:val="115"/>
                        <w:sz w:val="18"/>
                      </w:rPr>
                      <w:t>not</w:t>
                    </w:r>
                    <w:r>
                      <w:rPr>
                        <w:rFonts w:ascii="Arial" w:hAnsi="Arial"/>
                        <w:b/>
                        <w:color w:val="414142"/>
                        <w:spacing w:val="-22"/>
                        <w:w w:val="115"/>
                        <w:sz w:val="18"/>
                      </w:rPr>
                      <w:t> </w:t>
                    </w:r>
                    <w:r>
                      <w:rPr>
                        <w:rFonts w:ascii="Arial" w:hAnsi="Arial"/>
                        <w:b/>
                        <w:color w:val="414142"/>
                        <w:w w:val="115"/>
                        <w:sz w:val="18"/>
                      </w:rPr>
                      <w:t>administer</w:t>
                    </w:r>
                    <w:r>
                      <w:rPr>
                        <w:rFonts w:ascii="Arial" w:hAnsi="Arial"/>
                        <w:b/>
                        <w:color w:val="414142"/>
                        <w:spacing w:val="-22"/>
                        <w:w w:val="115"/>
                        <w:sz w:val="18"/>
                      </w:rPr>
                      <w:t> </w:t>
                    </w:r>
                    <w:r>
                      <w:rPr>
                        <w:rFonts w:ascii="Arial" w:hAnsi="Arial"/>
                        <w:b/>
                        <w:color w:val="414142"/>
                        <w:w w:val="115"/>
                        <w:sz w:val="18"/>
                      </w:rPr>
                      <w:t>the</w:t>
                    </w:r>
                    <w:r>
                      <w:rPr>
                        <w:rFonts w:ascii="Arial" w:hAnsi="Arial"/>
                        <w:b/>
                        <w:color w:val="414142"/>
                        <w:spacing w:val="-22"/>
                        <w:w w:val="115"/>
                        <w:sz w:val="18"/>
                      </w:rPr>
                      <w:t> </w:t>
                    </w:r>
                    <w:r>
                      <w:rPr>
                        <w:rFonts w:ascii="Arial" w:hAnsi="Arial"/>
                        <w:b/>
                        <w:color w:val="414142"/>
                        <w:w w:val="115"/>
                        <w:sz w:val="18"/>
                      </w:rPr>
                      <w:t>methadone</w:t>
                    </w:r>
                    <w:r>
                      <w:rPr>
                        <w:rFonts w:ascii="Arial" w:hAnsi="Arial"/>
                        <w:b/>
                        <w:color w:val="414142"/>
                        <w:spacing w:val="-22"/>
                        <w:w w:val="115"/>
                        <w:sz w:val="18"/>
                      </w:rPr>
                      <w:t> </w:t>
                    </w:r>
                    <w:r>
                      <w:rPr>
                        <w:rFonts w:ascii="Arial" w:hAnsi="Arial"/>
                        <w:b/>
                        <w:color w:val="414142"/>
                        <w:w w:val="115"/>
                        <w:sz w:val="18"/>
                      </w:rPr>
                      <w:t>dose</w:t>
                    </w:r>
                    <w:r>
                      <w:rPr>
                        <w:rFonts w:ascii="Arial" w:hAnsi="Arial"/>
                        <w:b/>
                        <w:color w:val="414142"/>
                        <w:spacing w:val="-22"/>
                        <w:w w:val="115"/>
                        <w:sz w:val="18"/>
                      </w:rPr>
                      <w:t> </w:t>
                    </w:r>
                    <w:r>
                      <w:rPr>
                        <w:rFonts w:ascii="Arial" w:hAnsi="Arial"/>
                        <w:b/>
                        <w:color w:val="414142"/>
                        <w:w w:val="115"/>
                        <w:sz w:val="18"/>
                      </w:rPr>
                      <w:t>based </w:t>
                    </w:r>
                    <w:r>
                      <w:rPr>
                        <w:rFonts w:ascii="Arial" w:hAnsi="Arial"/>
                        <w:b/>
                        <w:color w:val="414142"/>
                        <w:w w:val="120"/>
                        <w:sz w:val="18"/>
                      </w:rPr>
                      <w:t>on</w:t>
                    </w:r>
                    <w:r>
                      <w:rPr>
                        <w:rFonts w:ascii="Arial" w:hAnsi="Arial"/>
                        <w:b/>
                        <w:color w:val="414142"/>
                        <w:spacing w:val="-39"/>
                        <w:w w:val="120"/>
                        <w:sz w:val="18"/>
                      </w:rPr>
                      <w:t> </w:t>
                    </w:r>
                    <w:r>
                      <w:rPr>
                        <w:rFonts w:ascii="Arial" w:hAnsi="Arial"/>
                        <w:b/>
                        <w:color w:val="414142"/>
                        <w:w w:val="120"/>
                        <w:sz w:val="18"/>
                      </w:rPr>
                      <w:t>patient</w:t>
                    </w:r>
                    <w:r>
                      <w:rPr>
                        <w:rFonts w:ascii="Arial" w:hAnsi="Arial"/>
                        <w:b/>
                        <w:color w:val="414142"/>
                        <w:spacing w:val="-38"/>
                        <w:w w:val="120"/>
                        <w:sz w:val="18"/>
                      </w:rPr>
                      <w:t> </w:t>
                    </w:r>
                    <w:r>
                      <w:rPr>
                        <w:rFonts w:ascii="Arial" w:hAnsi="Arial"/>
                        <w:b/>
                        <w:color w:val="414142"/>
                        <w:w w:val="120"/>
                        <w:sz w:val="18"/>
                      </w:rPr>
                      <w:t>self-report</w:t>
                    </w:r>
                    <w:r>
                      <w:rPr>
                        <w:rFonts w:ascii="Arial" w:hAnsi="Arial"/>
                        <w:b/>
                        <w:color w:val="414142"/>
                        <w:spacing w:val="-39"/>
                        <w:w w:val="120"/>
                        <w:sz w:val="18"/>
                      </w:rPr>
                      <w:t> </w:t>
                    </w:r>
                    <w:r>
                      <w:rPr>
                        <w:rFonts w:ascii="Arial" w:hAnsi="Arial"/>
                        <w:b/>
                        <w:color w:val="414142"/>
                        <w:w w:val="120"/>
                        <w:sz w:val="18"/>
                      </w:rPr>
                      <w:t>of</w:t>
                    </w:r>
                    <w:r>
                      <w:rPr>
                        <w:rFonts w:ascii="Arial" w:hAnsi="Arial"/>
                        <w:b/>
                        <w:color w:val="414142"/>
                        <w:spacing w:val="-38"/>
                        <w:w w:val="120"/>
                        <w:sz w:val="18"/>
                      </w:rPr>
                      <w:t> </w:t>
                    </w:r>
                    <w:r>
                      <w:rPr>
                        <w:rFonts w:ascii="Arial" w:hAnsi="Arial"/>
                        <w:b/>
                        <w:color w:val="414142"/>
                        <w:w w:val="120"/>
                        <w:sz w:val="18"/>
                      </w:rPr>
                      <w:t>OTP</w:t>
                    </w:r>
                    <w:r>
                      <w:rPr>
                        <w:rFonts w:ascii="Arial" w:hAnsi="Arial"/>
                        <w:b/>
                        <w:color w:val="414142"/>
                        <w:spacing w:val="-39"/>
                        <w:w w:val="120"/>
                        <w:sz w:val="18"/>
                      </w:rPr>
                      <w:t> </w:t>
                    </w:r>
                    <w:r>
                      <w:rPr>
                        <w:rFonts w:ascii="Arial" w:hAnsi="Arial"/>
                        <w:b/>
                        <w:color w:val="414142"/>
                        <w:w w:val="120"/>
                        <w:sz w:val="18"/>
                      </w:rPr>
                      <w:t>enrollment</w:t>
                    </w:r>
                    <w:r>
                      <w:rPr>
                        <w:rFonts w:ascii="Arial" w:hAnsi="Arial"/>
                        <w:b/>
                        <w:color w:val="414142"/>
                        <w:spacing w:val="-38"/>
                        <w:w w:val="120"/>
                        <w:sz w:val="18"/>
                      </w:rPr>
                      <w:t> </w:t>
                    </w:r>
                    <w:r>
                      <w:rPr>
                        <w:rFonts w:ascii="Arial" w:hAnsi="Arial"/>
                        <w:b/>
                        <w:color w:val="414142"/>
                        <w:w w:val="120"/>
                        <w:sz w:val="18"/>
                      </w:rPr>
                      <w:t>and </w:t>
                    </w:r>
                    <w:r>
                      <w:rPr>
                        <w:rFonts w:ascii="Arial" w:hAnsi="Arial"/>
                        <w:b/>
                        <w:color w:val="414142"/>
                        <w:w w:val="115"/>
                        <w:sz w:val="18"/>
                      </w:rPr>
                      <w:t>methadone dose; get OTP conﬁrmation. </w:t>
                    </w:r>
                    <w:r>
                      <w:rPr>
                        <w:rFonts w:ascii="Arial" w:hAnsi="Arial"/>
                        <w:color w:val="414142"/>
                        <w:w w:val="115"/>
                        <w:sz w:val="18"/>
                      </w:rPr>
                      <w:t>This </w:t>
                    </w:r>
                    <w:r>
                      <w:rPr>
                        <w:rFonts w:ascii="Arial" w:hAnsi="Arial"/>
                        <w:color w:val="414142"/>
                        <w:w w:val="120"/>
                        <w:sz w:val="18"/>
                      </w:rPr>
                      <w:t>is important because doses above 30 mg can be</w:t>
                    </w:r>
                    <w:r>
                      <w:rPr>
                        <w:rFonts w:ascii="Arial" w:hAnsi="Arial"/>
                        <w:color w:val="414142"/>
                        <w:spacing w:val="-14"/>
                        <w:w w:val="120"/>
                        <w:sz w:val="18"/>
                      </w:rPr>
                      <w:t> </w:t>
                    </w:r>
                    <w:r>
                      <w:rPr>
                        <w:rFonts w:ascii="Arial" w:hAnsi="Arial"/>
                        <w:color w:val="414142"/>
                        <w:w w:val="120"/>
                        <w:sz w:val="18"/>
                      </w:rPr>
                      <w:t>lethal</w:t>
                    </w:r>
                    <w:r>
                      <w:rPr>
                        <w:rFonts w:ascii="Arial" w:hAnsi="Arial"/>
                        <w:color w:val="414142"/>
                        <w:spacing w:val="-14"/>
                        <w:w w:val="120"/>
                        <w:sz w:val="18"/>
                      </w:rPr>
                      <w:t> </w:t>
                    </w:r>
                    <w:r>
                      <w:rPr>
                        <w:rFonts w:ascii="Arial" w:hAnsi="Arial"/>
                        <w:color w:val="414142"/>
                        <w:w w:val="120"/>
                        <w:sz w:val="18"/>
                      </w:rPr>
                      <w:t>if</w:t>
                    </w:r>
                    <w:r>
                      <w:rPr>
                        <w:rFonts w:ascii="Arial" w:hAnsi="Arial"/>
                        <w:color w:val="414142"/>
                        <w:spacing w:val="-13"/>
                        <w:w w:val="120"/>
                        <w:sz w:val="18"/>
                      </w:rPr>
                      <w:t> </w:t>
                    </w:r>
                    <w:r>
                      <w:rPr>
                        <w:rFonts w:ascii="Arial" w:hAnsi="Arial"/>
                        <w:color w:val="414142"/>
                        <w:w w:val="120"/>
                        <w:sz w:val="18"/>
                      </w:rPr>
                      <w:t>the</w:t>
                    </w:r>
                    <w:r>
                      <w:rPr>
                        <w:rFonts w:ascii="Arial" w:hAnsi="Arial"/>
                        <w:color w:val="414142"/>
                        <w:spacing w:val="-14"/>
                        <w:w w:val="120"/>
                        <w:sz w:val="18"/>
                      </w:rPr>
                      <w:t> </w:t>
                    </w:r>
                    <w:r>
                      <w:rPr>
                        <w:rFonts w:ascii="Arial" w:hAnsi="Arial"/>
                        <w:color w:val="414142"/>
                        <w:w w:val="120"/>
                        <w:sz w:val="18"/>
                      </w:rPr>
                      <w:t>patient</w:t>
                    </w:r>
                    <w:r>
                      <w:rPr>
                        <w:rFonts w:ascii="Arial" w:hAnsi="Arial"/>
                        <w:color w:val="414142"/>
                        <w:spacing w:val="-13"/>
                        <w:w w:val="120"/>
                        <w:sz w:val="18"/>
                      </w:rPr>
                      <w:t> </w:t>
                    </w:r>
                    <w:r>
                      <w:rPr>
                        <w:rFonts w:ascii="Arial" w:hAnsi="Arial"/>
                        <w:color w:val="414142"/>
                        <w:w w:val="120"/>
                        <w:sz w:val="18"/>
                      </w:rPr>
                      <w:t>is</w:t>
                    </w:r>
                    <w:r>
                      <w:rPr>
                        <w:rFonts w:ascii="Arial" w:hAnsi="Arial"/>
                        <w:color w:val="414142"/>
                        <w:spacing w:val="-14"/>
                        <w:w w:val="120"/>
                        <w:sz w:val="18"/>
                      </w:rPr>
                      <w:t> </w:t>
                    </w:r>
                    <w:r>
                      <w:rPr>
                        <w:rFonts w:ascii="Arial" w:hAnsi="Arial"/>
                        <w:color w:val="414142"/>
                        <w:w w:val="120"/>
                        <w:sz w:val="18"/>
                      </w:rPr>
                      <w:t>not</w:t>
                    </w:r>
                    <w:r>
                      <w:rPr>
                        <w:rFonts w:ascii="Arial" w:hAnsi="Arial"/>
                        <w:color w:val="414142"/>
                        <w:spacing w:val="-13"/>
                        <w:w w:val="120"/>
                        <w:sz w:val="18"/>
                      </w:rPr>
                      <w:t> </w:t>
                    </w:r>
                    <w:r>
                      <w:rPr>
                        <w:rFonts w:ascii="Arial" w:hAnsi="Arial"/>
                        <w:color w:val="414142"/>
                        <w:w w:val="120"/>
                        <w:sz w:val="18"/>
                      </w:rPr>
                      <w:t>currently</w:t>
                    </w:r>
                    <w:r>
                      <w:rPr>
                        <w:rFonts w:ascii="Arial" w:hAnsi="Arial"/>
                        <w:color w:val="414142"/>
                        <w:spacing w:val="-14"/>
                        <w:w w:val="120"/>
                        <w:sz w:val="18"/>
                      </w:rPr>
                      <w:t> </w:t>
                    </w:r>
                    <w:r>
                      <w:rPr>
                        <w:rFonts w:ascii="Arial" w:hAnsi="Arial"/>
                        <w:color w:val="414142"/>
                        <w:w w:val="120"/>
                        <w:sz w:val="18"/>
                      </w:rPr>
                      <w:t>receiving methadone treatment and has relatively low tolerance to opioids. If it’s not possible to conﬁrm</w:t>
                    </w:r>
                    <w:r>
                      <w:rPr>
                        <w:rFonts w:ascii="Arial" w:hAnsi="Arial"/>
                        <w:color w:val="414142"/>
                        <w:spacing w:val="-26"/>
                        <w:w w:val="120"/>
                        <w:sz w:val="18"/>
                      </w:rPr>
                      <w:t> </w:t>
                    </w:r>
                    <w:r>
                      <w:rPr>
                        <w:rFonts w:ascii="Arial" w:hAnsi="Arial"/>
                        <w:color w:val="414142"/>
                        <w:w w:val="120"/>
                        <w:sz w:val="18"/>
                      </w:rPr>
                      <w:t>the</w:t>
                    </w:r>
                    <w:r>
                      <w:rPr>
                        <w:rFonts w:ascii="Arial" w:hAnsi="Arial"/>
                        <w:color w:val="414142"/>
                        <w:spacing w:val="-25"/>
                        <w:w w:val="120"/>
                        <w:sz w:val="18"/>
                      </w:rPr>
                      <w:t> </w:t>
                    </w:r>
                    <w:r>
                      <w:rPr>
                        <w:rFonts w:ascii="Arial" w:hAnsi="Arial"/>
                        <w:color w:val="414142"/>
                        <w:w w:val="120"/>
                        <w:sz w:val="18"/>
                      </w:rPr>
                      <w:t>patient’s</w:t>
                    </w:r>
                    <w:r>
                      <w:rPr>
                        <w:rFonts w:ascii="Arial" w:hAnsi="Arial"/>
                        <w:color w:val="414142"/>
                        <w:spacing w:val="-25"/>
                        <w:w w:val="120"/>
                        <w:sz w:val="18"/>
                      </w:rPr>
                      <w:t> </w:t>
                    </w:r>
                    <w:r>
                      <w:rPr>
                        <w:rFonts w:ascii="Arial" w:hAnsi="Arial"/>
                        <w:color w:val="414142"/>
                        <w:w w:val="120"/>
                        <w:sz w:val="18"/>
                      </w:rPr>
                      <w:t>methadone</w:t>
                    </w:r>
                    <w:r>
                      <w:rPr>
                        <w:rFonts w:ascii="Arial" w:hAnsi="Arial"/>
                        <w:color w:val="414142"/>
                        <w:spacing w:val="-25"/>
                        <w:w w:val="120"/>
                        <w:sz w:val="18"/>
                      </w:rPr>
                      <w:t> </w:t>
                    </w:r>
                    <w:r>
                      <w:rPr>
                        <w:rFonts w:ascii="Arial" w:hAnsi="Arial"/>
                        <w:color w:val="414142"/>
                        <w:w w:val="120"/>
                        <w:sz w:val="18"/>
                      </w:rPr>
                      <w:t>dose</w:t>
                    </w:r>
                    <w:r>
                      <w:rPr>
                        <w:rFonts w:ascii="Arial" w:hAnsi="Arial"/>
                        <w:color w:val="414142"/>
                        <w:spacing w:val="-25"/>
                        <w:w w:val="120"/>
                        <w:sz w:val="18"/>
                      </w:rPr>
                      <w:t> </w:t>
                    </w:r>
                    <w:r>
                      <w:rPr>
                        <w:rFonts w:ascii="Arial" w:hAnsi="Arial"/>
                        <w:color w:val="414142"/>
                        <w:w w:val="120"/>
                        <w:sz w:val="18"/>
                      </w:rPr>
                      <w:t>because the OTP is closed on nights or weekends and has</w:t>
                    </w:r>
                    <w:r>
                      <w:rPr>
                        <w:rFonts w:ascii="Arial" w:hAnsi="Arial"/>
                        <w:color w:val="414142"/>
                        <w:spacing w:val="-23"/>
                        <w:w w:val="120"/>
                        <w:sz w:val="18"/>
                      </w:rPr>
                      <w:t> </w:t>
                    </w:r>
                    <w:r>
                      <w:rPr>
                        <w:rFonts w:ascii="Arial" w:hAnsi="Arial"/>
                        <w:color w:val="414142"/>
                        <w:w w:val="120"/>
                        <w:sz w:val="18"/>
                      </w:rPr>
                      <w:t>no</w:t>
                    </w:r>
                    <w:r>
                      <w:rPr>
                        <w:rFonts w:ascii="Arial" w:hAnsi="Arial"/>
                        <w:color w:val="414142"/>
                        <w:spacing w:val="-22"/>
                        <w:w w:val="120"/>
                        <w:sz w:val="18"/>
                      </w:rPr>
                      <w:t> </w:t>
                    </w:r>
                    <w:r>
                      <w:rPr>
                        <w:rFonts w:ascii="Arial" w:hAnsi="Arial"/>
                        <w:color w:val="414142"/>
                        <w:w w:val="120"/>
                        <w:sz w:val="18"/>
                      </w:rPr>
                      <w:t>emergency</w:t>
                    </w:r>
                    <w:r>
                      <w:rPr>
                        <w:rFonts w:ascii="Arial" w:hAnsi="Arial"/>
                        <w:color w:val="414142"/>
                        <w:spacing w:val="-22"/>
                        <w:w w:val="120"/>
                        <w:sz w:val="18"/>
                      </w:rPr>
                      <w:t> </w:t>
                    </w:r>
                    <w:r>
                      <w:rPr>
                        <w:rFonts w:ascii="Arial" w:hAnsi="Arial"/>
                        <w:color w:val="414142"/>
                        <w:w w:val="120"/>
                        <w:sz w:val="18"/>
                      </w:rPr>
                      <w:t>contact,</w:t>
                    </w:r>
                    <w:r>
                      <w:rPr>
                        <w:rFonts w:ascii="Arial" w:hAnsi="Arial"/>
                        <w:color w:val="414142"/>
                        <w:spacing w:val="-22"/>
                        <w:w w:val="120"/>
                        <w:sz w:val="18"/>
                      </w:rPr>
                      <w:t> </w:t>
                    </w:r>
                    <w:r>
                      <w:rPr>
                        <w:rFonts w:ascii="Arial" w:hAnsi="Arial"/>
                        <w:color w:val="414142"/>
                        <w:w w:val="120"/>
                        <w:sz w:val="18"/>
                      </w:rPr>
                      <w:t>up</w:t>
                    </w:r>
                    <w:r>
                      <w:rPr>
                        <w:rFonts w:ascii="Arial" w:hAnsi="Arial"/>
                        <w:color w:val="414142"/>
                        <w:spacing w:val="-23"/>
                        <w:w w:val="120"/>
                        <w:sz w:val="18"/>
                      </w:rPr>
                      <w:t> </w:t>
                    </w:r>
                    <w:r>
                      <w:rPr>
                        <w:rFonts w:ascii="Arial" w:hAnsi="Arial"/>
                        <w:color w:val="414142"/>
                        <w:w w:val="120"/>
                        <w:sz w:val="18"/>
                      </w:rPr>
                      <w:t>to</w:t>
                    </w:r>
                    <w:r>
                      <w:rPr>
                        <w:rFonts w:ascii="Arial" w:hAnsi="Arial"/>
                        <w:color w:val="414142"/>
                        <w:spacing w:val="-22"/>
                        <w:w w:val="120"/>
                        <w:sz w:val="18"/>
                      </w:rPr>
                      <w:t> </w:t>
                    </w:r>
                    <w:r>
                      <w:rPr>
                        <w:rFonts w:ascii="Arial" w:hAnsi="Arial"/>
                        <w:color w:val="414142"/>
                        <w:w w:val="120"/>
                        <w:sz w:val="18"/>
                      </w:rPr>
                      <w:t>20</w:t>
                    </w:r>
                    <w:r>
                      <w:rPr>
                        <w:rFonts w:ascii="Arial" w:hAnsi="Arial"/>
                        <w:color w:val="414142"/>
                        <w:spacing w:val="-22"/>
                        <w:w w:val="120"/>
                        <w:sz w:val="18"/>
                      </w:rPr>
                      <w:t> </w:t>
                    </w:r>
                    <w:r>
                      <w:rPr>
                        <w:rFonts w:ascii="Arial" w:hAnsi="Arial"/>
                        <w:color w:val="414142"/>
                        <w:w w:val="120"/>
                        <w:sz w:val="18"/>
                      </w:rPr>
                      <w:t>mg</w:t>
                    </w:r>
                    <w:r>
                      <w:rPr>
                        <w:rFonts w:ascii="Arial" w:hAnsi="Arial"/>
                        <w:color w:val="414142"/>
                        <w:spacing w:val="-22"/>
                        <w:w w:val="120"/>
                        <w:sz w:val="18"/>
                      </w:rPr>
                      <w:t> </w:t>
                    </w:r>
                    <w:r>
                      <w:rPr>
                        <w:rFonts w:ascii="Arial" w:hAnsi="Arial"/>
                        <w:color w:val="414142"/>
                        <w:w w:val="120"/>
                        <w:sz w:val="18"/>
                      </w:rPr>
                      <w:t>per</w:t>
                    </w:r>
                    <w:r>
                      <w:rPr>
                        <w:rFonts w:ascii="Arial" w:hAnsi="Arial"/>
                        <w:color w:val="414142"/>
                        <w:spacing w:val="-23"/>
                        <w:w w:val="120"/>
                        <w:sz w:val="18"/>
                      </w:rPr>
                      <w:t> </w:t>
                    </w:r>
                    <w:r>
                      <w:rPr>
                        <w:rFonts w:ascii="Arial" w:hAnsi="Arial"/>
                        <w:color w:val="414142"/>
                        <w:w w:val="120"/>
                        <w:sz w:val="18"/>
                      </w:rPr>
                      <w:t>day can</w:t>
                    </w:r>
                    <w:r>
                      <w:rPr>
                        <w:rFonts w:ascii="Arial" w:hAnsi="Arial"/>
                        <w:color w:val="414142"/>
                        <w:spacing w:val="-16"/>
                        <w:w w:val="120"/>
                        <w:sz w:val="18"/>
                      </w:rPr>
                      <w:t> </w:t>
                    </w:r>
                    <w:r>
                      <w:rPr>
                        <w:rFonts w:ascii="Arial" w:hAnsi="Arial"/>
                        <w:color w:val="414142"/>
                        <w:w w:val="120"/>
                        <w:sz w:val="18"/>
                      </w:rPr>
                      <w:t>be</w:t>
                    </w:r>
                    <w:r>
                      <w:rPr>
                        <w:rFonts w:ascii="Arial" w:hAnsi="Arial"/>
                        <w:color w:val="414142"/>
                        <w:spacing w:val="-16"/>
                        <w:w w:val="120"/>
                        <w:sz w:val="18"/>
                      </w:rPr>
                      <w:t> </w:t>
                    </w:r>
                    <w:r>
                      <w:rPr>
                        <w:rFonts w:ascii="Arial" w:hAnsi="Arial"/>
                        <w:color w:val="414142"/>
                        <w:w w:val="120"/>
                        <w:sz w:val="18"/>
                      </w:rPr>
                      <w:t>administered</w:t>
                    </w:r>
                    <w:r>
                      <w:rPr>
                        <w:rFonts w:ascii="Arial" w:hAnsi="Arial"/>
                        <w:color w:val="414142"/>
                        <w:spacing w:val="-16"/>
                        <w:w w:val="120"/>
                        <w:sz w:val="18"/>
                      </w:rPr>
                      <w:t> </w:t>
                    </w:r>
                    <w:r>
                      <w:rPr>
                        <w:rFonts w:ascii="Arial" w:hAnsi="Arial"/>
                        <w:color w:val="414142"/>
                        <w:w w:val="120"/>
                        <w:sz w:val="18"/>
                      </w:rPr>
                      <w:t>to</w:t>
                    </w:r>
                    <w:r>
                      <w:rPr>
                        <w:rFonts w:ascii="Arial" w:hAnsi="Arial"/>
                        <w:color w:val="414142"/>
                        <w:spacing w:val="-16"/>
                        <w:w w:val="120"/>
                        <w:sz w:val="18"/>
                      </w:rPr>
                      <w:t> </w:t>
                    </w:r>
                    <w:r>
                      <w:rPr>
                        <w:rFonts w:ascii="Arial" w:hAnsi="Arial"/>
                        <w:color w:val="414142"/>
                        <w:w w:val="120"/>
                        <w:sz w:val="18"/>
                      </w:rPr>
                      <w:t>treat</w:t>
                    </w:r>
                    <w:r>
                      <w:rPr>
                        <w:rFonts w:ascii="Arial" w:hAnsi="Arial"/>
                        <w:color w:val="414142"/>
                        <w:spacing w:val="-16"/>
                        <w:w w:val="120"/>
                        <w:sz w:val="18"/>
                      </w:rPr>
                      <w:t> </w:t>
                    </w:r>
                    <w:r>
                      <w:rPr>
                        <w:rFonts w:ascii="Arial" w:hAnsi="Arial"/>
                        <w:color w:val="414142"/>
                        <w:w w:val="120"/>
                        <w:sz w:val="18"/>
                      </w:rPr>
                      <w:t>opioid</w:t>
                    </w:r>
                    <w:r>
                      <w:rPr>
                        <w:rFonts w:ascii="Arial" w:hAnsi="Arial"/>
                        <w:color w:val="414142"/>
                        <w:spacing w:val="-16"/>
                        <w:w w:val="120"/>
                        <w:sz w:val="18"/>
                      </w:rPr>
                      <w:t> </w:t>
                    </w:r>
                    <w:r>
                      <w:rPr>
                        <w:rFonts w:ascii="Arial" w:hAnsi="Arial"/>
                        <w:color w:val="414142"/>
                        <w:w w:val="120"/>
                        <w:sz w:val="18"/>
                      </w:rPr>
                      <w:t>withdrawal symptoms, but monitor for signs of opioid intoxication. If the patient shows no signs of sedation</w:t>
                    </w:r>
                    <w:r>
                      <w:rPr>
                        <w:rFonts w:ascii="Arial" w:hAnsi="Arial"/>
                        <w:color w:val="414142"/>
                        <w:spacing w:val="-16"/>
                        <w:w w:val="120"/>
                        <w:sz w:val="18"/>
                      </w:rPr>
                      <w:t> </w:t>
                    </w:r>
                    <w:r>
                      <w:rPr>
                        <w:rFonts w:ascii="Arial" w:hAnsi="Arial"/>
                        <w:color w:val="414142"/>
                        <w:w w:val="120"/>
                        <w:sz w:val="18"/>
                      </w:rPr>
                      <w:t>or</w:t>
                    </w:r>
                    <w:r>
                      <w:rPr>
                        <w:rFonts w:ascii="Arial" w:hAnsi="Arial"/>
                        <w:color w:val="414142"/>
                        <w:spacing w:val="-16"/>
                        <w:w w:val="120"/>
                        <w:sz w:val="18"/>
                      </w:rPr>
                      <w:t> </w:t>
                    </w:r>
                    <w:r>
                      <w:rPr>
                        <w:rFonts w:ascii="Arial" w:hAnsi="Arial"/>
                        <w:color w:val="414142"/>
                        <w:w w:val="120"/>
                        <w:sz w:val="18"/>
                      </w:rPr>
                      <w:t>opioid</w:t>
                    </w:r>
                    <w:r>
                      <w:rPr>
                        <w:rFonts w:ascii="Arial" w:hAnsi="Arial"/>
                        <w:color w:val="414142"/>
                        <w:spacing w:val="-16"/>
                        <w:w w:val="120"/>
                        <w:sz w:val="18"/>
                      </w:rPr>
                      <w:t> </w:t>
                    </w:r>
                    <w:r>
                      <w:rPr>
                        <w:rFonts w:ascii="Arial" w:hAnsi="Arial"/>
                        <w:color w:val="414142"/>
                        <w:w w:val="120"/>
                        <w:sz w:val="18"/>
                      </w:rPr>
                      <w:t>intoxication</w:t>
                    </w:r>
                    <w:r>
                      <w:rPr>
                        <w:rFonts w:ascii="Arial" w:hAnsi="Arial"/>
                        <w:color w:val="414142"/>
                        <w:spacing w:val="-16"/>
                        <w:w w:val="120"/>
                        <w:sz w:val="18"/>
                      </w:rPr>
                      <w:t> </w:t>
                    </w:r>
                    <w:r>
                      <w:rPr>
                        <w:rFonts w:ascii="Arial" w:hAnsi="Arial"/>
                        <w:color w:val="414142"/>
                        <w:w w:val="120"/>
                        <w:sz w:val="18"/>
                      </w:rPr>
                      <w:t>3</w:t>
                    </w:r>
                    <w:r>
                      <w:rPr>
                        <w:rFonts w:ascii="Arial" w:hAnsi="Arial"/>
                        <w:color w:val="414142"/>
                        <w:spacing w:val="-16"/>
                        <w:w w:val="120"/>
                        <w:sz w:val="18"/>
                      </w:rPr>
                      <w:t> </w:t>
                    </w:r>
                    <w:r>
                      <w:rPr>
                        <w:rFonts w:ascii="Arial" w:hAnsi="Arial"/>
                        <w:color w:val="414142"/>
                        <w:w w:val="120"/>
                        <w:sz w:val="18"/>
                      </w:rPr>
                      <w:t>to</w:t>
                    </w:r>
                    <w:r>
                      <w:rPr>
                        <w:rFonts w:ascii="Arial" w:hAnsi="Arial"/>
                        <w:color w:val="414142"/>
                        <w:spacing w:val="-15"/>
                        <w:w w:val="120"/>
                        <w:sz w:val="18"/>
                      </w:rPr>
                      <w:t> </w:t>
                    </w:r>
                    <w:r>
                      <w:rPr>
                        <w:rFonts w:ascii="Arial" w:hAnsi="Arial"/>
                        <w:color w:val="414142"/>
                        <w:w w:val="120"/>
                        <w:sz w:val="18"/>
                      </w:rPr>
                      <w:t>4</w:t>
                    </w:r>
                    <w:r>
                      <w:rPr>
                        <w:rFonts w:ascii="Arial" w:hAnsi="Arial"/>
                        <w:color w:val="414142"/>
                        <w:spacing w:val="-16"/>
                        <w:w w:val="120"/>
                        <w:sz w:val="18"/>
                      </w:rPr>
                      <w:t> </w:t>
                    </w:r>
                    <w:r>
                      <w:rPr>
                        <w:rFonts w:ascii="Arial" w:hAnsi="Arial"/>
                        <w:color w:val="414142"/>
                        <w:w w:val="120"/>
                        <w:sz w:val="18"/>
                      </w:rPr>
                      <w:t>hours</w:t>
                    </w:r>
                  </w:p>
                  <w:p>
                    <w:pPr>
                      <w:spacing w:line="348" w:lineRule="auto" w:before="0"/>
                      <w:ind w:left="230" w:right="296" w:firstLine="0"/>
                      <w:jc w:val="left"/>
                      <w:rPr>
                        <w:rFonts w:ascii="Arial"/>
                        <w:sz w:val="18"/>
                      </w:rPr>
                    </w:pPr>
                    <w:r>
                      <w:rPr>
                        <w:rFonts w:ascii="Arial"/>
                        <w:color w:val="414142"/>
                        <w:w w:val="120"/>
                        <w:sz w:val="18"/>
                      </w:rPr>
                      <w:t>after the initial dose and continues to display symptoms</w:t>
                    </w:r>
                    <w:r>
                      <w:rPr>
                        <w:rFonts w:ascii="Arial"/>
                        <w:color w:val="414142"/>
                        <w:spacing w:val="-19"/>
                        <w:w w:val="120"/>
                        <w:sz w:val="18"/>
                      </w:rPr>
                      <w:t> </w:t>
                    </w:r>
                    <w:r>
                      <w:rPr>
                        <w:rFonts w:ascii="Arial"/>
                        <w:color w:val="414142"/>
                        <w:w w:val="120"/>
                        <w:sz w:val="18"/>
                      </w:rPr>
                      <w:t>of</w:t>
                    </w:r>
                    <w:r>
                      <w:rPr>
                        <w:rFonts w:ascii="Arial"/>
                        <w:color w:val="414142"/>
                        <w:spacing w:val="-18"/>
                        <w:w w:val="120"/>
                        <w:sz w:val="18"/>
                      </w:rPr>
                      <w:t> </w:t>
                    </w:r>
                    <w:r>
                      <w:rPr>
                        <w:rFonts w:ascii="Arial"/>
                        <w:color w:val="414142"/>
                        <w:w w:val="120"/>
                        <w:sz w:val="18"/>
                      </w:rPr>
                      <w:t>withdrawal,</w:t>
                    </w:r>
                    <w:r>
                      <w:rPr>
                        <w:rFonts w:ascii="Arial"/>
                        <w:color w:val="414142"/>
                        <w:spacing w:val="-18"/>
                        <w:w w:val="120"/>
                        <w:sz w:val="18"/>
                      </w:rPr>
                      <w:t> </w:t>
                    </w:r>
                    <w:r>
                      <w:rPr>
                        <w:rFonts w:ascii="Arial"/>
                        <w:color w:val="414142"/>
                        <w:w w:val="120"/>
                        <w:sz w:val="18"/>
                      </w:rPr>
                      <w:t>an</w:t>
                    </w:r>
                    <w:r>
                      <w:rPr>
                        <w:rFonts w:ascii="Arial"/>
                        <w:color w:val="414142"/>
                        <w:spacing w:val="-18"/>
                        <w:w w:val="120"/>
                        <w:sz w:val="18"/>
                      </w:rPr>
                      <w:t> </w:t>
                    </w:r>
                    <w:r>
                      <w:rPr>
                        <w:rFonts w:ascii="Arial"/>
                        <w:color w:val="414142"/>
                        <w:w w:val="120"/>
                        <w:sz w:val="18"/>
                      </w:rPr>
                      <w:t>additional</w:t>
                    </w:r>
                    <w:r>
                      <w:rPr>
                        <w:rFonts w:ascii="Arial"/>
                        <w:color w:val="414142"/>
                        <w:spacing w:val="-18"/>
                        <w:w w:val="120"/>
                        <w:sz w:val="18"/>
                      </w:rPr>
                      <w:t> </w:t>
                    </w:r>
                    <w:r>
                      <w:rPr>
                        <w:rFonts w:ascii="Arial"/>
                        <w:color w:val="414142"/>
                        <w:w w:val="120"/>
                        <w:sz w:val="18"/>
                      </w:rPr>
                      <w:t>5</w:t>
                    </w:r>
                    <w:r>
                      <w:rPr>
                        <w:rFonts w:ascii="Arial"/>
                        <w:color w:val="414142"/>
                        <w:spacing w:val="-18"/>
                        <w:w w:val="120"/>
                        <w:sz w:val="18"/>
                      </w:rPr>
                      <w:t> </w:t>
                    </w:r>
                    <w:r>
                      <w:rPr>
                        <w:rFonts w:ascii="Arial"/>
                        <w:color w:val="414142"/>
                        <w:w w:val="120"/>
                        <w:sz w:val="18"/>
                      </w:rPr>
                      <w:t>mg</w:t>
                    </w:r>
                    <w:r>
                      <w:rPr>
                        <w:rFonts w:ascii="Arial"/>
                        <w:color w:val="414142"/>
                        <w:spacing w:val="-18"/>
                        <w:w w:val="120"/>
                        <w:sz w:val="18"/>
                      </w:rPr>
                      <w:t> </w:t>
                    </w:r>
                    <w:r>
                      <w:rPr>
                        <w:rFonts w:ascii="Arial"/>
                        <w:color w:val="414142"/>
                        <w:w w:val="120"/>
                        <w:sz w:val="18"/>
                      </w:rPr>
                      <w:t>to 10</w:t>
                    </w:r>
                    <w:r>
                      <w:rPr>
                        <w:rFonts w:ascii="Arial"/>
                        <w:color w:val="414142"/>
                        <w:spacing w:val="-16"/>
                        <w:w w:val="120"/>
                        <w:sz w:val="18"/>
                      </w:rPr>
                      <w:t> </w:t>
                    </w:r>
                    <w:r>
                      <w:rPr>
                        <w:rFonts w:ascii="Arial"/>
                        <w:color w:val="414142"/>
                        <w:w w:val="120"/>
                        <w:sz w:val="18"/>
                      </w:rPr>
                      <w:t>mg</w:t>
                    </w:r>
                    <w:r>
                      <w:rPr>
                        <w:rFonts w:ascii="Arial"/>
                        <w:color w:val="414142"/>
                        <w:spacing w:val="-16"/>
                        <w:w w:val="120"/>
                        <w:sz w:val="18"/>
                      </w:rPr>
                      <w:t> </w:t>
                    </w:r>
                    <w:r>
                      <w:rPr>
                        <w:rFonts w:ascii="Arial"/>
                        <w:color w:val="414142"/>
                        <w:w w:val="120"/>
                        <w:sz w:val="18"/>
                      </w:rPr>
                      <w:t>may</w:t>
                    </w:r>
                    <w:r>
                      <w:rPr>
                        <w:rFonts w:ascii="Arial"/>
                        <w:color w:val="414142"/>
                        <w:spacing w:val="-15"/>
                        <w:w w:val="120"/>
                        <w:sz w:val="18"/>
                      </w:rPr>
                      <w:t> </w:t>
                    </w:r>
                    <w:r>
                      <w:rPr>
                        <w:rFonts w:ascii="Arial"/>
                        <w:color w:val="414142"/>
                        <w:w w:val="120"/>
                        <w:sz w:val="18"/>
                      </w:rPr>
                      <w:t>be</w:t>
                    </w:r>
                    <w:r>
                      <w:rPr>
                        <w:rFonts w:ascii="Arial"/>
                        <w:color w:val="414142"/>
                        <w:spacing w:val="-16"/>
                        <w:w w:val="120"/>
                        <w:sz w:val="18"/>
                      </w:rPr>
                      <w:t> </w:t>
                    </w:r>
                    <w:r>
                      <w:rPr>
                        <w:rFonts w:ascii="Arial"/>
                        <w:color w:val="414142"/>
                        <w:w w:val="120"/>
                        <w:sz w:val="18"/>
                      </w:rPr>
                      <w:t>safe</w:t>
                    </w:r>
                    <w:r>
                      <w:rPr>
                        <w:rFonts w:ascii="Arial"/>
                        <w:color w:val="414142"/>
                        <w:spacing w:val="-16"/>
                        <w:w w:val="120"/>
                        <w:sz w:val="18"/>
                      </w:rPr>
                      <w:t> </w:t>
                    </w:r>
                    <w:r>
                      <w:rPr>
                        <w:rFonts w:ascii="Arial"/>
                        <w:color w:val="414142"/>
                        <w:w w:val="120"/>
                        <w:sz w:val="18"/>
                      </w:rPr>
                      <w:t>to</w:t>
                    </w:r>
                    <w:r>
                      <w:rPr>
                        <w:rFonts w:ascii="Arial"/>
                        <w:color w:val="414142"/>
                        <w:spacing w:val="-15"/>
                        <w:w w:val="120"/>
                        <w:sz w:val="18"/>
                      </w:rPr>
                      <w:t> </w:t>
                    </w:r>
                    <w:r>
                      <w:rPr>
                        <w:rFonts w:ascii="Arial"/>
                        <w:color w:val="414142"/>
                        <w:w w:val="120"/>
                        <w:sz w:val="18"/>
                      </w:rPr>
                      <w:t>administer.</w:t>
                    </w:r>
                  </w:p>
                </w:txbxContent>
              </v:textbox>
              <w10:wrap type="none"/>
            </v:shape>
            <v:shape style="position:absolute;left:6310;top:350;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w w:val="105"/>
                        <w:sz w:val="26"/>
                      </w:rPr>
                      <w:t>CLINICAL CAUTION</w:t>
                    </w:r>
                  </w:p>
                </w:txbxContent>
              </v:textbox>
              <v:fill type="solid"/>
              <w10:wrap type="none"/>
            </v:shape>
            <w10:wrap type="none"/>
          </v:group>
        </w:pict>
      </w:r>
      <w:r>
        <w:rPr>
          <w:rFonts w:ascii="Calibri"/>
          <w:b/>
          <w:color w:val="4D4D4F"/>
          <w:w w:val="110"/>
          <w:sz w:val="22"/>
        </w:rPr>
        <w:t>maintenance treatment. </w:t>
      </w:r>
      <w:r>
        <w:rPr>
          <w:color w:val="4D4D4F"/>
          <w:w w:val="110"/>
          <w:sz w:val="22"/>
        </w:rPr>
        <w:t>This includes </w:t>
      </w:r>
      <w:r>
        <w:rPr>
          <w:color w:val="4D4D4F"/>
          <w:spacing w:val="-4"/>
          <w:w w:val="110"/>
          <w:sz w:val="22"/>
        </w:rPr>
        <w:t>pregnant </w:t>
      </w:r>
      <w:r>
        <w:rPr>
          <w:color w:val="4D4D4F"/>
          <w:w w:val="110"/>
          <w:sz w:val="22"/>
        </w:rPr>
        <w:t>women. Generally, only physicians in</w:t>
      </w:r>
      <w:r>
        <w:rPr>
          <w:color w:val="4D4D4F"/>
          <w:spacing w:val="-34"/>
          <w:w w:val="110"/>
          <w:sz w:val="22"/>
        </w:rPr>
        <w:t> </w:t>
      </w:r>
      <w:r>
        <w:rPr>
          <w:color w:val="4D4D4F"/>
          <w:w w:val="110"/>
          <w:sz w:val="22"/>
        </w:rPr>
        <w:t>OTPs</w:t>
      </w:r>
    </w:p>
    <w:p>
      <w:pPr>
        <w:spacing w:line="237" w:lineRule="auto" w:before="9"/>
        <w:ind w:left="140" w:right="306" w:firstLine="0"/>
        <w:jc w:val="both"/>
        <w:rPr>
          <w:rFonts w:ascii="Calibri"/>
          <w:b/>
          <w:sz w:val="13"/>
        </w:rPr>
      </w:pPr>
      <w:r>
        <w:rPr>
          <w:color w:val="4D4D4F"/>
          <w:w w:val="110"/>
          <w:sz w:val="22"/>
        </w:rPr>
        <w:t>can</w:t>
      </w:r>
      <w:r>
        <w:rPr>
          <w:color w:val="4D4D4F"/>
          <w:spacing w:val="-17"/>
          <w:w w:val="110"/>
          <w:sz w:val="22"/>
        </w:rPr>
        <w:t> </w:t>
      </w:r>
      <w:r>
        <w:rPr>
          <w:color w:val="4D4D4F"/>
          <w:w w:val="110"/>
          <w:sz w:val="22"/>
        </w:rPr>
        <w:t>order</w:t>
      </w:r>
      <w:r>
        <w:rPr>
          <w:color w:val="4D4D4F"/>
          <w:spacing w:val="-16"/>
          <w:w w:val="110"/>
          <w:sz w:val="22"/>
        </w:rPr>
        <w:t> </w:t>
      </w:r>
      <w:r>
        <w:rPr>
          <w:color w:val="4D4D4F"/>
          <w:w w:val="110"/>
          <w:sz w:val="22"/>
        </w:rPr>
        <w:t>methadone</w:t>
      </w:r>
      <w:r>
        <w:rPr>
          <w:color w:val="4D4D4F"/>
          <w:spacing w:val="-16"/>
          <w:w w:val="110"/>
          <w:sz w:val="22"/>
        </w:rPr>
        <w:t> </w:t>
      </w:r>
      <w:r>
        <w:rPr>
          <w:color w:val="4D4D4F"/>
          <w:w w:val="110"/>
          <w:sz w:val="22"/>
        </w:rPr>
        <w:t>to</w:t>
      </w:r>
      <w:r>
        <w:rPr>
          <w:color w:val="4D4D4F"/>
          <w:spacing w:val="-16"/>
          <w:w w:val="110"/>
          <w:sz w:val="22"/>
        </w:rPr>
        <w:t> </w:t>
      </w:r>
      <w:r>
        <w:rPr>
          <w:color w:val="4D4D4F"/>
          <w:w w:val="110"/>
          <w:sz w:val="22"/>
        </w:rPr>
        <w:t>treat</w:t>
      </w:r>
      <w:r>
        <w:rPr>
          <w:color w:val="4D4D4F"/>
          <w:spacing w:val="-16"/>
          <w:w w:val="110"/>
          <w:sz w:val="22"/>
        </w:rPr>
        <w:t> </w:t>
      </w:r>
      <w:r>
        <w:rPr>
          <w:color w:val="4D4D4F"/>
          <w:w w:val="110"/>
          <w:sz w:val="22"/>
        </w:rPr>
        <w:t>OUD.</w:t>
      </w:r>
      <w:r>
        <w:rPr>
          <w:color w:val="4D4D4F"/>
          <w:spacing w:val="-16"/>
          <w:w w:val="110"/>
          <w:sz w:val="22"/>
        </w:rPr>
        <w:t> </w:t>
      </w:r>
      <w:r>
        <w:rPr>
          <w:color w:val="4D4D4F"/>
          <w:spacing w:val="-3"/>
          <w:w w:val="110"/>
          <w:sz w:val="22"/>
        </w:rPr>
        <w:t>However, </w:t>
      </w:r>
      <w:r>
        <w:rPr>
          <w:rFonts w:ascii="Calibri"/>
          <w:b/>
          <w:color w:val="4D4D4F"/>
          <w:w w:val="110"/>
          <w:sz w:val="22"/>
        </w:rPr>
        <w:t>physicians in an inpatient setting can legally order methadone administration to </w:t>
      </w:r>
      <w:r>
        <w:rPr>
          <w:rFonts w:ascii="Calibri"/>
          <w:b/>
          <w:color w:val="4D4D4F"/>
          <w:spacing w:val="-3"/>
          <w:w w:val="110"/>
          <w:sz w:val="22"/>
        </w:rPr>
        <w:t>patients </w:t>
      </w:r>
      <w:r>
        <w:rPr>
          <w:rFonts w:ascii="Calibri"/>
          <w:b/>
          <w:color w:val="4D4D4F"/>
          <w:w w:val="110"/>
          <w:sz w:val="22"/>
        </w:rPr>
        <w:t>admitted primarily for other</w:t>
      </w:r>
      <w:r>
        <w:rPr>
          <w:rFonts w:ascii="Calibri"/>
          <w:b/>
          <w:color w:val="4D4D4F"/>
          <w:spacing w:val="14"/>
          <w:w w:val="110"/>
          <w:sz w:val="22"/>
        </w:rPr>
        <w:t> </w:t>
      </w:r>
      <w:r>
        <w:rPr>
          <w:rFonts w:ascii="Calibri"/>
          <w:b/>
          <w:color w:val="4D4D4F"/>
          <w:w w:val="110"/>
          <w:sz w:val="22"/>
        </w:rPr>
        <w:t>reasons.</w:t>
      </w:r>
      <w:r>
        <w:rPr>
          <w:rFonts w:ascii="Calibri"/>
          <w:b/>
          <w:color w:val="4D4D4F"/>
          <w:w w:val="110"/>
          <w:position w:val="7"/>
          <w:sz w:val="13"/>
        </w:rPr>
        <w:t>398</w:t>
      </w:r>
    </w:p>
    <w:p>
      <w:pPr>
        <w:pStyle w:val="Heading7"/>
        <w:spacing w:line="235" w:lineRule="auto" w:before="183"/>
        <w:ind w:right="47"/>
      </w:pPr>
      <w:r>
        <w:rPr>
          <w:color w:val="4D4D4F"/>
          <w:w w:val="115"/>
        </w:rPr>
        <w:t>Contact the patient’s OTP directly to conﬁrm the outpatient methadone dose, the last</w:t>
      </w:r>
    </w:p>
    <w:p>
      <w:pPr>
        <w:spacing w:line="235" w:lineRule="auto" w:before="2"/>
        <w:ind w:left="140" w:right="340" w:firstLine="0"/>
        <w:jc w:val="left"/>
        <w:rPr>
          <w:rFonts w:ascii="Calibri"/>
          <w:b/>
          <w:sz w:val="22"/>
        </w:rPr>
      </w:pPr>
      <w:r>
        <w:rPr>
          <w:rFonts w:ascii="Calibri"/>
          <w:b/>
          <w:color w:val="4D4D4F"/>
          <w:w w:val="110"/>
          <w:sz w:val="22"/>
        </w:rPr>
        <w:t>day of dose administration,  and  whether the patient was dispensed take-home </w:t>
      </w:r>
      <w:r>
        <w:rPr>
          <w:rFonts w:ascii="Calibri"/>
          <w:b/>
          <w:color w:val="4D4D4F"/>
          <w:spacing w:val="-4"/>
          <w:w w:val="110"/>
          <w:sz w:val="22"/>
        </w:rPr>
        <w:t>doses </w:t>
      </w:r>
      <w:r>
        <w:rPr>
          <w:rFonts w:ascii="Calibri"/>
          <w:b/>
          <w:color w:val="4D4D4F"/>
          <w:w w:val="110"/>
          <w:sz w:val="22"/>
        </w:rPr>
        <w:t>(and how many doses) after the last dose administration at the </w:t>
      </w:r>
      <w:r>
        <w:rPr>
          <w:rFonts w:ascii="Calibri"/>
          <w:b/>
          <w:color w:val="4D4D4F"/>
          <w:spacing w:val="-10"/>
          <w:w w:val="110"/>
          <w:sz w:val="22"/>
        </w:rPr>
        <w:t>OTP. </w:t>
      </w:r>
      <w:r>
        <w:rPr>
          <w:rFonts w:ascii="Calibri"/>
          <w:b/>
          <w:color w:val="4D4D4F"/>
          <w:w w:val="110"/>
          <w:sz w:val="22"/>
        </w:rPr>
        <w:t>This is to avoid double</w:t>
      </w:r>
      <w:r>
        <w:rPr>
          <w:rFonts w:ascii="Calibri"/>
          <w:b/>
          <w:color w:val="4D4D4F"/>
          <w:spacing w:val="25"/>
          <w:w w:val="110"/>
          <w:sz w:val="22"/>
        </w:rPr>
        <w:t> </w:t>
      </w:r>
      <w:r>
        <w:rPr>
          <w:rFonts w:ascii="Calibri"/>
          <w:b/>
          <w:color w:val="4D4D4F"/>
          <w:w w:val="110"/>
          <w:sz w:val="22"/>
        </w:rPr>
        <w:t>dosing</w:t>
      </w:r>
      <w:r>
        <w:rPr>
          <w:rFonts w:ascii="Calibri"/>
          <w:b/>
          <w:color w:val="4D4D4F"/>
          <w:spacing w:val="25"/>
          <w:w w:val="110"/>
          <w:sz w:val="22"/>
        </w:rPr>
        <w:t> </w:t>
      </w:r>
      <w:r>
        <w:rPr>
          <w:rFonts w:ascii="Calibri"/>
          <w:b/>
          <w:color w:val="4D4D4F"/>
          <w:w w:val="110"/>
          <w:sz w:val="22"/>
        </w:rPr>
        <w:t>and</w:t>
      </w:r>
      <w:r>
        <w:rPr>
          <w:rFonts w:ascii="Calibri"/>
          <w:b/>
          <w:color w:val="4D4D4F"/>
          <w:spacing w:val="25"/>
          <w:w w:val="110"/>
          <w:sz w:val="22"/>
        </w:rPr>
        <w:t> </w:t>
      </w:r>
      <w:r>
        <w:rPr>
          <w:rFonts w:ascii="Calibri"/>
          <w:b/>
          <w:color w:val="4D4D4F"/>
          <w:w w:val="110"/>
          <w:sz w:val="22"/>
        </w:rPr>
        <w:t>to</w:t>
      </w:r>
      <w:r>
        <w:rPr>
          <w:rFonts w:ascii="Calibri"/>
          <w:b/>
          <w:color w:val="4D4D4F"/>
          <w:spacing w:val="25"/>
          <w:w w:val="110"/>
          <w:sz w:val="22"/>
        </w:rPr>
        <w:t> </w:t>
      </w:r>
      <w:r>
        <w:rPr>
          <w:rFonts w:ascii="Calibri"/>
          <w:b/>
          <w:color w:val="4D4D4F"/>
          <w:w w:val="110"/>
          <w:sz w:val="22"/>
        </w:rPr>
        <w:t>avoid</w:t>
      </w:r>
      <w:r>
        <w:rPr>
          <w:rFonts w:ascii="Calibri"/>
          <w:b/>
          <w:color w:val="4D4D4F"/>
          <w:spacing w:val="25"/>
          <w:w w:val="110"/>
          <w:sz w:val="22"/>
        </w:rPr>
        <w:t> </w:t>
      </w:r>
      <w:r>
        <w:rPr>
          <w:rFonts w:ascii="Calibri"/>
          <w:b/>
          <w:color w:val="4D4D4F"/>
          <w:w w:val="110"/>
          <w:sz w:val="22"/>
        </w:rPr>
        <w:t>providing</w:t>
      </w:r>
      <w:r>
        <w:rPr>
          <w:rFonts w:ascii="Calibri"/>
          <w:b/>
          <w:color w:val="4D4D4F"/>
          <w:spacing w:val="25"/>
          <w:w w:val="110"/>
          <w:sz w:val="22"/>
        </w:rPr>
        <w:t> </w:t>
      </w:r>
      <w:r>
        <w:rPr>
          <w:rFonts w:ascii="Calibri"/>
          <w:b/>
          <w:color w:val="4D4D4F"/>
          <w:w w:val="110"/>
          <w:sz w:val="22"/>
        </w:rPr>
        <w:t>a</w:t>
      </w:r>
      <w:r>
        <w:rPr>
          <w:rFonts w:ascii="Calibri"/>
          <w:b/>
          <w:color w:val="4D4D4F"/>
          <w:spacing w:val="25"/>
          <w:w w:val="110"/>
          <w:sz w:val="22"/>
        </w:rPr>
        <w:t> </w:t>
      </w:r>
      <w:r>
        <w:rPr>
          <w:rFonts w:ascii="Calibri"/>
          <w:b/>
          <w:color w:val="4D4D4F"/>
          <w:w w:val="110"/>
          <w:sz w:val="22"/>
        </w:rPr>
        <w:t>full</w:t>
      </w:r>
    </w:p>
    <w:p>
      <w:pPr>
        <w:spacing w:line="242" w:lineRule="auto" w:before="0"/>
        <w:ind w:left="140" w:right="54" w:firstLine="0"/>
        <w:jc w:val="left"/>
        <w:rPr>
          <w:sz w:val="22"/>
        </w:rPr>
      </w:pPr>
      <w:r>
        <w:rPr>
          <w:rFonts w:ascii="Calibri" w:hAnsi="Calibri"/>
          <w:b/>
          <w:color w:val="4D4D4F"/>
          <w:w w:val="110"/>
          <w:sz w:val="22"/>
        </w:rPr>
        <w:t>dose to a patient who hasn’t been to the OTP for several days. </w:t>
      </w:r>
      <w:r>
        <w:rPr>
          <w:color w:val="4D4D4F"/>
          <w:w w:val="110"/>
          <w:sz w:val="22"/>
        </w:rPr>
        <w:t>Notify the OTP of the patient’s admission and discharge so that OTP staff is aware of:</w:t>
      </w:r>
    </w:p>
    <w:p>
      <w:pPr>
        <w:pStyle w:val="ListParagraph"/>
        <w:numPr>
          <w:ilvl w:val="0"/>
          <w:numId w:val="29"/>
        </w:numPr>
        <w:tabs>
          <w:tab w:pos="410" w:val="left" w:leader="none"/>
        </w:tabs>
        <w:spacing w:line="315" w:lineRule="exact" w:before="100" w:after="0"/>
        <w:ind w:left="410" w:right="0" w:hanging="270"/>
        <w:jc w:val="left"/>
        <w:rPr>
          <w:rFonts w:ascii="Arial" w:hAnsi="Arial"/>
          <w:color w:val="137692"/>
          <w:sz w:val="28"/>
        </w:rPr>
      </w:pPr>
      <w:r>
        <w:rPr>
          <w:color w:val="4D4D4F"/>
          <w:w w:val="115"/>
          <w:sz w:val="22"/>
        </w:rPr>
        <w:t>The patient’s upcoming missed</w:t>
      </w:r>
      <w:r>
        <w:rPr>
          <w:color w:val="4D4D4F"/>
          <w:spacing w:val="-53"/>
          <w:w w:val="115"/>
          <w:sz w:val="22"/>
        </w:rPr>
        <w:t> </w:t>
      </w:r>
      <w:r>
        <w:rPr>
          <w:color w:val="4D4D4F"/>
          <w:w w:val="115"/>
          <w:sz w:val="22"/>
        </w:rPr>
        <w:t>visits.</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Medications</w:t>
      </w:r>
      <w:r>
        <w:rPr>
          <w:color w:val="4D4D4F"/>
          <w:spacing w:val="-22"/>
          <w:w w:val="115"/>
          <w:sz w:val="22"/>
        </w:rPr>
        <w:t> </w:t>
      </w:r>
      <w:r>
        <w:rPr>
          <w:color w:val="4D4D4F"/>
          <w:w w:val="115"/>
          <w:sz w:val="22"/>
        </w:rPr>
        <w:t>received</w:t>
      </w:r>
      <w:r>
        <w:rPr>
          <w:color w:val="4D4D4F"/>
          <w:spacing w:val="-21"/>
          <w:w w:val="115"/>
          <w:sz w:val="22"/>
        </w:rPr>
        <w:t> </w:t>
      </w:r>
      <w:r>
        <w:rPr>
          <w:color w:val="4D4D4F"/>
          <w:w w:val="115"/>
          <w:sz w:val="22"/>
        </w:rPr>
        <w:t>during</w:t>
      </w:r>
      <w:r>
        <w:rPr>
          <w:color w:val="4D4D4F"/>
          <w:spacing w:val="-21"/>
          <w:w w:val="115"/>
          <w:sz w:val="22"/>
        </w:rPr>
        <w:t> </w:t>
      </w:r>
      <w:r>
        <w:rPr>
          <w:color w:val="4D4D4F"/>
          <w:w w:val="115"/>
          <w:sz w:val="22"/>
        </w:rPr>
        <w:t>hospitalization.</w:t>
      </w:r>
    </w:p>
    <w:p>
      <w:pPr>
        <w:pStyle w:val="ListParagraph"/>
        <w:numPr>
          <w:ilvl w:val="0"/>
          <w:numId w:val="29"/>
        </w:numPr>
        <w:tabs>
          <w:tab w:pos="410" w:val="left" w:leader="none"/>
        </w:tabs>
        <w:spacing w:line="315" w:lineRule="exact" w:before="0" w:after="0"/>
        <w:ind w:left="410" w:right="0" w:hanging="270"/>
        <w:jc w:val="left"/>
        <w:rPr>
          <w:rFonts w:ascii="Arial" w:hAnsi="Arial"/>
          <w:color w:val="137692"/>
          <w:sz w:val="28"/>
        </w:rPr>
      </w:pPr>
      <w:r>
        <w:rPr>
          <w:color w:val="4D4D4F"/>
          <w:w w:val="115"/>
          <w:sz w:val="22"/>
        </w:rPr>
        <w:t>Medications prescribed at</w:t>
      </w:r>
      <w:r>
        <w:rPr>
          <w:color w:val="4D4D4F"/>
          <w:spacing w:val="-37"/>
          <w:w w:val="115"/>
          <w:sz w:val="22"/>
        </w:rPr>
        <w:t> </w:t>
      </w:r>
      <w:r>
        <w:rPr>
          <w:color w:val="4D4D4F"/>
          <w:w w:val="115"/>
          <w:sz w:val="22"/>
        </w:rPr>
        <w:t>discharge.</w:t>
      </w:r>
    </w:p>
    <w:p>
      <w:pPr>
        <w:spacing w:line="237" w:lineRule="auto" w:before="137"/>
        <w:ind w:left="140" w:right="67" w:firstLine="0"/>
        <w:jc w:val="left"/>
        <w:rPr>
          <w:sz w:val="22"/>
        </w:rPr>
      </w:pPr>
      <w:r>
        <w:rPr>
          <w:rFonts w:ascii="Calibri"/>
          <w:b/>
          <w:color w:val="4D4D4F"/>
          <w:w w:val="110"/>
          <w:sz w:val="22"/>
        </w:rPr>
        <w:t>Patients in pain should receive their full usual daily dose of methadone, barring contraindi- cations. </w:t>
      </w:r>
      <w:r>
        <w:rPr>
          <w:color w:val="4D4D4F"/>
          <w:w w:val="110"/>
          <w:sz w:val="22"/>
        </w:rPr>
        <w:t>This is their baseline dose and should not be considered a dose for pain management.</w:t>
      </w:r>
    </w:p>
    <w:p>
      <w:pPr>
        <w:pStyle w:val="Heading7"/>
        <w:spacing w:line="304" w:lineRule="auto" w:before="145"/>
        <w:ind w:left="438" w:right="594"/>
        <w:rPr>
          <w:rFonts w:ascii="Arial"/>
        </w:rPr>
      </w:pPr>
      <w:r>
        <w:rPr>
          <w:b w:val="0"/>
        </w:rPr>
        <w:br w:type="column"/>
      </w:r>
      <w:r>
        <w:rPr>
          <w:rFonts w:ascii="Arial"/>
          <w:color w:val="B15651"/>
          <w:w w:val="115"/>
        </w:rPr>
        <w:t>The expert panel for this Treatment Improvement Protocol (TIP) recommends restarting buprenorphine before</w:t>
      </w:r>
      <w:r>
        <w:rPr>
          <w:rFonts w:ascii="Arial"/>
          <w:color w:val="B15651"/>
          <w:spacing w:val="-54"/>
          <w:w w:val="115"/>
        </w:rPr>
        <w:t> </w:t>
      </w:r>
      <w:r>
        <w:rPr>
          <w:rFonts w:ascii="Arial"/>
          <w:color w:val="B15651"/>
          <w:w w:val="115"/>
        </w:rPr>
        <w:t>discharge</w:t>
      </w:r>
    </w:p>
    <w:p>
      <w:pPr>
        <w:spacing w:line="304" w:lineRule="auto" w:before="0"/>
        <w:ind w:left="438" w:right="232" w:firstLine="0"/>
        <w:jc w:val="left"/>
        <w:rPr>
          <w:rFonts w:ascii="Arial"/>
          <w:b/>
          <w:sz w:val="22"/>
        </w:rPr>
      </w:pPr>
      <w:r>
        <w:rPr/>
        <w:pict>
          <v:line style="position:absolute;mso-position-horizontal-relative:page;mso-position-vertical-relative:paragraph;z-index:15795712" from="315.501007pt,42.293691pt" to="315.501007pt,-64.354309pt" stroked="true" strokeweight="1pt" strokecolor="#759eb4">
            <v:stroke dashstyle="solid"/>
            <w10:wrap type="none"/>
          </v:line>
        </w:pict>
      </w:r>
      <w:r>
        <w:rPr>
          <w:rFonts w:ascii="Arial"/>
          <w:b/>
          <w:color w:val="B15651"/>
          <w:w w:val="115"/>
          <w:sz w:val="22"/>
        </w:rPr>
        <w:t>when possible, with a proper handoff between inpatient and outpatient providers.</w:t>
      </w:r>
    </w:p>
    <w:p>
      <w:pPr>
        <w:pStyle w:val="BodyText"/>
        <w:spacing w:before="8"/>
        <w:rPr>
          <w:rFonts w:ascii="Arial"/>
          <w:b/>
          <w:sz w:val="24"/>
        </w:rPr>
      </w:pPr>
    </w:p>
    <w:p>
      <w:pPr>
        <w:pStyle w:val="BodyText"/>
        <w:spacing w:line="247" w:lineRule="auto"/>
        <w:ind w:left="139" w:right="369"/>
        <w:rPr>
          <w:sz w:val="13"/>
        </w:rPr>
      </w:pPr>
      <w:r>
        <w:rPr>
          <w:rFonts w:ascii="Calibri" w:hAnsi="Calibri"/>
          <w:b/>
          <w:color w:val="4D4D4F"/>
          <w:w w:val="110"/>
        </w:rPr>
        <w:t>They’ll need pain medication in addition to their usual methadone dose. </w:t>
      </w:r>
      <w:r>
        <w:rPr>
          <w:color w:val="4D4D4F"/>
          <w:w w:val="110"/>
        </w:rPr>
        <w:t>If their condition is painful enough to require opioids, prescribe short-acting opioids as scheduled, not as- needed, treatment. Because these patients are already opioid tolerant, they’ll likely require higher doses of opioids than patients without tolerance.</w:t>
      </w:r>
      <w:r>
        <w:rPr>
          <w:color w:val="4D4D4F"/>
          <w:w w:val="110"/>
          <w:position w:val="7"/>
          <w:sz w:val="13"/>
        </w:rPr>
        <w:t>399 </w:t>
      </w:r>
      <w:r>
        <w:rPr>
          <w:color w:val="4D4D4F"/>
          <w:w w:val="110"/>
        </w:rPr>
        <w:t>However, as with any patient, use nonopioid multimodal pain management when possible to minimize reliance on opioids and maximize pain control.</w:t>
      </w:r>
      <w:r>
        <w:rPr>
          <w:color w:val="4D4D4F"/>
          <w:w w:val="110"/>
          <w:position w:val="7"/>
          <w:sz w:val="13"/>
        </w:rPr>
        <w:t>400</w:t>
      </w:r>
    </w:p>
    <w:p>
      <w:pPr>
        <w:spacing w:after="0" w:line="247" w:lineRule="auto"/>
        <w:rPr>
          <w:sz w:val="13"/>
        </w:rPr>
        <w:sectPr>
          <w:type w:val="continuous"/>
          <w:pgSz w:w="12240" w:h="15840"/>
          <w:pgMar w:top="540" w:bottom="280" w:left="940" w:right="920"/>
          <w:cols w:num="2" w:equalWidth="0">
            <w:col w:w="5027" w:space="193"/>
            <w:col w:w="5160"/>
          </w:cols>
        </w:sectPr>
      </w:pPr>
    </w:p>
    <w:p>
      <w:pPr>
        <w:pStyle w:val="BodyText"/>
        <w:spacing w:before="4"/>
        <w:rPr>
          <w:sz w:val="27"/>
        </w:rPr>
      </w:pPr>
    </w:p>
    <w:p>
      <w:pPr>
        <w:spacing w:after="0"/>
        <w:rPr>
          <w:sz w:val="27"/>
        </w:rPr>
        <w:sectPr>
          <w:pgSz w:w="12240" w:h="15840"/>
          <w:pgMar w:header="576" w:footer="677" w:top="1340" w:bottom="860" w:left="940" w:right="920"/>
        </w:sectPr>
      </w:pPr>
    </w:p>
    <w:p>
      <w:pPr>
        <w:pStyle w:val="BodyText"/>
        <w:spacing w:before="100"/>
        <w:ind w:left="140"/>
      </w:pPr>
      <w:r>
        <w:rPr>
          <w:color w:val="4D4D4F"/>
          <w:w w:val="110"/>
        </w:rPr>
        <w:t>It is important to tell patients who receive</w:t>
      </w:r>
    </w:p>
    <w:p>
      <w:pPr>
        <w:pStyle w:val="BodyText"/>
        <w:spacing w:line="247" w:lineRule="auto" w:before="9"/>
        <w:ind w:left="140"/>
      </w:pPr>
      <w:r>
        <w:rPr>
          <w:color w:val="4D4D4F"/>
          <w:w w:val="110"/>
        </w:rPr>
        <w:t>take-home doses that they should not take their own medication while in the hospital. They will receive methadone from the treatment team.</w:t>
      </w:r>
    </w:p>
    <w:p>
      <w:pPr>
        <w:pStyle w:val="BodyText"/>
        <w:spacing w:line="247" w:lineRule="auto" w:before="4"/>
        <w:ind w:left="140" w:right="150"/>
      </w:pPr>
      <w:r>
        <w:rPr>
          <w:color w:val="4D4D4F"/>
          <w:w w:val="110"/>
        </w:rPr>
        <w:t>Patients can be asked to lock their take-home medications with their other valuables. It is also important to monitor these patients closely after the initial and subsequent methadone administration in the hospital. Some patients who receive take-home doses do not take their entire dose every day, so they may display signs of intoxication or frank overdose if the hospital staff gives them the full dose.</w:t>
      </w:r>
    </w:p>
    <w:p>
      <w:pPr>
        <w:pStyle w:val="BodyText"/>
        <w:spacing w:before="6"/>
        <w:rPr>
          <w:sz w:val="23"/>
        </w:rPr>
      </w:pPr>
    </w:p>
    <w:p>
      <w:pPr>
        <w:pStyle w:val="Heading3"/>
        <w:spacing w:before="1"/>
      </w:pPr>
      <w:bookmarkStart w:name="_TOC_250006" w:id="109"/>
      <w:bookmarkEnd w:id="109"/>
      <w:r>
        <w:rPr>
          <w:color w:val="137692"/>
          <w:w w:val="110"/>
        </w:rPr>
        <w:t>Naltrexone</w:t>
      </w:r>
    </w:p>
    <w:p>
      <w:pPr>
        <w:spacing w:line="242" w:lineRule="auto" w:before="42"/>
        <w:ind w:left="140" w:right="198" w:firstLine="0"/>
        <w:jc w:val="left"/>
        <w:rPr>
          <w:sz w:val="22"/>
        </w:rPr>
      </w:pPr>
      <w:r>
        <w:rPr>
          <w:rFonts w:ascii="Calibri"/>
          <w:b/>
          <w:color w:val="4D4D4F"/>
          <w:w w:val="115"/>
          <w:sz w:val="22"/>
        </w:rPr>
        <w:t>Patients taking oral naltrexone for OUD treatment may continue naltrexone when admitted to the hospital if they do not have and are not at risk for developing a painful condition requiring opioid analgesia. </w:t>
      </w:r>
      <w:r>
        <w:rPr>
          <w:color w:val="4D4D4F"/>
          <w:w w:val="115"/>
          <w:sz w:val="22"/>
        </w:rPr>
        <w:t>Oral naltrexone provides full blockade of opioid receptors</w:t>
      </w:r>
      <w:r>
        <w:rPr>
          <w:color w:val="4D4D4F"/>
          <w:spacing w:val="-38"/>
          <w:w w:val="115"/>
          <w:sz w:val="22"/>
        </w:rPr>
        <w:t> </w:t>
      </w:r>
      <w:r>
        <w:rPr>
          <w:color w:val="4D4D4F"/>
          <w:w w:val="115"/>
          <w:sz w:val="22"/>
        </w:rPr>
        <w:t>for</w:t>
      </w:r>
      <w:r>
        <w:rPr>
          <w:color w:val="4D4D4F"/>
          <w:spacing w:val="-37"/>
          <w:w w:val="115"/>
          <w:sz w:val="22"/>
        </w:rPr>
        <w:t> </w:t>
      </w:r>
      <w:r>
        <w:rPr>
          <w:color w:val="4D4D4F"/>
          <w:w w:val="115"/>
          <w:sz w:val="22"/>
        </w:rPr>
        <w:t>up</w:t>
      </w:r>
      <w:r>
        <w:rPr>
          <w:color w:val="4D4D4F"/>
          <w:spacing w:val="-37"/>
          <w:w w:val="115"/>
          <w:sz w:val="22"/>
        </w:rPr>
        <w:t> </w:t>
      </w:r>
      <w:r>
        <w:rPr>
          <w:color w:val="4D4D4F"/>
          <w:w w:val="115"/>
          <w:sz w:val="22"/>
        </w:rPr>
        <w:t>to</w:t>
      </w:r>
      <w:r>
        <w:rPr>
          <w:color w:val="4D4D4F"/>
          <w:spacing w:val="-37"/>
          <w:w w:val="115"/>
          <w:sz w:val="22"/>
        </w:rPr>
        <w:t> </w:t>
      </w:r>
      <w:r>
        <w:rPr>
          <w:color w:val="4D4D4F"/>
          <w:w w:val="115"/>
          <w:sz w:val="22"/>
        </w:rPr>
        <w:t>72</w:t>
      </w:r>
      <w:r>
        <w:rPr>
          <w:color w:val="4D4D4F"/>
          <w:spacing w:val="-37"/>
          <w:w w:val="115"/>
          <w:sz w:val="22"/>
        </w:rPr>
        <w:t> </w:t>
      </w:r>
      <w:r>
        <w:rPr>
          <w:color w:val="4D4D4F"/>
          <w:w w:val="115"/>
          <w:sz w:val="22"/>
        </w:rPr>
        <w:t>hours.</w:t>
      </w:r>
      <w:r>
        <w:rPr>
          <w:color w:val="4D4D4F"/>
          <w:spacing w:val="-37"/>
          <w:w w:val="115"/>
          <w:sz w:val="22"/>
        </w:rPr>
        <w:t> </w:t>
      </w:r>
      <w:r>
        <w:rPr>
          <w:color w:val="4D4D4F"/>
          <w:w w:val="115"/>
          <w:sz w:val="22"/>
        </w:rPr>
        <w:t>Extended-release </w:t>
      </w:r>
      <w:r>
        <w:rPr>
          <w:color w:val="4D4D4F"/>
          <w:w w:val="110"/>
          <w:sz w:val="22"/>
        </w:rPr>
        <w:t>injectable naltrexone (XR-NTX) provides mea- </w:t>
      </w:r>
      <w:r>
        <w:rPr>
          <w:color w:val="4D4D4F"/>
          <w:w w:val="115"/>
          <w:sz w:val="22"/>
        </w:rPr>
        <w:t>surable</w:t>
      </w:r>
      <w:r>
        <w:rPr>
          <w:color w:val="4D4D4F"/>
          <w:spacing w:val="-35"/>
          <w:w w:val="115"/>
          <w:sz w:val="22"/>
        </w:rPr>
        <w:t> </w:t>
      </w:r>
      <w:r>
        <w:rPr>
          <w:color w:val="4D4D4F"/>
          <w:w w:val="115"/>
          <w:sz w:val="22"/>
        </w:rPr>
        <w:t>naltrexone</w:t>
      </w:r>
      <w:r>
        <w:rPr>
          <w:color w:val="4D4D4F"/>
          <w:spacing w:val="-34"/>
          <w:w w:val="115"/>
          <w:sz w:val="22"/>
        </w:rPr>
        <w:t> </w:t>
      </w:r>
      <w:r>
        <w:rPr>
          <w:color w:val="4D4D4F"/>
          <w:w w:val="115"/>
          <w:sz w:val="22"/>
        </w:rPr>
        <w:t>levels</w:t>
      </w:r>
      <w:r>
        <w:rPr>
          <w:color w:val="4D4D4F"/>
          <w:spacing w:val="-35"/>
          <w:w w:val="115"/>
          <w:sz w:val="22"/>
        </w:rPr>
        <w:t> </w:t>
      </w:r>
      <w:r>
        <w:rPr>
          <w:color w:val="4D4D4F"/>
          <w:w w:val="115"/>
          <w:sz w:val="22"/>
        </w:rPr>
        <w:t>for</w:t>
      </w:r>
      <w:r>
        <w:rPr>
          <w:color w:val="4D4D4F"/>
          <w:spacing w:val="-34"/>
          <w:w w:val="115"/>
          <w:sz w:val="22"/>
        </w:rPr>
        <w:t> </w:t>
      </w:r>
      <w:r>
        <w:rPr>
          <w:color w:val="4D4D4F"/>
          <w:w w:val="115"/>
          <w:sz w:val="22"/>
        </w:rPr>
        <w:t>1</w:t>
      </w:r>
      <w:r>
        <w:rPr>
          <w:color w:val="4D4D4F"/>
          <w:spacing w:val="-34"/>
          <w:w w:val="115"/>
          <w:sz w:val="22"/>
        </w:rPr>
        <w:t> </w:t>
      </w:r>
      <w:r>
        <w:rPr>
          <w:color w:val="4D4D4F"/>
          <w:w w:val="115"/>
          <w:sz w:val="22"/>
        </w:rPr>
        <w:t>month</w:t>
      </w:r>
      <w:r>
        <w:rPr>
          <w:color w:val="4D4D4F"/>
          <w:spacing w:val="-35"/>
          <w:w w:val="115"/>
          <w:sz w:val="22"/>
        </w:rPr>
        <w:t> </w:t>
      </w:r>
      <w:r>
        <w:rPr>
          <w:color w:val="4D4D4F"/>
          <w:w w:val="115"/>
          <w:sz w:val="22"/>
        </w:rPr>
        <w:t>or</w:t>
      </w:r>
      <w:r>
        <w:rPr>
          <w:color w:val="4D4D4F"/>
          <w:spacing w:val="-34"/>
          <w:w w:val="115"/>
          <w:sz w:val="22"/>
        </w:rPr>
        <w:t> </w:t>
      </w:r>
      <w:r>
        <w:rPr>
          <w:color w:val="4D4D4F"/>
          <w:spacing w:val="-6"/>
          <w:w w:val="115"/>
          <w:sz w:val="22"/>
        </w:rPr>
        <w:t>longer. </w:t>
      </w:r>
      <w:r>
        <w:rPr>
          <w:color w:val="4D4D4F"/>
          <w:w w:val="115"/>
          <w:sz w:val="22"/>
        </w:rPr>
        <w:t>Thus, managing acute pain in patients taking XR-NTX is</w:t>
      </w:r>
      <w:r>
        <w:rPr>
          <w:color w:val="4D4D4F"/>
          <w:spacing w:val="-28"/>
          <w:w w:val="115"/>
          <w:sz w:val="22"/>
        </w:rPr>
        <w:t> </w:t>
      </w:r>
      <w:r>
        <w:rPr>
          <w:color w:val="4D4D4F"/>
          <w:w w:val="115"/>
          <w:sz w:val="22"/>
        </w:rPr>
        <w:t>complicated.</w:t>
      </w:r>
    </w:p>
    <w:p>
      <w:pPr>
        <w:pStyle w:val="BodyText"/>
        <w:spacing w:line="247" w:lineRule="auto" w:before="187"/>
        <w:ind w:left="140" w:right="183"/>
        <w:jc w:val="both"/>
      </w:pPr>
      <w:r>
        <w:rPr>
          <w:color w:val="4D4D4F"/>
          <w:w w:val="110"/>
        </w:rPr>
        <w:t>In patients who have taken naltrexone, manage severe pain intensively via nonopioid approach- es, such as regional anesthesia or injected non- steroidal anti-inﬂammatory drugs.</w:t>
      </w:r>
    </w:p>
    <w:p>
      <w:pPr>
        <w:pStyle w:val="BodyText"/>
        <w:spacing w:line="247" w:lineRule="auto" w:before="185"/>
        <w:ind w:left="140" w:right="101"/>
      </w:pPr>
      <w:r>
        <w:rPr>
          <w:color w:val="4D4D4F"/>
          <w:w w:val="110"/>
        </w:rPr>
        <w:t>Naltrexone blockade can be overcome with very high doses of opioids, but patients must </w:t>
      </w:r>
      <w:r>
        <w:rPr>
          <w:color w:val="4D4D4F"/>
          <w:spacing w:val="-7"/>
          <w:w w:val="110"/>
        </w:rPr>
        <w:t>be </w:t>
      </w:r>
      <w:r>
        <w:rPr>
          <w:color w:val="4D4D4F"/>
          <w:w w:val="110"/>
        </w:rPr>
        <w:t>closely</w:t>
      </w:r>
      <w:r>
        <w:rPr>
          <w:color w:val="4D4D4F"/>
          <w:spacing w:val="-11"/>
          <w:w w:val="110"/>
        </w:rPr>
        <w:t> </w:t>
      </w:r>
      <w:r>
        <w:rPr>
          <w:color w:val="4D4D4F"/>
          <w:w w:val="110"/>
        </w:rPr>
        <w:t>monitored</w:t>
      </w:r>
      <w:r>
        <w:rPr>
          <w:color w:val="4D4D4F"/>
          <w:spacing w:val="-11"/>
          <w:w w:val="110"/>
        </w:rPr>
        <w:t> </w:t>
      </w:r>
      <w:r>
        <w:rPr>
          <w:color w:val="4D4D4F"/>
          <w:w w:val="110"/>
        </w:rPr>
        <w:t>for</w:t>
      </w:r>
      <w:r>
        <w:rPr>
          <w:color w:val="4D4D4F"/>
          <w:spacing w:val="-10"/>
          <w:w w:val="110"/>
        </w:rPr>
        <w:t> </w:t>
      </w:r>
      <w:r>
        <w:rPr>
          <w:color w:val="4D4D4F"/>
          <w:w w:val="110"/>
        </w:rPr>
        <w:t>respiratory</w:t>
      </w:r>
      <w:r>
        <w:rPr>
          <w:color w:val="4D4D4F"/>
          <w:spacing w:val="-11"/>
          <w:w w:val="110"/>
        </w:rPr>
        <w:t> </w:t>
      </w:r>
      <w:r>
        <w:rPr>
          <w:color w:val="4D4D4F"/>
          <w:w w:val="110"/>
        </w:rPr>
        <w:t>depression</w:t>
      </w:r>
      <w:r>
        <w:rPr>
          <w:color w:val="4D4D4F"/>
          <w:spacing w:val="-10"/>
          <w:w w:val="110"/>
        </w:rPr>
        <w:t> </w:t>
      </w:r>
      <w:r>
        <w:rPr>
          <w:color w:val="4D4D4F"/>
          <w:w w:val="110"/>
        </w:rPr>
        <w:t>in</w:t>
      </w:r>
      <w:r>
        <w:rPr>
          <w:color w:val="4D4D4F"/>
          <w:spacing w:val="-11"/>
          <w:w w:val="110"/>
        </w:rPr>
        <w:t> </w:t>
      </w:r>
      <w:r>
        <w:rPr>
          <w:color w:val="4D4D4F"/>
          <w:spacing w:val="-18"/>
          <w:w w:val="110"/>
        </w:rPr>
        <w:t>a</w:t>
      </w:r>
    </w:p>
    <w:p>
      <w:pPr>
        <w:pStyle w:val="BodyText"/>
        <w:spacing w:line="247" w:lineRule="auto" w:before="3"/>
        <w:ind w:left="140"/>
      </w:pPr>
      <w:r>
        <w:rPr>
          <w:color w:val="4D4D4F"/>
          <w:w w:val="110"/>
        </w:rPr>
        <w:t>setting with anesthesia services. This is especially true upon discontinuation of oral naltrexone, which dissociates from opioid receptors.</w:t>
      </w:r>
    </w:p>
    <w:p>
      <w:pPr>
        <w:pStyle w:val="BodyText"/>
        <w:spacing w:before="2"/>
      </w:pPr>
    </w:p>
    <w:p>
      <w:pPr>
        <w:pStyle w:val="Heading2"/>
        <w:spacing w:line="208" w:lineRule="auto" w:before="0"/>
        <w:ind w:right="355"/>
      </w:pPr>
      <w:bookmarkStart w:name="_TOC_250005" w:id="110"/>
      <w:r>
        <w:rPr>
          <w:color w:val="137692"/>
          <w:spacing w:val="-3"/>
          <w:w w:val="110"/>
        </w:rPr>
        <w:t>Hospitalized </w:t>
      </w:r>
      <w:r>
        <w:rPr>
          <w:color w:val="137692"/>
          <w:w w:val="110"/>
        </w:rPr>
        <w:t>or ED </w:t>
      </w:r>
      <w:r>
        <w:rPr>
          <w:color w:val="137692"/>
          <w:spacing w:val="-3"/>
          <w:w w:val="110"/>
        </w:rPr>
        <w:t>Patients </w:t>
      </w:r>
      <w:r>
        <w:rPr>
          <w:color w:val="137692"/>
          <w:spacing w:val="-2"/>
          <w:w w:val="110"/>
        </w:rPr>
        <w:t>Not </w:t>
      </w:r>
      <w:r>
        <w:rPr>
          <w:color w:val="137692"/>
          <w:spacing w:val="-5"/>
          <w:w w:val="110"/>
        </w:rPr>
        <w:t>Taking </w:t>
      </w:r>
      <w:r>
        <w:rPr>
          <w:color w:val="137692"/>
          <w:w w:val="110"/>
        </w:rPr>
        <w:t>Medication </w:t>
      </w:r>
      <w:r>
        <w:rPr>
          <w:color w:val="137692"/>
          <w:spacing w:val="-3"/>
          <w:w w:val="110"/>
        </w:rPr>
        <w:t>for </w:t>
      </w:r>
      <w:bookmarkEnd w:id="110"/>
      <w:r>
        <w:rPr>
          <w:color w:val="137692"/>
          <w:spacing w:val="-2"/>
          <w:w w:val="110"/>
        </w:rPr>
        <w:t>OUD</w:t>
      </w:r>
    </w:p>
    <w:p>
      <w:pPr>
        <w:spacing w:line="237" w:lineRule="auto" w:before="39"/>
        <w:ind w:left="140" w:right="273" w:firstLine="0"/>
        <w:jc w:val="left"/>
        <w:rPr>
          <w:sz w:val="22"/>
        </w:rPr>
      </w:pPr>
      <w:r>
        <w:rPr>
          <w:rFonts w:ascii="Calibri" w:hAnsi="Calibri"/>
          <w:b/>
          <w:color w:val="4D4D4F"/>
          <w:w w:val="110"/>
          <w:sz w:val="22"/>
        </w:rPr>
        <w:t>Patients with OUD who  present  to  the  ED or are admitted to the hospital for an acute medical problem may beneﬁt from initiating medications for OUD during their hospital- ization. </w:t>
      </w:r>
      <w:r>
        <w:rPr>
          <w:color w:val="4D4D4F"/>
          <w:w w:val="110"/>
          <w:sz w:val="22"/>
        </w:rPr>
        <w:t>A thoughtful and respectful discussion of treatment options and</w:t>
      </w:r>
      <w:r>
        <w:rPr>
          <w:color w:val="4D4D4F"/>
          <w:spacing w:val="-4"/>
          <w:w w:val="110"/>
          <w:sz w:val="22"/>
        </w:rPr>
        <w:t> </w:t>
      </w:r>
      <w:r>
        <w:rPr>
          <w:color w:val="4D4D4F"/>
          <w:w w:val="110"/>
          <w:sz w:val="22"/>
        </w:rPr>
        <w:t>patient-centered</w:t>
      </w:r>
    </w:p>
    <w:p>
      <w:pPr>
        <w:pStyle w:val="BodyText"/>
        <w:spacing w:line="247" w:lineRule="auto" w:before="100"/>
        <w:ind w:left="140" w:right="265"/>
        <w:rPr>
          <w:sz w:val="13"/>
        </w:rPr>
      </w:pPr>
      <w:r>
        <w:rPr/>
        <w:br w:type="column"/>
      </w:r>
      <w:r>
        <w:rPr>
          <w:color w:val="4D4D4F"/>
          <w:w w:val="110"/>
        </w:rPr>
        <w:t>provision of medication can be a critical entry point into care. Research supports the efﬁcacy of initiating either buprenorphine or methadone during acute hospital stays</w:t>
      </w:r>
      <w:r>
        <w:rPr>
          <w:color w:val="4D4D4F"/>
          <w:w w:val="110"/>
          <w:position w:val="7"/>
          <w:sz w:val="13"/>
        </w:rPr>
        <w:t>401,402 </w:t>
      </w:r>
      <w:r>
        <w:rPr>
          <w:color w:val="4D4D4F"/>
          <w:w w:val="110"/>
        </w:rPr>
        <w:t>and starting patients on buprenorphine in the ED.</w:t>
      </w:r>
      <w:r>
        <w:rPr>
          <w:color w:val="4D4D4F"/>
          <w:w w:val="110"/>
          <w:position w:val="7"/>
          <w:sz w:val="13"/>
        </w:rPr>
        <w:t>403</w:t>
      </w:r>
    </w:p>
    <w:p>
      <w:pPr>
        <w:pStyle w:val="BodyText"/>
        <w:spacing w:before="3"/>
        <w:rPr>
          <w:sz w:val="24"/>
        </w:rPr>
      </w:pPr>
    </w:p>
    <w:p>
      <w:pPr>
        <w:pStyle w:val="Heading3"/>
        <w:spacing w:line="228" w:lineRule="auto"/>
        <w:ind w:right="210"/>
      </w:pPr>
      <w:bookmarkStart w:name="_TOC_250004" w:id="111"/>
      <w:bookmarkEnd w:id="111"/>
      <w:r>
        <w:rPr>
          <w:color w:val="137692"/>
          <w:w w:val="110"/>
        </w:rPr>
        <w:t>Buprenorphine Induction in the Hospital Setting</w:t>
      </w:r>
    </w:p>
    <w:p>
      <w:pPr>
        <w:spacing w:line="240" w:lineRule="auto" w:before="44"/>
        <w:ind w:left="140" w:right="336" w:firstLine="0"/>
        <w:jc w:val="left"/>
        <w:rPr>
          <w:sz w:val="22"/>
        </w:rPr>
      </w:pPr>
      <w:r>
        <w:rPr>
          <w:rFonts w:ascii="Calibri"/>
          <w:b/>
          <w:color w:val="4D4D4F"/>
          <w:w w:val="110"/>
          <w:sz w:val="22"/>
        </w:rPr>
        <w:t>Patients admitted to the hospital for medical conditions incident to OUD can undergo medically supervised withdrawal or receive buprenorphine maintenance  treatment during their  inpatient  </w:t>
      </w:r>
      <w:r>
        <w:rPr>
          <w:rFonts w:ascii="Calibri"/>
          <w:b/>
          <w:color w:val="4D4D4F"/>
          <w:spacing w:val="-3"/>
          <w:w w:val="110"/>
          <w:sz w:val="22"/>
        </w:rPr>
        <w:t>stay.</w:t>
      </w:r>
      <w:r>
        <w:rPr>
          <w:rFonts w:ascii="Calibri"/>
          <w:b/>
          <w:color w:val="4D4D4F"/>
          <w:spacing w:val="-3"/>
          <w:w w:val="110"/>
          <w:position w:val="7"/>
          <w:sz w:val="13"/>
        </w:rPr>
        <w:t>404  </w:t>
      </w:r>
      <w:r>
        <w:rPr>
          <w:color w:val="4D4D4F"/>
          <w:w w:val="110"/>
          <w:sz w:val="22"/>
        </w:rPr>
        <w:t>It is important to adequately address opioid withdrawal because hospital patients may otherwise sign out against medical advice or use illicit opioids in the hospital. </w:t>
      </w:r>
      <w:r>
        <w:rPr>
          <w:rFonts w:ascii="Calibri"/>
          <w:b/>
          <w:color w:val="4D4D4F"/>
          <w:w w:val="110"/>
          <w:sz w:val="22"/>
        </w:rPr>
        <w:t>Buprenorphine can also be initiated for maintenance treatment </w:t>
      </w:r>
      <w:r>
        <w:rPr>
          <w:color w:val="4D4D4F"/>
          <w:w w:val="110"/>
          <w:sz w:val="22"/>
        </w:rPr>
        <w:t>if there</w:t>
      </w:r>
      <w:r>
        <w:rPr>
          <w:color w:val="4D4D4F"/>
          <w:spacing w:val="59"/>
          <w:w w:val="110"/>
          <w:sz w:val="22"/>
        </w:rPr>
        <w:t> </w:t>
      </w:r>
      <w:r>
        <w:rPr>
          <w:color w:val="4D4D4F"/>
          <w:spacing w:val="-9"/>
          <w:w w:val="110"/>
          <w:sz w:val="22"/>
        </w:rPr>
        <w:t>is</w:t>
      </w:r>
    </w:p>
    <w:p>
      <w:pPr>
        <w:pStyle w:val="BodyText"/>
        <w:spacing w:line="247" w:lineRule="auto"/>
        <w:ind w:left="140" w:right="112"/>
      </w:pPr>
      <w:r>
        <w:rPr>
          <w:color w:val="4D4D4F"/>
          <w:w w:val="110"/>
        </w:rPr>
        <w:t>a system in place that allows smooth and reliable discharge to an outpatient buprenorphine pre- scriber. Unlike methadone, a several-day delay between discharge and the ﬁrst visit to the out- patient provider is acceptable for stable patients, as long as sufﬁcient medication is provided until the patient begins outpatient treatment. The prescription for medication to be taken outside the hospital must be written by a prescriber with a buprenorphine waiver. If there is no prescriber with a waiver, it is possible to have a patient return to the hospital ED or a clinic within the hospital to have the buprenorphine dose admin- istered by a physician (who does not need to be waivered) for up to 3 days.</w:t>
      </w:r>
    </w:p>
    <w:p>
      <w:pPr>
        <w:pStyle w:val="Heading7"/>
        <w:spacing w:line="235" w:lineRule="auto" w:before="197"/>
        <w:ind w:right="68"/>
      </w:pPr>
      <w:r>
        <w:rPr>
          <w:color w:val="4D4D4F"/>
          <w:w w:val="115"/>
        </w:rPr>
        <w:t>To provide continuity of care at discharge, use these strategies:</w:t>
      </w:r>
    </w:p>
    <w:p>
      <w:pPr>
        <w:pStyle w:val="ListParagraph"/>
        <w:numPr>
          <w:ilvl w:val="0"/>
          <w:numId w:val="29"/>
        </w:numPr>
        <w:tabs>
          <w:tab w:pos="411" w:val="left" w:leader="none"/>
        </w:tabs>
        <w:spacing w:line="218" w:lineRule="auto" w:before="120" w:after="0"/>
        <w:ind w:left="410" w:right="344" w:hanging="270"/>
        <w:jc w:val="left"/>
        <w:rPr>
          <w:rFonts w:ascii="Arial" w:hAnsi="Arial"/>
          <w:b/>
          <w:color w:val="137692"/>
          <w:sz w:val="28"/>
        </w:rPr>
      </w:pPr>
      <w:r>
        <w:rPr>
          <w:rFonts w:ascii="Calibri" w:hAnsi="Calibri"/>
          <w:b/>
          <w:color w:val="4D4D4F"/>
          <w:w w:val="115"/>
          <w:sz w:val="22"/>
        </w:rPr>
        <w:t>Develop and maintain a network of local buprenorphine prescribers and other</w:t>
      </w:r>
      <w:r>
        <w:rPr>
          <w:rFonts w:ascii="Calibri" w:hAnsi="Calibri"/>
          <w:b/>
          <w:color w:val="4D4D4F"/>
          <w:spacing w:val="-23"/>
          <w:w w:val="115"/>
          <w:sz w:val="22"/>
        </w:rPr>
        <w:t> </w:t>
      </w:r>
      <w:r>
        <w:rPr>
          <w:rFonts w:ascii="Calibri" w:hAnsi="Calibri"/>
          <w:b/>
          <w:color w:val="4D4D4F"/>
          <w:spacing w:val="-5"/>
          <w:w w:val="115"/>
          <w:sz w:val="22"/>
        </w:rPr>
        <w:t>drug </w:t>
      </w:r>
      <w:r>
        <w:rPr>
          <w:rFonts w:ascii="Calibri" w:hAnsi="Calibri"/>
          <w:b/>
          <w:color w:val="4D4D4F"/>
          <w:w w:val="115"/>
          <w:sz w:val="22"/>
        </w:rPr>
        <w:t>treatment</w:t>
      </w:r>
      <w:r>
        <w:rPr>
          <w:rFonts w:ascii="Calibri" w:hAnsi="Calibri"/>
          <w:b/>
          <w:color w:val="4D4D4F"/>
          <w:spacing w:val="6"/>
          <w:w w:val="115"/>
          <w:sz w:val="22"/>
        </w:rPr>
        <w:t> </w:t>
      </w:r>
      <w:r>
        <w:rPr>
          <w:rFonts w:ascii="Calibri" w:hAnsi="Calibri"/>
          <w:b/>
          <w:color w:val="4D4D4F"/>
          <w:w w:val="115"/>
          <w:sz w:val="22"/>
        </w:rPr>
        <w:t>providers.</w:t>
      </w:r>
    </w:p>
    <w:p>
      <w:pPr>
        <w:pStyle w:val="ListParagraph"/>
        <w:numPr>
          <w:ilvl w:val="0"/>
          <w:numId w:val="29"/>
        </w:numPr>
        <w:tabs>
          <w:tab w:pos="411" w:val="left" w:leader="none"/>
        </w:tabs>
        <w:spacing w:line="264" w:lineRule="exact" w:before="45" w:after="0"/>
        <w:ind w:left="410" w:right="492" w:hanging="270"/>
        <w:jc w:val="left"/>
        <w:rPr>
          <w:rFonts w:ascii="Arial" w:hAnsi="Arial"/>
          <w:color w:val="137692"/>
          <w:sz w:val="28"/>
        </w:rPr>
      </w:pPr>
      <w:r>
        <w:rPr>
          <w:rFonts w:ascii="Calibri" w:hAnsi="Calibri"/>
          <w:b/>
          <w:color w:val="4D4D4F"/>
          <w:w w:val="110"/>
          <w:sz w:val="22"/>
        </w:rPr>
        <w:t>Discharge patients directly to a speciﬁc outpatient prescriber </w:t>
      </w:r>
      <w:r>
        <w:rPr>
          <w:color w:val="4D4D4F"/>
          <w:w w:val="110"/>
          <w:sz w:val="22"/>
        </w:rPr>
        <w:t>for stabilization and maintenance after inpatient </w:t>
      </w:r>
      <w:r>
        <w:rPr>
          <w:color w:val="4D4D4F"/>
          <w:spacing w:val="-3"/>
          <w:w w:val="110"/>
          <w:sz w:val="22"/>
        </w:rPr>
        <w:t>buprenorphine </w:t>
      </w:r>
      <w:r>
        <w:rPr>
          <w:color w:val="4D4D4F"/>
          <w:w w:val="110"/>
          <w:sz w:val="22"/>
        </w:rPr>
        <w:t>induction.</w:t>
      </w:r>
    </w:p>
    <w:p>
      <w:pPr>
        <w:pStyle w:val="ListParagraph"/>
        <w:numPr>
          <w:ilvl w:val="0"/>
          <w:numId w:val="29"/>
        </w:numPr>
        <w:tabs>
          <w:tab w:pos="411" w:val="left" w:leader="none"/>
        </w:tabs>
        <w:spacing w:line="264" w:lineRule="exact" w:before="43" w:after="0"/>
        <w:ind w:left="410" w:right="305" w:hanging="270"/>
        <w:jc w:val="left"/>
        <w:rPr>
          <w:rFonts w:ascii="Arial" w:hAnsi="Arial"/>
          <w:color w:val="137692"/>
          <w:sz w:val="28"/>
        </w:rPr>
      </w:pPr>
      <w:r>
        <w:rPr>
          <w:rFonts w:ascii="Calibri" w:hAnsi="Calibri"/>
          <w:b/>
          <w:color w:val="4D4D4F"/>
          <w:w w:val="115"/>
          <w:sz w:val="22"/>
        </w:rPr>
        <w:t>Send discharge information directly to the outpatient </w:t>
      </w:r>
      <w:r>
        <w:rPr>
          <w:rFonts w:ascii="Calibri" w:hAnsi="Calibri"/>
          <w:b/>
          <w:color w:val="4D4D4F"/>
          <w:spacing w:val="-3"/>
          <w:w w:val="115"/>
          <w:sz w:val="22"/>
        </w:rPr>
        <w:t>prescriber, </w:t>
      </w:r>
      <w:r>
        <w:rPr>
          <w:color w:val="4D4D4F"/>
          <w:w w:val="115"/>
          <w:sz w:val="22"/>
        </w:rPr>
        <w:t>including treatment course,</w:t>
      </w:r>
      <w:r>
        <w:rPr>
          <w:color w:val="4D4D4F"/>
          <w:spacing w:val="-32"/>
          <w:w w:val="115"/>
          <w:sz w:val="22"/>
        </w:rPr>
        <w:t> </w:t>
      </w:r>
      <w:r>
        <w:rPr>
          <w:color w:val="4D4D4F"/>
          <w:w w:val="115"/>
          <w:sz w:val="22"/>
        </w:rPr>
        <w:t>medications</w:t>
      </w:r>
      <w:r>
        <w:rPr>
          <w:color w:val="4D4D4F"/>
          <w:spacing w:val="-32"/>
          <w:w w:val="115"/>
          <w:sz w:val="22"/>
        </w:rPr>
        <w:t> </w:t>
      </w:r>
      <w:r>
        <w:rPr>
          <w:color w:val="4D4D4F"/>
          <w:w w:val="115"/>
          <w:sz w:val="22"/>
        </w:rPr>
        <w:t>administered,</w:t>
      </w:r>
      <w:r>
        <w:rPr>
          <w:color w:val="4D4D4F"/>
          <w:spacing w:val="-31"/>
          <w:w w:val="115"/>
          <w:sz w:val="22"/>
        </w:rPr>
        <w:t> </w:t>
      </w:r>
      <w:r>
        <w:rPr>
          <w:color w:val="4D4D4F"/>
          <w:w w:val="115"/>
          <w:sz w:val="22"/>
        </w:rPr>
        <w:t>and</w:t>
      </w:r>
      <w:r>
        <w:rPr>
          <w:color w:val="4D4D4F"/>
          <w:spacing w:val="-32"/>
          <w:w w:val="115"/>
          <w:sz w:val="22"/>
        </w:rPr>
        <w:t> </w:t>
      </w:r>
      <w:r>
        <w:rPr>
          <w:color w:val="4D4D4F"/>
          <w:spacing w:val="-4"/>
          <w:w w:val="115"/>
          <w:sz w:val="22"/>
        </w:rPr>
        <w:t>medi- </w:t>
      </w:r>
      <w:r>
        <w:rPr>
          <w:color w:val="4D4D4F"/>
          <w:w w:val="115"/>
          <w:sz w:val="22"/>
        </w:rPr>
        <w:t>cations</w:t>
      </w:r>
      <w:r>
        <w:rPr>
          <w:color w:val="4D4D4F"/>
          <w:spacing w:val="-11"/>
          <w:w w:val="115"/>
          <w:sz w:val="22"/>
        </w:rPr>
        <w:t> </w:t>
      </w:r>
      <w:r>
        <w:rPr>
          <w:color w:val="4D4D4F"/>
          <w:w w:val="115"/>
          <w:sz w:val="22"/>
        </w:rPr>
        <w:t>prescribed.</w:t>
      </w:r>
    </w:p>
    <w:p>
      <w:pPr>
        <w:spacing w:after="0" w:line="264" w:lineRule="exact"/>
        <w:jc w:val="left"/>
        <w:rPr>
          <w:rFonts w:ascii="Arial" w:hAnsi="Arial"/>
          <w:sz w:val="28"/>
        </w:rPr>
        <w:sectPr>
          <w:type w:val="continuous"/>
          <w:pgSz w:w="12240" w:h="15840"/>
          <w:pgMar w:top="540" w:bottom="280" w:left="940" w:right="920"/>
          <w:cols w:num="2" w:equalWidth="0">
            <w:col w:w="5013" w:space="206"/>
            <w:col w:w="5161"/>
          </w:cols>
        </w:sectPr>
      </w:pPr>
    </w:p>
    <w:p>
      <w:pPr>
        <w:pStyle w:val="BodyText"/>
        <w:spacing w:before="4"/>
        <w:rPr>
          <w:sz w:val="27"/>
        </w:rPr>
      </w:pPr>
    </w:p>
    <w:p>
      <w:pPr>
        <w:pStyle w:val="BodyText"/>
        <w:spacing w:before="100"/>
        <w:ind w:left="140"/>
      </w:pPr>
      <w:r>
        <w:rPr/>
        <w:pict>
          <v:group style="position:absolute;margin-left:315.001007pt;margin-top:6.904968pt;width:243.5pt;height:585.2pt;mso-position-horizontal-relative:page;mso-position-vertical-relative:paragraph;z-index:15796224" coordorigin="6300,138" coordsize="4870,11704">
            <v:rect style="position:absolute;left:6305;top:143;width:4860;height:11694" filled="false" stroked="true" strokeweight=".5pt" strokecolor="#88aabd">
              <v:stroke dashstyle="solid"/>
            </v:rect>
            <v:shape style="position:absolute;left:6310;top:735;width:4850;height:11097" type="#_x0000_t202" filled="false" stroked="false">
              <v:textbox inset="0,0,0,0">
                <w:txbxContent>
                  <w:p>
                    <w:pPr>
                      <w:spacing w:line="278" w:lineRule="auto" w:before="59"/>
                      <w:ind w:left="230" w:right="272" w:firstLine="0"/>
                      <w:jc w:val="left"/>
                      <w:rPr>
                        <w:rFonts w:ascii="Arial"/>
                        <w:b/>
                        <w:sz w:val="24"/>
                      </w:rPr>
                    </w:pPr>
                    <w:r>
                      <w:rPr>
                        <w:rFonts w:ascii="Arial"/>
                        <w:b/>
                        <w:color w:val="137692"/>
                        <w:w w:val="110"/>
                        <w:sz w:val="24"/>
                      </w:rPr>
                      <w:t>Telehealth Tools for the Treatment of OUD</w:t>
                    </w:r>
                  </w:p>
                  <w:p>
                    <w:pPr>
                      <w:spacing w:line="348" w:lineRule="auto" w:before="154"/>
                      <w:ind w:left="230" w:right="376" w:firstLine="0"/>
                      <w:jc w:val="left"/>
                      <w:rPr>
                        <w:rFonts w:ascii="Arial"/>
                        <w:sz w:val="18"/>
                      </w:rPr>
                    </w:pPr>
                    <w:r>
                      <w:rPr>
                        <w:rFonts w:ascii="Arial"/>
                        <w:color w:val="414142"/>
                        <w:w w:val="120"/>
                        <w:sz w:val="18"/>
                      </w:rPr>
                      <w:t>The Substance Abuse and Mental Health Services Administration and other federal </w:t>
                    </w:r>
                    <w:r>
                      <w:rPr>
                        <w:rFonts w:ascii="Arial"/>
                        <w:color w:val="414142"/>
                        <w:w w:val="115"/>
                        <w:sz w:val="18"/>
                      </w:rPr>
                      <w:t>agencies</w:t>
                    </w:r>
                    <w:r>
                      <w:rPr>
                        <w:rFonts w:ascii="Arial"/>
                        <w:color w:val="414142"/>
                        <w:spacing w:val="-13"/>
                        <w:w w:val="115"/>
                        <w:sz w:val="18"/>
                      </w:rPr>
                      <w:t> </w:t>
                    </w:r>
                    <w:r>
                      <w:rPr>
                        <w:rFonts w:ascii="Arial"/>
                        <w:color w:val="414142"/>
                        <w:w w:val="115"/>
                        <w:sz w:val="18"/>
                      </w:rPr>
                      <w:t>have</w:t>
                    </w:r>
                    <w:r>
                      <w:rPr>
                        <w:rFonts w:ascii="Arial"/>
                        <w:color w:val="414142"/>
                        <w:spacing w:val="-12"/>
                        <w:w w:val="115"/>
                        <w:sz w:val="18"/>
                      </w:rPr>
                      <w:t> </w:t>
                    </w:r>
                    <w:r>
                      <w:rPr>
                        <w:rFonts w:ascii="Arial"/>
                        <w:color w:val="414142"/>
                        <w:w w:val="115"/>
                        <w:sz w:val="18"/>
                      </w:rPr>
                      <w:t>developed</w:t>
                    </w:r>
                    <w:r>
                      <w:rPr>
                        <w:rFonts w:ascii="Arial"/>
                        <w:color w:val="414142"/>
                        <w:spacing w:val="-12"/>
                        <w:w w:val="115"/>
                        <w:sz w:val="18"/>
                      </w:rPr>
                      <w:t> </w:t>
                    </w:r>
                    <w:r>
                      <w:rPr>
                        <w:rFonts w:ascii="Arial"/>
                        <w:color w:val="414142"/>
                        <w:w w:val="115"/>
                        <w:sz w:val="18"/>
                      </w:rPr>
                      <w:t>numerous</w:t>
                    </w:r>
                    <w:r>
                      <w:rPr>
                        <w:rFonts w:ascii="Arial"/>
                        <w:color w:val="414142"/>
                        <w:spacing w:val="-12"/>
                        <w:w w:val="115"/>
                        <w:sz w:val="18"/>
                      </w:rPr>
                      <w:t> </w:t>
                    </w:r>
                    <w:r>
                      <w:rPr>
                        <w:rFonts w:ascii="Arial"/>
                        <w:color w:val="414142"/>
                        <w:spacing w:val="-3"/>
                        <w:w w:val="115"/>
                        <w:sz w:val="18"/>
                      </w:rPr>
                      <w:t>resources </w:t>
                    </w:r>
                    <w:r>
                      <w:rPr>
                        <w:rFonts w:ascii="Arial"/>
                        <w:color w:val="414142"/>
                        <w:w w:val="120"/>
                        <w:sz w:val="18"/>
                      </w:rPr>
                      <w:t>to</w:t>
                    </w:r>
                    <w:r>
                      <w:rPr>
                        <w:rFonts w:ascii="Arial"/>
                        <w:color w:val="414142"/>
                        <w:spacing w:val="-25"/>
                        <w:w w:val="120"/>
                        <w:sz w:val="18"/>
                      </w:rPr>
                      <w:t> </w:t>
                    </w:r>
                    <w:r>
                      <w:rPr>
                        <w:rFonts w:ascii="Arial"/>
                        <w:color w:val="414142"/>
                        <w:w w:val="120"/>
                        <w:sz w:val="18"/>
                      </w:rPr>
                      <w:t>guide</w:t>
                    </w:r>
                    <w:r>
                      <w:rPr>
                        <w:rFonts w:ascii="Arial"/>
                        <w:color w:val="414142"/>
                        <w:spacing w:val="-25"/>
                        <w:w w:val="120"/>
                        <w:sz w:val="18"/>
                      </w:rPr>
                      <w:t> </w:t>
                    </w:r>
                    <w:r>
                      <w:rPr>
                        <w:rFonts w:ascii="Arial"/>
                        <w:color w:val="414142"/>
                        <w:w w:val="120"/>
                        <w:sz w:val="18"/>
                      </w:rPr>
                      <w:t>healthcare</w:t>
                    </w:r>
                    <w:r>
                      <w:rPr>
                        <w:rFonts w:ascii="Arial"/>
                        <w:color w:val="414142"/>
                        <w:spacing w:val="-25"/>
                        <w:w w:val="120"/>
                        <w:sz w:val="18"/>
                      </w:rPr>
                      <w:t> </w:t>
                    </w:r>
                    <w:r>
                      <w:rPr>
                        <w:rFonts w:ascii="Arial"/>
                        <w:color w:val="414142"/>
                        <w:w w:val="120"/>
                        <w:sz w:val="18"/>
                      </w:rPr>
                      <w:t>professionals</w:t>
                    </w:r>
                    <w:r>
                      <w:rPr>
                        <w:rFonts w:ascii="Arial"/>
                        <w:color w:val="414142"/>
                        <w:spacing w:val="-25"/>
                        <w:w w:val="120"/>
                        <w:sz w:val="18"/>
                      </w:rPr>
                      <w:t> </w:t>
                    </w:r>
                    <w:r>
                      <w:rPr>
                        <w:rFonts w:ascii="Arial"/>
                        <w:color w:val="414142"/>
                        <w:w w:val="120"/>
                        <w:sz w:val="18"/>
                      </w:rPr>
                      <w:t>in</w:t>
                    </w:r>
                    <w:r>
                      <w:rPr>
                        <w:rFonts w:ascii="Arial"/>
                        <w:color w:val="414142"/>
                        <w:spacing w:val="-25"/>
                        <w:w w:val="120"/>
                        <w:sz w:val="18"/>
                      </w:rPr>
                      <w:t> </w:t>
                    </w:r>
                    <w:r>
                      <w:rPr>
                        <w:rFonts w:ascii="Arial"/>
                        <w:color w:val="414142"/>
                        <w:w w:val="120"/>
                        <w:sz w:val="18"/>
                      </w:rPr>
                      <w:t>their</w:t>
                    </w:r>
                    <w:r>
                      <w:rPr>
                        <w:rFonts w:ascii="Arial"/>
                        <w:color w:val="414142"/>
                        <w:spacing w:val="-25"/>
                        <w:w w:val="120"/>
                        <w:sz w:val="18"/>
                      </w:rPr>
                      <w:t> </w:t>
                    </w:r>
                    <w:r>
                      <w:rPr>
                        <w:rFonts w:ascii="Arial"/>
                        <w:color w:val="414142"/>
                        <w:w w:val="120"/>
                        <w:sz w:val="18"/>
                      </w:rPr>
                      <w:t>use of</w:t>
                    </w:r>
                    <w:r>
                      <w:rPr>
                        <w:rFonts w:ascii="Arial"/>
                        <w:color w:val="414142"/>
                        <w:spacing w:val="-30"/>
                        <w:w w:val="120"/>
                        <w:sz w:val="18"/>
                      </w:rPr>
                      <w:t> </w:t>
                    </w:r>
                    <w:r>
                      <w:rPr>
                        <w:rFonts w:ascii="Arial"/>
                        <w:color w:val="414142"/>
                        <w:w w:val="120"/>
                        <w:sz w:val="18"/>
                      </w:rPr>
                      <w:t>telehealth</w:t>
                    </w:r>
                    <w:r>
                      <w:rPr>
                        <w:rFonts w:ascii="Arial"/>
                        <w:color w:val="414142"/>
                        <w:spacing w:val="-29"/>
                        <w:w w:val="120"/>
                        <w:sz w:val="18"/>
                      </w:rPr>
                      <w:t> </w:t>
                    </w:r>
                    <w:r>
                      <w:rPr>
                        <w:rFonts w:ascii="Arial"/>
                        <w:color w:val="414142"/>
                        <w:w w:val="120"/>
                        <w:sz w:val="18"/>
                      </w:rPr>
                      <w:t>and</w:t>
                    </w:r>
                    <w:r>
                      <w:rPr>
                        <w:rFonts w:ascii="Arial"/>
                        <w:color w:val="414142"/>
                        <w:spacing w:val="-29"/>
                        <w:w w:val="120"/>
                        <w:sz w:val="18"/>
                      </w:rPr>
                      <w:t> </w:t>
                    </w:r>
                    <w:r>
                      <w:rPr>
                        <w:rFonts w:ascii="Arial"/>
                        <w:color w:val="414142"/>
                        <w:w w:val="120"/>
                        <w:sz w:val="18"/>
                      </w:rPr>
                      <w:t>telemedicine</w:t>
                    </w:r>
                    <w:r>
                      <w:rPr>
                        <w:rFonts w:ascii="Arial"/>
                        <w:color w:val="414142"/>
                        <w:spacing w:val="-30"/>
                        <w:w w:val="120"/>
                        <w:sz w:val="18"/>
                      </w:rPr>
                      <w:t> </w:t>
                    </w:r>
                    <w:r>
                      <w:rPr>
                        <w:rFonts w:ascii="Arial"/>
                        <w:color w:val="414142"/>
                        <w:w w:val="120"/>
                        <w:sz w:val="18"/>
                      </w:rPr>
                      <w:t>approaches</w:t>
                    </w:r>
                    <w:r>
                      <w:rPr>
                        <w:rFonts w:ascii="Arial"/>
                        <w:color w:val="414142"/>
                        <w:spacing w:val="-29"/>
                        <w:w w:val="120"/>
                        <w:sz w:val="18"/>
                      </w:rPr>
                      <w:t> </w:t>
                    </w:r>
                    <w:r>
                      <w:rPr>
                        <w:rFonts w:ascii="Arial"/>
                        <w:color w:val="414142"/>
                        <w:w w:val="120"/>
                        <w:sz w:val="18"/>
                      </w:rPr>
                      <w:t>for </w:t>
                    </w:r>
                    <w:r>
                      <w:rPr>
                        <w:rFonts w:ascii="Arial"/>
                        <w:color w:val="414142"/>
                        <w:w w:val="115"/>
                        <w:sz w:val="18"/>
                      </w:rPr>
                      <w:t>OUD.</w:t>
                    </w:r>
                    <w:r>
                      <w:rPr>
                        <w:rFonts w:ascii="Arial"/>
                        <w:color w:val="414142"/>
                        <w:spacing w:val="-16"/>
                        <w:w w:val="115"/>
                        <w:sz w:val="18"/>
                      </w:rPr>
                      <w:t> </w:t>
                    </w:r>
                    <w:r>
                      <w:rPr>
                        <w:rFonts w:ascii="Arial"/>
                        <w:color w:val="414142"/>
                        <w:w w:val="115"/>
                        <w:sz w:val="18"/>
                      </w:rPr>
                      <w:t>These</w:t>
                    </w:r>
                    <w:r>
                      <w:rPr>
                        <w:rFonts w:ascii="Arial"/>
                        <w:color w:val="414142"/>
                        <w:spacing w:val="-15"/>
                        <w:w w:val="115"/>
                        <w:sz w:val="18"/>
                      </w:rPr>
                      <w:t> </w:t>
                    </w:r>
                    <w:r>
                      <w:rPr>
                        <w:rFonts w:ascii="Arial"/>
                        <w:color w:val="414142"/>
                        <w:w w:val="115"/>
                        <w:sz w:val="18"/>
                      </w:rPr>
                      <w:t>resources</w:t>
                    </w:r>
                    <w:r>
                      <w:rPr>
                        <w:rFonts w:ascii="Arial"/>
                        <w:color w:val="414142"/>
                        <w:spacing w:val="-15"/>
                        <w:w w:val="115"/>
                        <w:sz w:val="18"/>
                      </w:rPr>
                      <w:t> </w:t>
                    </w:r>
                    <w:r>
                      <w:rPr>
                        <w:rFonts w:ascii="Arial"/>
                        <w:color w:val="414142"/>
                        <w:w w:val="115"/>
                        <w:sz w:val="18"/>
                      </w:rPr>
                      <w:t>include</w:t>
                    </w:r>
                    <w:r>
                      <w:rPr>
                        <w:rFonts w:ascii="Arial"/>
                        <w:color w:val="414142"/>
                        <w:spacing w:val="-15"/>
                        <w:w w:val="115"/>
                        <w:sz w:val="18"/>
                      </w:rPr>
                      <w:t> </w:t>
                    </w:r>
                    <w:r>
                      <w:rPr>
                        <w:rFonts w:ascii="Arial"/>
                        <w:color w:val="414142"/>
                        <w:w w:val="115"/>
                        <w:sz w:val="18"/>
                      </w:rPr>
                      <w:t>information</w:t>
                    </w:r>
                    <w:r>
                      <w:rPr>
                        <w:rFonts w:ascii="Arial"/>
                        <w:color w:val="414142"/>
                        <w:spacing w:val="-16"/>
                        <w:w w:val="115"/>
                        <w:sz w:val="18"/>
                      </w:rPr>
                      <w:t> </w:t>
                    </w:r>
                    <w:r>
                      <w:rPr>
                        <w:rFonts w:ascii="Arial"/>
                        <w:color w:val="414142"/>
                        <w:w w:val="115"/>
                        <w:sz w:val="18"/>
                      </w:rPr>
                      <w:t>on:</w:t>
                    </w:r>
                  </w:p>
                  <w:p>
                    <w:pPr>
                      <w:numPr>
                        <w:ilvl w:val="0"/>
                        <w:numId w:val="50"/>
                      </w:numPr>
                      <w:tabs>
                        <w:tab w:pos="411" w:val="left" w:leader="none"/>
                      </w:tabs>
                      <w:spacing w:line="280" w:lineRule="exact" w:before="68"/>
                      <w:ind w:left="410" w:right="328" w:hanging="180"/>
                      <w:jc w:val="left"/>
                      <w:rPr>
                        <w:rFonts w:ascii="Arial"/>
                        <w:sz w:val="18"/>
                      </w:rPr>
                    </w:pPr>
                    <w:r>
                      <w:rPr>
                        <w:rFonts w:ascii="Arial"/>
                        <w:color w:val="414142"/>
                        <w:w w:val="115"/>
                        <w:sz w:val="18"/>
                      </w:rPr>
                      <w:t>Guidance</w:t>
                    </w:r>
                    <w:r>
                      <w:rPr>
                        <w:rFonts w:ascii="Arial"/>
                        <w:color w:val="414142"/>
                        <w:spacing w:val="-9"/>
                        <w:w w:val="115"/>
                        <w:sz w:val="18"/>
                      </w:rPr>
                      <w:t> </w:t>
                    </w:r>
                    <w:r>
                      <w:rPr>
                        <w:rFonts w:ascii="Arial"/>
                        <w:color w:val="414142"/>
                        <w:w w:val="115"/>
                        <w:sz w:val="18"/>
                      </w:rPr>
                      <w:t>on</w:t>
                    </w:r>
                    <w:r>
                      <w:rPr>
                        <w:rFonts w:ascii="Arial"/>
                        <w:color w:val="414142"/>
                        <w:spacing w:val="-8"/>
                        <w:w w:val="115"/>
                        <w:sz w:val="18"/>
                      </w:rPr>
                      <w:t> </w:t>
                    </w:r>
                    <w:r>
                      <w:rPr>
                        <w:rFonts w:ascii="Arial"/>
                        <w:color w:val="414142"/>
                        <w:w w:val="115"/>
                        <w:sz w:val="18"/>
                      </w:rPr>
                      <w:t>the</w:t>
                    </w:r>
                    <w:r>
                      <w:rPr>
                        <w:rFonts w:ascii="Arial"/>
                        <w:color w:val="414142"/>
                        <w:spacing w:val="-8"/>
                        <w:w w:val="115"/>
                        <w:sz w:val="18"/>
                      </w:rPr>
                      <w:t> </w:t>
                    </w:r>
                    <w:r>
                      <w:rPr>
                        <w:rFonts w:ascii="Arial"/>
                        <w:color w:val="414142"/>
                        <w:w w:val="115"/>
                        <w:sz w:val="18"/>
                      </w:rPr>
                      <w:t>use</w:t>
                    </w:r>
                    <w:r>
                      <w:rPr>
                        <w:rFonts w:ascii="Arial"/>
                        <w:color w:val="414142"/>
                        <w:spacing w:val="-8"/>
                        <w:w w:val="115"/>
                        <w:sz w:val="18"/>
                      </w:rPr>
                      <w:t> </w:t>
                    </w:r>
                    <w:r>
                      <w:rPr>
                        <w:rFonts w:ascii="Arial"/>
                        <w:color w:val="414142"/>
                        <w:w w:val="115"/>
                        <w:sz w:val="18"/>
                      </w:rPr>
                      <w:t>of</w:t>
                    </w:r>
                    <w:r>
                      <w:rPr>
                        <w:rFonts w:ascii="Arial"/>
                        <w:color w:val="414142"/>
                        <w:spacing w:val="-9"/>
                        <w:w w:val="115"/>
                        <w:sz w:val="18"/>
                      </w:rPr>
                      <w:t> </w:t>
                    </w:r>
                    <w:r>
                      <w:rPr>
                        <w:rFonts w:ascii="Arial"/>
                        <w:color w:val="414142"/>
                        <w:w w:val="115"/>
                        <w:sz w:val="18"/>
                      </w:rPr>
                      <w:t>telemedicine</w:t>
                    </w:r>
                    <w:r>
                      <w:rPr>
                        <w:rFonts w:ascii="Arial"/>
                        <w:color w:val="414142"/>
                        <w:spacing w:val="-8"/>
                        <w:w w:val="115"/>
                        <w:sz w:val="18"/>
                      </w:rPr>
                      <w:t> </w:t>
                    </w:r>
                    <w:r>
                      <w:rPr>
                        <w:rFonts w:ascii="Arial"/>
                        <w:color w:val="414142"/>
                        <w:w w:val="115"/>
                        <w:sz w:val="18"/>
                      </w:rPr>
                      <w:t>in</w:t>
                    </w:r>
                    <w:r>
                      <w:rPr>
                        <w:rFonts w:ascii="Arial"/>
                        <w:color w:val="414142"/>
                        <w:spacing w:val="-8"/>
                        <w:w w:val="115"/>
                        <w:sz w:val="18"/>
                      </w:rPr>
                      <w:t> </w:t>
                    </w:r>
                    <w:r>
                      <w:rPr>
                        <w:rFonts w:ascii="Arial"/>
                        <w:color w:val="414142"/>
                        <w:spacing w:val="-4"/>
                        <w:w w:val="115"/>
                        <w:sz w:val="18"/>
                      </w:rPr>
                      <w:t>OTPs </w:t>
                    </w:r>
                    <w:r>
                      <w:rPr>
                        <w:rFonts w:ascii="Arial"/>
                        <w:color w:val="414142"/>
                        <w:w w:val="115"/>
                        <w:sz w:val="18"/>
                      </w:rPr>
                      <w:t>(</w:t>
                    </w:r>
                    <w:r>
                      <w:rPr>
                        <w:rFonts w:ascii="Arial"/>
                        <w:color w:val="3B68A6"/>
                        <w:w w:val="115"/>
                        <w:sz w:val="18"/>
                        <w:u w:val="single" w:color="3B68A6"/>
                      </w:rPr>
                      <w:t>https://store.samhsa.gov/product/Federal- Guidelines-for-Opioid-Treatment-Programs/ PEP15-FEDGUIDEOTP</w:t>
                    </w:r>
                    <w:r>
                      <w:rPr>
                        <w:rFonts w:ascii="Arial"/>
                        <w:color w:val="414142"/>
                        <w:w w:val="115"/>
                        <w:sz w:val="18"/>
                      </w:rPr>
                      <w:t>).</w:t>
                    </w:r>
                  </w:p>
                  <w:p>
                    <w:pPr>
                      <w:numPr>
                        <w:ilvl w:val="0"/>
                        <w:numId w:val="50"/>
                      </w:numPr>
                      <w:tabs>
                        <w:tab w:pos="411" w:val="left" w:leader="none"/>
                      </w:tabs>
                      <w:spacing w:line="280" w:lineRule="exact" w:before="90"/>
                      <w:ind w:left="410" w:right="419" w:hanging="180"/>
                      <w:jc w:val="left"/>
                      <w:rPr>
                        <w:rFonts w:ascii="Arial"/>
                        <w:sz w:val="18"/>
                      </w:rPr>
                    </w:pPr>
                    <w:r>
                      <w:rPr>
                        <w:rFonts w:ascii="Arial"/>
                        <w:color w:val="414142"/>
                        <w:w w:val="120"/>
                        <w:sz w:val="18"/>
                      </w:rPr>
                      <w:t>The policies that must be put in place (to comply</w:t>
                    </w:r>
                    <w:r>
                      <w:rPr>
                        <w:rFonts w:ascii="Arial"/>
                        <w:color w:val="414142"/>
                        <w:spacing w:val="-33"/>
                        <w:w w:val="120"/>
                        <w:sz w:val="18"/>
                      </w:rPr>
                      <w:t> </w:t>
                    </w:r>
                    <w:r>
                      <w:rPr>
                        <w:rFonts w:ascii="Arial"/>
                        <w:color w:val="414142"/>
                        <w:w w:val="120"/>
                        <w:sz w:val="18"/>
                      </w:rPr>
                      <w:t>with</w:t>
                    </w:r>
                    <w:r>
                      <w:rPr>
                        <w:rFonts w:ascii="Arial"/>
                        <w:color w:val="414142"/>
                        <w:spacing w:val="-33"/>
                        <w:w w:val="120"/>
                        <w:sz w:val="18"/>
                      </w:rPr>
                      <w:t> </w:t>
                    </w:r>
                    <w:r>
                      <w:rPr>
                        <w:rFonts w:ascii="Arial"/>
                        <w:color w:val="414142"/>
                        <w:w w:val="120"/>
                        <w:sz w:val="18"/>
                      </w:rPr>
                      <w:t>the</w:t>
                    </w:r>
                    <w:r>
                      <w:rPr>
                        <w:rFonts w:ascii="Arial"/>
                        <w:color w:val="414142"/>
                        <w:spacing w:val="-33"/>
                        <w:w w:val="120"/>
                        <w:sz w:val="18"/>
                      </w:rPr>
                      <w:t> </w:t>
                    </w:r>
                    <w:r>
                      <w:rPr>
                        <w:rFonts w:ascii="Arial"/>
                        <w:color w:val="414142"/>
                        <w:w w:val="120"/>
                        <w:sz w:val="18"/>
                      </w:rPr>
                      <w:t>Controlled</w:t>
                    </w:r>
                    <w:r>
                      <w:rPr>
                        <w:rFonts w:ascii="Arial"/>
                        <w:color w:val="414142"/>
                        <w:spacing w:val="-33"/>
                        <w:w w:val="120"/>
                        <w:sz w:val="18"/>
                      </w:rPr>
                      <w:t> </w:t>
                    </w:r>
                    <w:r>
                      <w:rPr>
                        <w:rFonts w:ascii="Arial"/>
                        <w:color w:val="414142"/>
                        <w:w w:val="120"/>
                        <w:sz w:val="18"/>
                      </w:rPr>
                      <w:t>Substances</w:t>
                    </w:r>
                    <w:r>
                      <w:rPr>
                        <w:rFonts w:ascii="Arial"/>
                        <w:color w:val="414142"/>
                        <w:spacing w:val="-32"/>
                        <w:w w:val="120"/>
                        <w:sz w:val="18"/>
                      </w:rPr>
                      <w:t> </w:t>
                    </w:r>
                    <w:r>
                      <w:rPr>
                        <w:rFonts w:ascii="Arial"/>
                        <w:color w:val="414142"/>
                        <w:w w:val="120"/>
                        <w:sz w:val="18"/>
                      </w:rPr>
                      <w:t>Act) by</w:t>
                    </w:r>
                    <w:r>
                      <w:rPr>
                        <w:rFonts w:ascii="Arial"/>
                        <w:color w:val="414142"/>
                        <w:spacing w:val="-20"/>
                        <w:w w:val="120"/>
                        <w:sz w:val="18"/>
                      </w:rPr>
                      <w:t> </w:t>
                    </w:r>
                    <w:r>
                      <w:rPr>
                        <w:rFonts w:ascii="Arial"/>
                        <w:color w:val="414142"/>
                        <w:w w:val="120"/>
                        <w:sz w:val="18"/>
                      </w:rPr>
                      <w:t>physicians</w:t>
                    </w:r>
                    <w:r>
                      <w:rPr>
                        <w:rFonts w:ascii="Arial"/>
                        <w:color w:val="414142"/>
                        <w:spacing w:val="-20"/>
                        <w:w w:val="120"/>
                        <w:sz w:val="18"/>
                      </w:rPr>
                      <w:t> </w:t>
                    </w:r>
                    <w:r>
                      <w:rPr>
                        <w:rFonts w:ascii="Arial"/>
                        <w:color w:val="414142"/>
                        <w:w w:val="120"/>
                        <w:sz w:val="18"/>
                      </w:rPr>
                      <w:t>who</w:t>
                    </w:r>
                    <w:r>
                      <w:rPr>
                        <w:rFonts w:ascii="Arial"/>
                        <w:color w:val="414142"/>
                        <w:spacing w:val="-20"/>
                        <w:w w:val="120"/>
                        <w:sz w:val="18"/>
                      </w:rPr>
                      <w:t> </w:t>
                    </w:r>
                    <w:r>
                      <w:rPr>
                        <w:rFonts w:ascii="Arial"/>
                        <w:color w:val="414142"/>
                        <w:w w:val="120"/>
                        <w:sz w:val="18"/>
                      </w:rPr>
                      <w:t>wish</w:t>
                    </w:r>
                    <w:r>
                      <w:rPr>
                        <w:rFonts w:ascii="Arial"/>
                        <w:color w:val="414142"/>
                        <w:spacing w:val="-20"/>
                        <w:w w:val="120"/>
                        <w:sz w:val="18"/>
                      </w:rPr>
                      <w:t> </w:t>
                    </w:r>
                    <w:r>
                      <w:rPr>
                        <w:rFonts w:ascii="Arial"/>
                        <w:color w:val="414142"/>
                        <w:w w:val="120"/>
                        <w:sz w:val="18"/>
                      </w:rPr>
                      <w:t>to</w:t>
                    </w:r>
                    <w:r>
                      <w:rPr>
                        <w:rFonts w:ascii="Arial"/>
                        <w:color w:val="414142"/>
                        <w:spacing w:val="-20"/>
                        <w:w w:val="120"/>
                        <w:sz w:val="18"/>
                      </w:rPr>
                      <w:t> </w:t>
                    </w:r>
                    <w:r>
                      <w:rPr>
                        <w:rFonts w:ascii="Arial"/>
                        <w:color w:val="414142"/>
                        <w:w w:val="120"/>
                        <w:sz w:val="18"/>
                      </w:rPr>
                      <w:t>use</w:t>
                    </w:r>
                    <w:r>
                      <w:rPr>
                        <w:rFonts w:ascii="Arial"/>
                        <w:color w:val="414142"/>
                        <w:spacing w:val="-20"/>
                        <w:w w:val="120"/>
                        <w:sz w:val="18"/>
                      </w:rPr>
                      <w:t> </w:t>
                    </w:r>
                    <w:r>
                      <w:rPr>
                        <w:rFonts w:ascii="Arial"/>
                        <w:color w:val="414142"/>
                        <w:w w:val="120"/>
                        <w:sz w:val="18"/>
                      </w:rPr>
                      <w:t>telehealth</w:t>
                    </w:r>
                  </w:p>
                  <w:p>
                    <w:pPr>
                      <w:spacing w:line="324" w:lineRule="auto" w:before="55"/>
                      <w:ind w:left="410" w:right="448" w:firstLine="0"/>
                      <w:jc w:val="left"/>
                      <w:rPr>
                        <w:rFonts w:ascii="Arial" w:hAnsi="Arial"/>
                        <w:sz w:val="18"/>
                      </w:rPr>
                    </w:pPr>
                    <w:r>
                      <w:rPr>
                        <w:rFonts w:ascii="Arial" w:hAnsi="Arial"/>
                        <w:color w:val="414142"/>
                        <w:w w:val="110"/>
                        <w:sz w:val="18"/>
                      </w:rPr>
                      <w:t>in treating patients with buprenorphine for OUD under the Drug Addiction  Treatment Act of 2000. Federal (and sometimes state) restrictions apply, which can be reviewed </w:t>
                    </w:r>
                    <w:r>
                      <w:rPr>
                        <w:rFonts w:ascii="Arial" w:hAnsi="Arial"/>
                        <w:color w:val="414142"/>
                        <w:spacing w:val="-8"/>
                        <w:w w:val="110"/>
                        <w:sz w:val="18"/>
                      </w:rPr>
                      <w:t>by </w:t>
                    </w:r>
                    <w:r>
                      <w:rPr>
                        <w:rFonts w:ascii="Arial" w:hAnsi="Arial"/>
                        <w:color w:val="414142"/>
                        <w:w w:val="110"/>
                        <w:sz w:val="18"/>
                      </w:rPr>
                      <w:t>accessing</w:t>
                    </w:r>
                    <w:r>
                      <w:rPr>
                        <w:rFonts w:ascii="Arial" w:hAnsi="Arial"/>
                        <w:color w:val="414142"/>
                        <w:spacing w:val="-11"/>
                        <w:w w:val="110"/>
                        <w:sz w:val="18"/>
                      </w:rPr>
                      <w:t> </w:t>
                    </w:r>
                    <w:r>
                      <w:rPr>
                        <w:rFonts w:ascii="Arial" w:hAnsi="Arial"/>
                        <w:color w:val="414142"/>
                        <w:w w:val="110"/>
                        <w:sz w:val="18"/>
                      </w:rPr>
                      <w:t>21</w:t>
                    </w:r>
                    <w:r>
                      <w:rPr>
                        <w:rFonts w:ascii="Arial" w:hAnsi="Arial"/>
                        <w:color w:val="414142"/>
                        <w:spacing w:val="-11"/>
                        <w:w w:val="110"/>
                        <w:sz w:val="18"/>
                      </w:rPr>
                      <w:t> </w:t>
                    </w:r>
                    <w:r>
                      <w:rPr>
                        <w:rFonts w:ascii="Arial" w:hAnsi="Arial"/>
                        <w:color w:val="414142"/>
                        <w:w w:val="110"/>
                        <w:sz w:val="18"/>
                      </w:rPr>
                      <w:t>USC</w:t>
                    </w:r>
                    <w:r>
                      <w:rPr>
                        <w:rFonts w:ascii="Arial" w:hAnsi="Arial"/>
                        <w:color w:val="414142"/>
                        <w:spacing w:val="-11"/>
                        <w:w w:val="110"/>
                        <w:sz w:val="18"/>
                      </w:rPr>
                      <w:t> </w:t>
                    </w:r>
                    <w:r>
                      <w:rPr>
                        <w:rFonts w:ascii="Arial" w:hAnsi="Arial"/>
                        <w:color w:val="414142"/>
                        <w:w w:val="110"/>
                        <w:sz w:val="18"/>
                      </w:rPr>
                      <w:t>§</w:t>
                    </w:r>
                    <w:r>
                      <w:rPr>
                        <w:rFonts w:ascii="Arial" w:hAnsi="Arial"/>
                        <w:color w:val="414142"/>
                        <w:spacing w:val="-11"/>
                        <w:w w:val="110"/>
                        <w:sz w:val="18"/>
                      </w:rPr>
                      <w:t> </w:t>
                    </w:r>
                    <w:r>
                      <w:rPr>
                        <w:rFonts w:ascii="Arial" w:hAnsi="Arial"/>
                        <w:color w:val="414142"/>
                        <w:w w:val="110"/>
                        <w:sz w:val="18"/>
                      </w:rPr>
                      <w:t>802</w:t>
                    </w:r>
                    <w:r>
                      <w:rPr>
                        <w:rFonts w:ascii="Arial" w:hAnsi="Arial"/>
                        <w:color w:val="414142"/>
                        <w:spacing w:val="-10"/>
                        <w:w w:val="110"/>
                        <w:sz w:val="18"/>
                      </w:rPr>
                      <w:t> </w:t>
                    </w:r>
                    <w:r>
                      <w:rPr>
                        <w:rFonts w:ascii="Arial" w:hAnsi="Arial"/>
                        <w:color w:val="414142"/>
                        <w:w w:val="110"/>
                        <w:sz w:val="18"/>
                      </w:rPr>
                      <w:t>(</w:t>
                    </w:r>
                    <w:hyperlink r:id="rId89">
                      <w:r>
                        <w:rPr>
                          <w:rFonts w:ascii="Arial" w:hAnsi="Arial"/>
                          <w:color w:val="3B68A6"/>
                          <w:w w:val="110"/>
                          <w:sz w:val="18"/>
                          <w:u w:val="single" w:color="3B68A6"/>
                        </w:rPr>
                        <w:t>www.gpo.gov/fdsys</w:t>
                      </w:r>
                    </w:hyperlink>
                  </w:p>
                  <w:p>
                    <w:pPr>
                      <w:spacing w:before="4"/>
                      <w:ind w:left="410" w:right="0" w:firstLine="0"/>
                      <w:jc w:val="left"/>
                      <w:rPr>
                        <w:rFonts w:ascii="Arial"/>
                        <w:sz w:val="18"/>
                      </w:rPr>
                    </w:pPr>
                    <w:r>
                      <w:rPr>
                        <w:rFonts w:ascii="Arial"/>
                        <w:color w:val="3B68A6"/>
                        <w:spacing w:val="-3"/>
                        <w:w w:val="110"/>
                        <w:sz w:val="18"/>
                        <w:u w:val="single" w:color="3B68A6"/>
                      </w:rPr>
                      <w:t>/pkg/USCODE-2011-title21/pdf/USCODE-2011</w:t>
                    </w:r>
                  </w:p>
                  <w:p>
                    <w:pPr>
                      <w:spacing w:before="73"/>
                      <w:ind w:left="410" w:right="0" w:firstLine="0"/>
                      <w:jc w:val="left"/>
                      <w:rPr>
                        <w:rFonts w:ascii="Arial"/>
                        <w:sz w:val="18"/>
                      </w:rPr>
                    </w:pPr>
                    <w:r>
                      <w:rPr>
                        <w:rFonts w:ascii="Arial"/>
                        <w:color w:val="3B68A6"/>
                        <w:w w:val="115"/>
                        <w:sz w:val="18"/>
                        <w:u w:val="single" w:color="3B68A6"/>
                      </w:rPr>
                      <w:t>-title21-chap13-subchapI-partA-sec802.pdf</w:t>
                    </w:r>
                    <w:r>
                      <w:rPr>
                        <w:rFonts w:ascii="Arial"/>
                        <w:color w:val="414142"/>
                        <w:w w:val="115"/>
                        <w:sz w:val="18"/>
                      </w:rPr>
                      <w:t>).</w:t>
                    </w:r>
                  </w:p>
                  <w:p>
                    <w:pPr>
                      <w:numPr>
                        <w:ilvl w:val="0"/>
                        <w:numId w:val="50"/>
                      </w:numPr>
                      <w:tabs>
                        <w:tab w:pos="411" w:val="left" w:leader="none"/>
                      </w:tabs>
                      <w:spacing w:line="249" w:lineRule="auto" w:before="108"/>
                      <w:ind w:left="410" w:right="340" w:hanging="180"/>
                      <w:jc w:val="left"/>
                      <w:rPr>
                        <w:rFonts w:ascii="Arial"/>
                        <w:sz w:val="18"/>
                      </w:rPr>
                    </w:pPr>
                    <w:r>
                      <w:rPr>
                        <w:rFonts w:ascii="Arial"/>
                        <w:color w:val="414142"/>
                        <w:w w:val="115"/>
                        <w:sz w:val="18"/>
                      </w:rPr>
                      <w:t>Centers for Medicare and Medicaid </w:t>
                    </w:r>
                    <w:r>
                      <w:rPr>
                        <w:rFonts w:ascii="Arial"/>
                        <w:color w:val="414142"/>
                        <w:spacing w:val="-3"/>
                        <w:w w:val="115"/>
                        <w:sz w:val="18"/>
                      </w:rPr>
                      <w:t>guidance </w:t>
                    </w:r>
                    <w:r>
                      <w:rPr>
                        <w:rFonts w:ascii="Arial"/>
                        <w:color w:val="414142"/>
                        <w:w w:val="115"/>
                        <w:sz w:val="18"/>
                      </w:rPr>
                      <w:t>on telehealth</w:t>
                    </w:r>
                    <w:r>
                      <w:rPr>
                        <w:rFonts w:ascii="Arial"/>
                        <w:color w:val="414142"/>
                        <w:spacing w:val="-17"/>
                        <w:w w:val="115"/>
                        <w:sz w:val="18"/>
                      </w:rPr>
                      <w:t> </w:t>
                    </w:r>
                    <w:r>
                      <w:rPr>
                        <w:rFonts w:ascii="Arial"/>
                        <w:color w:val="414142"/>
                        <w:w w:val="115"/>
                        <w:sz w:val="18"/>
                      </w:rPr>
                      <w:t>(</w:t>
                    </w:r>
                    <w:hyperlink r:id="rId77">
                      <w:r>
                        <w:rPr>
                          <w:rFonts w:ascii="Arial"/>
                          <w:color w:val="3B68A6"/>
                          <w:w w:val="115"/>
                          <w:sz w:val="18"/>
                          <w:u w:val="single" w:color="3B68A6"/>
                        </w:rPr>
                        <w:t>www.cms.gov/Medicare</w:t>
                      </w:r>
                    </w:hyperlink>
                  </w:p>
                  <w:p>
                    <w:pPr>
                      <w:spacing w:before="64"/>
                      <w:ind w:left="410" w:right="0" w:firstLine="0"/>
                      <w:jc w:val="left"/>
                      <w:rPr>
                        <w:rFonts w:ascii="Arial"/>
                        <w:sz w:val="18"/>
                      </w:rPr>
                    </w:pPr>
                    <w:r>
                      <w:rPr>
                        <w:rFonts w:ascii="Arial"/>
                        <w:color w:val="3B68A6"/>
                        <w:w w:val="115"/>
                        <w:sz w:val="18"/>
                        <w:u w:val="single" w:color="3B68A6"/>
                      </w:rPr>
                      <w:t>/Medicare-General-Information/Telehealth</w:t>
                    </w:r>
                  </w:p>
                  <w:p>
                    <w:pPr>
                      <w:spacing w:before="73"/>
                      <w:ind w:left="410" w:right="0" w:firstLine="0"/>
                      <w:jc w:val="left"/>
                      <w:rPr>
                        <w:rFonts w:ascii="Arial"/>
                        <w:sz w:val="18"/>
                      </w:rPr>
                    </w:pPr>
                    <w:r>
                      <w:rPr>
                        <w:rFonts w:ascii="Arial"/>
                        <w:color w:val="3B68A6"/>
                        <w:w w:val="115"/>
                        <w:sz w:val="18"/>
                        <w:u w:val="single" w:color="3B68A6"/>
                      </w:rPr>
                      <w:t>/index.html</w:t>
                    </w:r>
                    <w:r>
                      <w:rPr>
                        <w:rFonts w:ascii="Arial"/>
                        <w:color w:val="414142"/>
                        <w:w w:val="115"/>
                        <w:sz w:val="18"/>
                      </w:rPr>
                      <w:t>).</w:t>
                    </w:r>
                  </w:p>
                  <w:p>
                    <w:pPr>
                      <w:numPr>
                        <w:ilvl w:val="0"/>
                        <w:numId w:val="50"/>
                      </w:numPr>
                      <w:tabs>
                        <w:tab w:pos="411" w:val="left" w:leader="none"/>
                      </w:tabs>
                      <w:spacing w:line="280" w:lineRule="exact" w:before="108"/>
                      <w:ind w:left="410" w:right="612" w:hanging="180"/>
                      <w:jc w:val="left"/>
                      <w:rPr>
                        <w:rFonts w:ascii="Arial"/>
                        <w:sz w:val="18"/>
                      </w:rPr>
                    </w:pPr>
                    <w:r>
                      <w:rPr>
                        <w:rFonts w:ascii="Arial"/>
                        <w:color w:val="414142"/>
                        <w:w w:val="115"/>
                        <w:sz w:val="18"/>
                      </w:rPr>
                      <w:t>Challenges and opportunities in using telehealth for rural populations (</w:t>
                    </w:r>
                    <w:r>
                      <w:rPr>
                        <w:rFonts w:ascii="Arial"/>
                        <w:color w:val="3B68A6"/>
                        <w:w w:val="115"/>
                        <w:sz w:val="18"/>
                        <w:u w:val="single" w:color="3B68A6"/>
                      </w:rPr>
                      <w:t>https:// store.samhsa.gov/product/In-Brief-Rural- </w:t>
                    </w:r>
                    <w:r>
                      <w:rPr>
                        <w:rFonts w:ascii="Arial"/>
                        <w:color w:val="3B68A6"/>
                        <w:spacing w:val="-1"/>
                        <w:w w:val="115"/>
                        <w:sz w:val="18"/>
                        <w:u w:val="single" w:color="3B68A6"/>
                      </w:rPr>
                      <w:t>Behavioral-Health-Telehealth-Challenges- </w:t>
                    </w:r>
                    <w:r>
                      <w:rPr>
                        <w:rFonts w:ascii="Arial"/>
                        <w:color w:val="3B68A6"/>
                        <w:w w:val="115"/>
                        <w:sz w:val="18"/>
                        <w:u w:val="single" w:color="3B68A6"/>
                      </w:rPr>
                      <w:t>and-Opportunities/SMA16-4989</w:t>
                    </w:r>
                    <w:r>
                      <w:rPr>
                        <w:rFonts w:ascii="Arial"/>
                        <w:color w:val="414142"/>
                        <w:w w:val="115"/>
                        <w:sz w:val="18"/>
                      </w:rPr>
                      <w:t>).</w:t>
                    </w:r>
                  </w:p>
                  <w:p>
                    <w:pPr>
                      <w:numPr>
                        <w:ilvl w:val="0"/>
                        <w:numId w:val="50"/>
                      </w:numPr>
                      <w:tabs>
                        <w:tab w:pos="411" w:val="left" w:leader="none"/>
                      </w:tabs>
                      <w:spacing w:line="280" w:lineRule="exact" w:before="90"/>
                      <w:ind w:left="410" w:right="441" w:hanging="180"/>
                      <w:jc w:val="left"/>
                      <w:rPr>
                        <w:rFonts w:ascii="Arial" w:hAnsi="Arial"/>
                        <w:sz w:val="18"/>
                      </w:rPr>
                    </w:pPr>
                    <w:r>
                      <w:rPr>
                        <w:rFonts w:ascii="Arial" w:hAnsi="Arial"/>
                        <w:color w:val="414142"/>
                        <w:w w:val="115"/>
                        <w:sz w:val="18"/>
                      </w:rPr>
                      <w:t>How certiﬁed community behavioral </w:t>
                    </w:r>
                    <w:r>
                      <w:rPr>
                        <w:rFonts w:ascii="Arial" w:hAnsi="Arial"/>
                        <w:color w:val="414142"/>
                        <w:spacing w:val="-3"/>
                        <w:w w:val="115"/>
                        <w:sz w:val="18"/>
                      </w:rPr>
                      <w:t>health </w:t>
                    </w:r>
                    <w:r>
                      <w:rPr>
                        <w:rFonts w:ascii="Arial" w:hAnsi="Arial"/>
                        <w:color w:val="414142"/>
                        <w:w w:val="115"/>
                        <w:sz w:val="18"/>
                      </w:rPr>
                      <w:t>clinics can use telehealth approaches to expand their services</w:t>
                    </w:r>
                    <w:r>
                      <w:rPr>
                        <w:rFonts w:ascii="Arial" w:hAnsi="Arial"/>
                        <w:color w:val="414142"/>
                        <w:spacing w:val="-38"/>
                        <w:w w:val="115"/>
                        <w:sz w:val="18"/>
                      </w:rPr>
                      <w:t> </w:t>
                    </w:r>
                    <w:r>
                      <w:rPr>
                        <w:rFonts w:ascii="Arial" w:hAnsi="Arial"/>
                        <w:color w:val="414142"/>
                        <w:w w:val="115"/>
                        <w:sz w:val="18"/>
                      </w:rPr>
                      <w:t>(</w:t>
                    </w:r>
                    <w:hyperlink r:id="rId28">
                      <w:r>
                        <w:rPr>
                          <w:rFonts w:ascii="Arial" w:hAnsi="Arial"/>
                          <w:color w:val="3B68A6"/>
                          <w:w w:val="115"/>
                          <w:sz w:val="18"/>
                          <w:u w:val="single" w:color="3B68A6"/>
                        </w:rPr>
                        <w:t>www.samhsa.gov</w:t>
                      </w:r>
                    </w:hyperlink>
                  </w:p>
                  <w:p>
                    <w:pPr>
                      <w:spacing w:before="55"/>
                      <w:ind w:left="410" w:right="0" w:firstLine="0"/>
                      <w:jc w:val="left"/>
                      <w:rPr>
                        <w:rFonts w:ascii="Arial"/>
                        <w:sz w:val="18"/>
                      </w:rPr>
                    </w:pPr>
                    <w:r>
                      <w:rPr>
                        <w:rFonts w:ascii="Arial"/>
                        <w:color w:val="3B68A6"/>
                        <w:w w:val="120"/>
                        <w:sz w:val="18"/>
                        <w:u w:val="single" w:color="3B68A6"/>
                      </w:rPr>
                      <w:t>/section-223/care-coordination/telehealth</w:t>
                    </w:r>
                  </w:p>
                  <w:p>
                    <w:pPr>
                      <w:spacing w:before="73"/>
                      <w:ind w:left="410" w:right="0" w:firstLine="0"/>
                      <w:jc w:val="left"/>
                      <w:rPr>
                        <w:rFonts w:ascii="Arial"/>
                        <w:sz w:val="18"/>
                      </w:rPr>
                    </w:pPr>
                    <w:r>
                      <w:rPr>
                        <w:rFonts w:ascii="Arial"/>
                        <w:color w:val="3B68A6"/>
                        <w:w w:val="115"/>
                        <w:sz w:val="18"/>
                        <w:u w:val="single" w:color="3B68A6"/>
                      </w:rPr>
                      <w:t>-telemedicine</w:t>
                    </w:r>
                    <w:r>
                      <w:rPr>
                        <w:rFonts w:ascii="Arial"/>
                        <w:color w:val="414142"/>
                        <w:w w:val="115"/>
                        <w:sz w:val="18"/>
                      </w:rPr>
                      <w:t>).</w:t>
                    </w:r>
                  </w:p>
                </w:txbxContent>
              </v:textbox>
              <w10:wrap type="none"/>
            </v:shape>
            <v:shape style="position:absolute;left:6310;top:148;width:4850;height:587" type="#_x0000_t202" filled="true" fillcolor="#377f9a" stroked="false">
              <v:textbox inset="0,0,0,0">
                <w:txbxContent>
                  <w:p>
                    <w:pPr>
                      <w:spacing w:before="128"/>
                      <w:ind w:left="230" w:right="0" w:firstLine="0"/>
                      <w:jc w:val="left"/>
                      <w:rPr>
                        <w:rFonts w:ascii="Arial"/>
                        <w:b/>
                        <w:sz w:val="26"/>
                      </w:rPr>
                    </w:pPr>
                    <w:r>
                      <w:rPr>
                        <w:rFonts w:ascii="Arial"/>
                        <w:b/>
                        <w:color w:val="FFFFFF"/>
                        <w:sz w:val="26"/>
                      </w:rPr>
                      <w:t>RESOURCE ALERT</w:t>
                    </w:r>
                  </w:p>
                </w:txbxContent>
              </v:textbox>
              <v:fill type="solid"/>
              <w10:wrap type="none"/>
            </v:shape>
            <w10:wrap type="none"/>
          </v:group>
        </w:pict>
      </w:r>
      <w:r>
        <w:rPr>
          <w:color w:val="4D4D4F"/>
          <w:w w:val="110"/>
        </w:rPr>
        <w:t>To initiate buprenorphine during hospitalization:</w:t>
      </w:r>
    </w:p>
    <w:p>
      <w:pPr>
        <w:pStyle w:val="ListParagraph"/>
        <w:numPr>
          <w:ilvl w:val="0"/>
          <w:numId w:val="29"/>
        </w:numPr>
        <w:tabs>
          <w:tab w:pos="410" w:val="left" w:leader="none"/>
        </w:tabs>
        <w:spacing w:line="208" w:lineRule="auto" w:before="135" w:after="0"/>
        <w:ind w:left="410" w:right="5442" w:hanging="270"/>
        <w:jc w:val="left"/>
        <w:rPr>
          <w:rFonts w:ascii="Arial" w:hAnsi="Arial"/>
          <w:color w:val="137692"/>
          <w:sz w:val="28"/>
        </w:rPr>
      </w:pPr>
      <w:r>
        <w:rPr>
          <w:color w:val="4D4D4F"/>
          <w:w w:val="110"/>
          <w:sz w:val="22"/>
        </w:rPr>
        <w:t>Conﬁrm</w:t>
      </w:r>
      <w:r>
        <w:rPr>
          <w:color w:val="4D4D4F"/>
          <w:spacing w:val="-14"/>
          <w:w w:val="110"/>
          <w:sz w:val="22"/>
        </w:rPr>
        <w:t> </w:t>
      </w:r>
      <w:r>
        <w:rPr>
          <w:color w:val="4D4D4F"/>
          <w:w w:val="110"/>
          <w:sz w:val="22"/>
        </w:rPr>
        <w:t>that</w:t>
      </w:r>
      <w:r>
        <w:rPr>
          <w:color w:val="4D4D4F"/>
          <w:spacing w:val="-14"/>
          <w:w w:val="110"/>
          <w:sz w:val="22"/>
        </w:rPr>
        <w:t> </w:t>
      </w:r>
      <w:r>
        <w:rPr>
          <w:color w:val="4D4D4F"/>
          <w:w w:val="110"/>
          <w:sz w:val="22"/>
        </w:rPr>
        <w:t>there</w:t>
      </w:r>
      <w:r>
        <w:rPr>
          <w:color w:val="4D4D4F"/>
          <w:spacing w:val="-14"/>
          <w:w w:val="110"/>
          <w:sz w:val="22"/>
        </w:rPr>
        <w:t> </w:t>
      </w:r>
      <w:r>
        <w:rPr>
          <w:color w:val="4D4D4F"/>
          <w:w w:val="110"/>
          <w:sz w:val="22"/>
        </w:rPr>
        <w:t>are</w:t>
      </w:r>
      <w:r>
        <w:rPr>
          <w:color w:val="4D4D4F"/>
          <w:spacing w:val="-14"/>
          <w:w w:val="110"/>
          <w:sz w:val="22"/>
        </w:rPr>
        <w:t> </w:t>
      </w:r>
      <w:r>
        <w:rPr>
          <w:color w:val="4D4D4F"/>
          <w:w w:val="110"/>
          <w:sz w:val="22"/>
        </w:rPr>
        <w:t>no</w:t>
      </w:r>
      <w:r>
        <w:rPr>
          <w:color w:val="4D4D4F"/>
          <w:spacing w:val="-14"/>
          <w:w w:val="110"/>
          <w:sz w:val="22"/>
        </w:rPr>
        <w:t> </w:t>
      </w:r>
      <w:r>
        <w:rPr>
          <w:color w:val="4D4D4F"/>
          <w:w w:val="110"/>
          <w:sz w:val="22"/>
        </w:rPr>
        <w:t>contraindications</w:t>
      </w:r>
      <w:r>
        <w:rPr>
          <w:color w:val="4D4D4F"/>
          <w:spacing w:val="-14"/>
          <w:w w:val="110"/>
          <w:sz w:val="22"/>
        </w:rPr>
        <w:t> </w:t>
      </w:r>
      <w:r>
        <w:rPr>
          <w:color w:val="4D4D4F"/>
          <w:spacing w:val="-9"/>
          <w:w w:val="110"/>
          <w:sz w:val="22"/>
        </w:rPr>
        <w:t>to </w:t>
      </w:r>
      <w:r>
        <w:rPr>
          <w:color w:val="4D4D4F"/>
          <w:w w:val="110"/>
          <w:sz w:val="22"/>
        </w:rPr>
        <w:t>buprenorphine before</w:t>
      </w:r>
      <w:r>
        <w:rPr>
          <w:color w:val="4D4D4F"/>
          <w:spacing w:val="-10"/>
          <w:w w:val="110"/>
          <w:sz w:val="22"/>
        </w:rPr>
        <w:t> </w:t>
      </w:r>
      <w:r>
        <w:rPr>
          <w:color w:val="4D4D4F"/>
          <w:w w:val="110"/>
          <w:sz w:val="22"/>
        </w:rPr>
        <w:t>initiation.</w:t>
      </w:r>
    </w:p>
    <w:p>
      <w:pPr>
        <w:pStyle w:val="ListParagraph"/>
        <w:numPr>
          <w:ilvl w:val="0"/>
          <w:numId w:val="29"/>
        </w:numPr>
        <w:tabs>
          <w:tab w:pos="410" w:val="left" w:leader="none"/>
        </w:tabs>
        <w:spacing w:line="225" w:lineRule="auto" w:before="53" w:after="0"/>
        <w:ind w:left="410" w:right="5553" w:hanging="270"/>
        <w:jc w:val="left"/>
        <w:rPr>
          <w:rFonts w:ascii="Arial" w:hAnsi="Arial"/>
          <w:color w:val="137692"/>
          <w:sz w:val="28"/>
        </w:rPr>
      </w:pPr>
      <w:r>
        <w:rPr>
          <w:color w:val="4D4D4F"/>
          <w:w w:val="110"/>
          <w:sz w:val="22"/>
        </w:rPr>
        <w:t>Discontinue opioids for pain management only when no longer needed and the </w:t>
      </w:r>
      <w:r>
        <w:rPr>
          <w:color w:val="4D4D4F"/>
          <w:spacing w:val="-3"/>
          <w:w w:val="110"/>
          <w:sz w:val="22"/>
        </w:rPr>
        <w:t>patient </w:t>
      </w:r>
      <w:r>
        <w:rPr>
          <w:color w:val="4D4D4F"/>
          <w:w w:val="110"/>
          <w:sz w:val="22"/>
        </w:rPr>
        <w:t>is stable enough to tolerate</w:t>
      </w:r>
      <w:r>
        <w:rPr>
          <w:color w:val="4D4D4F"/>
          <w:spacing w:val="-10"/>
          <w:w w:val="110"/>
          <w:sz w:val="22"/>
        </w:rPr>
        <w:t> </w:t>
      </w:r>
      <w:r>
        <w:rPr>
          <w:color w:val="4D4D4F"/>
          <w:w w:val="110"/>
          <w:sz w:val="22"/>
        </w:rPr>
        <w:t>withdrawal.</w:t>
      </w:r>
    </w:p>
    <w:p>
      <w:pPr>
        <w:pStyle w:val="ListParagraph"/>
        <w:numPr>
          <w:ilvl w:val="0"/>
          <w:numId w:val="29"/>
        </w:numPr>
        <w:tabs>
          <w:tab w:pos="410" w:val="left" w:leader="none"/>
        </w:tabs>
        <w:spacing w:line="208" w:lineRule="auto" w:before="69" w:after="0"/>
        <w:ind w:left="410" w:right="5456" w:hanging="270"/>
        <w:jc w:val="left"/>
        <w:rPr>
          <w:rFonts w:ascii="Arial" w:hAnsi="Arial"/>
          <w:color w:val="137692"/>
          <w:sz w:val="28"/>
        </w:rPr>
      </w:pPr>
      <w:r>
        <w:rPr>
          <w:color w:val="4D4D4F"/>
          <w:spacing w:val="-3"/>
          <w:w w:val="110"/>
          <w:sz w:val="22"/>
        </w:rPr>
        <w:t>Wait </w:t>
      </w:r>
      <w:r>
        <w:rPr>
          <w:color w:val="4D4D4F"/>
          <w:w w:val="110"/>
          <w:sz w:val="22"/>
        </w:rPr>
        <w:t>for patients to develop opioid</w:t>
      </w:r>
      <w:r>
        <w:rPr>
          <w:color w:val="4D4D4F"/>
          <w:spacing w:val="-45"/>
          <w:w w:val="110"/>
          <w:sz w:val="22"/>
        </w:rPr>
        <w:t> </w:t>
      </w:r>
      <w:r>
        <w:rPr>
          <w:color w:val="4D4D4F"/>
          <w:w w:val="110"/>
          <w:sz w:val="22"/>
        </w:rPr>
        <w:t>withdraw- al</w:t>
      </w:r>
      <w:r>
        <w:rPr>
          <w:color w:val="4D4D4F"/>
          <w:spacing w:val="-6"/>
          <w:w w:val="110"/>
          <w:sz w:val="22"/>
        </w:rPr>
        <w:t> </w:t>
      </w:r>
      <w:r>
        <w:rPr>
          <w:color w:val="4D4D4F"/>
          <w:w w:val="110"/>
          <w:sz w:val="22"/>
        </w:rPr>
        <w:t>symptoms.</w:t>
      </w:r>
    </w:p>
    <w:p>
      <w:pPr>
        <w:pStyle w:val="ListParagraph"/>
        <w:numPr>
          <w:ilvl w:val="0"/>
          <w:numId w:val="29"/>
        </w:numPr>
        <w:tabs>
          <w:tab w:pos="410" w:val="left" w:leader="none"/>
        </w:tabs>
        <w:spacing w:line="315" w:lineRule="exact" w:before="40" w:after="0"/>
        <w:ind w:left="410" w:right="0" w:hanging="270"/>
        <w:jc w:val="left"/>
        <w:rPr>
          <w:rFonts w:ascii="Arial" w:hAnsi="Arial"/>
          <w:color w:val="137692"/>
          <w:sz w:val="28"/>
        </w:rPr>
      </w:pPr>
      <w:r>
        <w:rPr>
          <w:color w:val="4D4D4F"/>
          <w:w w:val="110"/>
          <w:sz w:val="22"/>
        </w:rPr>
        <w:t>Initiate buprenorphine</w:t>
      </w:r>
      <w:r>
        <w:rPr>
          <w:color w:val="4D4D4F"/>
          <w:spacing w:val="-12"/>
          <w:w w:val="110"/>
          <w:sz w:val="22"/>
        </w:rPr>
        <w:t> </w:t>
      </w:r>
      <w:r>
        <w:rPr>
          <w:color w:val="4D4D4F"/>
          <w:w w:val="110"/>
          <w:sz w:val="22"/>
        </w:rPr>
        <w:t>treatment.</w:t>
      </w:r>
    </w:p>
    <w:p>
      <w:pPr>
        <w:pStyle w:val="ListParagraph"/>
        <w:numPr>
          <w:ilvl w:val="0"/>
          <w:numId w:val="29"/>
        </w:numPr>
        <w:tabs>
          <w:tab w:pos="410" w:val="left" w:leader="none"/>
        </w:tabs>
        <w:spacing w:line="307" w:lineRule="exact" w:before="0" w:after="0"/>
        <w:ind w:left="410" w:right="0" w:hanging="270"/>
        <w:jc w:val="left"/>
        <w:rPr>
          <w:rFonts w:ascii="Arial" w:hAnsi="Arial"/>
          <w:color w:val="137692"/>
          <w:sz w:val="28"/>
        </w:rPr>
      </w:pPr>
      <w:r>
        <w:rPr>
          <w:color w:val="4D4D4F"/>
          <w:w w:val="115"/>
          <w:sz w:val="22"/>
        </w:rPr>
        <w:t>Individualize buprenorphine</w:t>
      </w:r>
      <w:r>
        <w:rPr>
          <w:color w:val="4D4D4F"/>
          <w:spacing w:val="-20"/>
          <w:w w:val="115"/>
          <w:sz w:val="22"/>
        </w:rPr>
        <w:t> </w:t>
      </w:r>
      <w:r>
        <w:rPr>
          <w:color w:val="4D4D4F"/>
          <w:w w:val="115"/>
          <w:sz w:val="22"/>
        </w:rPr>
        <w:t>dosing.</w:t>
      </w:r>
    </w:p>
    <w:p>
      <w:pPr>
        <w:pStyle w:val="ListParagraph"/>
        <w:numPr>
          <w:ilvl w:val="0"/>
          <w:numId w:val="29"/>
        </w:numPr>
        <w:tabs>
          <w:tab w:pos="410" w:val="left" w:leader="none"/>
        </w:tabs>
        <w:spacing w:line="208" w:lineRule="auto" w:before="22" w:after="0"/>
        <w:ind w:left="410" w:right="5492" w:hanging="270"/>
        <w:jc w:val="left"/>
        <w:rPr>
          <w:rFonts w:ascii="Arial" w:hAnsi="Arial"/>
          <w:color w:val="137692"/>
          <w:sz w:val="28"/>
        </w:rPr>
      </w:pPr>
      <w:r>
        <w:rPr>
          <w:color w:val="4D4D4F"/>
          <w:w w:val="110"/>
          <w:sz w:val="22"/>
        </w:rPr>
        <w:t>Follow the dosing guidance found in </w:t>
      </w:r>
      <w:r>
        <w:rPr>
          <w:color w:val="4D4D4F"/>
          <w:spacing w:val="-3"/>
          <w:w w:val="110"/>
          <w:sz w:val="22"/>
        </w:rPr>
        <w:t>Chapter </w:t>
      </w:r>
      <w:r>
        <w:rPr>
          <w:color w:val="4D4D4F"/>
          <w:w w:val="110"/>
          <w:sz w:val="22"/>
        </w:rPr>
        <w:t>3D of this</w:t>
      </w:r>
      <w:r>
        <w:rPr>
          <w:color w:val="4D4D4F"/>
          <w:spacing w:val="-20"/>
          <w:w w:val="110"/>
          <w:sz w:val="22"/>
        </w:rPr>
        <w:t> </w:t>
      </w:r>
      <w:r>
        <w:rPr>
          <w:color w:val="4D4D4F"/>
          <w:spacing w:val="-10"/>
          <w:w w:val="110"/>
          <w:sz w:val="22"/>
        </w:rPr>
        <w:t>TIP.</w:t>
      </w:r>
    </w:p>
    <w:p>
      <w:pPr>
        <w:pStyle w:val="BodyText"/>
        <w:spacing w:line="247" w:lineRule="auto" w:before="195"/>
        <w:ind w:left="140" w:right="5391"/>
      </w:pPr>
      <w:r>
        <w:rPr>
          <w:color w:val="4D4D4F"/>
          <w:w w:val="110"/>
        </w:rPr>
        <w:t>A clinical trial found that starting buprenorphine in the ED to treat OUD was more effective in linking patients to buprenorphine treatment in the community than were two other approaches without medication.</w:t>
      </w:r>
      <w:r>
        <w:rPr>
          <w:color w:val="4D4D4F"/>
          <w:w w:val="110"/>
          <w:position w:val="7"/>
          <w:sz w:val="13"/>
        </w:rPr>
        <w:t>405 </w:t>
      </w:r>
      <w:r>
        <w:rPr>
          <w:color w:val="4D4D4F"/>
          <w:w w:val="110"/>
        </w:rPr>
        <w:t>When patients presented in opioid withdrawal, they received 8 mg of buprenorphine in the ED. Patients who were not in withdrawal received a detailed self-medication guide and were provided buprenorphine for</w:t>
      </w:r>
    </w:p>
    <w:p>
      <w:pPr>
        <w:pStyle w:val="BodyText"/>
        <w:spacing w:line="247" w:lineRule="auto" w:before="11"/>
        <w:ind w:left="140" w:right="5452"/>
      </w:pPr>
      <w:r>
        <w:rPr>
          <w:color w:val="4D4D4F"/>
          <w:w w:val="110"/>
        </w:rPr>
        <w:t>an unobserved home induction. In both cases, patients were given sufﬁcient buprenorphine to take 16 mg per day at home until they could see an outpatient prescriber within 72 hours. Close follow-up with an outpatient buprenorphine prescriber was critical for dose stabilization and ongoing medication management.</w:t>
      </w:r>
    </w:p>
    <w:p>
      <w:pPr>
        <w:pStyle w:val="BodyText"/>
        <w:spacing w:before="5"/>
        <w:rPr>
          <w:sz w:val="24"/>
        </w:rPr>
      </w:pPr>
    </w:p>
    <w:p>
      <w:pPr>
        <w:pStyle w:val="Heading3"/>
        <w:spacing w:line="228" w:lineRule="auto"/>
        <w:ind w:right="5833"/>
      </w:pPr>
      <w:bookmarkStart w:name="_TOC_250003" w:id="112"/>
      <w:bookmarkEnd w:id="112"/>
      <w:r>
        <w:rPr>
          <w:color w:val="137692"/>
          <w:w w:val="110"/>
        </w:rPr>
        <w:t>Methadone Induction in the Hospital Setting</w:t>
      </w:r>
    </w:p>
    <w:p>
      <w:pPr>
        <w:pStyle w:val="Heading7"/>
        <w:spacing w:line="235" w:lineRule="auto" w:before="49"/>
        <w:ind w:right="5452"/>
      </w:pPr>
      <w:r>
        <w:rPr>
          <w:color w:val="4D4D4F"/>
          <w:w w:val="110"/>
        </w:rPr>
        <w:t>Offer to treat hospitalized patients in opioid withdrawal with methadone (or buprenor- phine) maintenance if they can continue</w:t>
      </w:r>
    </w:p>
    <w:p>
      <w:pPr>
        <w:spacing w:line="244" w:lineRule="auto" w:before="0"/>
        <w:ind w:left="140" w:right="5553" w:firstLine="0"/>
        <w:jc w:val="left"/>
        <w:rPr>
          <w:sz w:val="22"/>
        </w:rPr>
      </w:pPr>
      <w:r>
        <w:rPr>
          <w:rFonts w:ascii="Calibri"/>
          <w:b/>
          <w:color w:val="4D4D4F"/>
          <w:w w:val="110"/>
          <w:sz w:val="22"/>
        </w:rPr>
        <w:t>the medication in an OTP seamlessly after discharge. </w:t>
      </w:r>
      <w:r>
        <w:rPr>
          <w:color w:val="4D4D4F"/>
          <w:w w:val="110"/>
          <w:sz w:val="22"/>
        </w:rPr>
        <w:t>Do not start patients on methadone maintenance in the hospital without a clear follow-up plan. Form relationships with local OTPs that allow discharging of patients directly into methadone maintenance treatment.</w:t>
      </w:r>
    </w:p>
    <w:p>
      <w:pPr>
        <w:spacing w:after="0" w:line="244" w:lineRule="auto"/>
        <w:jc w:val="left"/>
        <w:rPr>
          <w:sz w:val="22"/>
        </w:rPr>
        <w:sectPr>
          <w:pgSz w:w="12240" w:h="15840"/>
          <w:pgMar w:header="576" w:footer="677" w:top="1340" w:bottom="860" w:left="940" w:right="920"/>
        </w:sectPr>
      </w:pPr>
    </w:p>
    <w:p>
      <w:pPr>
        <w:pStyle w:val="BodyText"/>
        <w:spacing w:before="4"/>
        <w:rPr>
          <w:sz w:val="27"/>
        </w:rPr>
      </w:pPr>
    </w:p>
    <w:p>
      <w:pPr>
        <w:spacing w:after="0"/>
        <w:rPr>
          <w:sz w:val="27"/>
        </w:rPr>
        <w:sectPr>
          <w:pgSz w:w="12240" w:h="15840"/>
          <w:pgMar w:header="576" w:footer="677" w:top="1340" w:bottom="860" w:left="940" w:right="920"/>
        </w:sectPr>
      </w:pPr>
    </w:p>
    <w:p>
      <w:pPr>
        <w:pStyle w:val="Heading7"/>
        <w:spacing w:line="304" w:lineRule="auto" w:before="145"/>
        <w:ind w:left="438" w:right="195"/>
        <w:rPr>
          <w:rFonts w:ascii="Arial"/>
        </w:rPr>
      </w:pPr>
      <w:r>
        <w:rPr/>
        <w:pict>
          <v:line style="position:absolute;mso-position-horizontal-relative:page;mso-position-vertical-relative:paragraph;z-index:15796736" from="54.5pt,81.567678pt" to="54.5pt,6.919678pt" stroked="true" strokeweight="1pt" strokecolor="#759eb4">
            <v:stroke dashstyle="solid"/>
            <w10:wrap type="none"/>
          </v:line>
        </w:pict>
      </w:r>
      <w:r>
        <w:rPr>
          <w:rFonts w:ascii="Arial"/>
          <w:color w:val="B15651"/>
          <w:w w:val="115"/>
        </w:rPr>
        <w:t>The</w:t>
      </w:r>
      <w:r>
        <w:rPr>
          <w:rFonts w:ascii="Arial"/>
          <w:color w:val="B15651"/>
          <w:spacing w:val="-27"/>
          <w:w w:val="115"/>
        </w:rPr>
        <w:t> </w:t>
      </w:r>
      <w:r>
        <w:rPr>
          <w:rFonts w:ascii="Arial"/>
          <w:color w:val="B15651"/>
          <w:w w:val="115"/>
        </w:rPr>
        <w:t>TIP</w:t>
      </w:r>
      <w:r>
        <w:rPr>
          <w:rFonts w:ascii="Arial"/>
          <w:color w:val="B15651"/>
          <w:spacing w:val="-27"/>
          <w:w w:val="115"/>
        </w:rPr>
        <w:t> </w:t>
      </w:r>
      <w:r>
        <w:rPr>
          <w:rFonts w:ascii="Arial"/>
          <w:color w:val="B15651"/>
          <w:w w:val="115"/>
        </w:rPr>
        <w:t>expert</w:t>
      </w:r>
      <w:r>
        <w:rPr>
          <w:rFonts w:ascii="Arial"/>
          <w:color w:val="B15651"/>
          <w:spacing w:val="-27"/>
          <w:w w:val="115"/>
        </w:rPr>
        <w:t> </w:t>
      </w:r>
      <w:r>
        <w:rPr>
          <w:rFonts w:ascii="Arial"/>
          <w:color w:val="B15651"/>
          <w:w w:val="115"/>
        </w:rPr>
        <w:t>panel</w:t>
      </w:r>
      <w:r>
        <w:rPr>
          <w:rFonts w:ascii="Arial"/>
          <w:color w:val="B15651"/>
          <w:spacing w:val="-27"/>
          <w:w w:val="115"/>
        </w:rPr>
        <w:t> </w:t>
      </w:r>
      <w:r>
        <w:rPr>
          <w:rFonts w:ascii="Arial"/>
          <w:color w:val="B15651"/>
          <w:w w:val="115"/>
        </w:rPr>
        <w:t>urges</w:t>
      </w:r>
      <w:r>
        <w:rPr>
          <w:rFonts w:ascii="Arial"/>
          <w:color w:val="B15651"/>
          <w:spacing w:val="-27"/>
          <w:w w:val="115"/>
        </w:rPr>
        <w:t> </w:t>
      </w:r>
      <w:r>
        <w:rPr>
          <w:rFonts w:ascii="Arial"/>
          <w:color w:val="B15651"/>
          <w:w w:val="115"/>
        </w:rPr>
        <w:t>providers not to force patients to</w:t>
      </w:r>
      <w:r>
        <w:rPr>
          <w:rFonts w:ascii="Arial"/>
          <w:color w:val="B15651"/>
          <w:spacing w:val="-28"/>
          <w:w w:val="115"/>
        </w:rPr>
        <w:t> </w:t>
      </w:r>
      <w:r>
        <w:rPr>
          <w:rFonts w:ascii="Arial"/>
          <w:color w:val="B15651"/>
          <w:w w:val="115"/>
        </w:rPr>
        <w:t>withdraw</w:t>
      </w:r>
    </w:p>
    <w:p>
      <w:pPr>
        <w:spacing w:line="304" w:lineRule="auto" w:before="0"/>
        <w:ind w:left="438" w:right="112" w:firstLine="0"/>
        <w:jc w:val="left"/>
        <w:rPr>
          <w:rFonts w:ascii="Arial"/>
          <w:b/>
          <w:sz w:val="22"/>
        </w:rPr>
      </w:pPr>
      <w:r>
        <w:rPr>
          <w:rFonts w:ascii="Arial"/>
          <w:b/>
          <w:color w:val="B15651"/>
          <w:spacing w:val="3"/>
          <w:w w:val="115"/>
          <w:sz w:val="22"/>
        </w:rPr>
        <w:t>from </w:t>
      </w:r>
      <w:r>
        <w:rPr>
          <w:rFonts w:ascii="Arial"/>
          <w:b/>
          <w:color w:val="B15651"/>
          <w:w w:val="115"/>
          <w:sz w:val="22"/>
        </w:rPr>
        <w:t>opioid agonist treatment in the hospital,</w:t>
      </w:r>
      <w:r>
        <w:rPr>
          <w:rFonts w:ascii="Arial"/>
          <w:b/>
          <w:color w:val="B15651"/>
          <w:spacing w:val="-22"/>
          <w:w w:val="115"/>
          <w:sz w:val="22"/>
        </w:rPr>
        <w:t> </w:t>
      </w:r>
      <w:r>
        <w:rPr>
          <w:rFonts w:ascii="Arial"/>
          <w:b/>
          <w:color w:val="B15651"/>
          <w:w w:val="115"/>
          <w:sz w:val="22"/>
        </w:rPr>
        <w:t>especially</w:t>
      </w:r>
      <w:r>
        <w:rPr>
          <w:rFonts w:ascii="Arial"/>
          <w:b/>
          <w:color w:val="B15651"/>
          <w:spacing w:val="-22"/>
          <w:w w:val="115"/>
          <w:sz w:val="22"/>
        </w:rPr>
        <w:t> </w:t>
      </w:r>
      <w:r>
        <w:rPr>
          <w:rFonts w:ascii="Arial"/>
          <w:b/>
          <w:color w:val="B15651"/>
          <w:w w:val="115"/>
          <w:sz w:val="22"/>
        </w:rPr>
        <w:t>if</w:t>
      </w:r>
      <w:r>
        <w:rPr>
          <w:rFonts w:ascii="Arial"/>
          <w:b/>
          <w:color w:val="B15651"/>
          <w:spacing w:val="-22"/>
          <w:w w:val="115"/>
          <w:sz w:val="22"/>
        </w:rPr>
        <w:t> </w:t>
      </w:r>
      <w:r>
        <w:rPr>
          <w:rFonts w:ascii="Arial"/>
          <w:b/>
          <w:color w:val="B15651"/>
          <w:w w:val="115"/>
          <w:sz w:val="22"/>
        </w:rPr>
        <w:t>they</w:t>
      </w:r>
      <w:r>
        <w:rPr>
          <w:rFonts w:ascii="Arial"/>
          <w:b/>
          <w:color w:val="B15651"/>
          <w:spacing w:val="-21"/>
          <w:w w:val="115"/>
          <w:sz w:val="22"/>
        </w:rPr>
        <w:t> </w:t>
      </w:r>
      <w:r>
        <w:rPr>
          <w:rFonts w:ascii="Arial"/>
          <w:b/>
          <w:color w:val="B15651"/>
          <w:w w:val="115"/>
          <w:sz w:val="22"/>
        </w:rPr>
        <w:t>have</w:t>
      </w:r>
      <w:r>
        <w:rPr>
          <w:rFonts w:ascii="Arial"/>
          <w:b/>
          <w:color w:val="B15651"/>
          <w:spacing w:val="-22"/>
          <w:w w:val="115"/>
          <w:sz w:val="22"/>
        </w:rPr>
        <w:t> </w:t>
      </w:r>
      <w:r>
        <w:rPr>
          <w:rFonts w:ascii="Arial"/>
          <w:b/>
          <w:color w:val="B15651"/>
          <w:w w:val="115"/>
          <w:sz w:val="22"/>
        </w:rPr>
        <w:t>acute illness,</w:t>
      </w:r>
      <w:r>
        <w:rPr>
          <w:rFonts w:ascii="Arial"/>
          <w:b/>
          <w:color w:val="B15651"/>
          <w:spacing w:val="-15"/>
          <w:w w:val="115"/>
          <w:sz w:val="22"/>
        </w:rPr>
        <w:t> </w:t>
      </w:r>
      <w:r>
        <w:rPr>
          <w:rFonts w:ascii="Arial"/>
          <w:b/>
          <w:color w:val="B15651"/>
          <w:w w:val="115"/>
          <w:sz w:val="22"/>
        </w:rPr>
        <w:t>pain,</w:t>
      </w:r>
      <w:r>
        <w:rPr>
          <w:rFonts w:ascii="Arial"/>
          <w:b/>
          <w:color w:val="B15651"/>
          <w:spacing w:val="-15"/>
          <w:w w:val="115"/>
          <w:sz w:val="22"/>
        </w:rPr>
        <w:t> </w:t>
      </w:r>
      <w:r>
        <w:rPr>
          <w:rFonts w:ascii="Arial"/>
          <w:b/>
          <w:color w:val="B15651"/>
          <w:w w:val="115"/>
          <w:sz w:val="22"/>
        </w:rPr>
        <w:t>or</w:t>
      </w:r>
      <w:r>
        <w:rPr>
          <w:rFonts w:ascii="Arial"/>
          <w:b/>
          <w:color w:val="B15651"/>
          <w:spacing w:val="-14"/>
          <w:w w:val="115"/>
          <w:sz w:val="22"/>
        </w:rPr>
        <w:t> </w:t>
      </w:r>
      <w:r>
        <w:rPr>
          <w:rFonts w:ascii="Arial"/>
          <w:b/>
          <w:color w:val="B15651"/>
          <w:w w:val="115"/>
          <w:sz w:val="22"/>
        </w:rPr>
        <w:t>a</w:t>
      </w:r>
      <w:r>
        <w:rPr>
          <w:rFonts w:ascii="Arial"/>
          <w:b/>
          <w:color w:val="B15651"/>
          <w:spacing w:val="-15"/>
          <w:w w:val="115"/>
          <w:sz w:val="22"/>
        </w:rPr>
        <w:t> </w:t>
      </w:r>
      <w:r>
        <w:rPr>
          <w:rFonts w:ascii="Arial"/>
          <w:b/>
          <w:color w:val="B15651"/>
          <w:w w:val="115"/>
          <w:sz w:val="22"/>
        </w:rPr>
        <w:t>mental</w:t>
      </w:r>
      <w:r>
        <w:rPr>
          <w:rFonts w:ascii="Arial"/>
          <w:b/>
          <w:color w:val="B15651"/>
          <w:spacing w:val="-15"/>
          <w:w w:val="115"/>
          <w:sz w:val="22"/>
        </w:rPr>
        <w:t> </w:t>
      </w:r>
      <w:r>
        <w:rPr>
          <w:rFonts w:ascii="Arial"/>
          <w:b/>
          <w:color w:val="B15651"/>
          <w:w w:val="115"/>
          <w:sz w:val="22"/>
        </w:rPr>
        <w:t>illness.</w:t>
      </w:r>
    </w:p>
    <w:p>
      <w:pPr>
        <w:pStyle w:val="BodyText"/>
        <w:spacing w:before="10"/>
        <w:rPr>
          <w:rFonts w:ascii="Arial"/>
          <w:b/>
          <w:sz w:val="24"/>
        </w:rPr>
      </w:pPr>
    </w:p>
    <w:p>
      <w:pPr>
        <w:spacing w:line="244" w:lineRule="auto" w:before="1"/>
        <w:ind w:left="139" w:right="76" w:firstLine="0"/>
        <w:jc w:val="left"/>
        <w:rPr>
          <w:sz w:val="22"/>
        </w:rPr>
      </w:pPr>
      <w:r>
        <w:rPr>
          <w:rFonts w:ascii="Calibri" w:hAnsi="Calibri"/>
          <w:b/>
          <w:color w:val="4D4D4F"/>
          <w:w w:val="110"/>
          <w:sz w:val="22"/>
        </w:rPr>
        <w:t>Inpatient methadone inductions should </w:t>
      </w:r>
      <w:r>
        <w:rPr>
          <w:rFonts w:ascii="Calibri" w:hAnsi="Calibri"/>
          <w:b/>
          <w:color w:val="4D4D4F"/>
          <w:spacing w:val="-3"/>
          <w:w w:val="110"/>
          <w:sz w:val="22"/>
        </w:rPr>
        <w:t>follow </w:t>
      </w:r>
      <w:r>
        <w:rPr>
          <w:rFonts w:ascii="Calibri" w:hAnsi="Calibri"/>
          <w:b/>
          <w:color w:val="4D4D4F"/>
          <w:w w:val="110"/>
          <w:sz w:val="22"/>
        </w:rPr>
        <w:t>the same “start </w:t>
      </w:r>
      <w:r>
        <w:rPr>
          <w:rFonts w:ascii="Calibri" w:hAnsi="Calibri"/>
          <w:b/>
          <w:color w:val="4D4D4F"/>
          <w:spacing w:val="-5"/>
          <w:w w:val="110"/>
          <w:sz w:val="22"/>
        </w:rPr>
        <w:t>low, </w:t>
      </w:r>
      <w:r>
        <w:rPr>
          <w:rFonts w:ascii="Calibri" w:hAnsi="Calibri"/>
          <w:b/>
          <w:color w:val="4D4D4F"/>
          <w:w w:val="110"/>
          <w:sz w:val="22"/>
        </w:rPr>
        <w:t>go slow” principles that outpatient inductions do </w:t>
      </w:r>
      <w:r>
        <w:rPr>
          <w:color w:val="4D4D4F"/>
          <w:w w:val="110"/>
          <w:sz w:val="22"/>
        </w:rPr>
        <w:t>(see Chapter 3B of this TIP). The initial dose should be from 10 mg to 20 mg per </w:t>
      </w:r>
      <w:r>
        <w:rPr>
          <w:color w:val="4D4D4F"/>
          <w:spacing w:val="-5"/>
          <w:w w:val="110"/>
          <w:sz w:val="22"/>
        </w:rPr>
        <w:t>day. </w:t>
      </w:r>
      <w:r>
        <w:rPr>
          <w:color w:val="4D4D4F"/>
          <w:w w:val="110"/>
          <w:sz w:val="22"/>
        </w:rPr>
        <w:t>Increase slowly by 5 mg every few days in response to symptoms of opioid withdrawal and level of sedation at the peak plasma level 2 to 4 hours after</w:t>
      </w:r>
      <w:r>
        <w:rPr>
          <w:color w:val="4D4D4F"/>
          <w:spacing w:val="-19"/>
          <w:w w:val="110"/>
          <w:sz w:val="22"/>
        </w:rPr>
        <w:t> </w:t>
      </w:r>
      <w:r>
        <w:rPr>
          <w:color w:val="4D4D4F"/>
          <w:w w:val="110"/>
          <w:sz w:val="22"/>
        </w:rPr>
        <w:t>dosing.</w:t>
      </w:r>
    </w:p>
    <w:p>
      <w:pPr>
        <w:pStyle w:val="BodyText"/>
        <w:spacing w:before="2"/>
        <w:rPr>
          <w:sz w:val="23"/>
        </w:rPr>
      </w:pPr>
    </w:p>
    <w:p>
      <w:pPr>
        <w:pStyle w:val="Heading3"/>
        <w:spacing w:line="228" w:lineRule="auto"/>
        <w:ind w:right="493"/>
      </w:pPr>
      <w:bookmarkStart w:name="_TOC_250002" w:id="113"/>
      <w:bookmarkEnd w:id="113"/>
      <w:r>
        <w:rPr>
          <w:color w:val="137692"/>
          <w:w w:val="110"/>
        </w:rPr>
        <w:t>Naltrexone Induction in the Hospital Setting</w:t>
      </w:r>
    </w:p>
    <w:p>
      <w:pPr>
        <w:spacing w:line="242" w:lineRule="auto" w:before="44"/>
        <w:ind w:left="140" w:right="6" w:firstLine="0"/>
        <w:jc w:val="left"/>
        <w:rPr>
          <w:sz w:val="22"/>
        </w:rPr>
      </w:pPr>
      <w:r>
        <w:rPr>
          <w:rFonts w:ascii="Calibri"/>
          <w:b/>
          <w:color w:val="4D4D4F"/>
          <w:w w:val="110"/>
          <w:sz w:val="22"/>
        </w:rPr>
        <w:t>Consider XR-NTX initiation for patients who complete withdrawal in the hospital </w:t>
      </w:r>
      <w:r>
        <w:rPr>
          <w:color w:val="4D4D4F"/>
          <w:w w:val="110"/>
          <w:sz w:val="22"/>
        </w:rPr>
        <w:t>and are opioid free for 7 days (short acting) and up to 14 days (long acting). Only do so if:</w:t>
      </w:r>
    </w:p>
    <w:p>
      <w:pPr>
        <w:pStyle w:val="ListParagraph"/>
        <w:numPr>
          <w:ilvl w:val="0"/>
          <w:numId w:val="29"/>
        </w:numPr>
        <w:tabs>
          <w:tab w:pos="410" w:val="left" w:leader="none"/>
        </w:tabs>
        <w:spacing w:line="208" w:lineRule="auto" w:before="130" w:after="0"/>
        <w:ind w:left="410" w:right="342" w:hanging="270"/>
        <w:jc w:val="left"/>
        <w:rPr>
          <w:rFonts w:ascii="Arial" w:hAnsi="Arial"/>
          <w:color w:val="137692"/>
          <w:sz w:val="28"/>
        </w:rPr>
      </w:pPr>
      <w:r>
        <w:rPr>
          <w:color w:val="4D4D4F"/>
          <w:w w:val="110"/>
          <w:sz w:val="22"/>
        </w:rPr>
        <w:t>There</w:t>
      </w:r>
      <w:r>
        <w:rPr>
          <w:color w:val="4D4D4F"/>
          <w:spacing w:val="-11"/>
          <w:w w:val="110"/>
          <w:sz w:val="22"/>
        </w:rPr>
        <w:t> </w:t>
      </w:r>
      <w:r>
        <w:rPr>
          <w:color w:val="4D4D4F"/>
          <w:w w:val="110"/>
          <w:sz w:val="22"/>
        </w:rPr>
        <w:t>are</w:t>
      </w:r>
      <w:r>
        <w:rPr>
          <w:color w:val="4D4D4F"/>
          <w:spacing w:val="-10"/>
          <w:w w:val="110"/>
          <w:sz w:val="22"/>
        </w:rPr>
        <w:t> </w:t>
      </w:r>
      <w:r>
        <w:rPr>
          <w:color w:val="4D4D4F"/>
          <w:w w:val="110"/>
          <w:sz w:val="22"/>
        </w:rPr>
        <w:t>no</w:t>
      </w:r>
      <w:r>
        <w:rPr>
          <w:color w:val="4D4D4F"/>
          <w:spacing w:val="-10"/>
          <w:w w:val="110"/>
          <w:sz w:val="22"/>
        </w:rPr>
        <w:t> </w:t>
      </w:r>
      <w:r>
        <w:rPr>
          <w:color w:val="4D4D4F"/>
          <w:w w:val="110"/>
          <w:sz w:val="22"/>
        </w:rPr>
        <w:t>contraindications</w:t>
      </w:r>
      <w:r>
        <w:rPr>
          <w:color w:val="4D4D4F"/>
          <w:spacing w:val="-10"/>
          <w:w w:val="110"/>
          <w:sz w:val="22"/>
        </w:rPr>
        <w:t> </w:t>
      </w:r>
      <w:r>
        <w:rPr>
          <w:color w:val="4D4D4F"/>
          <w:w w:val="110"/>
          <w:sz w:val="22"/>
        </w:rPr>
        <w:t>(such</w:t>
      </w:r>
      <w:r>
        <w:rPr>
          <w:color w:val="4D4D4F"/>
          <w:spacing w:val="-10"/>
          <w:w w:val="110"/>
          <w:sz w:val="22"/>
        </w:rPr>
        <w:t> </w:t>
      </w:r>
      <w:r>
        <w:rPr>
          <w:color w:val="4D4D4F"/>
          <w:w w:val="110"/>
          <w:sz w:val="22"/>
        </w:rPr>
        <w:t>as</w:t>
      </w:r>
      <w:r>
        <w:rPr>
          <w:color w:val="4D4D4F"/>
          <w:spacing w:val="-10"/>
          <w:w w:val="110"/>
          <w:sz w:val="22"/>
        </w:rPr>
        <w:t> </w:t>
      </w:r>
      <w:r>
        <w:rPr>
          <w:color w:val="4D4D4F"/>
          <w:spacing w:val="-6"/>
          <w:w w:val="110"/>
          <w:sz w:val="22"/>
        </w:rPr>
        <w:t>the </w:t>
      </w:r>
      <w:r>
        <w:rPr>
          <w:color w:val="4D4D4F"/>
          <w:w w:val="110"/>
          <w:sz w:val="22"/>
        </w:rPr>
        <w:t>need for opioid</w:t>
      </w:r>
      <w:r>
        <w:rPr>
          <w:color w:val="4D4D4F"/>
          <w:spacing w:val="-9"/>
          <w:w w:val="110"/>
          <w:sz w:val="22"/>
        </w:rPr>
        <w:t> </w:t>
      </w:r>
      <w:r>
        <w:rPr>
          <w:color w:val="4D4D4F"/>
          <w:w w:val="110"/>
          <w:sz w:val="22"/>
        </w:rPr>
        <w:t>analgesia).</w:t>
      </w:r>
    </w:p>
    <w:p>
      <w:pPr>
        <w:pStyle w:val="ListParagraph"/>
        <w:numPr>
          <w:ilvl w:val="0"/>
          <w:numId w:val="29"/>
        </w:numPr>
        <w:tabs>
          <w:tab w:pos="410" w:val="left" w:leader="none"/>
        </w:tabs>
        <w:spacing w:line="208" w:lineRule="auto" w:before="69" w:after="0"/>
        <w:ind w:left="410" w:right="119" w:hanging="270"/>
        <w:jc w:val="left"/>
        <w:rPr>
          <w:rFonts w:ascii="Arial" w:hAnsi="Arial"/>
          <w:color w:val="137692"/>
          <w:sz w:val="28"/>
        </w:rPr>
      </w:pPr>
      <w:r>
        <w:rPr>
          <w:color w:val="4D4D4F"/>
          <w:w w:val="110"/>
          <w:sz w:val="22"/>
        </w:rPr>
        <w:t>The patient prefers it after a risk/beneﬁt discussion that covers alternative</w:t>
      </w:r>
      <w:r>
        <w:rPr>
          <w:color w:val="4D4D4F"/>
          <w:spacing w:val="5"/>
          <w:w w:val="110"/>
          <w:sz w:val="22"/>
        </w:rPr>
        <w:t> </w:t>
      </w:r>
      <w:r>
        <w:rPr>
          <w:color w:val="4D4D4F"/>
          <w:spacing w:val="-3"/>
          <w:w w:val="110"/>
          <w:sz w:val="22"/>
        </w:rPr>
        <w:t>treatments.</w:t>
      </w:r>
    </w:p>
    <w:p>
      <w:pPr>
        <w:pStyle w:val="ListParagraph"/>
        <w:numPr>
          <w:ilvl w:val="0"/>
          <w:numId w:val="29"/>
        </w:numPr>
        <w:tabs>
          <w:tab w:pos="410" w:val="left" w:leader="none"/>
        </w:tabs>
        <w:spacing w:line="225" w:lineRule="auto" w:before="53" w:after="0"/>
        <w:ind w:left="410" w:right="319" w:hanging="270"/>
        <w:jc w:val="both"/>
        <w:rPr>
          <w:rFonts w:ascii="Arial" w:hAnsi="Arial"/>
          <w:color w:val="137692"/>
          <w:sz w:val="28"/>
        </w:rPr>
      </w:pPr>
      <w:r>
        <w:rPr>
          <w:color w:val="4D4D4F"/>
          <w:w w:val="110"/>
          <w:sz w:val="22"/>
        </w:rPr>
        <w:t>There are available follow-up </w:t>
      </w:r>
      <w:r>
        <w:rPr>
          <w:color w:val="4D4D4F"/>
          <w:spacing w:val="-2"/>
          <w:w w:val="110"/>
          <w:sz w:val="22"/>
        </w:rPr>
        <w:t>opportunities </w:t>
      </w:r>
      <w:r>
        <w:rPr>
          <w:color w:val="4D4D4F"/>
          <w:w w:val="110"/>
          <w:sz w:val="22"/>
        </w:rPr>
        <w:t>for ongoing medication maintenance upon discharge.</w:t>
      </w:r>
    </w:p>
    <w:p>
      <w:pPr>
        <w:pStyle w:val="BodyText"/>
        <w:spacing w:line="247" w:lineRule="auto" w:before="100"/>
        <w:ind w:left="139" w:right="715"/>
      </w:pPr>
      <w:r>
        <w:rPr/>
        <w:br w:type="column"/>
      </w:r>
      <w:r>
        <w:rPr>
          <w:color w:val="4D4D4F"/>
          <w:w w:val="115"/>
        </w:rPr>
        <w:t>No published data indicate this </w:t>
      </w:r>
      <w:r>
        <w:rPr>
          <w:color w:val="4D4D4F"/>
          <w:spacing w:val="-5"/>
          <w:w w:val="115"/>
        </w:rPr>
        <w:t>approach’s </w:t>
      </w:r>
      <w:r>
        <w:rPr>
          <w:color w:val="4D4D4F"/>
          <w:w w:val="115"/>
        </w:rPr>
        <w:t>effectiveness.</w:t>
      </w:r>
    </w:p>
    <w:p>
      <w:pPr>
        <w:pStyle w:val="BodyText"/>
        <w:spacing w:line="247" w:lineRule="auto" w:before="183"/>
        <w:ind w:left="139" w:right="248"/>
      </w:pPr>
      <w:r>
        <w:rPr>
          <w:color w:val="4D4D4F"/>
          <w:w w:val="115"/>
        </w:rPr>
        <w:t>If a patient desires and gives informed consent for</w:t>
      </w:r>
      <w:r>
        <w:rPr>
          <w:color w:val="4D4D4F"/>
          <w:spacing w:val="-41"/>
          <w:w w:val="115"/>
        </w:rPr>
        <w:t> </w:t>
      </w:r>
      <w:r>
        <w:rPr>
          <w:color w:val="4D4D4F"/>
          <w:w w:val="115"/>
        </w:rPr>
        <w:t>medically</w:t>
      </w:r>
      <w:r>
        <w:rPr>
          <w:color w:val="4D4D4F"/>
          <w:spacing w:val="-40"/>
          <w:w w:val="115"/>
        </w:rPr>
        <w:t> </w:t>
      </w:r>
      <w:r>
        <w:rPr>
          <w:color w:val="4D4D4F"/>
          <w:w w:val="115"/>
        </w:rPr>
        <w:t>supervised</w:t>
      </w:r>
      <w:r>
        <w:rPr>
          <w:color w:val="4D4D4F"/>
          <w:spacing w:val="-41"/>
          <w:w w:val="115"/>
        </w:rPr>
        <w:t> </w:t>
      </w:r>
      <w:r>
        <w:rPr>
          <w:color w:val="4D4D4F"/>
          <w:w w:val="115"/>
        </w:rPr>
        <w:t>withdrawal</w:t>
      </w:r>
      <w:r>
        <w:rPr>
          <w:color w:val="4D4D4F"/>
          <w:spacing w:val="-40"/>
          <w:w w:val="115"/>
        </w:rPr>
        <w:t> </w:t>
      </w:r>
      <w:r>
        <w:rPr>
          <w:color w:val="4D4D4F"/>
          <w:w w:val="115"/>
        </w:rPr>
        <w:t>and</w:t>
      </w:r>
      <w:r>
        <w:rPr>
          <w:color w:val="4D4D4F"/>
          <w:spacing w:val="-41"/>
          <w:w w:val="115"/>
        </w:rPr>
        <w:t> </w:t>
      </w:r>
      <w:r>
        <w:rPr>
          <w:color w:val="4D4D4F"/>
          <w:spacing w:val="-3"/>
          <w:w w:val="115"/>
        </w:rPr>
        <w:t>naltrex- </w:t>
      </w:r>
      <w:r>
        <w:rPr>
          <w:color w:val="4D4D4F"/>
          <w:w w:val="115"/>
        </w:rPr>
        <w:t>one initiation while in the hospital, a ﬁrst dose of</w:t>
      </w:r>
      <w:r>
        <w:rPr>
          <w:color w:val="4D4D4F"/>
          <w:spacing w:val="-15"/>
          <w:w w:val="115"/>
        </w:rPr>
        <w:t> </w:t>
      </w:r>
      <w:r>
        <w:rPr>
          <w:color w:val="4D4D4F"/>
          <w:w w:val="115"/>
        </w:rPr>
        <w:t>naltrexone</w:t>
      </w:r>
      <w:r>
        <w:rPr>
          <w:color w:val="4D4D4F"/>
          <w:spacing w:val="-14"/>
          <w:w w:val="115"/>
        </w:rPr>
        <w:t> </w:t>
      </w:r>
      <w:r>
        <w:rPr>
          <w:color w:val="4D4D4F"/>
          <w:w w:val="115"/>
        </w:rPr>
        <w:t>can</w:t>
      </w:r>
      <w:r>
        <w:rPr>
          <w:color w:val="4D4D4F"/>
          <w:spacing w:val="-14"/>
          <w:w w:val="115"/>
        </w:rPr>
        <w:t> </w:t>
      </w:r>
      <w:r>
        <w:rPr>
          <w:color w:val="4D4D4F"/>
          <w:w w:val="115"/>
        </w:rPr>
        <w:t>be</w:t>
      </w:r>
      <w:r>
        <w:rPr>
          <w:color w:val="4D4D4F"/>
          <w:spacing w:val="-14"/>
          <w:w w:val="115"/>
        </w:rPr>
        <w:t> </w:t>
      </w:r>
      <w:r>
        <w:rPr>
          <w:color w:val="4D4D4F"/>
          <w:w w:val="115"/>
        </w:rPr>
        <w:t>given</w:t>
      </w:r>
      <w:r>
        <w:rPr>
          <w:color w:val="4D4D4F"/>
          <w:spacing w:val="-15"/>
          <w:w w:val="115"/>
        </w:rPr>
        <w:t> </w:t>
      </w:r>
      <w:r>
        <w:rPr>
          <w:color w:val="4D4D4F"/>
          <w:w w:val="115"/>
        </w:rPr>
        <w:t>before</w:t>
      </w:r>
      <w:r>
        <w:rPr>
          <w:color w:val="4D4D4F"/>
          <w:spacing w:val="-14"/>
          <w:w w:val="115"/>
        </w:rPr>
        <w:t> </w:t>
      </w:r>
      <w:r>
        <w:rPr>
          <w:color w:val="4D4D4F"/>
          <w:w w:val="115"/>
        </w:rPr>
        <w:t>discharge.</w:t>
      </w:r>
    </w:p>
    <w:p>
      <w:pPr>
        <w:pStyle w:val="BodyText"/>
        <w:spacing w:line="247" w:lineRule="auto" w:before="4"/>
        <w:ind w:left="139" w:right="148"/>
      </w:pPr>
      <w:r>
        <w:rPr>
          <w:color w:val="4D4D4F"/>
          <w:w w:val="115"/>
        </w:rPr>
        <w:t>As with other medications for OUD, discharge coordination is critical. Hospitals that develop naltrexone induction protocols need to have a </w:t>
      </w:r>
      <w:r>
        <w:rPr>
          <w:color w:val="4D4D4F"/>
          <w:spacing w:val="-3"/>
          <w:w w:val="115"/>
        </w:rPr>
        <w:t>clear</w:t>
      </w:r>
      <w:r>
        <w:rPr>
          <w:color w:val="4D4D4F"/>
          <w:spacing w:val="-24"/>
          <w:w w:val="115"/>
        </w:rPr>
        <w:t> </w:t>
      </w:r>
      <w:r>
        <w:rPr>
          <w:color w:val="4D4D4F"/>
          <w:spacing w:val="-4"/>
          <w:w w:val="115"/>
        </w:rPr>
        <w:t>discharge</w:t>
      </w:r>
      <w:r>
        <w:rPr>
          <w:color w:val="4D4D4F"/>
          <w:spacing w:val="-24"/>
          <w:w w:val="115"/>
        </w:rPr>
        <w:t> </w:t>
      </w:r>
      <w:r>
        <w:rPr>
          <w:color w:val="4D4D4F"/>
          <w:spacing w:val="-3"/>
          <w:w w:val="115"/>
        </w:rPr>
        <w:t>plan</w:t>
      </w:r>
      <w:r>
        <w:rPr>
          <w:color w:val="4D4D4F"/>
          <w:spacing w:val="-24"/>
          <w:w w:val="115"/>
        </w:rPr>
        <w:t> </w:t>
      </w:r>
      <w:r>
        <w:rPr>
          <w:color w:val="4D4D4F"/>
          <w:w w:val="115"/>
        </w:rPr>
        <w:t>in</w:t>
      </w:r>
      <w:r>
        <w:rPr>
          <w:color w:val="4D4D4F"/>
          <w:spacing w:val="-23"/>
          <w:w w:val="115"/>
        </w:rPr>
        <w:t> </w:t>
      </w:r>
      <w:r>
        <w:rPr>
          <w:color w:val="4D4D4F"/>
          <w:spacing w:val="-3"/>
          <w:w w:val="115"/>
        </w:rPr>
        <w:t>place</w:t>
      </w:r>
      <w:r>
        <w:rPr>
          <w:color w:val="4D4D4F"/>
          <w:spacing w:val="-24"/>
          <w:w w:val="115"/>
        </w:rPr>
        <w:t> </w:t>
      </w:r>
      <w:r>
        <w:rPr>
          <w:color w:val="4D4D4F"/>
          <w:w w:val="115"/>
        </w:rPr>
        <w:t>for</w:t>
      </w:r>
      <w:r>
        <w:rPr>
          <w:color w:val="4D4D4F"/>
          <w:spacing w:val="-24"/>
          <w:w w:val="115"/>
        </w:rPr>
        <w:t> </w:t>
      </w:r>
      <w:r>
        <w:rPr>
          <w:color w:val="4D4D4F"/>
          <w:spacing w:val="-3"/>
          <w:w w:val="115"/>
        </w:rPr>
        <w:t>patients</w:t>
      </w:r>
      <w:r>
        <w:rPr>
          <w:color w:val="4D4D4F"/>
          <w:spacing w:val="-23"/>
          <w:w w:val="115"/>
        </w:rPr>
        <w:t> </w:t>
      </w:r>
      <w:r>
        <w:rPr>
          <w:color w:val="4D4D4F"/>
          <w:w w:val="115"/>
        </w:rPr>
        <w:t>who</w:t>
      </w:r>
      <w:r>
        <w:rPr>
          <w:color w:val="4D4D4F"/>
          <w:spacing w:val="-24"/>
          <w:w w:val="115"/>
        </w:rPr>
        <w:t> </w:t>
      </w:r>
      <w:r>
        <w:rPr>
          <w:color w:val="4D4D4F"/>
          <w:spacing w:val="-3"/>
          <w:w w:val="115"/>
        </w:rPr>
        <w:t>will </w:t>
      </w:r>
      <w:r>
        <w:rPr>
          <w:color w:val="4D4D4F"/>
          <w:w w:val="115"/>
        </w:rPr>
        <w:t>then need to continue naltrexone in the outpa- tient setting. Patients should be advised about the</w:t>
      </w:r>
      <w:r>
        <w:rPr>
          <w:color w:val="4D4D4F"/>
          <w:spacing w:val="-35"/>
          <w:w w:val="115"/>
        </w:rPr>
        <w:t> </w:t>
      </w:r>
      <w:r>
        <w:rPr>
          <w:color w:val="4D4D4F"/>
          <w:w w:val="115"/>
        </w:rPr>
        <w:t>risk</w:t>
      </w:r>
      <w:r>
        <w:rPr>
          <w:color w:val="4D4D4F"/>
          <w:spacing w:val="-35"/>
          <w:w w:val="115"/>
        </w:rPr>
        <w:t> </w:t>
      </w:r>
      <w:r>
        <w:rPr>
          <w:color w:val="4D4D4F"/>
          <w:w w:val="115"/>
        </w:rPr>
        <w:t>of</w:t>
      </w:r>
      <w:r>
        <w:rPr>
          <w:color w:val="4D4D4F"/>
          <w:spacing w:val="-34"/>
          <w:w w:val="115"/>
        </w:rPr>
        <w:t> </w:t>
      </w:r>
      <w:r>
        <w:rPr>
          <w:color w:val="4D4D4F"/>
          <w:w w:val="115"/>
        </w:rPr>
        <w:t>overdose</w:t>
      </w:r>
      <w:r>
        <w:rPr>
          <w:color w:val="4D4D4F"/>
          <w:spacing w:val="-35"/>
          <w:w w:val="115"/>
        </w:rPr>
        <w:t> </w:t>
      </w:r>
      <w:r>
        <w:rPr>
          <w:color w:val="4D4D4F"/>
          <w:w w:val="115"/>
        </w:rPr>
        <w:t>if</w:t>
      </w:r>
      <w:r>
        <w:rPr>
          <w:color w:val="4D4D4F"/>
          <w:spacing w:val="-35"/>
          <w:w w:val="115"/>
        </w:rPr>
        <w:t> </w:t>
      </w:r>
      <w:r>
        <w:rPr>
          <w:color w:val="4D4D4F"/>
          <w:w w:val="115"/>
        </w:rPr>
        <w:t>return</w:t>
      </w:r>
      <w:r>
        <w:rPr>
          <w:color w:val="4D4D4F"/>
          <w:spacing w:val="-34"/>
          <w:w w:val="115"/>
        </w:rPr>
        <w:t> </w:t>
      </w:r>
      <w:r>
        <w:rPr>
          <w:color w:val="4D4D4F"/>
          <w:w w:val="115"/>
        </w:rPr>
        <w:t>to</w:t>
      </w:r>
      <w:r>
        <w:rPr>
          <w:color w:val="4D4D4F"/>
          <w:spacing w:val="-35"/>
          <w:w w:val="115"/>
        </w:rPr>
        <w:t> </w:t>
      </w:r>
      <w:r>
        <w:rPr>
          <w:color w:val="4D4D4F"/>
          <w:w w:val="115"/>
        </w:rPr>
        <w:t>opioid</w:t>
      </w:r>
      <w:r>
        <w:rPr>
          <w:color w:val="4D4D4F"/>
          <w:spacing w:val="-34"/>
          <w:w w:val="115"/>
        </w:rPr>
        <w:t> </w:t>
      </w:r>
      <w:r>
        <w:rPr>
          <w:color w:val="4D4D4F"/>
          <w:w w:val="115"/>
        </w:rPr>
        <w:t>use</w:t>
      </w:r>
      <w:r>
        <w:rPr>
          <w:color w:val="4D4D4F"/>
          <w:spacing w:val="-35"/>
          <w:w w:val="115"/>
        </w:rPr>
        <w:t> </w:t>
      </w:r>
      <w:r>
        <w:rPr>
          <w:color w:val="4D4D4F"/>
          <w:spacing w:val="-3"/>
          <w:w w:val="115"/>
        </w:rPr>
        <w:t>occurs </w:t>
      </w:r>
      <w:r>
        <w:rPr>
          <w:color w:val="4D4D4F"/>
          <w:w w:val="115"/>
        </w:rPr>
        <w:t>after discontinuing</w:t>
      </w:r>
      <w:r>
        <w:rPr>
          <w:color w:val="4D4D4F"/>
          <w:spacing w:val="-24"/>
          <w:w w:val="115"/>
        </w:rPr>
        <w:t> </w:t>
      </w:r>
      <w:r>
        <w:rPr>
          <w:color w:val="4D4D4F"/>
          <w:w w:val="115"/>
        </w:rPr>
        <w:t>naltrexone.</w:t>
      </w:r>
    </w:p>
    <w:p>
      <w:pPr>
        <w:pStyle w:val="Heading2"/>
        <w:spacing w:before="223"/>
        <w:ind w:left="139"/>
      </w:pPr>
      <w:bookmarkStart w:name="_TOC_250001" w:id="114"/>
      <w:bookmarkEnd w:id="114"/>
      <w:r>
        <w:rPr>
          <w:color w:val="137692"/>
          <w:w w:val="105"/>
        </w:rPr>
        <w:t>Medical Management Plan</w:t>
      </w:r>
    </w:p>
    <w:p>
      <w:pPr>
        <w:spacing w:line="237" w:lineRule="auto" w:before="29"/>
        <w:ind w:left="139" w:right="274" w:firstLine="0"/>
        <w:jc w:val="left"/>
        <w:rPr>
          <w:sz w:val="22"/>
        </w:rPr>
      </w:pPr>
      <w:r>
        <w:rPr>
          <w:color w:val="4D4D4F"/>
          <w:w w:val="110"/>
          <w:sz w:val="22"/>
        </w:rPr>
        <w:t>The key to effective treatment is to </w:t>
      </w:r>
      <w:r>
        <w:rPr>
          <w:rFonts w:ascii="Calibri"/>
          <w:b/>
          <w:color w:val="4D4D4F"/>
          <w:w w:val="110"/>
          <w:sz w:val="22"/>
        </w:rPr>
        <w:t>involve patients and all treating healthcare profes- sionals in developing a  comprehensive  plan for managing treatment with OUD medication during and after hospitalization. </w:t>
      </w:r>
      <w:r>
        <w:rPr>
          <w:color w:val="4D4D4F"/>
          <w:w w:val="110"/>
          <w:sz w:val="22"/>
        </w:rPr>
        <w:t>This plan should</w:t>
      </w:r>
      <w:r>
        <w:rPr>
          <w:color w:val="4D4D4F"/>
          <w:spacing w:val="-6"/>
          <w:w w:val="110"/>
          <w:sz w:val="22"/>
        </w:rPr>
        <w:t> </w:t>
      </w:r>
      <w:r>
        <w:rPr>
          <w:color w:val="4D4D4F"/>
          <w:w w:val="110"/>
          <w:sz w:val="22"/>
        </w:rPr>
        <w:t>include:</w:t>
      </w:r>
    </w:p>
    <w:p>
      <w:pPr>
        <w:pStyle w:val="ListParagraph"/>
        <w:numPr>
          <w:ilvl w:val="0"/>
          <w:numId w:val="29"/>
        </w:numPr>
        <w:tabs>
          <w:tab w:pos="410" w:val="left" w:leader="none"/>
        </w:tabs>
        <w:spacing w:line="315" w:lineRule="exact" w:before="102" w:after="0"/>
        <w:ind w:left="409" w:right="0" w:hanging="271"/>
        <w:jc w:val="left"/>
        <w:rPr>
          <w:rFonts w:ascii="Arial" w:hAnsi="Arial"/>
          <w:color w:val="137692"/>
          <w:sz w:val="28"/>
        </w:rPr>
      </w:pPr>
      <w:r>
        <w:rPr>
          <w:color w:val="4D4D4F"/>
          <w:w w:val="110"/>
          <w:sz w:val="22"/>
        </w:rPr>
        <w:t>Strategies for pain management (if</w:t>
      </w:r>
      <w:r>
        <w:rPr>
          <w:color w:val="4D4D4F"/>
          <w:spacing w:val="18"/>
          <w:w w:val="110"/>
          <w:sz w:val="22"/>
        </w:rPr>
        <w:t> </w:t>
      </w:r>
      <w:r>
        <w:rPr>
          <w:color w:val="4D4D4F"/>
          <w:w w:val="110"/>
          <w:sz w:val="22"/>
        </w:rPr>
        <w:t>required).</w:t>
      </w:r>
    </w:p>
    <w:p>
      <w:pPr>
        <w:pStyle w:val="ListParagraph"/>
        <w:numPr>
          <w:ilvl w:val="0"/>
          <w:numId w:val="29"/>
        </w:numPr>
        <w:tabs>
          <w:tab w:pos="410" w:val="left" w:leader="none"/>
        </w:tabs>
        <w:spacing w:line="307" w:lineRule="exact" w:before="0" w:after="0"/>
        <w:ind w:left="409" w:right="0" w:hanging="271"/>
        <w:jc w:val="left"/>
        <w:rPr>
          <w:rFonts w:ascii="Arial" w:hAnsi="Arial"/>
          <w:color w:val="137692"/>
          <w:sz w:val="28"/>
        </w:rPr>
      </w:pPr>
      <w:r>
        <w:rPr>
          <w:color w:val="4D4D4F"/>
          <w:w w:val="115"/>
          <w:sz w:val="22"/>
        </w:rPr>
        <w:t>In-hospital dosing</w:t>
      </w:r>
      <w:r>
        <w:rPr>
          <w:color w:val="4D4D4F"/>
          <w:spacing w:val="-24"/>
          <w:w w:val="115"/>
          <w:sz w:val="22"/>
        </w:rPr>
        <w:t> </w:t>
      </w:r>
      <w:r>
        <w:rPr>
          <w:color w:val="4D4D4F"/>
          <w:w w:val="115"/>
          <w:sz w:val="22"/>
        </w:rPr>
        <w:t>procedures.</w:t>
      </w:r>
    </w:p>
    <w:p>
      <w:pPr>
        <w:pStyle w:val="ListParagraph"/>
        <w:numPr>
          <w:ilvl w:val="0"/>
          <w:numId w:val="29"/>
        </w:numPr>
        <w:tabs>
          <w:tab w:pos="410" w:val="left" w:leader="none"/>
        </w:tabs>
        <w:spacing w:line="208" w:lineRule="auto" w:before="21" w:after="0"/>
        <w:ind w:left="409" w:right="373" w:hanging="270"/>
        <w:jc w:val="left"/>
        <w:rPr>
          <w:rFonts w:ascii="Arial" w:hAnsi="Arial"/>
          <w:color w:val="137692"/>
          <w:sz w:val="28"/>
        </w:rPr>
      </w:pPr>
      <w:r>
        <w:rPr>
          <w:color w:val="4D4D4F"/>
          <w:w w:val="110"/>
          <w:sz w:val="22"/>
        </w:rPr>
        <w:t>Postdischarge coordination of care with</w:t>
      </w:r>
      <w:r>
        <w:rPr>
          <w:color w:val="4D4D4F"/>
          <w:spacing w:val="-19"/>
          <w:w w:val="110"/>
          <w:sz w:val="22"/>
        </w:rPr>
        <w:t> </w:t>
      </w:r>
      <w:r>
        <w:rPr>
          <w:color w:val="4D4D4F"/>
          <w:spacing w:val="-5"/>
          <w:w w:val="110"/>
          <w:sz w:val="22"/>
        </w:rPr>
        <w:t>out- </w:t>
      </w:r>
      <w:r>
        <w:rPr>
          <w:color w:val="4D4D4F"/>
          <w:w w:val="110"/>
          <w:sz w:val="22"/>
        </w:rPr>
        <w:t>patient programs and outpatient</w:t>
      </w:r>
      <w:r>
        <w:rPr>
          <w:color w:val="4D4D4F"/>
          <w:spacing w:val="31"/>
          <w:w w:val="110"/>
          <w:sz w:val="22"/>
        </w:rPr>
        <w:t> </w:t>
      </w:r>
      <w:r>
        <w:rPr>
          <w:color w:val="4D4D4F"/>
          <w:w w:val="110"/>
          <w:sz w:val="22"/>
        </w:rPr>
        <w:t>providers.</w:t>
      </w:r>
    </w:p>
    <w:p>
      <w:pPr>
        <w:pStyle w:val="BodyText"/>
        <w:spacing w:line="247" w:lineRule="auto" w:before="195"/>
        <w:ind w:left="139"/>
        <w:rPr>
          <w:sz w:val="13"/>
        </w:rPr>
      </w:pPr>
      <w:r>
        <w:rPr>
          <w:color w:val="4D4D4F"/>
          <w:w w:val="110"/>
        </w:rPr>
        <w:t>This plan ensures effective pain relief as well as continuity of ongoing care for patients taking medication for OUD.</w:t>
      </w:r>
      <w:r>
        <w:rPr>
          <w:color w:val="4D4D4F"/>
          <w:w w:val="110"/>
          <w:position w:val="7"/>
          <w:sz w:val="13"/>
        </w:rPr>
        <w:t>406</w:t>
      </w:r>
    </w:p>
    <w:p>
      <w:pPr>
        <w:spacing w:after="0" w:line="247" w:lineRule="auto"/>
        <w:rPr>
          <w:sz w:val="13"/>
        </w:rPr>
        <w:sectPr>
          <w:type w:val="continuous"/>
          <w:pgSz w:w="12240" w:h="15840"/>
          <w:pgMar w:top="540" w:bottom="280" w:left="940" w:right="920"/>
          <w:cols w:num="2" w:equalWidth="0">
            <w:col w:w="4975" w:space="245"/>
            <w:col w:w="5160"/>
          </w:cols>
        </w:sectPr>
      </w:pPr>
    </w:p>
    <w:p>
      <w:pPr>
        <w:pStyle w:val="BodyText"/>
        <w:spacing w:before="5"/>
        <w:rPr>
          <w:sz w:val="26"/>
        </w:rPr>
      </w:pPr>
    </w:p>
    <w:p>
      <w:pPr>
        <w:spacing w:after="0"/>
        <w:rPr>
          <w:sz w:val="26"/>
        </w:rPr>
        <w:sectPr>
          <w:pgSz w:w="12240" w:h="15840"/>
          <w:pgMar w:header="576" w:footer="677" w:top="1340" w:bottom="860" w:left="940" w:right="920"/>
        </w:sectPr>
      </w:pPr>
    </w:p>
    <w:p>
      <w:pPr>
        <w:pStyle w:val="Heading2"/>
      </w:pPr>
      <w:bookmarkStart w:name="_TOC_250000" w:id="115"/>
      <w:bookmarkEnd w:id="115"/>
      <w:r>
        <w:rPr>
          <w:color w:val="137692"/>
          <w:w w:val="105"/>
        </w:rPr>
        <w:t>Notes</w:t>
      </w:r>
    </w:p>
    <w:p>
      <w:pPr>
        <w:pStyle w:val="ListParagraph"/>
        <w:numPr>
          <w:ilvl w:val="0"/>
          <w:numId w:val="51"/>
        </w:numPr>
        <w:tabs>
          <w:tab w:pos="499" w:val="left" w:leader="none"/>
          <w:tab w:pos="500" w:val="left" w:leader="none"/>
        </w:tabs>
        <w:spacing w:line="247" w:lineRule="auto" w:before="18" w:after="0"/>
        <w:ind w:left="500" w:right="72" w:hanging="360"/>
        <w:jc w:val="left"/>
        <w:rPr>
          <w:color w:val="4D4D4F"/>
          <w:sz w:val="18"/>
        </w:rPr>
      </w:pPr>
      <w:r>
        <w:rPr>
          <w:color w:val="4D4D4F"/>
          <w:w w:val="110"/>
          <w:sz w:val="18"/>
        </w:rPr>
        <w:t>Department</w:t>
      </w:r>
      <w:r>
        <w:rPr>
          <w:color w:val="4D4D4F"/>
          <w:spacing w:val="-9"/>
          <w:w w:val="110"/>
          <w:sz w:val="18"/>
        </w:rPr>
        <w:t> </w:t>
      </w:r>
      <w:r>
        <w:rPr>
          <w:color w:val="4D4D4F"/>
          <w:w w:val="110"/>
          <w:sz w:val="18"/>
        </w:rPr>
        <w:t>of</w:t>
      </w:r>
      <w:r>
        <w:rPr>
          <w:color w:val="4D4D4F"/>
          <w:spacing w:val="-8"/>
          <w:w w:val="110"/>
          <w:sz w:val="18"/>
        </w:rPr>
        <w:t> </w:t>
      </w:r>
      <w:r>
        <w:rPr>
          <w:color w:val="4D4D4F"/>
          <w:w w:val="110"/>
          <w:sz w:val="18"/>
        </w:rPr>
        <w:t>Health</w:t>
      </w:r>
      <w:r>
        <w:rPr>
          <w:color w:val="4D4D4F"/>
          <w:spacing w:val="-9"/>
          <w:w w:val="110"/>
          <w:sz w:val="18"/>
        </w:rPr>
        <w:t> </w:t>
      </w:r>
      <w:r>
        <w:rPr>
          <w:color w:val="4D4D4F"/>
          <w:w w:val="110"/>
          <w:sz w:val="18"/>
        </w:rPr>
        <w:t>and</w:t>
      </w:r>
      <w:r>
        <w:rPr>
          <w:color w:val="4D4D4F"/>
          <w:spacing w:val="-8"/>
          <w:w w:val="110"/>
          <w:sz w:val="18"/>
        </w:rPr>
        <w:t> </w:t>
      </w:r>
      <w:r>
        <w:rPr>
          <w:color w:val="4D4D4F"/>
          <w:w w:val="110"/>
          <w:sz w:val="18"/>
        </w:rPr>
        <w:t>Human</w:t>
      </w:r>
      <w:r>
        <w:rPr>
          <w:color w:val="4D4D4F"/>
          <w:spacing w:val="-8"/>
          <w:w w:val="110"/>
          <w:sz w:val="18"/>
        </w:rPr>
        <w:t> </w:t>
      </w:r>
      <w:r>
        <w:rPr>
          <w:color w:val="4D4D4F"/>
          <w:w w:val="110"/>
          <w:sz w:val="18"/>
        </w:rPr>
        <w:t>Services.</w:t>
      </w:r>
      <w:r>
        <w:rPr>
          <w:color w:val="4D4D4F"/>
          <w:spacing w:val="-9"/>
          <w:w w:val="110"/>
          <w:sz w:val="18"/>
        </w:rPr>
        <w:t> </w:t>
      </w:r>
      <w:r>
        <w:rPr>
          <w:color w:val="4D4D4F"/>
          <w:w w:val="110"/>
          <w:sz w:val="18"/>
        </w:rPr>
        <w:t>(2016).</w:t>
      </w:r>
      <w:r>
        <w:rPr>
          <w:color w:val="4D4D4F"/>
          <w:spacing w:val="-8"/>
          <w:w w:val="110"/>
          <w:sz w:val="18"/>
        </w:rPr>
        <w:t> </w:t>
      </w:r>
      <w:r>
        <w:rPr>
          <w:rFonts w:ascii="Arial"/>
          <w:i/>
          <w:color w:val="4D4D4F"/>
          <w:spacing w:val="-6"/>
          <w:w w:val="110"/>
          <w:sz w:val="18"/>
        </w:rPr>
        <w:t>The </w:t>
      </w:r>
      <w:r>
        <w:rPr>
          <w:rFonts w:ascii="Arial"/>
          <w:i/>
          <w:color w:val="4D4D4F"/>
          <w:w w:val="110"/>
          <w:sz w:val="18"/>
        </w:rPr>
        <w:t>opioid epidemic: By the numbers. </w:t>
      </w:r>
      <w:r>
        <w:rPr>
          <w:color w:val="4D4D4F"/>
          <w:w w:val="110"/>
          <w:sz w:val="18"/>
        </w:rPr>
        <w:t>Washington, DC: </w:t>
      </w:r>
      <w:r>
        <w:rPr>
          <w:color w:val="4D4D4F"/>
          <w:spacing w:val="-3"/>
          <w:w w:val="110"/>
          <w:sz w:val="18"/>
        </w:rPr>
        <w:t>Author.</w:t>
      </w:r>
    </w:p>
    <w:p>
      <w:pPr>
        <w:pStyle w:val="ListParagraph"/>
        <w:numPr>
          <w:ilvl w:val="0"/>
          <w:numId w:val="51"/>
        </w:numPr>
        <w:tabs>
          <w:tab w:pos="499" w:val="left" w:leader="none"/>
          <w:tab w:pos="500" w:val="left" w:leader="none"/>
        </w:tabs>
        <w:spacing w:line="247" w:lineRule="auto" w:before="74" w:after="0"/>
        <w:ind w:left="500" w:right="155" w:hanging="360"/>
        <w:jc w:val="left"/>
        <w:rPr>
          <w:color w:val="4D4D4F"/>
          <w:sz w:val="18"/>
        </w:rPr>
      </w:pPr>
      <w:r>
        <w:rPr>
          <w:color w:val="4D4D4F"/>
          <w:w w:val="110"/>
          <w:sz w:val="18"/>
        </w:rPr>
        <w:t>Substance Abuse and Mental Health Services </w:t>
      </w:r>
      <w:r>
        <w:rPr>
          <w:color w:val="4D4D4F"/>
          <w:w w:val="105"/>
          <w:sz w:val="18"/>
        </w:rPr>
        <w:t>Administration. (2019). </w:t>
      </w:r>
      <w:r>
        <w:rPr>
          <w:rFonts w:ascii="Arial"/>
          <w:i/>
          <w:color w:val="4D4D4F"/>
          <w:w w:val="105"/>
          <w:sz w:val="18"/>
        </w:rPr>
        <w:t>Results from the 2018</w:t>
      </w:r>
      <w:r>
        <w:rPr>
          <w:rFonts w:ascii="Arial"/>
          <w:i/>
          <w:color w:val="4D4D4F"/>
          <w:spacing w:val="-33"/>
          <w:w w:val="105"/>
          <w:sz w:val="18"/>
        </w:rPr>
        <w:t> </w:t>
      </w:r>
      <w:r>
        <w:rPr>
          <w:rFonts w:ascii="Arial"/>
          <w:i/>
          <w:color w:val="4D4D4F"/>
          <w:spacing w:val="-3"/>
          <w:w w:val="105"/>
          <w:sz w:val="18"/>
        </w:rPr>
        <w:t>National </w:t>
      </w:r>
      <w:r>
        <w:rPr>
          <w:rFonts w:ascii="Arial"/>
          <w:i/>
          <w:color w:val="4D4D4F"/>
          <w:w w:val="110"/>
          <w:sz w:val="18"/>
        </w:rPr>
        <w:t>Survey on Drug Use and Health: Detailed tables. </w:t>
      </w:r>
      <w:r>
        <w:rPr>
          <w:color w:val="4D4D4F"/>
          <w:w w:val="110"/>
          <w:sz w:val="18"/>
        </w:rPr>
        <w:t>Rockville, MD: Center for Behavioral Health Statistics and Quality, Substance Abuse and Mental Health Services Administration. Retrieved January 11, 2020, from</w:t>
      </w:r>
      <w:r>
        <w:rPr>
          <w:color w:val="205E9F"/>
          <w:spacing w:val="-3"/>
          <w:w w:val="110"/>
          <w:sz w:val="18"/>
        </w:rPr>
        <w:t> </w:t>
      </w:r>
      <w:hyperlink r:id="rId90">
        <w:r>
          <w:rPr>
            <w:color w:val="205E9F"/>
            <w:w w:val="110"/>
            <w:sz w:val="18"/>
            <w:u w:val="single" w:color="205E9F"/>
          </w:rPr>
          <w:t>https://www.samhsa.gov/data/</w:t>
        </w:r>
      </w:hyperlink>
    </w:p>
    <w:p>
      <w:pPr>
        <w:pStyle w:val="ListParagraph"/>
        <w:numPr>
          <w:ilvl w:val="0"/>
          <w:numId w:val="51"/>
        </w:numPr>
        <w:tabs>
          <w:tab w:pos="499" w:val="left" w:leader="none"/>
          <w:tab w:pos="500" w:val="left" w:leader="none"/>
        </w:tabs>
        <w:spacing w:line="247" w:lineRule="auto" w:before="77" w:after="0"/>
        <w:ind w:left="500" w:right="339" w:hanging="360"/>
        <w:jc w:val="left"/>
        <w:rPr>
          <w:color w:val="4D4D4F"/>
          <w:sz w:val="18"/>
        </w:rPr>
      </w:pPr>
      <w:r>
        <w:rPr>
          <w:color w:val="4D4D4F"/>
          <w:w w:val="110"/>
          <w:sz w:val="18"/>
        </w:rPr>
        <w:t>American</w:t>
      </w:r>
      <w:r>
        <w:rPr>
          <w:color w:val="4D4D4F"/>
          <w:spacing w:val="-29"/>
          <w:w w:val="110"/>
          <w:sz w:val="18"/>
        </w:rPr>
        <w:t> </w:t>
      </w:r>
      <w:r>
        <w:rPr>
          <w:color w:val="4D4D4F"/>
          <w:w w:val="110"/>
          <w:sz w:val="18"/>
        </w:rPr>
        <w:t>Psychiatric</w:t>
      </w:r>
      <w:r>
        <w:rPr>
          <w:color w:val="4D4D4F"/>
          <w:spacing w:val="-28"/>
          <w:w w:val="110"/>
          <w:sz w:val="18"/>
        </w:rPr>
        <w:t> </w:t>
      </w:r>
      <w:r>
        <w:rPr>
          <w:color w:val="4D4D4F"/>
          <w:w w:val="110"/>
          <w:sz w:val="18"/>
        </w:rPr>
        <w:t>Association.</w:t>
      </w:r>
      <w:r>
        <w:rPr>
          <w:color w:val="4D4D4F"/>
          <w:spacing w:val="-29"/>
          <w:w w:val="110"/>
          <w:sz w:val="18"/>
        </w:rPr>
        <w:t> </w:t>
      </w:r>
      <w:r>
        <w:rPr>
          <w:color w:val="4D4D4F"/>
          <w:w w:val="110"/>
          <w:sz w:val="18"/>
        </w:rPr>
        <w:t>(2013).</w:t>
      </w:r>
      <w:r>
        <w:rPr>
          <w:color w:val="4D4D4F"/>
          <w:spacing w:val="-28"/>
          <w:w w:val="110"/>
          <w:sz w:val="18"/>
        </w:rPr>
        <w:t> </w:t>
      </w:r>
      <w:r>
        <w:rPr>
          <w:rFonts w:ascii="Arial"/>
          <w:i/>
          <w:color w:val="4D4D4F"/>
          <w:w w:val="110"/>
          <w:sz w:val="18"/>
        </w:rPr>
        <w:t>Diagnostic </w:t>
      </w:r>
      <w:r>
        <w:rPr>
          <w:rFonts w:ascii="Arial"/>
          <w:i/>
          <w:color w:val="4D4D4F"/>
          <w:w w:val="110"/>
          <w:sz w:val="18"/>
        </w:rPr>
        <w:t>and</w:t>
      </w:r>
      <w:r>
        <w:rPr>
          <w:rFonts w:ascii="Arial"/>
          <w:i/>
          <w:color w:val="4D4D4F"/>
          <w:spacing w:val="-37"/>
          <w:w w:val="110"/>
          <w:sz w:val="18"/>
        </w:rPr>
        <w:t> </w:t>
      </w:r>
      <w:r>
        <w:rPr>
          <w:rFonts w:ascii="Arial"/>
          <w:i/>
          <w:color w:val="4D4D4F"/>
          <w:w w:val="110"/>
          <w:sz w:val="18"/>
        </w:rPr>
        <w:t>statistical</w:t>
      </w:r>
      <w:r>
        <w:rPr>
          <w:rFonts w:ascii="Arial"/>
          <w:i/>
          <w:color w:val="4D4D4F"/>
          <w:spacing w:val="-36"/>
          <w:w w:val="110"/>
          <w:sz w:val="18"/>
        </w:rPr>
        <w:t> </w:t>
      </w:r>
      <w:r>
        <w:rPr>
          <w:rFonts w:ascii="Arial"/>
          <w:i/>
          <w:color w:val="4D4D4F"/>
          <w:w w:val="110"/>
          <w:sz w:val="18"/>
        </w:rPr>
        <w:t>manual</w:t>
      </w:r>
      <w:r>
        <w:rPr>
          <w:rFonts w:ascii="Arial"/>
          <w:i/>
          <w:color w:val="4D4D4F"/>
          <w:spacing w:val="-37"/>
          <w:w w:val="110"/>
          <w:sz w:val="18"/>
        </w:rPr>
        <w:t> </w:t>
      </w:r>
      <w:r>
        <w:rPr>
          <w:rFonts w:ascii="Arial"/>
          <w:i/>
          <w:color w:val="4D4D4F"/>
          <w:w w:val="110"/>
          <w:sz w:val="18"/>
        </w:rPr>
        <w:t>of</w:t>
      </w:r>
      <w:r>
        <w:rPr>
          <w:rFonts w:ascii="Arial"/>
          <w:i/>
          <w:color w:val="4D4D4F"/>
          <w:spacing w:val="-36"/>
          <w:w w:val="110"/>
          <w:sz w:val="18"/>
        </w:rPr>
        <w:t> </w:t>
      </w:r>
      <w:r>
        <w:rPr>
          <w:rFonts w:ascii="Arial"/>
          <w:i/>
          <w:color w:val="4D4D4F"/>
          <w:w w:val="110"/>
          <w:sz w:val="18"/>
        </w:rPr>
        <w:t>mental</w:t>
      </w:r>
      <w:r>
        <w:rPr>
          <w:rFonts w:ascii="Arial"/>
          <w:i/>
          <w:color w:val="4D4D4F"/>
          <w:spacing w:val="-37"/>
          <w:w w:val="110"/>
          <w:sz w:val="18"/>
        </w:rPr>
        <w:t> </w:t>
      </w:r>
      <w:r>
        <w:rPr>
          <w:rFonts w:ascii="Arial"/>
          <w:i/>
          <w:color w:val="4D4D4F"/>
          <w:w w:val="110"/>
          <w:sz w:val="18"/>
        </w:rPr>
        <w:t>disorders</w:t>
      </w:r>
      <w:r>
        <w:rPr>
          <w:rFonts w:ascii="Arial"/>
          <w:i/>
          <w:color w:val="4D4D4F"/>
          <w:spacing w:val="-37"/>
          <w:w w:val="110"/>
          <w:sz w:val="18"/>
        </w:rPr>
        <w:t> </w:t>
      </w:r>
      <w:r>
        <w:rPr>
          <w:color w:val="4D4D4F"/>
          <w:w w:val="110"/>
          <w:sz w:val="18"/>
        </w:rPr>
        <w:t>(5th</w:t>
      </w:r>
      <w:r>
        <w:rPr>
          <w:color w:val="4D4D4F"/>
          <w:spacing w:val="-36"/>
          <w:w w:val="110"/>
          <w:sz w:val="18"/>
        </w:rPr>
        <w:t> </w:t>
      </w:r>
      <w:r>
        <w:rPr>
          <w:color w:val="4D4D4F"/>
          <w:w w:val="110"/>
          <w:sz w:val="18"/>
        </w:rPr>
        <w:t>ed.). Arlington, </w:t>
      </w:r>
      <w:r>
        <w:rPr>
          <w:color w:val="4D4D4F"/>
          <w:spacing w:val="-3"/>
          <w:w w:val="110"/>
          <w:sz w:val="18"/>
        </w:rPr>
        <w:t>VA: </w:t>
      </w:r>
      <w:r>
        <w:rPr>
          <w:color w:val="4D4D4F"/>
          <w:w w:val="110"/>
          <w:sz w:val="18"/>
        </w:rPr>
        <w:t>American Psychiatric</w:t>
      </w:r>
      <w:r>
        <w:rPr>
          <w:color w:val="4D4D4F"/>
          <w:spacing w:val="-3"/>
          <w:w w:val="110"/>
          <w:sz w:val="18"/>
        </w:rPr>
        <w:t> </w:t>
      </w:r>
      <w:r>
        <w:rPr>
          <w:color w:val="4D4D4F"/>
          <w:w w:val="110"/>
          <w:sz w:val="18"/>
        </w:rPr>
        <w:t>Publishing.</w:t>
      </w:r>
    </w:p>
    <w:p>
      <w:pPr>
        <w:pStyle w:val="ListParagraph"/>
        <w:numPr>
          <w:ilvl w:val="0"/>
          <w:numId w:val="51"/>
        </w:numPr>
        <w:tabs>
          <w:tab w:pos="499" w:val="left" w:leader="none"/>
          <w:tab w:pos="500" w:val="left" w:leader="none"/>
        </w:tabs>
        <w:spacing w:line="247" w:lineRule="auto" w:before="74" w:after="0"/>
        <w:ind w:left="500" w:right="67" w:hanging="360"/>
        <w:jc w:val="left"/>
        <w:rPr>
          <w:color w:val="4D4D4F"/>
          <w:sz w:val="18"/>
        </w:rPr>
      </w:pPr>
      <w:r>
        <w:rPr>
          <w:color w:val="4D4D4F"/>
          <w:w w:val="110"/>
          <w:sz w:val="18"/>
        </w:rPr>
        <w:t>Weiss, A. </w:t>
      </w:r>
      <w:r>
        <w:rPr>
          <w:color w:val="4D4D4F"/>
          <w:w w:val="120"/>
          <w:sz w:val="18"/>
        </w:rPr>
        <w:t>J., </w:t>
      </w:r>
      <w:r>
        <w:rPr>
          <w:color w:val="4D4D4F"/>
          <w:w w:val="110"/>
          <w:sz w:val="18"/>
        </w:rPr>
        <w:t>Elixhauser, A., Barrett, M. L., </w:t>
      </w:r>
      <w:r>
        <w:rPr>
          <w:color w:val="4D4D4F"/>
          <w:spacing w:val="-3"/>
          <w:w w:val="110"/>
          <w:sz w:val="18"/>
        </w:rPr>
        <w:t>Steiner, </w:t>
      </w:r>
      <w:r>
        <w:rPr>
          <w:color w:val="4D4D4F"/>
          <w:w w:val="110"/>
          <w:sz w:val="18"/>
        </w:rPr>
        <w:t>C.</w:t>
      </w:r>
      <w:r>
        <w:rPr>
          <w:color w:val="4D4D4F"/>
          <w:spacing w:val="-22"/>
          <w:w w:val="110"/>
          <w:sz w:val="18"/>
        </w:rPr>
        <w:t> </w:t>
      </w:r>
      <w:r>
        <w:rPr>
          <w:color w:val="4D4D4F"/>
          <w:spacing w:val="-5"/>
          <w:w w:val="110"/>
          <w:sz w:val="18"/>
        </w:rPr>
        <w:t>A., </w:t>
      </w:r>
      <w:r>
        <w:rPr>
          <w:color w:val="4D4D4F"/>
          <w:w w:val="110"/>
          <w:sz w:val="18"/>
        </w:rPr>
        <w:t>Bailey, M. K., &amp; O’Malley, L. (2017, January). </w:t>
      </w:r>
      <w:r>
        <w:rPr>
          <w:rFonts w:ascii="Arial" w:hAnsi="Arial"/>
          <w:i/>
          <w:color w:val="4D4D4F"/>
          <w:w w:val="110"/>
          <w:sz w:val="18"/>
        </w:rPr>
        <w:t>Opioid- </w:t>
      </w:r>
      <w:r>
        <w:rPr>
          <w:rFonts w:ascii="Arial" w:hAnsi="Arial"/>
          <w:i/>
          <w:color w:val="4D4D4F"/>
          <w:w w:val="110"/>
          <w:sz w:val="18"/>
        </w:rPr>
        <w:t>related inpatient stays and emergency department visits</w:t>
      </w:r>
      <w:r>
        <w:rPr>
          <w:rFonts w:ascii="Arial" w:hAnsi="Arial"/>
          <w:i/>
          <w:color w:val="4D4D4F"/>
          <w:spacing w:val="-26"/>
          <w:w w:val="110"/>
          <w:sz w:val="18"/>
        </w:rPr>
        <w:t> </w:t>
      </w:r>
      <w:r>
        <w:rPr>
          <w:rFonts w:ascii="Arial" w:hAnsi="Arial"/>
          <w:i/>
          <w:color w:val="4D4D4F"/>
          <w:w w:val="110"/>
          <w:sz w:val="18"/>
        </w:rPr>
        <w:t>by</w:t>
      </w:r>
      <w:r>
        <w:rPr>
          <w:rFonts w:ascii="Arial" w:hAnsi="Arial"/>
          <w:i/>
          <w:color w:val="4D4D4F"/>
          <w:spacing w:val="-26"/>
          <w:w w:val="110"/>
          <w:sz w:val="18"/>
        </w:rPr>
        <w:t> </w:t>
      </w:r>
      <w:r>
        <w:rPr>
          <w:rFonts w:ascii="Arial" w:hAnsi="Arial"/>
          <w:i/>
          <w:color w:val="4D4D4F"/>
          <w:w w:val="110"/>
          <w:sz w:val="18"/>
        </w:rPr>
        <w:t>state,</w:t>
      </w:r>
      <w:r>
        <w:rPr>
          <w:rFonts w:ascii="Arial" w:hAnsi="Arial"/>
          <w:i/>
          <w:color w:val="4D4D4F"/>
          <w:spacing w:val="-25"/>
          <w:w w:val="110"/>
          <w:sz w:val="18"/>
        </w:rPr>
        <w:t> </w:t>
      </w:r>
      <w:r>
        <w:rPr>
          <w:rFonts w:ascii="Arial" w:hAnsi="Arial"/>
          <w:i/>
          <w:color w:val="4D4D4F"/>
          <w:w w:val="110"/>
          <w:sz w:val="18"/>
        </w:rPr>
        <w:t>2009–2014.</w:t>
      </w:r>
      <w:r>
        <w:rPr>
          <w:rFonts w:ascii="Arial" w:hAnsi="Arial"/>
          <w:i/>
          <w:color w:val="4D4D4F"/>
          <w:spacing w:val="-26"/>
          <w:w w:val="110"/>
          <w:sz w:val="18"/>
        </w:rPr>
        <w:t> </w:t>
      </w:r>
      <w:r>
        <w:rPr>
          <w:color w:val="4D4D4F"/>
          <w:w w:val="110"/>
          <w:sz w:val="18"/>
        </w:rPr>
        <w:t>HCUP</w:t>
      </w:r>
      <w:r>
        <w:rPr>
          <w:color w:val="4D4D4F"/>
          <w:spacing w:val="-25"/>
          <w:w w:val="110"/>
          <w:sz w:val="18"/>
        </w:rPr>
        <w:t> </w:t>
      </w:r>
      <w:r>
        <w:rPr>
          <w:color w:val="4D4D4F"/>
          <w:w w:val="110"/>
          <w:sz w:val="18"/>
        </w:rPr>
        <w:t>Statistical</w:t>
      </w:r>
      <w:r>
        <w:rPr>
          <w:color w:val="4D4D4F"/>
          <w:spacing w:val="-26"/>
          <w:w w:val="110"/>
          <w:sz w:val="18"/>
        </w:rPr>
        <w:t> </w:t>
      </w:r>
      <w:r>
        <w:rPr>
          <w:color w:val="4D4D4F"/>
          <w:w w:val="110"/>
          <w:sz w:val="18"/>
        </w:rPr>
        <w:t>Brief</w:t>
      </w:r>
      <w:r>
        <w:rPr>
          <w:color w:val="4D4D4F"/>
          <w:spacing w:val="-25"/>
          <w:w w:val="110"/>
          <w:sz w:val="18"/>
        </w:rPr>
        <w:t> </w:t>
      </w:r>
      <w:r>
        <w:rPr>
          <w:color w:val="4D4D4F"/>
          <w:w w:val="110"/>
          <w:sz w:val="18"/>
        </w:rPr>
        <w:t>No.</w:t>
      </w:r>
    </w:p>
    <w:p>
      <w:pPr>
        <w:spacing w:line="247" w:lineRule="auto" w:before="2"/>
        <w:ind w:left="500" w:right="140" w:firstLine="0"/>
        <w:jc w:val="left"/>
        <w:rPr>
          <w:sz w:val="18"/>
        </w:rPr>
      </w:pPr>
      <w:r>
        <w:rPr>
          <w:color w:val="4D4D4F"/>
          <w:w w:val="110"/>
          <w:sz w:val="18"/>
        </w:rPr>
        <w:t>219. Rockville, MD: Agency for Healthcare Research and Quality.</w:t>
      </w:r>
    </w:p>
    <w:p>
      <w:pPr>
        <w:pStyle w:val="ListParagraph"/>
        <w:numPr>
          <w:ilvl w:val="0"/>
          <w:numId w:val="51"/>
        </w:numPr>
        <w:tabs>
          <w:tab w:pos="499" w:val="left" w:leader="none"/>
          <w:tab w:pos="500" w:val="left" w:leader="none"/>
        </w:tabs>
        <w:spacing w:line="249" w:lineRule="auto" w:before="74" w:after="0"/>
        <w:ind w:left="500" w:right="38" w:hanging="360"/>
        <w:jc w:val="left"/>
        <w:rPr>
          <w:color w:val="4D4D4F"/>
          <w:sz w:val="18"/>
        </w:rPr>
      </w:pPr>
      <w:r>
        <w:rPr>
          <w:color w:val="4D4D4F"/>
          <w:w w:val="110"/>
          <w:sz w:val="18"/>
        </w:rPr>
        <w:t>Agency for Healthcare Research and Quality. (2019). </w:t>
      </w:r>
      <w:r>
        <w:rPr>
          <w:rFonts w:ascii="Arial"/>
          <w:i/>
          <w:color w:val="4D4D4F"/>
          <w:w w:val="105"/>
          <w:sz w:val="18"/>
        </w:rPr>
        <w:t>Rate</w:t>
      </w:r>
      <w:r>
        <w:rPr>
          <w:rFonts w:ascii="Arial"/>
          <w:i/>
          <w:color w:val="4D4D4F"/>
          <w:spacing w:val="-21"/>
          <w:w w:val="105"/>
          <w:sz w:val="18"/>
        </w:rPr>
        <w:t> </w:t>
      </w:r>
      <w:r>
        <w:rPr>
          <w:rFonts w:ascii="Arial"/>
          <w:i/>
          <w:color w:val="4D4D4F"/>
          <w:w w:val="105"/>
          <w:sz w:val="18"/>
        </w:rPr>
        <w:t>of</w:t>
      </w:r>
      <w:r>
        <w:rPr>
          <w:rFonts w:ascii="Arial"/>
          <w:i/>
          <w:color w:val="4D4D4F"/>
          <w:spacing w:val="-21"/>
          <w:w w:val="105"/>
          <w:sz w:val="18"/>
        </w:rPr>
        <w:t> </w:t>
      </w:r>
      <w:r>
        <w:rPr>
          <w:rFonts w:ascii="Arial"/>
          <w:i/>
          <w:color w:val="4D4D4F"/>
          <w:w w:val="105"/>
          <w:sz w:val="18"/>
        </w:rPr>
        <w:t>opioid-related</w:t>
      </w:r>
      <w:r>
        <w:rPr>
          <w:rFonts w:ascii="Arial"/>
          <w:i/>
          <w:color w:val="4D4D4F"/>
          <w:spacing w:val="-20"/>
          <w:w w:val="105"/>
          <w:sz w:val="18"/>
        </w:rPr>
        <w:t> </w:t>
      </w:r>
      <w:r>
        <w:rPr>
          <w:rFonts w:ascii="Arial"/>
          <w:i/>
          <w:color w:val="4D4D4F"/>
          <w:w w:val="105"/>
          <w:sz w:val="18"/>
        </w:rPr>
        <w:t>ED</w:t>
      </w:r>
      <w:r>
        <w:rPr>
          <w:rFonts w:ascii="Arial"/>
          <w:i/>
          <w:color w:val="4D4D4F"/>
          <w:spacing w:val="-21"/>
          <w:w w:val="105"/>
          <w:sz w:val="18"/>
        </w:rPr>
        <w:t> </w:t>
      </w:r>
      <w:r>
        <w:rPr>
          <w:rFonts w:ascii="Arial"/>
          <w:i/>
          <w:color w:val="4D4D4F"/>
          <w:w w:val="105"/>
          <w:sz w:val="18"/>
        </w:rPr>
        <w:t>visits</w:t>
      </w:r>
      <w:r>
        <w:rPr>
          <w:rFonts w:ascii="Arial"/>
          <w:i/>
          <w:color w:val="4D4D4F"/>
          <w:spacing w:val="-20"/>
          <w:w w:val="105"/>
          <w:sz w:val="18"/>
        </w:rPr>
        <w:t> </w:t>
      </w:r>
      <w:r>
        <w:rPr>
          <w:rFonts w:ascii="Arial"/>
          <w:i/>
          <w:color w:val="4D4D4F"/>
          <w:w w:val="105"/>
          <w:sz w:val="18"/>
        </w:rPr>
        <w:t>per</w:t>
      </w:r>
      <w:r>
        <w:rPr>
          <w:rFonts w:ascii="Arial"/>
          <w:i/>
          <w:color w:val="4D4D4F"/>
          <w:spacing w:val="-21"/>
          <w:w w:val="105"/>
          <w:sz w:val="18"/>
        </w:rPr>
        <w:t> </w:t>
      </w:r>
      <w:r>
        <w:rPr>
          <w:rFonts w:ascii="Arial"/>
          <w:i/>
          <w:color w:val="4D4D4F"/>
          <w:w w:val="105"/>
          <w:sz w:val="18"/>
        </w:rPr>
        <w:t>100,000</w:t>
      </w:r>
      <w:r>
        <w:rPr>
          <w:rFonts w:ascii="Arial"/>
          <w:i/>
          <w:color w:val="4D4D4F"/>
          <w:spacing w:val="-21"/>
          <w:w w:val="105"/>
          <w:sz w:val="18"/>
        </w:rPr>
        <w:t> </w:t>
      </w:r>
      <w:r>
        <w:rPr>
          <w:rFonts w:ascii="Arial"/>
          <w:i/>
          <w:color w:val="4D4D4F"/>
          <w:w w:val="105"/>
          <w:sz w:val="18"/>
        </w:rPr>
        <w:t>population. </w:t>
      </w:r>
      <w:r>
        <w:rPr>
          <w:color w:val="4D4D4F"/>
          <w:w w:val="110"/>
          <w:sz w:val="18"/>
        </w:rPr>
        <w:t>Retrieved January 11, 2020, from</w:t>
      </w:r>
      <w:r>
        <w:rPr>
          <w:color w:val="205E9F"/>
          <w:w w:val="110"/>
          <w:sz w:val="18"/>
        </w:rPr>
        <w:t> </w:t>
      </w:r>
      <w:r>
        <w:rPr>
          <w:color w:val="205E9F"/>
          <w:w w:val="110"/>
          <w:sz w:val="18"/>
          <w:u w:val="single" w:color="205E9F"/>
        </w:rPr>
        <w:t>https://www.hcup-us. ahrq.gov/faststats/OpioidUseMap?setting=ED</w:t>
      </w:r>
    </w:p>
    <w:p>
      <w:pPr>
        <w:pStyle w:val="ListParagraph"/>
        <w:numPr>
          <w:ilvl w:val="0"/>
          <w:numId w:val="51"/>
        </w:numPr>
        <w:tabs>
          <w:tab w:pos="499" w:val="left" w:leader="none"/>
          <w:tab w:pos="500" w:val="left" w:leader="none"/>
        </w:tabs>
        <w:spacing w:line="247" w:lineRule="auto" w:before="70" w:after="0"/>
        <w:ind w:left="500" w:right="319" w:hanging="360"/>
        <w:jc w:val="left"/>
        <w:rPr>
          <w:color w:val="4D4D4F"/>
          <w:sz w:val="18"/>
        </w:rPr>
      </w:pPr>
      <w:r>
        <w:rPr>
          <w:color w:val="4D4D4F"/>
          <w:w w:val="110"/>
          <w:sz w:val="18"/>
        </w:rPr>
        <w:t>American Society of Addiction Medicine. (2011). Deﬁnition of addiction. Chevy Chase, MD: </w:t>
      </w:r>
      <w:r>
        <w:rPr>
          <w:color w:val="4D4D4F"/>
          <w:spacing w:val="-3"/>
          <w:w w:val="110"/>
          <w:sz w:val="18"/>
        </w:rPr>
        <w:t>American </w:t>
      </w:r>
      <w:r>
        <w:rPr>
          <w:color w:val="4D4D4F"/>
          <w:w w:val="110"/>
          <w:sz w:val="18"/>
        </w:rPr>
        <w:t>Society of Addiction Medicine. Retrieved January 5, 2018, from</w:t>
      </w:r>
      <w:r>
        <w:rPr>
          <w:color w:val="205E9F"/>
          <w:spacing w:val="-11"/>
          <w:w w:val="110"/>
          <w:sz w:val="18"/>
        </w:rPr>
        <w:t> </w:t>
      </w:r>
      <w:hyperlink r:id="rId91">
        <w:r>
          <w:rPr>
            <w:color w:val="205E9F"/>
            <w:w w:val="110"/>
            <w:sz w:val="18"/>
            <w:u w:val="single" w:color="205E9F"/>
          </w:rPr>
          <w:t>www.asam.org/resources/deﬁnition</w:t>
        </w:r>
      </w:hyperlink>
    </w:p>
    <w:p>
      <w:pPr>
        <w:spacing w:before="4"/>
        <w:ind w:left="500" w:right="0" w:firstLine="0"/>
        <w:jc w:val="left"/>
        <w:rPr>
          <w:sz w:val="18"/>
        </w:rPr>
      </w:pPr>
      <w:r>
        <w:rPr>
          <w:color w:val="205E9F"/>
          <w:w w:val="110"/>
          <w:sz w:val="18"/>
          <w:u w:val="single" w:color="205E9F"/>
        </w:rPr>
        <w:t>-of-addiction</w:t>
      </w:r>
    </w:p>
    <w:p>
      <w:pPr>
        <w:pStyle w:val="ListParagraph"/>
        <w:numPr>
          <w:ilvl w:val="0"/>
          <w:numId w:val="51"/>
        </w:numPr>
        <w:tabs>
          <w:tab w:pos="499" w:val="left" w:leader="none"/>
          <w:tab w:pos="500" w:val="left" w:leader="none"/>
        </w:tabs>
        <w:spacing w:line="247" w:lineRule="auto" w:before="78" w:after="0"/>
        <w:ind w:left="500" w:right="339" w:hanging="360"/>
        <w:jc w:val="left"/>
        <w:rPr>
          <w:color w:val="4D4D4F"/>
          <w:sz w:val="18"/>
        </w:rPr>
      </w:pPr>
      <w:r>
        <w:rPr>
          <w:color w:val="4D4D4F"/>
          <w:w w:val="110"/>
          <w:sz w:val="18"/>
        </w:rPr>
        <w:t>American</w:t>
      </w:r>
      <w:r>
        <w:rPr>
          <w:color w:val="4D4D4F"/>
          <w:spacing w:val="-29"/>
          <w:w w:val="110"/>
          <w:sz w:val="18"/>
        </w:rPr>
        <w:t> </w:t>
      </w:r>
      <w:r>
        <w:rPr>
          <w:color w:val="4D4D4F"/>
          <w:w w:val="110"/>
          <w:sz w:val="18"/>
        </w:rPr>
        <w:t>Psychiatric</w:t>
      </w:r>
      <w:r>
        <w:rPr>
          <w:color w:val="4D4D4F"/>
          <w:spacing w:val="-28"/>
          <w:w w:val="110"/>
          <w:sz w:val="18"/>
        </w:rPr>
        <w:t> </w:t>
      </w:r>
      <w:r>
        <w:rPr>
          <w:color w:val="4D4D4F"/>
          <w:w w:val="110"/>
          <w:sz w:val="18"/>
        </w:rPr>
        <w:t>Association.</w:t>
      </w:r>
      <w:r>
        <w:rPr>
          <w:color w:val="4D4D4F"/>
          <w:spacing w:val="-29"/>
          <w:w w:val="110"/>
          <w:sz w:val="18"/>
        </w:rPr>
        <w:t> </w:t>
      </w:r>
      <w:r>
        <w:rPr>
          <w:color w:val="4D4D4F"/>
          <w:w w:val="110"/>
          <w:sz w:val="18"/>
        </w:rPr>
        <w:t>(2013).</w:t>
      </w:r>
      <w:r>
        <w:rPr>
          <w:color w:val="4D4D4F"/>
          <w:spacing w:val="-28"/>
          <w:w w:val="110"/>
          <w:sz w:val="18"/>
        </w:rPr>
        <w:t> </w:t>
      </w:r>
      <w:r>
        <w:rPr>
          <w:rFonts w:ascii="Arial"/>
          <w:i/>
          <w:color w:val="4D4D4F"/>
          <w:w w:val="110"/>
          <w:sz w:val="18"/>
        </w:rPr>
        <w:t>Diagnostic </w:t>
      </w:r>
      <w:r>
        <w:rPr>
          <w:rFonts w:ascii="Arial"/>
          <w:i/>
          <w:color w:val="4D4D4F"/>
          <w:w w:val="110"/>
          <w:sz w:val="18"/>
        </w:rPr>
        <w:t>and</w:t>
      </w:r>
      <w:r>
        <w:rPr>
          <w:rFonts w:ascii="Arial"/>
          <w:i/>
          <w:color w:val="4D4D4F"/>
          <w:spacing w:val="-37"/>
          <w:w w:val="110"/>
          <w:sz w:val="18"/>
        </w:rPr>
        <w:t> </w:t>
      </w:r>
      <w:r>
        <w:rPr>
          <w:rFonts w:ascii="Arial"/>
          <w:i/>
          <w:color w:val="4D4D4F"/>
          <w:w w:val="110"/>
          <w:sz w:val="18"/>
        </w:rPr>
        <w:t>statistical</w:t>
      </w:r>
      <w:r>
        <w:rPr>
          <w:rFonts w:ascii="Arial"/>
          <w:i/>
          <w:color w:val="4D4D4F"/>
          <w:spacing w:val="-36"/>
          <w:w w:val="110"/>
          <w:sz w:val="18"/>
        </w:rPr>
        <w:t> </w:t>
      </w:r>
      <w:r>
        <w:rPr>
          <w:rFonts w:ascii="Arial"/>
          <w:i/>
          <w:color w:val="4D4D4F"/>
          <w:w w:val="110"/>
          <w:sz w:val="18"/>
        </w:rPr>
        <w:t>manual</w:t>
      </w:r>
      <w:r>
        <w:rPr>
          <w:rFonts w:ascii="Arial"/>
          <w:i/>
          <w:color w:val="4D4D4F"/>
          <w:spacing w:val="-37"/>
          <w:w w:val="110"/>
          <w:sz w:val="18"/>
        </w:rPr>
        <w:t> </w:t>
      </w:r>
      <w:r>
        <w:rPr>
          <w:rFonts w:ascii="Arial"/>
          <w:i/>
          <w:color w:val="4D4D4F"/>
          <w:w w:val="110"/>
          <w:sz w:val="18"/>
        </w:rPr>
        <w:t>of</w:t>
      </w:r>
      <w:r>
        <w:rPr>
          <w:rFonts w:ascii="Arial"/>
          <w:i/>
          <w:color w:val="4D4D4F"/>
          <w:spacing w:val="-36"/>
          <w:w w:val="110"/>
          <w:sz w:val="18"/>
        </w:rPr>
        <w:t> </w:t>
      </w:r>
      <w:r>
        <w:rPr>
          <w:rFonts w:ascii="Arial"/>
          <w:i/>
          <w:color w:val="4D4D4F"/>
          <w:w w:val="110"/>
          <w:sz w:val="18"/>
        </w:rPr>
        <w:t>mental</w:t>
      </w:r>
      <w:r>
        <w:rPr>
          <w:rFonts w:ascii="Arial"/>
          <w:i/>
          <w:color w:val="4D4D4F"/>
          <w:spacing w:val="-37"/>
          <w:w w:val="110"/>
          <w:sz w:val="18"/>
        </w:rPr>
        <w:t> </w:t>
      </w:r>
      <w:r>
        <w:rPr>
          <w:rFonts w:ascii="Arial"/>
          <w:i/>
          <w:color w:val="4D4D4F"/>
          <w:w w:val="110"/>
          <w:sz w:val="18"/>
        </w:rPr>
        <w:t>disorders</w:t>
      </w:r>
      <w:r>
        <w:rPr>
          <w:rFonts w:ascii="Arial"/>
          <w:i/>
          <w:color w:val="4D4D4F"/>
          <w:spacing w:val="-37"/>
          <w:w w:val="110"/>
          <w:sz w:val="18"/>
        </w:rPr>
        <w:t> </w:t>
      </w:r>
      <w:r>
        <w:rPr>
          <w:color w:val="4D4D4F"/>
          <w:w w:val="110"/>
          <w:sz w:val="18"/>
        </w:rPr>
        <w:t>(5th</w:t>
      </w:r>
      <w:r>
        <w:rPr>
          <w:color w:val="4D4D4F"/>
          <w:spacing w:val="-36"/>
          <w:w w:val="110"/>
          <w:sz w:val="18"/>
        </w:rPr>
        <w:t> </w:t>
      </w:r>
      <w:r>
        <w:rPr>
          <w:color w:val="4D4D4F"/>
          <w:w w:val="110"/>
          <w:sz w:val="18"/>
        </w:rPr>
        <w:t>ed.). Arlington, </w:t>
      </w:r>
      <w:r>
        <w:rPr>
          <w:color w:val="4D4D4F"/>
          <w:spacing w:val="-3"/>
          <w:w w:val="110"/>
          <w:sz w:val="18"/>
        </w:rPr>
        <w:t>VA: </w:t>
      </w:r>
      <w:r>
        <w:rPr>
          <w:color w:val="4D4D4F"/>
          <w:w w:val="110"/>
          <w:sz w:val="18"/>
        </w:rPr>
        <w:t>American Psychiatric</w:t>
      </w:r>
      <w:r>
        <w:rPr>
          <w:color w:val="4D4D4F"/>
          <w:spacing w:val="-3"/>
          <w:w w:val="110"/>
          <w:sz w:val="18"/>
        </w:rPr>
        <w:t> </w:t>
      </w:r>
      <w:r>
        <w:rPr>
          <w:color w:val="4D4D4F"/>
          <w:w w:val="110"/>
          <w:sz w:val="18"/>
        </w:rPr>
        <w:t>Publishing.</w:t>
      </w:r>
    </w:p>
    <w:p>
      <w:pPr>
        <w:pStyle w:val="ListParagraph"/>
        <w:numPr>
          <w:ilvl w:val="0"/>
          <w:numId w:val="51"/>
        </w:numPr>
        <w:tabs>
          <w:tab w:pos="499" w:val="left" w:leader="none"/>
          <w:tab w:pos="500" w:val="left" w:leader="none"/>
        </w:tabs>
        <w:spacing w:line="247" w:lineRule="auto" w:before="73" w:after="0"/>
        <w:ind w:left="500" w:right="316" w:hanging="360"/>
        <w:jc w:val="left"/>
        <w:rPr>
          <w:color w:val="4D4D4F"/>
          <w:sz w:val="18"/>
        </w:rPr>
      </w:pPr>
      <w:r>
        <w:rPr>
          <w:color w:val="4D4D4F"/>
          <w:w w:val="110"/>
          <w:sz w:val="18"/>
        </w:rPr>
        <w:t>Substance Abuse and Mental Health Services Administration.</w:t>
      </w:r>
      <w:r>
        <w:rPr>
          <w:color w:val="4D4D4F"/>
          <w:spacing w:val="-34"/>
          <w:w w:val="110"/>
          <w:sz w:val="18"/>
        </w:rPr>
        <w:t> </w:t>
      </w:r>
      <w:r>
        <w:rPr>
          <w:color w:val="4D4D4F"/>
          <w:w w:val="110"/>
          <w:sz w:val="18"/>
        </w:rPr>
        <w:t>(2015).</w:t>
      </w:r>
      <w:r>
        <w:rPr>
          <w:color w:val="4D4D4F"/>
          <w:spacing w:val="-34"/>
          <w:w w:val="110"/>
          <w:sz w:val="18"/>
        </w:rPr>
        <w:t> </w:t>
      </w:r>
      <w:r>
        <w:rPr>
          <w:rFonts w:ascii="Arial"/>
          <w:i/>
          <w:color w:val="4D4D4F"/>
          <w:w w:val="110"/>
          <w:sz w:val="18"/>
        </w:rPr>
        <w:t>Federal</w:t>
      </w:r>
      <w:r>
        <w:rPr>
          <w:rFonts w:ascii="Arial"/>
          <w:i/>
          <w:color w:val="4D4D4F"/>
          <w:spacing w:val="-34"/>
          <w:w w:val="110"/>
          <w:sz w:val="18"/>
        </w:rPr>
        <w:t> </w:t>
      </w:r>
      <w:r>
        <w:rPr>
          <w:rFonts w:ascii="Arial"/>
          <w:i/>
          <w:color w:val="4D4D4F"/>
          <w:w w:val="110"/>
          <w:sz w:val="18"/>
        </w:rPr>
        <w:t>guidelines</w:t>
      </w:r>
      <w:r>
        <w:rPr>
          <w:rFonts w:ascii="Arial"/>
          <w:i/>
          <w:color w:val="4D4D4F"/>
          <w:spacing w:val="-33"/>
          <w:w w:val="110"/>
          <w:sz w:val="18"/>
        </w:rPr>
        <w:t> </w:t>
      </w:r>
      <w:r>
        <w:rPr>
          <w:rFonts w:ascii="Arial"/>
          <w:i/>
          <w:color w:val="4D4D4F"/>
          <w:w w:val="110"/>
          <w:sz w:val="18"/>
        </w:rPr>
        <w:t>for</w:t>
      </w:r>
      <w:r>
        <w:rPr>
          <w:rFonts w:ascii="Arial"/>
          <w:i/>
          <w:color w:val="4D4D4F"/>
          <w:spacing w:val="-34"/>
          <w:w w:val="110"/>
          <w:sz w:val="18"/>
        </w:rPr>
        <w:t> </w:t>
      </w:r>
      <w:r>
        <w:rPr>
          <w:rFonts w:ascii="Arial"/>
          <w:i/>
          <w:color w:val="4D4D4F"/>
          <w:spacing w:val="-3"/>
          <w:w w:val="110"/>
          <w:sz w:val="18"/>
        </w:rPr>
        <w:t>opioid </w:t>
      </w:r>
      <w:r>
        <w:rPr>
          <w:rFonts w:ascii="Arial"/>
          <w:i/>
          <w:color w:val="4D4D4F"/>
          <w:w w:val="110"/>
          <w:sz w:val="18"/>
        </w:rPr>
        <w:t>treatment</w:t>
      </w:r>
      <w:r>
        <w:rPr>
          <w:rFonts w:ascii="Arial"/>
          <w:i/>
          <w:color w:val="4D4D4F"/>
          <w:spacing w:val="-17"/>
          <w:w w:val="110"/>
          <w:sz w:val="18"/>
        </w:rPr>
        <w:t> </w:t>
      </w:r>
      <w:r>
        <w:rPr>
          <w:rFonts w:ascii="Arial"/>
          <w:i/>
          <w:color w:val="4D4D4F"/>
          <w:w w:val="110"/>
          <w:sz w:val="18"/>
        </w:rPr>
        <w:t>programs.</w:t>
      </w:r>
      <w:r>
        <w:rPr>
          <w:rFonts w:ascii="Arial"/>
          <w:i/>
          <w:color w:val="4D4D4F"/>
          <w:spacing w:val="-17"/>
          <w:w w:val="110"/>
          <w:sz w:val="18"/>
        </w:rPr>
        <w:t> </w:t>
      </w:r>
      <w:r>
        <w:rPr>
          <w:color w:val="4D4D4F"/>
          <w:w w:val="110"/>
          <w:sz w:val="18"/>
        </w:rPr>
        <w:t>HHS</w:t>
      </w:r>
      <w:r>
        <w:rPr>
          <w:color w:val="4D4D4F"/>
          <w:spacing w:val="-16"/>
          <w:w w:val="110"/>
          <w:sz w:val="18"/>
        </w:rPr>
        <w:t> </w:t>
      </w:r>
      <w:r>
        <w:rPr>
          <w:color w:val="4D4D4F"/>
          <w:w w:val="110"/>
          <w:sz w:val="18"/>
        </w:rPr>
        <w:t>Publication</w:t>
      </w:r>
      <w:r>
        <w:rPr>
          <w:color w:val="4D4D4F"/>
          <w:spacing w:val="-17"/>
          <w:w w:val="110"/>
          <w:sz w:val="18"/>
        </w:rPr>
        <w:t> </w:t>
      </w:r>
      <w:r>
        <w:rPr>
          <w:color w:val="4D4D4F"/>
          <w:w w:val="110"/>
          <w:sz w:val="18"/>
        </w:rPr>
        <w:t>No.</w:t>
      </w:r>
      <w:r>
        <w:rPr>
          <w:color w:val="4D4D4F"/>
          <w:spacing w:val="-17"/>
          <w:w w:val="110"/>
          <w:sz w:val="18"/>
        </w:rPr>
        <w:t> </w:t>
      </w:r>
      <w:r>
        <w:rPr>
          <w:color w:val="4D4D4F"/>
          <w:w w:val="110"/>
          <w:sz w:val="18"/>
        </w:rPr>
        <w:t>(SMA)</w:t>
      </w:r>
    </w:p>
    <w:p>
      <w:pPr>
        <w:spacing w:line="247" w:lineRule="auto" w:before="0"/>
        <w:ind w:left="500" w:right="-3" w:firstLine="0"/>
        <w:jc w:val="left"/>
        <w:rPr>
          <w:sz w:val="18"/>
        </w:rPr>
      </w:pPr>
      <w:r>
        <w:rPr>
          <w:color w:val="4D4D4F"/>
          <w:w w:val="110"/>
          <w:sz w:val="18"/>
        </w:rPr>
        <w:t>PEP15-FEDGUIDEOTP. Rockville, MD: Substance </w:t>
      </w:r>
      <w:r>
        <w:rPr>
          <w:color w:val="4D4D4F"/>
          <w:spacing w:val="-4"/>
          <w:w w:val="110"/>
          <w:sz w:val="18"/>
        </w:rPr>
        <w:t>Abuse </w:t>
      </w:r>
      <w:r>
        <w:rPr>
          <w:color w:val="4D4D4F"/>
          <w:w w:val="110"/>
          <w:sz w:val="18"/>
        </w:rPr>
        <w:t>and Mental Health Services Administration.</w:t>
      </w:r>
    </w:p>
    <w:p>
      <w:pPr>
        <w:pStyle w:val="ListParagraph"/>
        <w:numPr>
          <w:ilvl w:val="0"/>
          <w:numId w:val="51"/>
        </w:numPr>
        <w:tabs>
          <w:tab w:pos="499" w:val="left" w:leader="none"/>
          <w:tab w:pos="500" w:val="left" w:leader="none"/>
        </w:tabs>
        <w:spacing w:line="247" w:lineRule="auto" w:before="74" w:after="0"/>
        <w:ind w:left="500" w:right="513" w:hanging="360"/>
        <w:jc w:val="left"/>
        <w:rPr>
          <w:color w:val="4D4D4F"/>
          <w:sz w:val="18"/>
        </w:rPr>
      </w:pPr>
      <w:r>
        <w:rPr>
          <w:color w:val="4D4D4F"/>
          <w:w w:val="110"/>
          <w:sz w:val="18"/>
        </w:rPr>
        <w:t>Substance Abuse and Mental Health Services </w:t>
      </w:r>
      <w:r>
        <w:rPr>
          <w:color w:val="4D4D4F"/>
          <w:w w:val="105"/>
          <w:sz w:val="18"/>
        </w:rPr>
        <w:t>Administration. (2016). </w:t>
      </w:r>
      <w:r>
        <w:rPr>
          <w:rFonts w:ascii="Arial"/>
          <w:i/>
          <w:color w:val="4D4D4F"/>
          <w:w w:val="105"/>
          <w:sz w:val="18"/>
        </w:rPr>
        <w:t>Pocket guide: Medication- </w:t>
      </w:r>
      <w:r>
        <w:rPr>
          <w:rFonts w:ascii="Arial"/>
          <w:i/>
          <w:color w:val="4D4D4F"/>
          <w:w w:val="110"/>
          <w:sz w:val="18"/>
        </w:rPr>
        <w:t>assisted treatment of opioid use </w:t>
      </w:r>
      <w:r>
        <w:rPr>
          <w:rFonts w:ascii="Arial"/>
          <w:i/>
          <w:color w:val="4D4D4F"/>
          <w:spacing w:val="-3"/>
          <w:w w:val="110"/>
          <w:sz w:val="18"/>
        </w:rPr>
        <w:t>disorder. </w:t>
      </w:r>
      <w:r>
        <w:rPr>
          <w:color w:val="4D4D4F"/>
          <w:w w:val="110"/>
          <w:sz w:val="18"/>
        </w:rPr>
        <w:t>HHS Publication No. (SMA) 16-4892PG. Rockville, MD: Substance Abuse and Mental Health Services Administration.</w:t>
      </w:r>
    </w:p>
    <w:p>
      <w:pPr>
        <w:pStyle w:val="ListParagraph"/>
        <w:numPr>
          <w:ilvl w:val="0"/>
          <w:numId w:val="51"/>
        </w:numPr>
        <w:tabs>
          <w:tab w:pos="500" w:val="left" w:leader="none"/>
        </w:tabs>
        <w:spacing w:line="247" w:lineRule="auto" w:before="75" w:after="0"/>
        <w:ind w:left="500" w:right="73" w:hanging="360"/>
        <w:jc w:val="left"/>
        <w:rPr>
          <w:color w:val="4D4D4F"/>
          <w:sz w:val="18"/>
        </w:rPr>
      </w:pPr>
      <w:r>
        <w:rPr>
          <w:color w:val="4D4D4F"/>
          <w:w w:val="110"/>
          <w:sz w:val="18"/>
        </w:rPr>
        <w:t>Substance Abuse and Mental Health Services </w:t>
      </w:r>
      <w:r>
        <w:rPr>
          <w:color w:val="4D4D4F"/>
          <w:w w:val="105"/>
          <w:sz w:val="18"/>
        </w:rPr>
        <w:t>Administration. (2015). </w:t>
      </w:r>
      <w:r>
        <w:rPr>
          <w:rFonts w:ascii="Arial"/>
          <w:i/>
          <w:color w:val="4D4D4F"/>
          <w:w w:val="105"/>
          <w:sz w:val="18"/>
        </w:rPr>
        <w:t>Clinical use of</w:t>
      </w:r>
      <w:r>
        <w:rPr>
          <w:rFonts w:ascii="Arial"/>
          <w:i/>
          <w:color w:val="4D4D4F"/>
          <w:spacing w:val="-22"/>
          <w:w w:val="105"/>
          <w:sz w:val="18"/>
        </w:rPr>
        <w:t> </w:t>
      </w:r>
      <w:r>
        <w:rPr>
          <w:rFonts w:ascii="Arial"/>
          <w:i/>
          <w:color w:val="4D4D4F"/>
          <w:spacing w:val="-3"/>
          <w:w w:val="105"/>
          <w:sz w:val="18"/>
        </w:rPr>
        <w:t>extended-release </w:t>
      </w:r>
      <w:r>
        <w:rPr>
          <w:rFonts w:ascii="Arial"/>
          <w:i/>
          <w:color w:val="4D4D4F"/>
          <w:w w:val="110"/>
          <w:sz w:val="18"/>
        </w:rPr>
        <w:t>injectable naltrexone in the treatment of opioid use disorder:</w:t>
      </w:r>
      <w:r>
        <w:rPr>
          <w:rFonts w:ascii="Arial"/>
          <w:i/>
          <w:color w:val="4D4D4F"/>
          <w:spacing w:val="-14"/>
          <w:w w:val="110"/>
          <w:sz w:val="18"/>
        </w:rPr>
        <w:t> </w:t>
      </w:r>
      <w:r>
        <w:rPr>
          <w:rFonts w:ascii="Arial"/>
          <w:i/>
          <w:color w:val="4D4D4F"/>
          <w:w w:val="110"/>
          <w:sz w:val="18"/>
        </w:rPr>
        <w:t>A</w:t>
      </w:r>
      <w:r>
        <w:rPr>
          <w:rFonts w:ascii="Arial"/>
          <w:i/>
          <w:color w:val="4D4D4F"/>
          <w:spacing w:val="-13"/>
          <w:w w:val="110"/>
          <w:sz w:val="18"/>
        </w:rPr>
        <w:t> </w:t>
      </w:r>
      <w:r>
        <w:rPr>
          <w:rFonts w:ascii="Arial"/>
          <w:i/>
          <w:color w:val="4D4D4F"/>
          <w:w w:val="110"/>
          <w:sz w:val="18"/>
        </w:rPr>
        <w:t>brief</w:t>
      </w:r>
      <w:r>
        <w:rPr>
          <w:rFonts w:ascii="Arial"/>
          <w:i/>
          <w:color w:val="4D4D4F"/>
          <w:spacing w:val="-14"/>
          <w:w w:val="110"/>
          <w:sz w:val="18"/>
        </w:rPr>
        <w:t> </w:t>
      </w:r>
      <w:r>
        <w:rPr>
          <w:rFonts w:ascii="Arial"/>
          <w:i/>
          <w:color w:val="4D4D4F"/>
          <w:w w:val="110"/>
          <w:sz w:val="18"/>
        </w:rPr>
        <w:t>guide.</w:t>
      </w:r>
      <w:r>
        <w:rPr>
          <w:rFonts w:ascii="Arial"/>
          <w:i/>
          <w:color w:val="4D4D4F"/>
          <w:spacing w:val="-13"/>
          <w:w w:val="110"/>
          <w:sz w:val="18"/>
        </w:rPr>
        <w:t> </w:t>
      </w:r>
      <w:r>
        <w:rPr>
          <w:color w:val="4D4D4F"/>
          <w:w w:val="110"/>
          <w:sz w:val="18"/>
        </w:rPr>
        <w:t>HHS</w:t>
      </w:r>
      <w:r>
        <w:rPr>
          <w:color w:val="4D4D4F"/>
          <w:spacing w:val="-14"/>
          <w:w w:val="110"/>
          <w:sz w:val="18"/>
        </w:rPr>
        <w:t> </w:t>
      </w:r>
      <w:r>
        <w:rPr>
          <w:color w:val="4D4D4F"/>
          <w:w w:val="110"/>
          <w:sz w:val="18"/>
        </w:rPr>
        <w:t>Publication</w:t>
      </w:r>
      <w:r>
        <w:rPr>
          <w:color w:val="4D4D4F"/>
          <w:spacing w:val="-13"/>
          <w:w w:val="110"/>
          <w:sz w:val="18"/>
        </w:rPr>
        <w:t> </w:t>
      </w:r>
      <w:r>
        <w:rPr>
          <w:color w:val="4D4D4F"/>
          <w:w w:val="110"/>
          <w:sz w:val="18"/>
        </w:rPr>
        <w:t>No.</w:t>
      </w:r>
      <w:r>
        <w:rPr>
          <w:color w:val="4D4D4F"/>
          <w:spacing w:val="-14"/>
          <w:w w:val="110"/>
          <w:sz w:val="18"/>
        </w:rPr>
        <w:t> </w:t>
      </w:r>
      <w:r>
        <w:rPr>
          <w:color w:val="4D4D4F"/>
          <w:w w:val="110"/>
          <w:sz w:val="18"/>
        </w:rPr>
        <w:t>(SMA)</w:t>
      </w:r>
    </w:p>
    <w:p>
      <w:pPr>
        <w:spacing w:line="247" w:lineRule="auto" w:before="2"/>
        <w:ind w:left="500" w:right="38" w:firstLine="0"/>
        <w:jc w:val="left"/>
        <w:rPr>
          <w:sz w:val="18"/>
        </w:rPr>
      </w:pPr>
      <w:r>
        <w:rPr>
          <w:color w:val="4D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572" w:hanging="360"/>
        <w:jc w:val="left"/>
        <w:rPr>
          <w:color w:val="4D4D4F"/>
          <w:sz w:val="18"/>
        </w:rPr>
      </w:pPr>
      <w:r>
        <w:rPr>
          <w:color w:val="4D4D4F"/>
          <w:w w:val="110"/>
          <w:sz w:val="18"/>
        </w:rPr>
        <w:t>Kreek, M. </w:t>
      </w:r>
      <w:r>
        <w:rPr>
          <w:color w:val="4D4D4F"/>
          <w:w w:val="120"/>
          <w:sz w:val="18"/>
        </w:rPr>
        <w:t>J., </w:t>
      </w:r>
      <w:r>
        <w:rPr>
          <w:color w:val="4D4D4F"/>
          <w:w w:val="110"/>
          <w:sz w:val="18"/>
        </w:rPr>
        <w:t>Borg, L., Ducat, E., &amp; </w:t>
      </w:r>
      <w:r>
        <w:rPr>
          <w:color w:val="4D4D4F"/>
          <w:spacing w:val="-4"/>
          <w:w w:val="110"/>
          <w:sz w:val="18"/>
        </w:rPr>
        <w:t>Ray, </w:t>
      </w:r>
      <w:r>
        <w:rPr>
          <w:color w:val="4D4D4F"/>
          <w:w w:val="110"/>
          <w:sz w:val="18"/>
        </w:rPr>
        <w:t>B. (2010). Pharmacotherapy in the treatment of addiction: </w:t>
      </w:r>
      <w:r>
        <w:rPr>
          <w:color w:val="4D4D4F"/>
          <w:w w:val="105"/>
          <w:sz w:val="18"/>
        </w:rPr>
        <w:t>Methadone. </w:t>
      </w:r>
      <w:r>
        <w:rPr>
          <w:rFonts w:ascii="Arial" w:hAnsi="Arial"/>
          <w:i/>
          <w:color w:val="4D4D4F"/>
          <w:w w:val="105"/>
          <w:sz w:val="18"/>
        </w:rPr>
        <w:t>Journal of Addictive Diseases,</w:t>
      </w:r>
      <w:r>
        <w:rPr>
          <w:rFonts w:ascii="Arial" w:hAnsi="Arial"/>
          <w:i/>
          <w:color w:val="4D4D4F"/>
          <w:spacing w:val="-35"/>
          <w:w w:val="105"/>
          <w:sz w:val="18"/>
        </w:rPr>
        <w:t> </w:t>
      </w:r>
      <w:r>
        <w:rPr>
          <w:rFonts w:ascii="Arial" w:hAnsi="Arial"/>
          <w:i/>
          <w:color w:val="4D4D4F"/>
          <w:spacing w:val="-4"/>
          <w:w w:val="105"/>
          <w:sz w:val="18"/>
        </w:rPr>
        <w:t>29</w:t>
      </w:r>
      <w:r>
        <w:rPr>
          <w:color w:val="4D4D4F"/>
          <w:spacing w:val="-4"/>
          <w:w w:val="105"/>
          <w:sz w:val="18"/>
        </w:rPr>
        <w:t>(2), </w:t>
      </w:r>
      <w:r>
        <w:rPr>
          <w:color w:val="4D4D4F"/>
          <w:w w:val="110"/>
          <w:sz w:val="18"/>
        </w:rPr>
        <w:t>200–216.</w:t>
      </w:r>
    </w:p>
    <w:p>
      <w:pPr>
        <w:pStyle w:val="ListParagraph"/>
        <w:numPr>
          <w:ilvl w:val="0"/>
          <w:numId w:val="51"/>
        </w:numPr>
        <w:tabs>
          <w:tab w:pos="500" w:val="left" w:leader="none"/>
        </w:tabs>
        <w:spacing w:line="247" w:lineRule="auto" w:before="117" w:after="0"/>
        <w:ind w:left="500" w:right="164" w:hanging="360"/>
        <w:jc w:val="left"/>
        <w:rPr>
          <w:color w:val="4D4D4F"/>
          <w:sz w:val="18"/>
        </w:rPr>
      </w:pPr>
      <w:r>
        <w:rPr>
          <w:color w:val="4D4D4F"/>
          <w:w w:val="112"/>
          <w:sz w:val="18"/>
        </w:rPr>
        <w:br w:type="column"/>
      </w:r>
      <w:r>
        <w:rPr>
          <w:color w:val="4D4D4F"/>
          <w:w w:val="110"/>
          <w:sz w:val="18"/>
        </w:rPr>
        <w:t>Mattick, R. </w:t>
      </w:r>
      <w:r>
        <w:rPr>
          <w:color w:val="4D4D4F"/>
          <w:spacing w:val="-11"/>
          <w:w w:val="110"/>
          <w:sz w:val="18"/>
        </w:rPr>
        <w:t>P., </w:t>
      </w:r>
      <w:r>
        <w:rPr>
          <w:color w:val="4D4D4F"/>
          <w:w w:val="110"/>
          <w:sz w:val="18"/>
        </w:rPr>
        <w:t>Breen, C., </w:t>
      </w:r>
      <w:r>
        <w:rPr>
          <w:color w:val="4D4D4F"/>
          <w:spacing w:val="-3"/>
          <w:w w:val="110"/>
          <w:sz w:val="18"/>
        </w:rPr>
        <w:t>Kimber, </w:t>
      </w:r>
      <w:r>
        <w:rPr>
          <w:color w:val="4D4D4F"/>
          <w:w w:val="120"/>
          <w:sz w:val="18"/>
        </w:rPr>
        <w:t>J., </w:t>
      </w:r>
      <w:r>
        <w:rPr>
          <w:color w:val="4D4D4F"/>
          <w:w w:val="110"/>
          <w:sz w:val="18"/>
        </w:rPr>
        <w:t>&amp; Davoli, M. </w:t>
      </w:r>
      <w:r>
        <w:rPr>
          <w:color w:val="4D4D4F"/>
          <w:spacing w:val="-3"/>
          <w:w w:val="110"/>
          <w:sz w:val="18"/>
        </w:rPr>
        <w:t>(2009). </w:t>
      </w:r>
      <w:r>
        <w:rPr>
          <w:color w:val="4D4D4F"/>
          <w:w w:val="110"/>
          <w:sz w:val="18"/>
        </w:rPr>
        <w:t>Methadone maintenance therapy versus no opioid replacement therapy for opioid dependence. </w:t>
      </w:r>
      <w:r>
        <w:rPr>
          <w:rFonts w:ascii="Arial" w:hAnsi="Arial"/>
          <w:i/>
          <w:color w:val="4D4D4F"/>
          <w:w w:val="110"/>
          <w:sz w:val="18"/>
        </w:rPr>
        <w:t>Cochrane </w:t>
      </w:r>
      <w:r>
        <w:rPr>
          <w:rFonts w:ascii="Arial" w:hAnsi="Arial"/>
          <w:i/>
          <w:color w:val="4D4D4F"/>
          <w:w w:val="110"/>
          <w:sz w:val="18"/>
        </w:rPr>
        <w:t>Database</w:t>
      </w:r>
      <w:r>
        <w:rPr>
          <w:rFonts w:ascii="Arial" w:hAnsi="Arial"/>
          <w:i/>
          <w:color w:val="4D4D4F"/>
          <w:spacing w:val="-25"/>
          <w:w w:val="110"/>
          <w:sz w:val="18"/>
        </w:rPr>
        <w:t> </w:t>
      </w:r>
      <w:r>
        <w:rPr>
          <w:rFonts w:ascii="Arial" w:hAnsi="Arial"/>
          <w:i/>
          <w:color w:val="4D4D4F"/>
          <w:w w:val="110"/>
          <w:sz w:val="18"/>
        </w:rPr>
        <w:t>of</w:t>
      </w:r>
      <w:r>
        <w:rPr>
          <w:rFonts w:ascii="Arial" w:hAnsi="Arial"/>
          <w:i/>
          <w:color w:val="4D4D4F"/>
          <w:spacing w:val="-24"/>
          <w:w w:val="110"/>
          <w:sz w:val="18"/>
        </w:rPr>
        <w:t> </w:t>
      </w:r>
      <w:r>
        <w:rPr>
          <w:rFonts w:ascii="Arial" w:hAnsi="Arial"/>
          <w:i/>
          <w:color w:val="4D4D4F"/>
          <w:w w:val="110"/>
          <w:sz w:val="18"/>
        </w:rPr>
        <w:t>Systematic</w:t>
      </w:r>
      <w:r>
        <w:rPr>
          <w:rFonts w:ascii="Arial" w:hAnsi="Arial"/>
          <w:i/>
          <w:color w:val="4D4D4F"/>
          <w:spacing w:val="-24"/>
          <w:w w:val="110"/>
          <w:sz w:val="18"/>
        </w:rPr>
        <w:t> </w:t>
      </w:r>
      <w:r>
        <w:rPr>
          <w:rFonts w:ascii="Arial" w:hAnsi="Arial"/>
          <w:i/>
          <w:color w:val="4D4D4F"/>
          <w:w w:val="110"/>
          <w:sz w:val="18"/>
        </w:rPr>
        <w:t>Reviews,</w:t>
      </w:r>
      <w:r>
        <w:rPr>
          <w:rFonts w:ascii="Arial" w:hAnsi="Arial"/>
          <w:i/>
          <w:color w:val="4D4D4F"/>
          <w:spacing w:val="-24"/>
          <w:w w:val="110"/>
          <w:sz w:val="18"/>
        </w:rPr>
        <w:t> </w:t>
      </w:r>
      <w:r>
        <w:rPr>
          <w:rFonts w:ascii="Arial" w:hAnsi="Arial"/>
          <w:i/>
          <w:color w:val="4D4D4F"/>
          <w:w w:val="110"/>
          <w:sz w:val="18"/>
        </w:rPr>
        <w:t>2009</w:t>
      </w:r>
      <w:r>
        <w:rPr>
          <w:color w:val="4D4D4F"/>
          <w:w w:val="110"/>
          <w:sz w:val="18"/>
        </w:rPr>
        <w:t>(3),</w:t>
      </w:r>
      <w:r>
        <w:rPr>
          <w:color w:val="4D4D4F"/>
          <w:spacing w:val="-24"/>
          <w:w w:val="110"/>
          <w:sz w:val="18"/>
        </w:rPr>
        <w:t> </w:t>
      </w:r>
      <w:r>
        <w:rPr>
          <w:color w:val="4D4D4F"/>
          <w:w w:val="110"/>
          <w:sz w:val="18"/>
        </w:rPr>
        <w:t>1–19.</w:t>
      </w:r>
    </w:p>
    <w:p>
      <w:pPr>
        <w:pStyle w:val="ListParagraph"/>
        <w:numPr>
          <w:ilvl w:val="0"/>
          <w:numId w:val="51"/>
        </w:numPr>
        <w:tabs>
          <w:tab w:pos="500" w:val="left" w:leader="none"/>
        </w:tabs>
        <w:spacing w:line="247" w:lineRule="auto" w:before="72" w:after="0"/>
        <w:ind w:left="500" w:right="162" w:hanging="360"/>
        <w:jc w:val="left"/>
        <w:rPr>
          <w:color w:val="4D4D4F"/>
          <w:sz w:val="18"/>
        </w:rPr>
      </w:pPr>
      <w:r>
        <w:rPr>
          <w:color w:val="4D4D4F"/>
          <w:spacing w:val="-3"/>
          <w:w w:val="105"/>
          <w:sz w:val="18"/>
        </w:rPr>
        <w:t>World </w:t>
      </w:r>
      <w:r>
        <w:rPr>
          <w:color w:val="4D4D4F"/>
          <w:w w:val="105"/>
          <w:sz w:val="18"/>
        </w:rPr>
        <w:t>Health Organization. (2015). </w:t>
      </w:r>
      <w:r>
        <w:rPr>
          <w:rFonts w:ascii="Arial"/>
          <w:i/>
          <w:color w:val="4D4D4F"/>
          <w:w w:val="105"/>
          <w:sz w:val="18"/>
        </w:rPr>
        <w:t>19th WHO model </w:t>
      </w:r>
      <w:r>
        <w:rPr>
          <w:rFonts w:ascii="Arial"/>
          <w:i/>
          <w:color w:val="4D4D4F"/>
          <w:w w:val="105"/>
          <w:sz w:val="18"/>
        </w:rPr>
        <w:t>list of essential medicines. </w:t>
      </w:r>
      <w:r>
        <w:rPr>
          <w:color w:val="4D4D4F"/>
          <w:w w:val="105"/>
          <w:sz w:val="18"/>
        </w:rPr>
        <w:t>Geneva, Switzerland:</w:t>
      </w:r>
      <w:r>
        <w:rPr>
          <w:color w:val="4D4D4F"/>
          <w:spacing w:val="20"/>
          <w:w w:val="105"/>
          <w:sz w:val="18"/>
        </w:rPr>
        <w:t> </w:t>
      </w:r>
      <w:r>
        <w:rPr>
          <w:color w:val="4D4D4F"/>
          <w:spacing w:val="-6"/>
          <w:w w:val="105"/>
          <w:sz w:val="18"/>
        </w:rPr>
        <w:t>Author.</w:t>
      </w:r>
    </w:p>
    <w:p>
      <w:pPr>
        <w:pStyle w:val="ListParagraph"/>
        <w:numPr>
          <w:ilvl w:val="0"/>
          <w:numId w:val="51"/>
        </w:numPr>
        <w:tabs>
          <w:tab w:pos="500" w:val="left" w:leader="none"/>
        </w:tabs>
        <w:spacing w:line="247" w:lineRule="auto" w:before="72" w:after="0"/>
        <w:ind w:left="500" w:right="461" w:hanging="360"/>
        <w:jc w:val="left"/>
        <w:rPr>
          <w:color w:val="4D4D4F"/>
          <w:sz w:val="18"/>
        </w:rPr>
      </w:pPr>
      <w:r>
        <w:rPr>
          <w:color w:val="4D4D4F"/>
          <w:w w:val="110"/>
          <w:sz w:val="18"/>
        </w:rPr>
        <w:t>Mattick, R. </w:t>
      </w:r>
      <w:r>
        <w:rPr>
          <w:color w:val="4D4D4F"/>
          <w:spacing w:val="-11"/>
          <w:w w:val="110"/>
          <w:sz w:val="18"/>
        </w:rPr>
        <w:t>P., </w:t>
      </w:r>
      <w:r>
        <w:rPr>
          <w:color w:val="4D4D4F"/>
          <w:w w:val="110"/>
          <w:sz w:val="18"/>
        </w:rPr>
        <w:t>Breen, C., </w:t>
      </w:r>
      <w:r>
        <w:rPr>
          <w:color w:val="4D4D4F"/>
          <w:spacing w:val="-3"/>
          <w:w w:val="110"/>
          <w:sz w:val="18"/>
        </w:rPr>
        <w:t>Kimber, </w:t>
      </w:r>
      <w:r>
        <w:rPr>
          <w:color w:val="4D4D4F"/>
          <w:w w:val="120"/>
          <w:sz w:val="18"/>
        </w:rPr>
        <w:t>J., </w:t>
      </w:r>
      <w:r>
        <w:rPr>
          <w:color w:val="4D4D4F"/>
          <w:w w:val="110"/>
          <w:sz w:val="18"/>
        </w:rPr>
        <w:t>&amp; Davoli, M. (2014). Buprenorphine maintenance versus placebo or methadone maintenance for opioid dependence. </w:t>
      </w:r>
      <w:r>
        <w:rPr>
          <w:rFonts w:ascii="Arial" w:hAnsi="Arial"/>
          <w:i/>
          <w:color w:val="4D4D4F"/>
          <w:sz w:val="18"/>
        </w:rPr>
        <w:t>Cochrane Database of Systematic Reviews,</w:t>
      </w:r>
      <w:r>
        <w:rPr>
          <w:rFonts w:ascii="Arial" w:hAnsi="Arial"/>
          <w:i/>
          <w:color w:val="4D4D4F"/>
          <w:spacing w:val="-32"/>
          <w:sz w:val="18"/>
        </w:rPr>
        <w:t> </w:t>
      </w:r>
      <w:r>
        <w:rPr>
          <w:rFonts w:ascii="Arial" w:hAnsi="Arial"/>
          <w:i/>
          <w:color w:val="4D4D4F"/>
          <w:sz w:val="18"/>
        </w:rPr>
        <w:t>2014</w:t>
      </w:r>
      <w:r>
        <w:rPr>
          <w:color w:val="4D4D4F"/>
          <w:sz w:val="18"/>
        </w:rPr>
        <w:t>(2), </w:t>
      </w:r>
      <w:r>
        <w:rPr>
          <w:color w:val="4D4D4F"/>
          <w:w w:val="110"/>
          <w:sz w:val="18"/>
        </w:rPr>
        <w:t>1–84.</w:t>
      </w:r>
    </w:p>
    <w:p>
      <w:pPr>
        <w:pStyle w:val="ListParagraph"/>
        <w:numPr>
          <w:ilvl w:val="0"/>
          <w:numId w:val="51"/>
        </w:numPr>
        <w:tabs>
          <w:tab w:pos="500" w:val="left" w:leader="none"/>
        </w:tabs>
        <w:spacing w:line="247" w:lineRule="auto" w:before="76" w:after="0"/>
        <w:ind w:left="500" w:right="522" w:hanging="360"/>
        <w:jc w:val="left"/>
        <w:rPr>
          <w:color w:val="4D4D4F"/>
          <w:sz w:val="18"/>
        </w:rPr>
      </w:pPr>
      <w:r>
        <w:rPr>
          <w:color w:val="4D4D4F"/>
          <w:w w:val="110"/>
          <w:sz w:val="18"/>
        </w:rPr>
        <w:t>Sees, K. L., Delucchi, K. L., Masson, C., Rosen, A., Clark, H. </w:t>
      </w:r>
      <w:r>
        <w:rPr>
          <w:color w:val="4D4D4F"/>
          <w:spacing w:val="-5"/>
          <w:w w:val="110"/>
          <w:sz w:val="18"/>
        </w:rPr>
        <w:t>W., </w:t>
      </w:r>
      <w:r>
        <w:rPr>
          <w:color w:val="4D4D4F"/>
          <w:w w:val="110"/>
          <w:sz w:val="18"/>
        </w:rPr>
        <w:t>Robillard, H., … Hall, S. M. (2000). Methadone maintenance vs 180-day psychosocially enriched detoxiﬁcation for treatment of opioid dependence: A randomized controlled trial. </w:t>
      </w:r>
      <w:r>
        <w:rPr>
          <w:rFonts w:ascii="Arial" w:hAnsi="Arial"/>
          <w:i/>
          <w:color w:val="4D4D4F"/>
          <w:spacing w:val="-4"/>
          <w:w w:val="110"/>
          <w:sz w:val="18"/>
        </w:rPr>
        <w:t>JAMA, </w:t>
      </w:r>
      <w:r>
        <w:rPr>
          <w:rFonts w:ascii="Arial" w:hAnsi="Arial"/>
          <w:i/>
          <w:color w:val="4D4D4F"/>
          <w:w w:val="110"/>
          <w:sz w:val="18"/>
        </w:rPr>
        <w:t>283</w:t>
      </w:r>
      <w:r>
        <w:rPr>
          <w:color w:val="4D4D4F"/>
          <w:w w:val="110"/>
          <w:sz w:val="18"/>
        </w:rPr>
        <w:t>(10),</w:t>
      </w:r>
      <w:r>
        <w:rPr>
          <w:color w:val="4D4D4F"/>
          <w:spacing w:val="-6"/>
          <w:w w:val="110"/>
          <w:sz w:val="18"/>
        </w:rPr>
        <w:t> </w:t>
      </w:r>
      <w:r>
        <w:rPr>
          <w:color w:val="4D4D4F"/>
          <w:w w:val="110"/>
          <w:sz w:val="18"/>
        </w:rPr>
        <w:t>1303–1310.</w:t>
      </w:r>
    </w:p>
    <w:p>
      <w:pPr>
        <w:pStyle w:val="ListParagraph"/>
        <w:numPr>
          <w:ilvl w:val="0"/>
          <w:numId w:val="51"/>
        </w:numPr>
        <w:tabs>
          <w:tab w:pos="500" w:val="left" w:leader="none"/>
        </w:tabs>
        <w:spacing w:line="247" w:lineRule="auto" w:before="74" w:after="0"/>
        <w:ind w:left="500" w:right="515" w:hanging="360"/>
        <w:jc w:val="left"/>
        <w:rPr>
          <w:color w:val="4D4D4F"/>
          <w:sz w:val="18"/>
        </w:rPr>
      </w:pPr>
      <w:r>
        <w:rPr>
          <w:color w:val="4D4D4F"/>
          <w:w w:val="110"/>
          <w:sz w:val="18"/>
        </w:rPr>
        <w:t>Nielsen, S., Larance, B., Degenhardt, L., Gowing,  L., </w:t>
      </w:r>
      <w:r>
        <w:rPr>
          <w:color w:val="4D4D4F"/>
          <w:spacing w:val="-3"/>
          <w:w w:val="110"/>
          <w:sz w:val="18"/>
        </w:rPr>
        <w:t>Kehler, </w:t>
      </w:r>
      <w:r>
        <w:rPr>
          <w:color w:val="4D4D4F"/>
          <w:w w:val="110"/>
          <w:sz w:val="18"/>
        </w:rPr>
        <w:t>C., &amp; Lintzeris, N. (2016). Opioid</w:t>
      </w:r>
      <w:r>
        <w:rPr>
          <w:color w:val="4D4D4F"/>
          <w:spacing w:val="-39"/>
          <w:w w:val="110"/>
          <w:sz w:val="18"/>
        </w:rPr>
        <w:t> </w:t>
      </w:r>
      <w:r>
        <w:rPr>
          <w:color w:val="4D4D4F"/>
          <w:w w:val="110"/>
          <w:sz w:val="18"/>
        </w:rPr>
        <w:t>agonist treatment for pharmaceutical opioid dependent </w:t>
      </w:r>
      <w:r>
        <w:rPr>
          <w:color w:val="4D4D4F"/>
          <w:w w:val="105"/>
          <w:sz w:val="18"/>
        </w:rPr>
        <w:t>people.</w:t>
      </w:r>
      <w:r>
        <w:rPr>
          <w:color w:val="4D4D4F"/>
          <w:spacing w:val="-28"/>
          <w:w w:val="105"/>
          <w:sz w:val="18"/>
        </w:rPr>
        <w:t> </w:t>
      </w:r>
      <w:r>
        <w:rPr>
          <w:rFonts w:ascii="Arial" w:hAnsi="Arial"/>
          <w:i/>
          <w:color w:val="4D4D4F"/>
          <w:w w:val="105"/>
          <w:sz w:val="18"/>
        </w:rPr>
        <w:t>Cochrane</w:t>
      </w:r>
      <w:r>
        <w:rPr>
          <w:rFonts w:ascii="Arial" w:hAnsi="Arial"/>
          <w:i/>
          <w:color w:val="4D4D4F"/>
          <w:spacing w:val="-28"/>
          <w:w w:val="105"/>
          <w:sz w:val="18"/>
        </w:rPr>
        <w:t> </w:t>
      </w:r>
      <w:r>
        <w:rPr>
          <w:rFonts w:ascii="Arial" w:hAnsi="Arial"/>
          <w:i/>
          <w:color w:val="4D4D4F"/>
          <w:w w:val="105"/>
          <w:sz w:val="18"/>
        </w:rPr>
        <w:t>Database</w:t>
      </w:r>
      <w:r>
        <w:rPr>
          <w:rFonts w:ascii="Arial" w:hAnsi="Arial"/>
          <w:i/>
          <w:color w:val="4D4D4F"/>
          <w:spacing w:val="-27"/>
          <w:w w:val="105"/>
          <w:sz w:val="18"/>
        </w:rPr>
        <w:t> </w:t>
      </w:r>
      <w:r>
        <w:rPr>
          <w:rFonts w:ascii="Arial" w:hAnsi="Arial"/>
          <w:i/>
          <w:color w:val="4D4D4F"/>
          <w:w w:val="105"/>
          <w:sz w:val="18"/>
        </w:rPr>
        <w:t>of</w:t>
      </w:r>
      <w:r>
        <w:rPr>
          <w:rFonts w:ascii="Arial" w:hAnsi="Arial"/>
          <w:i/>
          <w:color w:val="4D4D4F"/>
          <w:spacing w:val="-28"/>
          <w:w w:val="105"/>
          <w:sz w:val="18"/>
        </w:rPr>
        <w:t> </w:t>
      </w:r>
      <w:r>
        <w:rPr>
          <w:rFonts w:ascii="Arial" w:hAnsi="Arial"/>
          <w:i/>
          <w:color w:val="4D4D4F"/>
          <w:w w:val="105"/>
          <w:sz w:val="18"/>
        </w:rPr>
        <w:t>Systematic</w:t>
      </w:r>
      <w:r>
        <w:rPr>
          <w:rFonts w:ascii="Arial" w:hAnsi="Arial"/>
          <w:i/>
          <w:color w:val="4D4D4F"/>
          <w:spacing w:val="-27"/>
          <w:w w:val="105"/>
          <w:sz w:val="18"/>
        </w:rPr>
        <w:t> </w:t>
      </w:r>
      <w:r>
        <w:rPr>
          <w:rFonts w:ascii="Arial" w:hAnsi="Arial"/>
          <w:i/>
          <w:color w:val="4D4D4F"/>
          <w:spacing w:val="-3"/>
          <w:w w:val="105"/>
          <w:sz w:val="18"/>
        </w:rPr>
        <w:t>Reviews, </w:t>
      </w:r>
      <w:r>
        <w:rPr>
          <w:rFonts w:ascii="Arial" w:hAnsi="Arial"/>
          <w:i/>
          <w:color w:val="4D4D4F"/>
          <w:w w:val="110"/>
          <w:sz w:val="18"/>
        </w:rPr>
        <w:t>2016</w:t>
      </w:r>
      <w:r>
        <w:rPr>
          <w:color w:val="4D4D4F"/>
          <w:w w:val="110"/>
          <w:sz w:val="18"/>
        </w:rPr>
        <w:t>(5),</w:t>
      </w:r>
      <w:r>
        <w:rPr>
          <w:color w:val="4D4D4F"/>
          <w:spacing w:val="-6"/>
          <w:w w:val="110"/>
          <w:sz w:val="18"/>
        </w:rPr>
        <w:t> </w:t>
      </w:r>
      <w:r>
        <w:rPr>
          <w:color w:val="4D4D4F"/>
          <w:w w:val="110"/>
          <w:sz w:val="18"/>
        </w:rPr>
        <w:t>1–61.</w:t>
      </w:r>
    </w:p>
    <w:p>
      <w:pPr>
        <w:pStyle w:val="ListParagraph"/>
        <w:numPr>
          <w:ilvl w:val="0"/>
          <w:numId w:val="51"/>
        </w:numPr>
        <w:tabs>
          <w:tab w:pos="500" w:val="left" w:leader="none"/>
        </w:tabs>
        <w:spacing w:line="247" w:lineRule="auto" w:before="74" w:after="0"/>
        <w:ind w:left="500" w:right="182" w:hanging="360"/>
        <w:jc w:val="left"/>
        <w:rPr>
          <w:color w:val="4D4D4F"/>
          <w:sz w:val="18"/>
        </w:rPr>
      </w:pPr>
      <w:r>
        <w:rPr>
          <w:color w:val="4D4D4F"/>
          <w:spacing w:val="-3"/>
          <w:w w:val="115"/>
          <w:sz w:val="18"/>
        </w:rPr>
        <w:t>Stoller, </w:t>
      </w:r>
      <w:r>
        <w:rPr>
          <w:color w:val="4D4D4F"/>
          <w:w w:val="115"/>
          <w:sz w:val="18"/>
        </w:rPr>
        <w:t>K. B., Stephens, M. A. C., &amp; </w:t>
      </w:r>
      <w:r>
        <w:rPr>
          <w:color w:val="4D4D4F"/>
          <w:spacing w:val="-3"/>
          <w:w w:val="115"/>
          <w:sz w:val="18"/>
        </w:rPr>
        <w:t>Schorr, </w:t>
      </w:r>
      <w:r>
        <w:rPr>
          <w:color w:val="4D4D4F"/>
          <w:w w:val="115"/>
          <w:sz w:val="18"/>
        </w:rPr>
        <w:t>A. (2016). Integrated</w:t>
      </w:r>
      <w:r>
        <w:rPr>
          <w:color w:val="4D4D4F"/>
          <w:spacing w:val="-29"/>
          <w:w w:val="115"/>
          <w:sz w:val="18"/>
        </w:rPr>
        <w:t> </w:t>
      </w:r>
      <w:r>
        <w:rPr>
          <w:color w:val="4D4D4F"/>
          <w:w w:val="115"/>
          <w:sz w:val="18"/>
        </w:rPr>
        <w:t>service</w:t>
      </w:r>
      <w:r>
        <w:rPr>
          <w:color w:val="4D4D4F"/>
          <w:spacing w:val="-28"/>
          <w:w w:val="115"/>
          <w:sz w:val="18"/>
        </w:rPr>
        <w:t> </w:t>
      </w:r>
      <w:r>
        <w:rPr>
          <w:color w:val="4D4D4F"/>
          <w:w w:val="115"/>
          <w:sz w:val="18"/>
        </w:rPr>
        <w:t>delivery</w:t>
      </w:r>
      <w:r>
        <w:rPr>
          <w:color w:val="4D4D4F"/>
          <w:spacing w:val="-29"/>
          <w:w w:val="115"/>
          <w:sz w:val="18"/>
        </w:rPr>
        <w:t> </w:t>
      </w:r>
      <w:r>
        <w:rPr>
          <w:color w:val="4D4D4F"/>
          <w:w w:val="115"/>
          <w:sz w:val="18"/>
        </w:rPr>
        <w:t>models</w:t>
      </w:r>
      <w:r>
        <w:rPr>
          <w:color w:val="4D4D4F"/>
          <w:spacing w:val="-28"/>
          <w:w w:val="115"/>
          <w:sz w:val="18"/>
        </w:rPr>
        <w:t> </w:t>
      </w:r>
      <w:r>
        <w:rPr>
          <w:color w:val="4D4D4F"/>
          <w:w w:val="115"/>
          <w:sz w:val="18"/>
        </w:rPr>
        <w:t>for</w:t>
      </w:r>
      <w:r>
        <w:rPr>
          <w:color w:val="4D4D4F"/>
          <w:spacing w:val="-28"/>
          <w:w w:val="115"/>
          <w:sz w:val="18"/>
        </w:rPr>
        <w:t> </w:t>
      </w:r>
      <w:r>
        <w:rPr>
          <w:color w:val="4D4D4F"/>
          <w:w w:val="115"/>
          <w:sz w:val="18"/>
        </w:rPr>
        <w:t>opioid</w:t>
      </w:r>
      <w:r>
        <w:rPr>
          <w:color w:val="4D4D4F"/>
          <w:spacing w:val="-29"/>
          <w:w w:val="115"/>
          <w:sz w:val="18"/>
        </w:rPr>
        <w:t> </w:t>
      </w:r>
      <w:r>
        <w:rPr>
          <w:color w:val="4D4D4F"/>
          <w:spacing w:val="-3"/>
          <w:w w:val="115"/>
          <w:sz w:val="18"/>
        </w:rPr>
        <w:t>treatment </w:t>
      </w:r>
      <w:r>
        <w:rPr>
          <w:color w:val="4D4D4F"/>
          <w:w w:val="115"/>
          <w:sz w:val="18"/>
        </w:rPr>
        <w:t>programs in an era of increasing opioid addiction, health</w:t>
      </w:r>
      <w:r>
        <w:rPr>
          <w:color w:val="4D4D4F"/>
          <w:spacing w:val="-28"/>
          <w:w w:val="115"/>
          <w:sz w:val="18"/>
        </w:rPr>
        <w:t> </w:t>
      </w:r>
      <w:r>
        <w:rPr>
          <w:color w:val="4D4D4F"/>
          <w:w w:val="115"/>
          <w:sz w:val="18"/>
        </w:rPr>
        <w:t>reform,</w:t>
      </w:r>
      <w:r>
        <w:rPr>
          <w:color w:val="4D4D4F"/>
          <w:spacing w:val="-28"/>
          <w:w w:val="115"/>
          <w:sz w:val="18"/>
        </w:rPr>
        <w:t> </w:t>
      </w:r>
      <w:r>
        <w:rPr>
          <w:color w:val="4D4D4F"/>
          <w:w w:val="115"/>
          <w:sz w:val="18"/>
        </w:rPr>
        <w:t>and</w:t>
      </w:r>
      <w:r>
        <w:rPr>
          <w:color w:val="4D4D4F"/>
          <w:spacing w:val="-27"/>
          <w:w w:val="115"/>
          <w:sz w:val="18"/>
        </w:rPr>
        <w:t> </w:t>
      </w:r>
      <w:r>
        <w:rPr>
          <w:color w:val="4D4D4F"/>
          <w:w w:val="115"/>
          <w:sz w:val="18"/>
        </w:rPr>
        <w:t>parity.</w:t>
      </w:r>
      <w:r>
        <w:rPr>
          <w:color w:val="4D4D4F"/>
          <w:spacing w:val="-28"/>
          <w:w w:val="115"/>
          <w:sz w:val="18"/>
        </w:rPr>
        <w:t> </w:t>
      </w:r>
      <w:r>
        <w:rPr>
          <w:color w:val="4D4D4F"/>
          <w:w w:val="115"/>
          <w:sz w:val="18"/>
        </w:rPr>
        <w:t>Retrieved</w:t>
      </w:r>
      <w:r>
        <w:rPr>
          <w:color w:val="4D4D4F"/>
          <w:spacing w:val="-27"/>
          <w:w w:val="115"/>
          <w:sz w:val="18"/>
        </w:rPr>
        <w:t> </w:t>
      </w:r>
      <w:r>
        <w:rPr>
          <w:color w:val="4D4D4F"/>
          <w:w w:val="115"/>
          <w:sz w:val="18"/>
        </w:rPr>
        <w:t>October</w:t>
      </w:r>
      <w:r>
        <w:rPr>
          <w:color w:val="4D4D4F"/>
          <w:spacing w:val="-28"/>
          <w:w w:val="115"/>
          <w:sz w:val="18"/>
        </w:rPr>
        <w:t> </w:t>
      </w:r>
      <w:r>
        <w:rPr>
          <w:color w:val="4D4D4F"/>
          <w:w w:val="115"/>
          <w:sz w:val="18"/>
        </w:rPr>
        <w:t>16,</w:t>
      </w:r>
      <w:r>
        <w:rPr>
          <w:color w:val="4D4D4F"/>
          <w:spacing w:val="-27"/>
          <w:w w:val="115"/>
          <w:sz w:val="18"/>
        </w:rPr>
        <w:t> </w:t>
      </w:r>
      <w:r>
        <w:rPr>
          <w:color w:val="4D4D4F"/>
          <w:w w:val="115"/>
          <w:sz w:val="18"/>
        </w:rPr>
        <w:t>2017, from</w:t>
      </w:r>
      <w:r>
        <w:rPr>
          <w:color w:val="205E9F"/>
          <w:spacing w:val="-21"/>
          <w:w w:val="115"/>
          <w:sz w:val="18"/>
        </w:rPr>
        <w:t> </w:t>
      </w:r>
      <w:hyperlink r:id="rId92">
        <w:r>
          <w:rPr>
            <w:color w:val="205E9F"/>
            <w:w w:val="115"/>
            <w:sz w:val="18"/>
            <w:u w:val="single" w:color="205E9F"/>
          </w:rPr>
          <w:t>www.aatod.org/wp-content/uploads/2016/07</w:t>
        </w:r>
      </w:hyperlink>
    </w:p>
    <w:p>
      <w:pPr>
        <w:spacing w:before="5"/>
        <w:ind w:left="500" w:right="0" w:firstLine="0"/>
        <w:jc w:val="left"/>
        <w:rPr>
          <w:sz w:val="18"/>
        </w:rPr>
      </w:pPr>
      <w:r>
        <w:rPr>
          <w:color w:val="205E9F"/>
          <w:w w:val="115"/>
          <w:sz w:val="18"/>
          <w:u w:val="single" w:color="205E9F"/>
        </w:rPr>
        <w:t>/2nd-Whitepaper-.pdf</w:t>
      </w:r>
    </w:p>
    <w:p>
      <w:pPr>
        <w:pStyle w:val="ListParagraph"/>
        <w:numPr>
          <w:ilvl w:val="0"/>
          <w:numId w:val="51"/>
        </w:numPr>
        <w:tabs>
          <w:tab w:pos="500" w:val="left" w:leader="none"/>
        </w:tabs>
        <w:spacing w:line="240" w:lineRule="auto" w:before="79" w:after="0"/>
        <w:ind w:left="500" w:right="0" w:hanging="360"/>
        <w:jc w:val="left"/>
        <w:rPr>
          <w:color w:val="4D4D4F"/>
          <w:sz w:val="18"/>
        </w:rPr>
      </w:pPr>
      <w:r>
        <w:rPr>
          <w:color w:val="4D4D4F"/>
          <w:spacing w:val="-3"/>
          <w:w w:val="115"/>
          <w:sz w:val="18"/>
        </w:rPr>
        <w:t>Comer,</w:t>
      </w:r>
      <w:r>
        <w:rPr>
          <w:color w:val="4D4D4F"/>
          <w:spacing w:val="-11"/>
          <w:w w:val="115"/>
          <w:sz w:val="18"/>
        </w:rPr>
        <w:t> </w:t>
      </w:r>
      <w:r>
        <w:rPr>
          <w:color w:val="4D4D4F"/>
          <w:w w:val="115"/>
          <w:sz w:val="18"/>
        </w:rPr>
        <w:t>S.</w:t>
      </w:r>
      <w:r>
        <w:rPr>
          <w:color w:val="4D4D4F"/>
          <w:spacing w:val="-11"/>
          <w:w w:val="115"/>
          <w:sz w:val="18"/>
        </w:rPr>
        <w:t> </w:t>
      </w:r>
      <w:r>
        <w:rPr>
          <w:color w:val="4D4D4F"/>
          <w:w w:val="115"/>
          <w:sz w:val="18"/>
        </w:rPr>
        <w:t>D.,</w:t>
      </w:r>
      <w:r>
        <w:rPr>
          <w:color w:val="4D4D4F"/>
          <w:spacing w:val="-11"/>
          <w:w w:val="115"/>
          <w:sz w:val="18"/>
        </w:rPr>
        <w:t> </w:t>
      </w:r>
      <w:r>
        <w:rPr>
          <w:color w:val="4D4D4F"/>
          <w:w w:val="115"/>
          <w:sz w:val="18"/>
        </w:rPr>
        <w:t>Sullivan,</w:t>
      </w:r>
      <w:r>
        <w:rPr>
          <w:color w:val="4D4D4F"/>
          <w:spacing w:val="-10"/>
          <w:w w:val="115"/>
          <w:sz w:val="18"/>
        </w:rPr>
        <w:t> </w:t>
      </w:r>
      <w:r>
        <w:rPr>
          <w:color w:val="4D4D4F"/>
          <w:w w:val="115"/>
          <w:sz w:val="18"/>
        </w:rPr>
        <w:t>M.</w:t>
      </w:r>
      <w:r>
        <w:rPr>
          <w:color w:val="4D4D4F"/>
          <w:spacing w:val="-11"/>
          <w:w w:val="115"/>
          <w:sz w:val="18"/>
        </w:rPr>
        <w:t> </w:t>
      </w:r>
      <w:r>
        <w:rPr>
          <w:color w:val="4D4D4F"/>
          <w:w w:val="115"/>
          <w:sz w:val="18"/>
        </w:rPr>
        <w:t>A.,</w:t>
      </w:r>
      <w:r>
        <w:rPr>
          <w:color w:val="4D4D4F"/>
          <w:spacing w:val="-11"/>
          <w:w w:val="115"/>
          <w:sz w:val="18"/>
        </w:rPr>
        <w:t> </w:t>
      </w:r>
      <w:r>
        <w:rPr>
          <w:color w:val="4D4D4F"/>
          <w:spacing w:val="-5"/>
          <w:w w:val="115"/>
          <w:sz w:val="18"/>
        </w:rPr>
        <w:t>Yu,</w:t>
      </w:r>
      <w:r>
        <w:rPr>
          <w:color w:val="4D4D4F"/>
          <w:spacing w:val="-10"/>
          <w:w w:val="115"/>
          <w:sz w:val="18"/>
        </w:rPr>
        <w:t> </w:t>
      </w:r>
      <w:r>
        <w:rPr>
          <w:color w:val="4D4D4F"/>
          <w:w w:val="115"/>
          <w:sz w:val="18"/>
        </w:rPr>
        <w:t>E.,</w:t>
      </w:r>
      <w:r>
        <w:rPr>
          <w:color w:val="4D4D4F"/>
          <w:spacing w:val="-11"/>
          <w:w w:val="115"/>
          <w:sz w:val="18"/>
        </w:rPr>
        <w:t> </w:t>
      </w:r>
      <w:r>
        <w:rPr>
          <w:color w:val="4D4D4F"/>
          <w:w w:val="115"/>
          <w:sz w:val="18"/>
        </w:rPr>
        <w:t>Rothenberg,</w:t>
      </w:r>
    </w:p>
    <w:p>
      <w:pPr>
        <w:spacing w:line="247" w:lineRule="auto" w:before="8"/>
        <w:ind w:left="500" w:right="365" w:firstLine="0"/>
        <w:jc w:val="left"/>
        <w:rPr>
          <w:sz w:val="18"/>
        </w:rPr>
      </w:pPr>
      <w:r>
        <w:rPr>
          <w:color w:val="4D4D4F"/>
          <w:w w:val="135"/>
          <w:sz w:val="18"/>
        </w:rPr>
        <w:t>J. </w:t>
      </w:r>
      <w:r>
        <w:rPr>
          <w:color w:val="4D4D4F"/>
          <w:w w:val="110"/>
          <w:sz w:val="18"/>
        </w:rPr>
        <w:t>L., Kleber, H. D., Kampman, K., … O’Brien, C. P. (2006). Injectable, sustained-release naltrexone for the treatment of opioid dependence: A randomized,</w:t>
      </w:r>
    </w:p>
    <w:p>
      <w:pPr>
        <w:spacing w:line="247" w:lineRule="auto" w:before="1"/>
        <w:ind w:left="500" w:right="112" w:firstLine="0"/>
        <w:jc w:val="left"/>
        <w:rPr>
          <w:sz w:val="18"/>
        </w:rPr>
      </w:pPr>
      <w:r>
        <w:rPr>
          <w:color w:val="4D4D4F"/>
          <w:w w:val="105"/>
          <w:sz w:val="18"/>
        </w:rPr>
        <w:t>placebo-controlled trial. </w:t>
      </w:r>
      <w:r>
        <w:rPr>
          <w:rFonts w:ascii="Arial" w:hAnsi="Arial"/>
          <w:i/>
          <w:color w:val="4D4D4F"/>
          <w:w w:val="105"/>
          <w:sz w:val="18"/>
        </w:rPr>
        <w:t>Archives of General Psychiatry, </w:t>
      </w:r>
      <w:r>
        <w:rPr>
          <w:rFonts w:ascii="Arial" w:hAnsi="Arial"/>
          <w:i/>
          <w:color w:val="4D4D4F"/>
          <w:w w:val="110"/>
          <w:sz w:val="18"/>
        </w:rPr>
        <w:t>63</w:t>
      </w:r>
      <w:r>
        <w:rPr>
          <w:color w:val="4D4D4F"/>
          <w:w w:val="110"/>
          <w:sz w:val="18"/>
        </w:rPr>
        <w:t>(2), 210–218.</w:t>
      </w:r>
    </w:p>
    <w:p>
      <w:pPr>
        <w:pStyle w:val="ListParagraph"/>
        <w:numPr>
          <w:ilvl w:val="0"/>
          <w:numId w:val="51"/>
        </w:numPr>
        <w:tabs>
          <w:tab w:pos="500" w:val="left" w:leader="none"/>
        </w:tabs>
        <w:spacing w:line="247" w:lineRule="auto" w:before="72" w:after="0"/>
        <w:ind w:left="500" w:right="362" w:hanging="360"/>
        <w:jc w:val="left"/>
        <w:rPr>
          <w:color w:val="4D4D4F"/>
          <w:sz w:val="18"/>
        </w:rPr>
      </w:pPr>
      <w:r>
        <w:rPr>
          <w:color w:val="4D4D4F"/>
          <w:w w:val="110"/>
          <w:sz w:val="18"/>
        </w:rPr>
        <w:t>Krupitsky, E., Nunes, E. </w:t>
      </w:r>
      <w:r>
        <w:rPr>
          <w:color w:val="4D4D4F"/>
          <w:spacing w:val="-8"/>
          <w:w w:val="110"/>
          <w:sz w:val="18"/>
        </w:rPr>
        <w:t>V., </w:t>
      </w:r>
      <w:r>
        <w:rPr>
          <w:color w:val="4D4D4F"/>
          <w:w w:val="110"/>
          <w:sz w:val="18"/>
        </w:rPr>
        <w:t>Ling, </w:t>
      </w:r>
      <w:r>
        <w:rPr>
          <w:color w:val="4D4D4F"/>
          <w:spacing w:val="-5"/>
          <w:w w:val="110"/>
          <w:sz w:val="18"/>
        </w:rPr>
        <w:t>W., </w:t>
      </w:r>
      <w:r>
        <w:rPr>
          <w:color w:val="4D4D4F"/>
          <w:w w:val="110"/>
          <w:sz w:val="18"/>
        </w:rPr>
        <w:t>Illeperuma, A., Gastfriend, D. R., &amp; Silverman, B. L. (2011). Injectable extended-release naltrexone for opioid dependence: A double-blind, placebo-controlled, multicentre randomised</w:t>
      </w:r>
      <w:r>
        <w:rPr>
          <w:color w:val="4D4D4F"/>
          <w:spacing w:val="-13"/>
          <w:w w:val="110"/>
          <w:sz w:val="18"/>
        </w:rPr>
        <w:t> </w:t>
      </w:r>
      <w:r>
        <w:rPr>
          <w:color w:val="4D4D4F"/>
          <w:w w:val="110"/>
          <w:sz w:val="18"/>
        </w:rPr>
        <w:t>trial.</w:t>
      </w:r>
      <w:r>
        <w:rPr>
          <w:color w:val="4D4D4F"/>
          <w:spacing w:val="-13"/>
          <w:w w:val="110"/>
          <w:sz w:val="18"/>
        </w:rPr>
        <w:t> </w:t>
      </w:r>
      <w:r>
        <w:rPr>
          <w:rFonts w:ascii="Arial" w:hAnsi="Arial"/>
          <w:i/>
          <w:color w:val="4D4D4F"/>
          <w:w w:val="110"/>
          <w:sz w:val="18"/>
        </w:rPr>
        <w:t>Lancet,</w:t>
      </w:r>
      <w:r>
        <w:rPr>
          <w:rFonts w:ascii="Arial" w:hAnsi="Arial"/>
          <w:i/>
          <w:color w:val="4D4D4F"/>
          <w:spacing w:val="-12"/>
          <w:w w:val="110"/>
          <w:sz w:val="18"/>
        </w:rPr>
        <w:t> </w:t>
      </w:r>
      <w:r>
        <w:rPr>
          <w:rFonts w:ascii="Arial" w:hAnsi="Arial"/>
          <w:i/>
          <w:color w:val="4D4D4F"/>
          <w:w w:val="110"/>
          <w:sz w:val="18"/>
        </w:rPr>
        <w:t>377</w:t>
      </w:r>
      <w:r>
        <w:rPr>
          <w:color w:val="4D4D4F"/>
          <w:w w:val="110"/>
          <w:sz w:val="18"/>
        </w:rPr>
        <w:t>(9776),</w:t>
      </w:r>
      <w:r>
        <w:rPr>
          <w:color w:val="4D4D4F"/>
          <w:spacing w:val="-13"/>
          <w:w w:val="110"/>
          <w:sz w:val="18"/>
        </w:rPr>
        <w:t> </w:t>
      </w:r>
      <w:r>
        <w:rPr>
          <w:color w:val="4D4D4F"/>
          <w:w w:val="110"/>
          <w:sz w:val="18"/>
        </w:rPr>
        <w:t>1506–1513.</w:t>
      </w:r>
    </w:p>
    <w:p>
      <w:pPr>
        <w:pStyle w:val="ListParagraph"/>
        <w:numPr>
          <w:ilvl w:val="0"/>
          <w:numId w:val="51"/>
        </w:numPr>
        <w:tabs>
          <w:tab w:pos="500" w:val="left" w:leader="none"/>
        </w:tabs>
        <w:spacing w:line="247" w:lineRule="auto" w:before="76" w:after="0"/>
        <w:ind w:left="500" w:right="275" w:hanging="360"/>
        <w:jc w:val="left"/>
        <w:rPr>
          <w:color w:val="4D4D4F"/>
          <w:sz w:val="18"/>
        </w:rPr>
      </w:pPr>
      <w:r>
        <w:rPr>
          <w:color w:val="4D4D4F"/>
          <w:w w:val="115"/>
          <w:sz w:val="18"/>
        </w:rPr>
        <w:t>Lee,</w:t>
      </w:r>
      <w:r>
        <w:rPr>
          <w:color w:val="4D4D4F"/>
          <w:spacing w:val="-18"/>
          <w:w w:val="115"/>
          <w:sz w:val="18"/>
        </w:rPr>
        <w:t> </w:t>
      </w:r>
      <w:r>
        <w:rPr>
          <w:color w:val="4D4D4F"/>
          <w:w w:val="135"/>
          <w:sz w:val="18"/>
        </w:rPr>
        <w:t>J.</w:t>
      </w:r>
      <w:r>
        <w:rPr>
          <w:color w:val="4D4D4F"/>
          <w:spacing w:val="-27"/>
          <w:w w:val="135"/>
          <w:sz w:val="18"/>
        </w:rPr>
        <w:t> </w:t>
      </w:r>
      <w:r>
        <w:rPr>
          <w:color w:val="4D4D4F"/>
          <w:w w:val="115"/>
          <w:sz w:val="18"/>
        </w:rPr>
        <w:t>D.,</w:t>
      </w:r>
      <w:r>
        <w:rPr>
          <w:color w:val="4D4D4F"/>
          <w:spacing w:val="-18"/>
          <w:w w:val="115"/>
          <w:sz w:val="18"/>
        </w:rPr>
        <w:t> </w:t>
      </w:r>
      <w:r>
        <w:rPr>
          <w:color w:val="4D4D4F"/>
          <w:w w:val="115"/>
          <w:sz w:val="18"/>
        </w:rPr>
        <w:t>Friedmann,</w:t>
      </w:r>
      <w:r>
        <w:rPr>
          <w:color w:val="4D4D4F"/>
          <w:spacing w:val="-17"/>
          <w:w w:val="115"/>
          <w:sz w:val="18"/>
        </w:rPr>
        <w:t> P. </w:t>
      </w:r>
      <w:r>
        <w:rPr>
          <w:color w:val="4D4D4F"/>
          <w:w w:val="115"/>
          <w:sz w:val="18"/>
        </w:rPr>
        <w:t>D.,</w:t>
      </w:r>
      <w:r>
        <w:rPr>
          <w:color w:val="4D4D4F"/>
          <w:spacing w:val="-18"/>
          <w:w w:val="115"/>
          <w:sz w:val="18"/>
        </w:rPr>
        <w:t> </w:t>
      </w:r>
      <w:r>
        <w:rPr>
          <w:color w:val="4D4D4F"/>
          <w:w w:val="115"/>
          <w:sz w:val="18"/>
        </w:rPr>
        <w:t>Kinlock,</w:t>
      </w:r>
      <w:r>
        <w:rPr>
          <w:color w:val="4D4D4F"/>
          <w:spacing w:val="-17"/>
          <w:w w:val="115"/>
          <w:sz w:val="18"/>
        </w:rPr>
        <w:t> </w:t>
      </w:r>
      <w:r>
        <w:rPr>
          <w:color w:val="4D4D4F"/>
          <w:spacing w:val="-10"/>
          <w:w w:val="115"/>
          <w:sz w:val="18"/>
        </w:rPr>
        <w:t>T.</w:t>
      </w:r>
      <w:r>
        <w:rPr>
          <w:color w:val="4D4D4F"/>
          <w:spacing w:val="-18"/>
          <w:w w:val="115"/>
          <w:sz w:val="18"/>
        </w:rPr>
        <w:t> </w:t>
      </w:r>
      <w:r>
        <w:rPr>
          <w:color w:val="4D4D4F"/>
          <w:spacing w:val="-5"/>
          <w:w w:val="115"/>
          <w:sz w:val="18"/>
        </w:rPr>
        <w:t>W.,</w:t>
      </w:r>
      <w:r>
        <w:rPr>
          <w:color w:val="4D4D4F"/>
          <w:spacing w:val="-17"/>
          <w:w w:val="115"/>
          <w:sz w:val="18"/>
        </w:rPr>
        <w:t> </w:t>
      </w:r>
      <w:r>
        <w:rPr>
          <w:color w:val="4D4D4F"/>
          <w:w w:val="115"/>
          <w:sz w:val="18"/>
        </w:rPr>
        <w:t>Nunes,</w:t>
      </w:r>
      <w:r>
        <w:rPr>
          <w:color w:val="4D4D4F"/>
          <w:spacing w:val="-17"/>
          <w:w w:val="115"/>
          <w:sz w:val="18"/>
        </w:rPr>
        <w:t> </w:t>
      </w:r>
      <w:r>
        <w:rPr>
          <w:color w:val="4D4D4F"/>
          <w:w w:val="115"/>
          <w:sz w:val="18"/>
        </w:rPr>
        <w:t>E. </w:t>
      </w:r>
      <w:r>
        <w:rPr>
          <w:color w:val="4D4D4F"/>
          <w:spacing w:val="-8"/>
          <w:w w:val="115"/>
          <w:sz w:val="18"/>
        </w:rPr>
        <w:t>V.,</w:t>
      </w:r>
      <w:r>
        <w:rPr>
          <w:color w:val="4D4D4F"/>
          <w:spacing w:val="-19"/>
          <w:w w:val="115"/>
          <w:sz w:val="18"/>
        </w:rPr>
        <w:t> </w:t>
      </w:r>
      <w:r>
        <w:rPr>
          <w:color w:val="4D4D4F"/>
          <w:spacing w:val="-3"/>
          <w:w w:val="115"/>
          <w:sz w:val="18"/>
        </w:rPr>
        <w:t>Boney,</w:t>
      </w:r>
      <w:r>
        <w:rPr>
          <w:color w:val="4D4D4F"/>
          <w:spacing w:val="-18"/>
          <w:w w:val="115"/>
          <w:sz w:val="18"/>
        </w:rPr>
        <w:t> </w:t>
      </w:r>
      <w:r>
        <w:rPr>
          <w:color w:val="4D4D4F"/>
          <w:spacing w:val="-10"/>
          <w:w w:val="115"/>
          <w:sz w:val="18"/>
        </w:rPr>
        <w:t>T.</w:t>
      </w:r>
      <w:r>
        <w:rPr>
          <w:color w:val="4D4D4F"/>
          <w:spacing w:val="-19"/>
          <w:w w:val="115"/>
          <w:sz w:val="18"/>
        </w:rPr>
        <w:t> </w:t>
      </w:r>
      <w:r>
        <w:rPr>
          <w:color w:val="4D4D4F"/>
          <w:spacing w:val="-9"/>
          <w:w w:val="115"/>
          <w:sz w:val="18"/>
        </w:rPr>
        <w:t>Y.,</w:t>
      </w:r>
      <w:r>
        <w:rPr>
          <w:color w:val="4D4D4F"/>
          <w:spacing w:val="-18"/>
          <w:w w:val="115"/>
          <w:sz w:val="18"/>
        </w:rPr>
        <w:t> </w:t>
      </w:r>
      <w:r>
        <w:rPr>
          <w:color w:val="4D4D4F"/>
          <w:w w:val="115"/>
          <w:sz w:val="18"/>
        </w:rPr>
        <w:t>Hoskinson,</w:t>
      </w:r>
      <w:r>
        <w:rPr>
          <w:color w:val="4D4D4F"/>
          <w:spacing w:val="-18"/>
          <w:w w:val="115"/>
          <w:sz w:val="18"/>
        </w:rPr>
        <w:t> </w:t>
      </w:r>
      <w:r>
        <w:rPr>
          <w:color w:val="4D4D4F"/>
          <w:w w:val="115"/>
          <w:sz w:val="18"/>
        </w:rPr>
        <w:t>R.</w:t>
      </w:r>
      <w:r>
        <w:rPr>
          <w:color w:val="4D4D4F"/>
          <w:spacing w:val="-19"/>
          <w:w w:val="115"/>
          <w:sz w:val="18"/>
        </w:rPr>
        <w:t> </w:t>
      </w:r>
      <w:r>
        <w:rPr>
          <w:color w:val="4D4D4F"/>
          <w:w w:val="115"/>
          <w:sz w:val="18"/>
        </w:rPr>
        <w:t>A.,</w:t>
      </w:r>
      <w:r>
        <w:rPr>
          <w:color w:val="4D4D4F"/>
          <w:spacing w:val="-18"/>
          <w:w w:val="115"/>
          <w:sz w:val="18"/>
        </w:rPr>
        <w:t> </w:t>
      </w:r>
      <w:r>
        <w:rPr>
          <w:color w:val="4D4D4F"/>
          <w:spacing w:val="-5"/>
          <w:w w:val="115"/>
          <w:sz w:val="18"/>
        </w:rPr>
        <w:t>Jr.,</w:t>
      </w:r>
      <w:r>
        <w:rPr>
          <w:color w:val="4D4D4F"/>
          <w:spacing w:val="-19"/>
          <w:w w:val="115"/>
          <w:sz w:val="18"/>
        </w:rPr>
        <w:t> </w:t>
      </w:r>
      <w:r>
        <w:rPr>
          <w:color w:val="4D4D4F"/>
          <w:w w:val="115"/>
          <w:sz w:val="18"/>
        </w:rPr>
        <w:t>…</w:t>
      </w:r>
      <w:r>
        <w:rPr>
          <w:color w:val="4D4D4F"/>
          <w:spacing w:val="-18"/>
          <w:w w:val="115"/>
          <w:sz w:val="18"/>
        </w:rPr>
        <w:t> </w:t>
      </w:r>
      <w:r>
        <w:rPr>
          <w:color w:val="4D4D4F"/>
          <w:w w:val="115"/>
          <w:sz w:val="18"/>
        </w:rPr>
        <w:t>O’Brien,</w:t>
      </w:r>
      <w:r>
        <w:rPr>
          <w:color w:val="4D4D4F"/>
          <w:spacing w:val="-18"/>
          <w:w w:val="115"/>
          <w:sz w:val="18"/>
        </w:rPr>
        <w:t> </w:t>
      </w:r>
      <w:r>
        <w:rPr>
          <w:color w:val="4D4D4F"/>
          <w:w w:val="115"/>
          <w:sz w:val="18"/>
        </w:rPr>
        <w:t>C.</w:t>
      </w:r>
      <w:r>
        <w:rPr>
          <w:color w:val="4D4D4F"/>
          <w:spacing w:val="-19"/>
          <w:w w:val="115"/>
          <w:sz w:val="18"/>
        </w:rPr>
        <w:t> </w:t>
      </w:r>
      <w:r>
        <w:rPr>
          <w:color w:val="4D4D4F"/>
          <w:spacing w:val="-17"/>
          <w:w w:val="115"/>
          <w:sz w:val="18"/>
        </w:rPr>
        <w:t>P. </w:t>
      </w:r>
      <w:r>
        <w:rPr>
          <w:color w:val="4D4D4F"/>
          <w:w w:val="115"/>
          <w:sz w:val="18"/>
        </w:rPr>
        <w:t>(2016).</w:t>
      </w:r>
      <w:r>
        <w:rPr>
          <w:color w:val="4D4D4F"/>
          <w:spacing w:val="-40"/>
          <w:w w:val="115"/>
          <w:sz w:val="18"/>
        </w:rPr>
        <w:t> </w:t>
      </w:r>
      <w:r>
        <w:rPr>
          <w:color w:val="4D4D4F"/>
          <w:w w:val="115"/>
          <w:sz w:val="18"/>
        </w:rPr>
        <w:t>Extended-release</w:t>
      </w:r>
      <w:r>
        <w:rPr>
          <w:color w:val="4D4D4F"/>
          <w:spacing w:val="-40"/>
          <w:w w:val="115"/>
          <w:sz w:val="18"/>
        </w:rPr>
        <w:t> </w:t>
      </w:r>
      <w:r>
        <w:rPr>
          <w:color w:val="4D4D4F"/>
          <w:w w:val="115"/>
          <w:sz w:val="18"/>
        </w:rPr>
        <w:t>naltrexone</w:t>
      </w:r>
      <w:r>
        <w:rPr>
          <w:color w:val="4D4D4F"/>
          <w:spacing w:val="-40"/>
          <w:w w:val="115"/>
          <w:sz w:val="18"/>
        </w:rPr>
        <w:t> </w:t>
      </w:r>
      <w:r>
        <w:rPr>
          <w:color w:val="4D4D4F"/>
          <w:w w:val="115"/>
          <w:sz w:val="18"/>
        </w:rPr>
        <w:t>to</w:t>
      </w:r>
      <w:r>
        <w:rPr>
          <w:color w:val="4D4D4F"/>
          <w:spacing w:val="-40"/>
          <w:w w:val="115"/>
          <w:sz w:val="18"/>
        </w:rPr>
        <w:t> </w:t>
      </w:r>
      <w:r>
        <w:rPr>
          <w:color w:val="4D4D4F"/>
          <w:w w:val="115"/>
          <w:sz w:val="18"/>
        </w:rPr>
        <w:t>prevent</w:t>
      </w:r>
      <w:r>
        <w:rPr>
          <w:color w:val="4D4D4F"/>
          <w:spacing w:val="-40"/>
          <w:w w:val="115"/>
          <w:sz w:val="18"/>
        </w:rPr>
        <w:t> </w:t>
      </w:r>
      <w:r>
        <w:rPr>
          <w:color w:val="4D4D4F"/>
          <w:spacing w:val="-3"/>
          <w:w w:val="115"/>
          <w:sz w:val="18"/>
        </w:rPr>
        <w:t>opioid </w:t>
      </w:r>
      <w:r>
        <w:rPr>
          <w:color w:val="4D4D4F"/>
          <w:w w:val="115"/>
          <w:sz w:val="18"/>
        </w:rPr>
        <w:t>relapse in criminal justice offenders. </w:t>
      </w:r>
      <w:r>
        <w:rPr>
          <w:rFonts w:ascii="Arial" w:hAnsi="Arial"/>
          <w:i/>
          <w:color w:val="4D4D4F"/>
          <w:w w:val="115"/>
          <w:sz w:val="18"/>
        </w:rPr>
        <w:t>New England </w:t>
      </w:r>
      <w:r>
        <w:rPr>
          <w:rFonts w:ascii="Arial" w:hAnsi="Arial"/>
          <w:i/>
          <w:color w:val="4D4D4F"/>
          <w:w w:val="115"/>
          <w:sz w:val="18"/>
        </w:rPr>
        <w:t>Journal</w:t>
      </w:r>
      <w:r>
        <w:rPr>
          <w:rFonts w:ascii="Arial" w:hAnsi="Arial"/>
          <w:i/>
          <w:color w:val="4D4D4F"/>
          <w:spacing w:val="-20"/>
          <w:w w:val="115"/>
          <w:sz w:val="18"/>
        </w:rPr>
        <w:t> </w:t>
      </w:r>
      <w:r>
        <w:rPr>
          <w:rFonts w:ascii="Arial" w:hAnsi="Arial"/>
          <w:i/>
          <w:color w:val="4D4D4F"/>
          <w:w w:val="115"/>
          <w:sz w:val="18"/>
        </w:rPr>
        <w:t>of</w:t>
      </w:r>
      <w:r>
        <w:rPr>
          <w:rFonts w:ascii="Arial" w:hAnsi="Arial"/>
          <w:i/>
          <w:color w:val="4D4D4F"/>
          <w:spacing w:val="-20"/>
          <w:w w:val="115"/>
          <w:sz w:val="18"/>
        </w:rPr>
        <w:t> </w:t>
      </w:r>
      <w:r>
        <w:rPr>
          <w:rFonts w:ascii="Arial" w:hAnsi="Arial"/>
          <w:i/>
          <w:color w:val="4D4D4F"/>
          <w:w w:val="115"/>
          <w:sz w:val="18"/>
        </w:rPr>
        <w:t>Medicine,</w:t>
      </w:r>
      <w:r>
        <w:rPr>
          <w:rFonts w:ascii="Arial" w:hAnsi="Arial"/>
          <w:i/>
          <w:color w:val="4D4D4F"/>
          <w:spacing w:val="-19"/>
          <w:w w:val="115"/>
          <w:sz w:val="18"/>
        </w:rPr>
        <w:t> </w:t>
      </w:r>
      <w:r>
        <w:rPr>
          <w:rFonts w:ascii="Arial" w:hAnsi="Arial"/>
          <w:i/>
          <w:color w:val="4D4D4F"/>
          <w:w w:val="115"/>
          <w:sz w:val="18"/>
        </w:rPr>
        <w:t>374</w:t>
      </w:r>
      <w:r>
        <w:rPr>
          <w:color w:val="4D4D4F"/>
          <w:w w:val="115"/>
          <w:sz w:val="18"/>
        </w:rPr>
        <w:t>(13),</w:t>
      </w:r>
      <w:r>
        <w:rPr>
          <w:color w:val="4D4D4F"/>
          <w:spacing w:val="-20"/>
          <w:w w:val="115"/>
          <w:sz w:val="18"/>
        </w:rPr>
        <w:t> </w:t>
      </w:r>
      <w:r>
        <w:rPr>
          <w:color w:val="4D4D4F"/>
          <w:w w:val="115"/>
          <w:sz w:val="18"/>
        </w:rPr>
        <w:t>1232–1242.</w:t>
      </w:r>
    </w:p>
    <w:p>
      <w:pPr>
        <w:pStyle w:val="ListParagraph"/>
        <w:numPr>
          <w:ilvl w:val="0"/>
          <w:numId w:val="51"/>
        </w:numPr>
        <w:tabs>
          <w:tab w:pos="500" w:val="left" w:leader="none"/>
        </w:tabs>
        <w:spacing w:line="249" w:lineRule="auto" w:before="74" w:after="0"/>
        <w:ind w:left="500" w:right="465" w:hanging="361"/>
        <w:jc w:val="left"/>
        <w:rPr>
          <w:color w:val="4D4D4F"/>
          <w:sz w:val="18"/>
        </w:rPr>
      </w:pPr>
      <w:r>
        <w:rPr>
          <w:color w:val="4D4D4F"/>
          <w:w w:val="105"/>
          <w:sz w:val="18"/>
        </w:rPr>
        <w:t>American Society of  Addiction  Medicine.  (2015). </w:t>
      </w:r>
      <w:r>
        <w:rPr>
          <w:rFonts w:ascii="Arial"/>
          <w:i/>
          <w:color w:val="4D4D4F"/>
          <w:w w:val="105"/>
          <w:sz w:val="18"/>
        </w:rPr>
        <w:t>The</w:t>
      </w:r>
      <w:r>
        <w:rPr>
          <w:rFonts w:ascii="Arial"/>
          <w:i/>
          <w:color w:val="4D4D4F"/>
          <w:spacing w:val="-14"/>
          <w:w w:val="105"/>
          <w:sz w:val="18"/>
        </w:rPr>
        <w:t> </w:t>
      </w:r>
      <w:r>
        <w:rPr>
          <w:rFonts w:ascii="Arial"/>
          <w:i/>
          <w:color w:val="4D4D4F"/>
          <w:w w:val="105"/>
          <w:sz w:val="18"/>
        </w:rPr>
        <w:t>ASAM</w:t>
      </w:r>
      <w:r>
        <w:rPr>
          <w:rFonts w:ascii="Arial"/>
          <w:i/>
          <w:color w:val="4D4D4F"/>
          <w:spacing w:val="-14"/>
          <w:w w:val="105"/>
          <w:sz w:val="18"/>
        </w:rPr>
        <w:t> </w:t>
      </w:r>
      <w:r>
        <w:rPr>
          <w:rFonts w:ascii="Arial"/>
          <w:i/>
          <w:color w:val="4D4D4F"/>
          <w:w w:val="105"/>
          <w:sz w:val="18"/>
        </w:rPr>
        <w:t>national</w:t>
      </w:r>
      <w:r>
        <w:rPr>
          <w:rFonts w:ascii="Arial"/>
          <w:i/>
          <w:color w:val="4D4D4F"/>
          <w:spacing w:val="-14"/>
          <w:w w:val="105"/>
          <w:sz w:val="18"/>
        </w:rPr>
        <w:t> </w:t>
      </w:r>
      <w:r>
        <w:rPr>
          <w:rFonts w:ascii="Arial"/>
          <w:i/>
          <w:color w:val="4D4D4F"/>
          <w:w w:val="105"/>
          <w:sz w:val="18"/>
        </w:rPr>
        <w:t>practice</w:t>
      </w:r>
      <w:r>
        <w:rPr>
          <w:rFonts w:ascii="Arial"/>
          <w:i/>
          <w:color w:val="4D4D4F"/>
          <w:spacing w:val="-13"/>
          <w:w w:val="105"/>
          <w:sz w:val="18"/>
        </w:rPr>
        <w:t> </w:t>
      </w:r>
      <w:r>
        <w:rPr>
          <w:rFonts w:ascii="Arial"/>
          <w:i/>
          <w:color w:val="4D4D4F"/>
          <w:w w:val="105"/>
          <w:sz w:val="18"/>
        </w:rPr>
        <w:t>guideline</w:t>
      </w:r>
      <w:r>
        <w:rPr>
          <w:rFonts w:ascii="Arial"/>
          <w:i/>
          <w:color w:val="4D4D4F"/>
          <w:spacing w:val="-14"/>
          <w:w w:val="105"/>
          <w:sz w:val="18"/>
        </w:rPr>
        <w:t> </w:t>
      </w:r>
      <w:r>
        <w:rPr>
          <w:rFonts w:ascii="Arial"/>
          <w:i/>
          <w:color w:val="4D4D4F"/>
          <w:w w:val="105"/>
          <w:sz w:val="18"/>
        </w:rPr>
        <w:t>for</w:t>
      </w:r>
      <w:r>
        <w:rPr>
          <w:rFonts w:ascii="Arial"/>
          <w:i/>
          <w:color w:val="4D4D4F"/>
          <w:spacing w:val="-14"/>
          <w:w w:val="105"/>
          <w:sz w:val="18"/>
        </w:rPr>
        <w:t> </w:t>
      </w:r>
      <w:r>
        <w:rPr>
          <w:rFonts w:ascii="Arial"/>
          <w:i/>
          <w:color w:val="4D4D4F"/>
          <w:w w:val="105"/>
          <w:sz w:val="18"/>
        </w:rPr>
        <w:t>the</w:t>
      </w:r>
      <w:r>
        <w:rPr>
          <w:rFonts w:ascii="Arial"/>
          <w:i/>
          <w:color w:val="4D4D4F"/>
          <w:spacing w:val="-14"/>
          <w:w w:val="105"/>
          <w:sz w:val="18"/>
        </w:rPr>
        <w:t> </w:t>
      </w:r>
      <w:r>
        <w:rPr>
          <w:rFonts w:ascii="Arial"/>
          <w:i/>
          <w:color w:val="4D4D4F"/>
          <w:w w:val="105"/>
          <w:sz w:val="18"/>
        </w:rPr>
        <w:t>use</w:t>
      </w:r>
      <w:r>
        <w:rPr>
          <w:rFonts w:ascii="Arial"/>
          <w:i/>
          <w:color w:val="4D4D4F"/>
          <w:spacing w:val="-13"/>
          <w:w w:val="105"/>
          <w:sz w:val="18"/>
        </w:rPr>
        <w:t> </w:t>
      </w:r>
      <w:r>
        <w:rPr>
          <w:rFonts w:ascii="Arial"/>
          <w:i/>
          <w:color w:val="4D4D4F"/>
          <w:spacing w:val="-9"/>
          <w:w w:val="105"/>
          <w:sz w:val="18"/>
        </w:rPr>
        <w:t>of </w:t>
      </w:r>
      <w:r>
        <w:rPr>
          <w:rFonts w:ascii="Arial"/>
          <w:i/>
          <w:color w:val="4D4D4F"/>
          <w:w w:val="105"/>
          <w:sz w:val="18"/>
        </w:rPr>
        <w:t>medications in the treatment of addiction involving opioid use. </w:t>
      </w:r>
      <w:r>
        <w:rPr>
          <w:color w:val="4D4D4F"/>
          <w:w w:val="105"/>
          <w:sz w:val="18"/>
        </w:rPr>
        <w:t>Chevy Chase, MD:</w:t>
      </w:r>
      <w:r>
        <w:rPr>
          <w:color w:val="4D4D4F"/>
          <w:spacing w:val="-1"/>
          <w:w w:val="105"/>
          <w:sz w:val="18"/>
        </w:rPr>
        <w:t> </w:t>
      </w:r>
      <w:r>
        <w:rPr>
          <w:color w:val="4D4D4F"/>
          <w:spacing w:val="-3"/>
          <w:w w:val="105"/>
          <w:sz w:val="18"/>
        </w:rPr>
        <w:t>Author.</w:t>
      </w:r>
    </w:p>
    <w:p>
      <w:pPr>
        <w:pStyle w:val="ListParagraph"/>
        <w:numPr>
          <w:ilvl w:val="0"/>
          <w:numId w:val="51"/>
        </w:numPr>
        <w:tabs>
          <w:tab w:pos="500" w:val="left" w:leader="none"/>
        </w:tabs>
        <w:spacing w:line="247" w:lineRule="auto" w:before="69" w:after="0"/>
        <w:ind w:left="500" w:right="635" w:hanging="360"/>
        <w:jc w:val="left"/>
        <w:rPr>
          <w:color w:val="4D4D4F"/>
          <w:sz w:val="18"/>
        </w:rPr>
      </w:pPr>
      <w:r>
        <w:rPr>
          <w:color w:val="4D4D4F"/>
          <w:w w:val="115"/>
          <w:sz w:val="18"/>
        </w:rPr>
        <w:t>Lee,</w:t>
      </w:r>
      <w:r>
        <w:rPr>
          <w:color w:val="4D4D4F"/>
          <w:spacing w:val="-20"/>
          <w:w w:val="115"/>
          <w:sz w:val="18"/>
        </w:rPr>
        <w:t> </w:t>
      </w:r>
      <w:r>
        <w:rPr>
          <w:color w:val="4D4D4F"/>
          <w:w w:val="135"/>
          <w:sz w:val="18"/>
        </w:rPr>
        <w:t>J.</w:t>
      </w:r>
      <w:r>
        <w:rPr>
          <w:color w:val="4D4D4F"/>
          <w:spacing w:val="-30"/>
          <w:w w:val="135"/>
          <w:sz w:val="18"/>
        </w:rPr>
        <w:t> </w:t>
      </w:r>
      <w:r>
        <w:rPr>
          <w:color w:val="4D4D4F"/>
          <w:w w:val="115"/>
          <w:sz w:val="18"/>
        </w:rPr>
        <w:t>D.,</w:t>
      </w:r>
      <w:r>
        <w:rPr>
          <w:color w:val="4D4D4F"/>
          <w:spacing w:val="-20"/>
          <w:w w:val="115"/>
          <w:sz w:val="18"/>
        </w:rPr>
        <w:t> </w:t>
      </w:r>
      <w:r>
        <w:rPr>
          <w:color w:val="4D4D4F"/>
          <w:w w:val="115"/>
          <w:sz w:val="18"/>
        </w:rPr>
        <w:t>McDonald,</w:t>
      </w:r>
      <w:r>
        <w:rPr>
          <w:color w:val="4D4D4F"/>
          <w:spacing w:val="-19"/>
          <w:w w:val="115"/>
          <w:sz w:val="18"/>
        </w:rPr>
        <w:t> </w:t>
      </w:r>
      <w:r>
        <w:rPr>
          <w:color w:val="4D4D4F"/>
          <w:w w:val="115"/>
          <w:sz w:val="18"/>
        </w:rPr>
        <w:t>R.,</w:t>
      </w:r>
      <w:r>
        <w:rPr>
          <w:color w:val="4D4D4F"/>
          <w:spacing w:val="-20"/>
          <w:w w:val="115"/>
          <w:sz w:val="18"/>
        </w:rPr>
        <w:t> </w:t>
      </w:r>
      <w:r>
        <w:rPr>
          <w:color w:val="4D4D4F"/>
          <w:w w:val="115"/>
          <w:sz w:val="18"/>
        </w:rPr>
        <w:t>Grossman,</w:t>
      </w:r>
      <w:r>
        <w:rPr>
          <w:color w:val="4D4D4F"/>
          <w:spacing w:val="-20"/>
          <w:w w:val="115"/>
          <w:sz w:val="18"/>
        </w:rPr>
        <w:t> </w:t>
      </w:r>
      <w:r>
        <w:rPr>
          <w:color w:val="4D4D4F"/>
          <w:w w:val="115"/>
          <w:sz w:val="18"/>
        </w:rPr>
        <w:t>E.,</w:t>
      </w:r>
      <w:r>
        <w:rPr>
          <w:color w:val="4D4D4F"/>
          <w:spacing w:val="-19"/>
          <w:w w:val="115"/>
          <w:sz w:val="18"/>
        </w:rPr>
        <w:t> </w:t>
      </w:r>
      <w:r>
        <w:rPr>
          <w:color w:val="4D4D4F"/>
          <w:w w:val="115"/>
          <w:sz w:val="18"/>
        </w:rPr>
        <w:t>McNeely, </w:t>
      </w:r>
      <w:r>
        <w:rPr>
          <w:color w:val="4D4D4F"/>
          <w:w w:val="135"/>
          <w:sz w:val="18"/>
        </w:rPr>
        <w:t>J., </w:t>
      </w:r>
      <w:r>
        <w:rPr>
          <w:color w:val="4D4D4F"/>
          <w:w w:val="115"/>
          <w:sz w:val="18"/>
        </w:rPr>
        <w:t>Laska, E., Rotrosen, </w:t>
      </w:r>
      <w:r>
        <w:rPr>
          <w:color w:val="4D4D4F"/>
          <w:w w:val="135"/>
          <w:sz w:val="18"/>
        </w:rPr>
        <w:t>J., </w:t>
      </w:r>
      <w:r>
        <w:rPr>
          <w:color w:val="4D4D4F"/>
          <w:w w:val="115"/>
          <w:sz w:val="18"/>
        </w:rPr>
        <w:t>&amp; Gourevitch, M. N. (2015).</w:t>
      </w:r>
      <w:r>
        <w:rPr>
          <w:color w:val="4D4D4F"/>
          <w:spacing w:val="-28"/>
          <w:w w:val="115"/>
          <w:sz w:val="18"/>
        </w:rPr>
        <w:t> </w:t>
      </w:r>
      <w:r>
        <w:rPr>
          <w:color w:val="4D4D4F"/>
          <w:w w:val="115"/>
          <w:sz w:val="18"/>
        </w:rPr>
        <w:t>Opioid</w:t>
      </w:r>
      <w:r>
        <w:rPr>
          <w:color w:val="4D4D4F"/>
          <w:spacing w:val="-28"/>
          <w:w w:val="115"/>
          <w:sz w:val="18"/>
        </w:rPr>
        <w:t> </w:t>
      </w:r>
      <w:r>
        <w:rPr>
          <w:color w:val="4D4D4F"/>
          <w:w w:val="115"/>
          <w:sz w:val="18"/>
        </w:rPr>
        <w:t>treatment</w:t>
      </w:r>
      <w:r>
        <w:rPr>
          <w:color w:val="4D4D4F"/>
          <w:spacing w:val="-27"/>
          <w:w w:val="115"/>
          <w:sz w:val="18"/>
        </w:rPr>
        <w:t> </w:t>
      </w:r>
      <w:r>
        <w:rPr>
          <w:color w:val="4D4D4F"/>
          <w:w w:val="115"/>
          <w:sz w:val="18"/>
        </w:rPr>
        <w:t>at</w:t>
      </w:r>
      <w:r>
        <w:rPr>
          <w:color w:val="4D4D4F"/>
          <w:spacing w:val="-28"/>
          <w:w w:val="115"/>
          <w:sz w:val="18"/>
        </w:rPr>
        <w:t> </w:t>
      </w:r>
      <w:r>
        <w:rPr>
          <w:color w:val="4D4D4F"/>
          <w:w w:val="115"/>
          <w:sz w:val="18"/>
        </w:rPr>
        <w:t>release</w:t>
      </w:r>
      <w:r>
        <w:rPr>
          <w:color w:val="4D4D4F"/>
          <w:spacing w:val="-27"/>
          <w:w w:val="115"/>
          <w:sz w:val="18"/>
        </w:rPr>
        <w:t> </w:t>
      </w:r>
      <w:r>
        <w:rPr>
          <w:color w:val="4D4D4F"/>
          <w:w w:val="115"/>
          <w:sz w:val="18"/>
        </w:rPr>
        <w:t>from</w:t>
      </w:r>
      <w:r>
        <w:rPr>
          <w:color w:val="4D4D4F"/>
          <w:spacing w:val="-28"/>
          <w:w w:val="115"/>
          <w:sz w:val="18"/>
        </w:rPr>
        <w:t> </w:t>
      </w:r>
      <w:r>
        <w:rPr>
          <w:color w:val="4D4D4F"/>
          <w:w w:val="115"/>
          <w:sz w:val="18"/>
        </w:rPr>
        <w:t>jail</w:t>
      </w:r>
      <w:r>
        <w:rPr>
          <w:color w:val="4D4D4F"/>
          <w:spacing w:val="-28"/>
          <w:w w:val="115"/>
          <w:sz w:val="18"/>
        </w:rPr>
        <w:t> </w:t>
      </w:r>
      <w:r>
        <w:rPr>
          <w:color w:val="4D4D4F"/>
          <w:spacing w:val="-3"/>
          <w:w w:val="115"/>
          <w:sz w:val="18"/>
        </w:rPr>
        <w:t>using</w:t>
      </w:r>
    </w:p>
    <w:p>
      <w:pPr>
        <w:spacing w:line="247" w:lineRule="auto" w:before="3"/>
        <w:ind w:left="500" w:right="260" w:firstLine="0"/>
        <w:jc w:val="left"/>
        <w:rPr>
          <w:sz w:val="18"/>
        </w:rPr>
      </w:pPr>
      <w:r>
        <w:rPr>
          <w:color w:val="4D4D4F"/>
          <w:w w:val="110"/>
          <w:sz w:val="18"/>
        </w:rPr>
        <w:t>extended-release naltrexone: A pilot proof-of-concept randomized effectiveness trial. </w:t>
      </w:r>
      <w:r>
        <w:rPr>
          <w:rFonts w:ascii="Arial" w:hAnsi="Arial"/>
          <w:i/>
          <w:color w:val="4D4D4F"/>
          <w:w w:val="110"/>
          <w:sz w:val="18"/>
        </w:rPr>
        <w:t>Addiction, 110</w:t>
      </w:r>
      <w:r>
        <w:rPr>
          <w:color w:val="4D4D4F"/>
          <w:w w:val="110"/>
          <w:sz w:val="18"/>
        </w:rPr>
        <w:t>(6), 1008–1014.</w:t>
      </w:r>
    </w:p>
    <w:p>
      <w:pPr>
        <w:spacing w:after="0" w:line="247" w:lineRule="auto"/>
        <w:jc w:val="left"/>
        <w:rPr>
          <w:sz w:val="18"/>
        </w:rPr>
        <w:sectPr>
          <w:type w:val="continuous"/>
          <w:pgSz w:w="12240" w:h="15840"/>
          <w:pgMar w:top="540" w:bottom="280" w:left="940" w:right="920"/>
          <w:cols w:num="2" w:equalWidth="0">
            <w:col w:w="5041" w:space="179"/>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10"/>
          <w:sz w:val="18"/>
        </w:rPr>
        <w:t>Leslie, D. L., Milchak, </w:t>
      </w:r>
      <w:r>
        <w:rPr>
          <w:color w:val="4C4D4F"/>
          <w:spacing w:val="-5"/>
          <w:w w:val="110"/>
          <w:sz w:val="18"/>
        </w:rPr>
        <w:t>W., </w:t>
      </w:r>
      <w:r>
        <w:rPr>
          <w:color w:val="4C4D4F"/>
          <w:w w:val="110"/>
          <w:sz w:val="18"/>
        </w:rPr>
        <w:t>Gastfriend, D. R.,</w:t>
      </w:r>
      <w:r>
        <w:rPr>
          <w:color w:val="4C4D4F"/>
          <w:spacing w:val="-24"/>
          <w:w w:val="110"/>
          <w:sz w:val="18"/>
        </w:rPr>
        <w:t> </w:t>
      </w:r>
      <w:r>
        <w:rPr>
          <w:color w:val="4C4D4F"/>
          <w:w w:val="110"/>
          <w:sz w:val="18"/>
        </w:rPr>
        <w:t>Herschman,</w:t>
      </w:r>
    </w:p>
    <w:p>
      <w:pPr>
        <w:spacing w:line="247" w:lineRule="auto" w:before="7"/>
        <w:ind w:left="500" w:right="279" w:firstLine="0"/>
        <w:jc w:val="left"/>
        <w:rPr>
          <w:sz w:val="18"/>
        </w:rPr>
      </w:pPr>
      <w:r>
        <w:rPr>
          <w:color w:val="4C4D4F"/>
          <w:spacing w:val="-17"/>
          <w:w w:val="110"/>
          <w:sz w:val="18"/>
        </w:rPr>
        <w:t>P. </w:t>
      </w:r>
      <w:r>
        <w:rPr>
          <w:color w:val="4C4D4F"/>
          <w:w w:val="110"/>
          <w:sz w:val="18"/>
        </w:rPr>
        <w:t>L., </w:t>
      </w:r>
      <w:r>
        <w:rPr>
          <w:color w:val="4C4D4F"/>
          <w:spacing w:val="-3"/>
          <w:w w:val="110"/>
          <w:sz w:val="18"/>
        </w:rPr>
        <w:t>Bixler, </w:t>
      </w:r>
      <w:r>
        <w:rPr>
          <w:color w:val="4C4D4F"/>
          <w:w w:val="110"/>
          <w:sz w:val="18"/>
        </w:rPr>
        <w:t>E. O., Velott, D. L., &amp; </w:t>
      </w:r>
      <w:r>
        <w:rPr>
          <w:color w:val="4C4D4F"/>
          <w:spacing w:val="-3"/>
          <w:w w:val="110"/>
          <w:sz w:val="18"/>
        </w:rPr>
        <w:t>Meyer, </w:t>
      </w:r>
      <w:r>
        <w:rPr>
          <w:color w:val="4C4D4F"/>
          <w:w w:val="110"/>
          <w:sz w:val="18"/>
        </w:rPr>
        <w:t>R. E. </w:t>
      </w:r>
      <w:r>
        <w:rPr>
          <w:color w:val="4C4D4F"/>
          <w:spacing w:val="-3"/>
          <w:w w:val="110"/>
          <w:sz w:val="18"/>
        </w:rPr>
        <w:t>(2015). </w:t>
      </w:r>
      <w:r>
        <w:rPr>
          <w:color w:val="4C4D4F"/>
          <w:w w:val="110"/>
          <w:sz w:val="18"/>
        </w:rPr>
        <w:t>Effects of injectable extended-release naltrexone (XR-NTX) for opioid dependence on residential</w:t>
      </w:r>
    </w:p>
    <w:p>
      <w:pPr>
        <w:spacing w:line="247" w:lineRule="auto" w:before="2"/>
        <w:ind w:left="500" w:right="81" w:firstLine="0"/>
        <w:jc w:val="left"/>
        <w:rPr>
          <w:sz w:val="18"/>
        </w:rPr>
      </w:pPr>
      <w:r>
        <w:rPr>
          <w:color w:val="4C4D4F"/>
          <w:w w:val="110"/>
          <w:sz w:val="18"/>
        </w:rPr>
        <w:t>rehabilitation outcomes and early follow-up. </w:t>
      </w:r>
      <w:r>
        <w:rPr>
          <w:rFonts w:ascii="Arial" w:hAnsi="Arial"/>
          <w:i/>
          <w:color w:val="4C4D4F"/>
          <w:w w:val="110"/>
          <w:sz w:val="18"/>
        </w:rPr>
        <w:t>American </w:t>
      </w:r>
      <w:r>
        <w:rPr>
          <w:rFonts w:ascii="Arial" w:hAnsi="Arial"/>
          <w:i/>
          <w:color w:val="4C4D4F"/>
          <w:w w:val="110"/>
          <w:sz w:val="18"/>
        </w:rPr>
        <w:t>Journal on Addictions, 24</w:t>
      </w:r>
      <w:r>
        <w:rPr>
          <w:color w:val="4C4D4F"/>
          <w:w w:val="110"/>
          <w:sz w:val="18"/>
        </w:rPr>
        <w:t>(3), 265–270.</w:t>
      </w:r>
    </w:p>
    <w:p>
      <w:pPr>
        <w:pStyle w:val="ListParagraph"/>
        <w:numPr>
          <w:ilvl w:val="0"/>
          <w:numId w:val="51"/>
        </w:numPr>
        <w:tabs>
          <w:tab w:pos="500" w:val="left" w:leader="none"/>
        </w:tabs>
        <w:spacing w:line="247" w:lineRule="auto" w:before="72" w:after="0"/>
        <w:ind w:left="500" w:right="147" w:hanging="360"/>
        <w:jc w:val="left"/>
        <w:rPr>
          <w:color w:val="4C4D4F"/>
          <w:sz w:val="18"/>
        </w:rPr>
      </w:pPr>
      <w:r>
        <w:rPr>
          <w:color w:val="4C4D4F"/>
          <w:w w:val="115"/>
          <w:sz w:val="18"/>
        </w:rPr>
        <w:t>Sullivan, M. A., Garawi, </w:t>
      </w:r>
      <w:r>
        <w:rPr>
          <w:color w:val="4C4D4F"/>
          <w:spacing w:val="-10"/>
          <w:w w:val="115"/>
          <w:sz w:val="18"/>
        </w:rPr>
        <w:t>F., </w:t>
      </w:r>
      <w:r>
        <w:rPr>
          <w:color w:val="4C4D4F"/>
          <w:w w:val="115"/>
          <w:sz w:val="18"/>
        </w:rPr>
        <w:t>Bisaga, A., </w:t>
      </w:r>
      <w:r>
        <w:rPr>
          <w:color w:val="4C4D4F"/>
          <w:spacing w:val="-3"/>
          <w:w w:val="115"/>
          <w:sz w:val="18"/>
        </w:rPr>
        <w:t>Comer, </w:t>
      </w:r>
      <w:r>
        <w:rPr>
          <w:color w:val="4C4D4F"/>
          <w:w w:val="115"/>
          <w:sz w:val="18"/>
        </w:rPr>
        <w:t>S. D., Carpenter, K., </w:t>
      </w:r>
      <w:r>
        <w:rPr>
          <w:color w:val="4C4D4F"/>
          <w:spacing w:val="-3"/>
          <w:w w:val="115"/>
          <w:sz w:val="18"/>
        </w:rPr>
        <w:t>Raby, </w:t>
      </w:r>
      <w:r>
        <w:rPr>
          <w:color w:val="4C4D4F"/>
          <w:spacing w:val="-7"/>
          <w:w w:val="115"/>
          <w:sz w:val="18"/>
        </w:rPr>
        <w:t>W. </w:t>
      </w:r>
      <w:r>
        <w:rPr>
          <w:color w:val="4C4D4F"/>
          <w:w w:val="115"/>
          <w:sz w:val="18"/>
        </w:rPr>
        <w:t>N., … Nunes, E. </w:t>
      </w:r>
      <w:r>
        <w:rPr>
          <w:color w:val="4C4D4F"/>
          <w:spacing w:val="-12"/>
          <w:w w:val="115"/>
          <w:sz w:val="18"/>
        </w:rPr>
        <w:t>V. </w:t>
      </w:r>
      <w:r>
        <w:rPr>
          <w:color w:val="4C4D4F"/>
          <w:w w:val="115"/>
          <w:sz w:val="18"/>
        </w:rPr>
        <w:t>(2007). Management</w:t>
      </w:r>
      <w:r>
        <w:rPr>
          <w:color w:val="4C4D4F"/>
          <w:spacing w:val="-22"/>
          <w:w w:val="115"/>
          <w:sz w:val="18"/>
        </w:rPr>
        <w:t> </w:t>
      </w:r>
      <w:r>
        <w:rPr>
          <w:color w:val="4C4D4F"/>
          <w:w w:val="115"/>
          <w:sz w:val="18"/>
        </w:rPr>
        <w:t>of</w:t>
      </w:r>
      <w:r>
        <w:rPr>
          <w:color w:val="4C4D4F"/>
          <w:spacing w:val="-22"/>
          <w:w w:val="115"/>
          <w:sz w:val="18"/>
        </w:rPr>
        <w:t> </w:t>
      </w:r>
      <w:r>
        <w:rPr>
          <w:color w:val="4C4D4F"/>
          <w:w w:val="115"/>
          <w:sz w:val="18"/>
        </w:rPr>
        <w:t>relapse</w:t>
      </w:r>
      <w:r>
        <w:rPr>
          <w:color w:val="4C4D4F"/>
          <w:spacing w:val="-22"/>
          <w:w w:val="115"/>
          <w:sz w:val="18"/>
        </w:rPr>
        <w:t> </w:t>
      </w:r>
      <w:r>
        <w:rPr>
          <w:color w:val="4C4D4F"/>
          <w:w w:val="115"/>
          <w:sz w:val="18"/>
        </w:rPr>
        <w:t>in</w:t>
      </w:r>
      <w:r>
        <w:rPr>
          <w:color w:val="4C4D4F"/>
          <w:spacing w:val="-22"/>
          <w:w w:val="115"/>
          <w:sz w:val="18"/>
        </w:rPr>
        <w:t> </w:t>
      </w:r>
      <w:r>
        <w:rPr>
          <w:color w:val="4C4D4F"/>
          <w:w w:val="115"/>
          <w:sz w:val="18"/>
        </w:rPr>
        <w:t>naltrexone</w:t>
      </w:r>
      <w:r>
        <w:rPr>
          <w:color w:val="4C4D4F"/>
          <w:spacing w:val="-22"/>
          <w:w w:val="115"/>
          <w:sz w:val="18"/>
        </w:rPr>
        <w:t> </w:t>
      </w:r>
      <w:r>
        <w:rPr>
          <w:color w:val="4C4D4F"/>
          <w:w w:val="115"/>
          <w:sz w:val="18"/>
        </w:rPr>
        <w:t>maintenance</w:t>
      </w:r>
      <w:r>
        <w:rPr>
          <w:color w:val="4C4D4F"/>
          <w:spacing w:val="-21"/>
          <w:w w:val="115"/>
          <w:sz w:val="18"/>
        </w:rPr>
        <w:t> </w:t>
      </w:r>
      <w:r>
        <w:rPr>
          <w:color w:val="4C4D4F"/>
          <w:spacing w:val="-6"/>
          <w:w w:val="115"/>
          <w:sz w:val="18"/>
        </w:rPr>
        <w:t>for </w:t>
      </w:r>
      <w:r>
        <w:rPr>
          <w:color w:val="4C4D4F"/>
          <w:w w:val="110"/>
          <w:sz w:val="18"/>
        </w:rPr>
        <w:t>heroin</w:t>
      </w:r>
      <w:r>
        <w:rPr>
          <w:color w:val="4C4D4F"/>
          <w:spacing w:val="-22"/>
          <w:w w:val="110"/>
          <w:sz w:val="18"/>
        </w:rPr>
        <w:t> </w:t>
      </w:r>
      <w:r>
        <w:rPr>
          <w:color w:val="4C4D4F"/>
          <w:w w:val="110"/>
          <w:sz w:val="18"/>
        </w:rPr>
        <w:t>dependence.</w:t>
      </w:r>
      <w:r>
        <w:rPr>
          <w:color w:val="4C4D4F"/>
          <w:spacing w:val="-21"/>
          <w:w w:val="110"/>
          <w:sz w:val="18"/>
        </w:rPr>
        <w:t> </w:t>
      </w:r>
      <w:r>
        <w:rPr>
          <w:rFonts w:ascii="Arial" w:hAnsi="Arial"/>
          <w:i/>
          <w:color w:val="4C4D4F"/>
          <w:w w:val="110"/>
          <w:sz w:val="18"/>
        </w:rPr>
        <w:t>Drug</w:t>
      </w:r>
      <w:r>
        <w:rPr>
          <w:rFonts w:ascii="Arial" w:hAnsi="Arial"/>
          <w:i/>
          <w:color w:val="4C4D4F"/>
          <w:spacing w:val="-21"/>
          <w:w w:val="110"/>
          <w:sz w:val="18"/>
        </w:rPr>
        <w:t> </w:t>
      </w:r>
      <w:r>
        <w:rPr>
          <w:rFonts w:ascii="Arial" w:hAnsi="Arial"/>
          <w:i/>
          <w:color w:val="4C4D4F"/>
          <w:w w:val="110"/>
          <w:sz w:val="18"/>
        </w:rPr>
        <w:t>and</w:t>
      </w:r>
      <w:r>
        <w:rPr>
          <w:rFonts w:ascii="Arial" w:hAnsi="Arial"/>
          <w:i/>
          <w:color w:val="4C4D4F"/>
          <w:spacing w:val="-21"/>
          <w:w w:val="110"/>
          <w:sz w:val="18"/>
        </w:rPr>
        <w:t> </w:t>
      </w:r>
      <w:r>
        <w:rPr>
          <w:rFonts w:ascii="Arial" w:hAnsi="Arial"/>
          <w:i/>
          <w:color w:val="4C4D4F"/>
          <w:w w:val="110"/>
          <w:sz w:val="18"/>
        </w:rPr>
        <w:t>Alcohol</w:t>
      </w:r>
      <w:r>
        <w:rPr>
          <w:rFonts w:ascii="Arial" w:hAnsi="Arial"/>
          <w:i/>
          <w:color w:val="4C4D4F"/>
          <w:spacing w:val="-21"/>
          <w:w w:val="110"/>
          <w:sz w:val="18"/>
        </w:rPr>
        <w:t> </w:t>
      </w:r>
      <w:r>
        <w:rPr>
          <w:rFonts w:ascii="Arial" w:hAnsi="Arial"/>
          <w:i/>
          <w:color w:val="4C4D4F"/>
          <w:w w:val="110"/>
          <w:sz w:val="18"/>
        </w:rPr>
        <w:t>Dependence, </w:t>
      </w:r>
      <w:r>
        <w:rPr>
          <w:rFonts w:ascii="Arial" w:hAnsi="Arial"/>
          <w:i/>
          <w:color w:val="4C4D4F"/>
          <w:w w:val="115"/>
          <w:sz w:val="18"/>
        </w:rPr>
        <w:t>91</w:t>
      </w:r>
      <w:r>
        <w:rPr>
          <w:color w:val="4C4D4F"/>
          <w:w w:val="115"/>
          <w:sz w:val="18"/>
        </w:rPr>
        <w:t>(2–3),</w:t>
      </w:r>
      <w:r>
        <w:rPr>
          <w:color w:val="4C4D4F"/>
          <w:spacing w:val="-10"/>
          <w:w w:val="115"/>
          <w:sz w:val="18"/>
        </w:rPr>
        <w:t> </w:t>
      </w:r>
      <w:r>
        <w:rPr>
          <w:color w:val="4C4D4F"/>
          <w:w w:val="115"/>
          <w:sz w:val="18"/>
        </w:rPr>
        <w:t>289–292.</w:t>
      </w:r>
    </w:p>
    <w:p>
      <w:pPr>
        <w:pStyle w:val="ListParagraph"/>
        <w:numPr>
          <w:ilvl w:val="0"/>
          <w:numId w:val="51"/>
        </w:numPr>
        <w:tabs>
          <w:tab w:pos="500" w:val="left" w:leader="none"/>
        </w:tabs>
        <w:spacing w:line="247" w:lineRule="auto" w:before="74" w:after="0"/>
        <w:ind w:left="500" w:right="337" w:hanging="360"/>
        <w:jc w:val="left"/>
        <w:rPr>
          <w:color w:val="4C4D4F"/>
          <w:sz w:val="18"/>
        </w:rPr>
      </w:pPr>
      <w:r>
        <w:rPr>
          <w:color w:val="4C4D4F"/>
          <w:w w:val="110"/>
          <w:sz w:val="18"/>
        </w:rPr>
        <w:t>Mattick, R. </w:t>
      </w:r>
      <w:r>
        <w:rPr>
          <w:color w:val="4C4D4F"/>
          <w:spacing w:val="-11"/>
          <w:w w:val="110"/>
          <w:sz w:val="18"/>
        </w:rPr>
        <w:t>P., </w:t>
      </w:r>
      <w:r>
        <w:rPr>
          <w:color w:val="4C4D4F"/>
          <w:w w:val="110"/>
          <w:sz w:val="18"/>
        </w:rPr>
        <w:t>Breen, C., </w:t>
      </w:r>
      <w:r>
        <w:rPr>
          <w:color w:val="4C4D4F"/>
          <w:spacing w:val="-3"/>
          <w:w w:val="110"/>
          <w:sz w:val="18"/>
        </w:rPr>
        <w:t>Kimber, </w:t>
      </w:r>
      <w:r>
        <w:rPr>
          <w:color w:val="4C4D4F"/>
          <w:w w:val="120"/>
          <w:sz w:val="18"/>
        </w:rPr>
        <w:t>J., </w:t>
      </w:r>
      <w:r>
        <w:rPr>
          <w:color w:val="4C4D4F"/>
          <w:w w:val="110"/>
          <w:sz w:val="18"/>
        </w:rPr>
        <w:t>&amp; Davoli, M. (2014). Buprenorphine maintenance versus placebo or methadone maintenance for opioid dependence. </w:t>
      </w:r>
      <w:r>
        <w:rPr>
          <w:rFonts w:ascii="Arial" w:hAnsi="Arial"/>
          <w:i/>
          <w:color w:val="4C4D4F"/>
          <w:sz w:val="18"/>
        </w:rPr>
        <w:t>Cochrane Database of Systematic Reviews,</w:t>
      </w:r>
      <w:r>
        <w:rPr>
          <w:rFonts w:ascii="Arial" w:hAnsi="Arial"/>
          <w:i/>
          <w:color w:val="4C4D4F"/>
          <w:spacing w:val="-32"/>
          <w:sz w:val="18"/>
        </w:rPr>
        <w:t> </w:t>
      </w:r>
      <w:r>
        <w:rPr>
          <w:rFonts w:ascii="Arial" w:hAnsi="Arial"/>
          <w:i/>
          <w:color w:val="4C4D4F"/>
          <w:sz w:val="18"/>
        </w:rPr>
        <w:t>2014</w:t>
      </w:r>
      <w:r>
        <w:rPr>
          <w:color w:val="4C4D4F"/>
          <w:sz w:val="18"/>
        </w:rPr>
        <w:t>(2), </w:t>
      </w:r>
      <w:r>
        <w:rPr>
          <w:color w:val="4C4D4F"/>
          <w:w w:val="110"/>
          <w:sz w:val="18"/>
        </w:rPr>
        <w:t>1–84.</w:t>
      </w:r>
    </w:p>
    <w:p>
      <w:pPr>
        <w:pStyle w:val="ListParagraph"/>
        <w:numPr>
          <w:ilvl w:val="0"/>
          <w:numId w:val="51"/>
        </w:numPr>
        <w:tabs>
          <w:tab w:pos="500" w:val="left" w:leader="none"/>
        </w:tabs>
        <w:spacing w:line="247" w:lineRule="auto" w:before="74" w:after="0"/>
        <w:ind w:left="500" w:right="38" w:hanging="360"/>
        <w:jc w:val="left"/>
        <w:rPr>
          <w:color w:val="4C4D4F"/>
          <w:sz w:val="18"/>
        </w:rPr>
      </w:pPr>
      <w:r>
        <w:rPr>
          <w:color w:val="4C4D4F"/>
          <w:spacing w:val="-3"/>
          <w:w w:val="105"/>
          <w:sz w:val="18"/>
        </w:rPr>
        <w:t>World </w:t>
      </w:r>
      <w:r>
        <w:rPr>
          <w:color w:val="4C4D4F"/>
          <w:w w:val="105"/>
          <w:sz w:val="18"/>
        </w:rPr>
        <w:t>Health Organization. (2015). </w:t>
      </w:r>
      <w:r>
        <w:rPr>
          <w:rFonts w:ascii="Arial"/>
          <w:i/>
          <w:color w:val="4C4D4F"/>
          <w:w w:val="105"/>
          <w:sz w:val="18"/>
        </w:rPr>
        <w:t>19th WHO model </w:t>
      </w:r>
      <w:r>
        <w:rPr>
          <w:rFonts w:ascii="Arial"/>
          <w:i/>
          <w:color w:val="4C4D4F"/>
          <w:w w:val="105"/>
          <w:sz w:val="18"/>
        </w:rPr>
        <w:t>list of essential medicines. </w:t>
      </w:r>
      <w:r>
        <w:rPr>
          <w:color w:val="4C4D4F"/>
          <w:w w:val="105"/>
          <w:sz w:val="18"/>
        </w:rPr>
        <w:t>Geneva, Switzerland:</w:t>
      </w:r>
      <w:r>
        <w:rPr>
          <w:color w:val="4C4D4F"/>
          <w:spacing w:val="19"/>
          <w:w w:val="105"/>
          <w:sz w:val="18"/>
        </w:rPr>
        <w:t> </w:t>
      </w:r>
      <w:r>
        <w:rPr>
          <w:color w:val="4C4D4F"/>
          <w:spacing w:val="-6"/>
          <w:w w:val="105"/>
          <w:sz w:val="18"/>
        </w:rPr>
        <w:t>Author.</w:t>
      </w:r>
    </w:p>
    <w:p>
      <w:pPr>
        <w:pStyle w:val="ListParagraph"/>
        <w:numPr>
          <w:ilvl w:val="0"/>
          <w:numId w:val="51"/>
        </w:numPr>
        <w:tabs>
          <w:tab w:pos="500" w:val="left" w:leader="none"/>
        </w:tabs>
        <w:spacing w:line="247" w:lineRule="auto" w:before="72" w:after="0"/>
        <w:ind w:left="500" w:right="207" w:hanging="360"/>
        <w:jc w:val="left"/>
        <w:rPr>
          <w:color w:val="4C4D4F"/>
          <w:sz w:val="18"/>
        </w:rPr>
      </w:pPr>
      <w:r>
        <w:rPr>
          <w:color w:val="4C4D4F"/>
          <w:w w:val="110"/>
          <w:sz w:val="18"/>
        </w:rPr>
        <w:t>Jaffe, </w:t>
      </w:r>
      <w:r>
        <w:rPr>
          <w:color w:val="4C4D4F"/>
          <w:w w:val="135"/>
          <w:sz w:val="18"/>
        </w:rPr>
        <w:t>J. </w:t>
      </w:r>
      <w:r>
        <w:rPr>
          <w:color w:val="4C4D4F"/>
          <w:w w:val="110"/>
          <w:sz w:val="18"/>
        </w:rPr>
        <w:t>H., &amp; O’Keeffe, C. (2003). From morphine clinics to buprenorphine: Regulating opioid agonist treatment of addiction in the United States. </w:t>
      </w:r>
      <w:r>
        <w:rPr>
          <w:rFonts w:ascii="Arial" w:hAnsi="Arial"/>
          <w:i/>
          <w:color w:val="4C4D4F"/>
          <w:w w:val="110"/>
          <w:sz w:val="18"/>
        </w:rPr>
        <w:t>Drug</w:t>
      </w:r>
      <w:r>
        <w:rPr>
          <w:rFonts w:ascii="Arial" w:hAnsi="Arial"/>
          <w:i/>
          <w:color w:val="4C4D4F"/>
          <w:spacing w:val="-37"/>
          <w:w w:val="110"/>
          <w:sz w:val="18"/>
        </w:rPr>
        <w:t> </w:t>
      </w:r>
      <w:r>
        <w:rPr>
          <w:rFonts w:ascii="Arial" w:hAnsi="Arial"/>
          <w:i/>
          <w:color w:val="4C4D4F"/>
          <w:spacing w:val="-6"/>
          <w:w w:val="110"/>
          <w:sz w:val="18"/>
        </w:rPr>
        <w:t>and </w:t>
      </w:r>
      <w:r>
        <w:rPr>
          <w:rFonts w:ascii="Arial" w:hAnsi="Arial"/>
          <w:i/>
          <w:color w:val="4C4D4F"/>
          <w:w w:val="110"/>
          <w:sz w:val="18"/>
        </w:rPr>
        <w:t>Alcohol Dependence, 70</w:t>
      </w:r>
      <w:r>
        <w:rPr>
          <w:color w:val="4C4D4F"/>
          <w:w w:val="110"/>
          <w:sz w:val="18"/>
        </w:rPr>
        <w:t>(2 Suppl.),</w:t>
      </w:r>
      <w:r>
        <w:rPr>
          <w:color w:val="4C4D4F"/>
          <w:spacing w:val="-41"/>
          <w:w w:val="110"/>
          <w:sz w:val="18"/>
        </w:rPr>
        <w:t> </w:t>
      </w:r>
      <w:r>
        <w:rPr>
          <w:color w:val="4C4D4F"/>
          <w:w w:val="110"/>
          <w:sz w:val="18"/>
        </w:rPr>
        <w:t>S3–S11.</w:t>
      </w:r>
    </w:p>
    <w:p>
      <w:pPr>
        <w:pStyle w:val="ListParagraph"/>
        <w:numPr>
          <w:ilvl w:val="0"/>
          <w:numId w:val="51"/>
        </w:numPr>
        <w:tabs>
          <w:tab w:pos="500" w:val="left" w:leader="none"/>
        </w:tabs>
        <w:spacing w:line="247" w:lineRule="auto" w:before="73" w:after="0"/>
        <w:ind w:left="500" w:right="398" w:hanging="360"/>
        <w:jc w:val="left"/>
        <w:rPr>
          <w:color w:val="4C4D4F"/>
          <w:sz w:val="18"/>
        </w:rPr>
      </w:pPr>
      <w:r>
        <w:rPr>
          <w:color w:val="4C4D4F"/>
          <w:w w:val="110"/>
          <w:sz w:val="18"/>
        </w:rPr>
        <w:t>Ling, </w:t>
      </w:r>
      <w:r>
        <w:rPr>
          <w:color w:val="4C4D4F"/>
          <w:spacing w:val="-5"/>
          <w:w w:val="110"/>
          <w:sz w:val="18"/>
        </w:rPr>
        <w:t>W., </w:t>
      </w:r>
      <w:r>
        <w:rPr>
          <w:color w:val="4C4D4F"/>
          <w:w w:val="110"/>
          <w:sz w:val="18"/>
        </w:rPr>
        <w:t>Casadonte, </w:t>
      </w:r>
      <w:r>
        <w:rPr>
          <w:color w:val="4C4D4F"/>
          <w:spacing w:val="-11"/>
          <w:w w:val="110"/>
          <w:sz w:val="18"/>
        </w:rPr>
        <w:t>P., </w:t>
      </w:r>
      <w:r>
        <w:rPr>
          <w:color w:val="4C4D4F"/>
          <w:w w:val="110"/>
          <w:sz w:val="18"/>
        </w:rPr>
        <w:t>Bigelow, G., Kampman, K. M., </w:t>
      </w:r>
      <w:r>
        <w:rPr>
          <w:color w:val="4C4D4F"/>
          <w:spacing w:val="-3"/>
          <w:w w:val="110"/>
          <w:sz w:val="18"/>
        </w:rPr>
        <w:t>Patkar, </w:t>
      </w:r>
      <w:r>
        <w:rPr>
          <w:color w:val="4C4D4F"/>
          <w:w w:val="110"/>
          <w:sz w:val="18"/>
        </w:rPr>
        <w:t>A., Bailey, G. L., … Beebe, K. L. (2010). Buprenorphine implants for treatment of opioid dependence: A randomized controlled trial. </w:t>
      </w:r>
      <w:r>
        <w:rPr>
          <w:rFonts w:ascii="Arial" w:hAnsi="Arial"/>
          <w:i/>
          <w:color w:val="4C4D4F"/>
          <w:spacing w:val="-4"/>
          <w:w w:val="110"/>
          <w:sz w:val="18"/>
        </w:rPr>
        <w:t>JAMA, </w:t>
      </w:r>
      <w:r>
        <w:rPr>
          <w:rFonts w:ascii="Arial" w:hAnsi="Arial"/>
          <w:i/>
          <w:color w:val="4C4D4F"/>
          <w:w w:val="110"/>
          <w:sz w:val="18"/>
        </w:rPr>
        <w:t>304</w:t>
      </w:r>
      <w:r>
        <w:rPr>
          <w:color w:val="4C4D4F"/>
          <w:w w:val="110"/>
          <w:sz w:val="18"/>
        </w:rPr>
        <w:t>(14),</w:t>
      </w:r>
      <w:r>
        <w:rPr>
          <w:color w:val="4C4D4F"/>
          <w:spacing w:val="-6"/>
          <w:w w:val="110"/>
          <w:sz w:val="18"/>
        </w:rPr>
        <w:t> </w:t>
      </w:r>
      <w:r>
        <w:rPr>
          <w:color w:val="4C4D4F"/>
          <w:w w:val="110"/>
          <w:sz w:val="18"/>
        </w:rPr>
        <w:t>1576–1583.</w:t>
      </w:r>
    </w:p>
    <w:p>
      <w:pPr>
        <w:pStyle w:val="ListParagraph"/>
        <w:numPr>
          <w:ilvl w:val="0"/>
          <w:numId w:val="51"/>
        </w:numPr>
        <w:tabs>
          <w:tab w:pos="500" w:val="left" w:leader="none"/>
        </w:tabs>
        <w:spacing w:line="247" w:lineRule="auto" w:before="74" w:after="0"/>
        <w:ind w:left="500" w:right="68"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2"/>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2"/>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91" w:hanging="360"/>
        <w:jc w:val="left"/>
        <w:rPr>
          <w:color w:val="4C4D4F"/>
          <w:sz w:val="18"/>
        </w:rPr>
      </w:pPr>
      <w:r>
        <w:rPr>
          <w:color w:val="4C4D4F"/>
          <w:w w:val="110"/>
          <w:sz w:val="18"/>
        </w:rPr>
        <w:t>Kinlock, </w:t>
      </w:r>
      <w:r>
        <w:rPr>
          <w:color w:val="4C4D4F"/>
          <w:spacing w:val="-10"/>
          <w:w w:val="110"/>
          <w:sz w:val="18"/>
        </w:rPr>
        <w:t>T. </w:t>
      </w:r>
      <w:r>
        <w:rPr>
          <w:color w:val="4C4D4F"/>
          <w:spacing w:val="-5"/>
          <w:w w:val="110"/>
          <w:sz w:val="18"/>
        </w:rPr>
        <w:t>W., </w:t>
      </w:r>
      <w:r>
        <w:rPr>
          <w:color w:val="4C4D4F"/>
          <w:w w:val="110"/>
          <w:sz w:val="18"/>
        </w:rPr>
        <w:t>Gordon, M. S., Schwartz, R. </w:t>
      </w:r>
      <w:r>
        <w:rPr>
          <w:color w:val="4C4D4F"/>
          <w:spacing w:val="-11"/>
          <w:w w:val="110"/>
          <w:sz w:val="18"/>
        </w:rPr>
        <w:t>P., </w:t>
      </w:r>
      <w:r>
        <w:rPr>
          <w:color w:val="4C4D4F"/>
          <w:w w:val="110"/>
          <w:sz w:val="18"/>
        </w:rPr>
        <w:t>Fitzgerald, </w:t>
      </w:r>
      <w:r>
        <w:rPr>
          <w:color w:val="4C4D4F"/>
          <w:spacing w:val="-10"/>
          <w:w w:val="110"/>
          <w:sz w:val="18"/>
        </w:rPr>
        <w:t>T. </w:t>
      </w:r>
      <w:r>
        <w:rPr>
          <w:color w:val="4C4D4F"/>
          <w:spacing w:val="-7"/>
          <w:w w:val="110"/>
          <w:sz w:val="18"/>
        </w:rPr>
        <w:t>T., </w:t>
      </w:r>
      <w:r>
        <w:rPr>
          <w:color w:val="4C4D4F"/>
          <w:w w:val="110"/>
          <w:sz w:val="18"/>
        </w:rPr>
        <w:t>&amp; O’Grady, K. E. (2009). A</w:t>
      </w:r>
      <w:r>
        <w:rPr>
          <w:color w:val="4C4D4F"/>
          <w:spacing w:val="-30"/>
          <w:w w:val="110"/>
          <w:sz w:val="18"/>
        </w:rPr>
        <w:t> </w:t>
      </w:r>
      <w:r>
        <w:rPr>
          <w:color w:val="4C4D4F"/>
          <w:w w:val="110"/>
          <w:sz w:val="18"/>
        </w:rPr>
        <w:t>randomized clinical trial of methadone maintenance for prisoners: Results at twelve-months post-release. </w:t>
      </w:r>
      <w:r>
        <w:rPr>
          <w:rFonts w:ascii="Arial" w:hAnsi="Arial"/>
          <w:i/>
          <w:color w:val="4C4D4F"/>
          <w:w w:val="110"/>
          <w:sz w:val="18"/>
        </w:rPr>
        <w:t>Journal of </w:t>
      </w:r>
      <w:r>
        <w:rPr>
          <w:rFonts w:ascii="Arial" w:hAnsi="Arial"/>
          <w:i/>
          <w:color w:val="4C4D4F"/>
          <w:w w:val="110"/>
          <w:sz w:val="18"/>
        </w:rPr>
        <w:t>Substance</w:t>
      </w:r>
      <w:r>
        <w:rPr>
          <w:rFonts w:ascii="Arial" w:hAnsi="Arial"/>
          <w:i/>
          <w:color w:val="4C4D4F"/>
          <w:spacing w:val="-17"/>
          <w:w w:val="110"/>
          <w:sz w:val="18"/>
        </w:rPr>
        <w:t> </w:t>
      </w:r>
      <w:r>
        <w:rPr>
          <w:rFonts w:ascii="Arial" w:hAnsi="Arial"/>
          <w:i/>
          <w:color w:val="4C4D4F"/>
          <w:w w:val="110"/>
          <w:sz w:val="18"/>
        </w:rPr>
        <w:t>Abuse</w:t>
      </w:r>
      <w:r>
        <w:rPr>
          <w:rFonts w:ascii="Arial" w:hAnsi="Arial"/>
          <w:i/>
          <w:color w:val="4C4D4F"/>
          <w:spacing w:val="-17"/>
          <w:w w:val="110"/>
          <w:sz w:val="18"/>
        </w:rPr>
        <w:t> </w:t>
      </w:r>
      <w:r>
        <w:rPr>
          <w:rFonts w:ascii="Arial" w:hAnsi="Arial"/>
          <w:i/>
          <w:color w:val="4C4D4F"/>
          <w:spacing w:val="-3"/>
          <w:w w:val="110"/>
          <w:sz w:val="18"/>
        </w:rPr>
        <w:t>Treatment,</w:t>
      </w:r>
      <w:r>
        <w:rPr>
          <w:rFonts w:ascii="Arial" w:hAnsi="Arial"/>
          <w:i/>
          <w:color w:val="4C4D4F"/>
          <w:spacing w:val="-17"/>
          <w:w w:val="110"/>
          <w:sz w:val="18"/>
        </w:rPr>
        <w:t> </w:t>
      </w:r>
      <w:r>
        <w:rPr>
          <w:rFonts w:ascii="Arial" w:hAnsi="Arial"/>
          <w:i/>
          <w:color w:val="4C4D4F"/>
          <w:w w:val="110"/>
          <w:sz w:val="18"/>
        </w:rPr>
        <w:t>37</w:t>
      </w:r>
      <w:r>
        <w:rPr>
          <w:color w:val="4C4D4F"/>
          <w:w w:val="110"/>
          <w:sz w:val="18"/>
        </w:rPr>
        <w:t>(3),</w:t>
      </w:r>
      <w:r>
        <w:rPr>
          <w:color w:val="4C4D4F"/>
          <w:spacing w:val="-17"/>
          <w:w w:val="110"/>
          <w:sz w:val="18"/>
        </w:rPr>
        <w:t> </w:t>
      </w:r>
      <w:r>
        <w:rPr>
          <w:color w:val="4C4D4F"/>
          <w:w w:val="110"/>
          <w:sz w:val="18"/>
        </w:rPr>
        <w:t>277–285.</w:t>
      </w:r>
    </w:p>
    <w:p>
      <w:pPr>
        <w:pStyle w:val="ListParagraph"/>
        <w:numPr>
          <w:ilvl w:val="0"/>
          <w:numId w:val="51"/>
        </w:numPr>
        <w:tabs>
          <w:tab w:pos="500" w:val="left" w:leader="none"/>
        </w:tabs>
        <w:spacing w:line="247" w:lineRule="auto" w:before="74" w:after="0"/>
        <w:ind w:left="500" w:right="369" w:hanging="360"/>
        <w:jc w:val="left"/>
        <w:rPr>
          <w:color w:val="4C4D4F"/>
          <w:sz w:val="18"/>
        </w:rPr>
      </w:pPr>
      <w:r>
        <w:rPr>
          <w:color w:val="4C4D4F"/>
          <w:w w:val="110"/>
          <w:sz w:val="18"/>
        </w:rPr>
        <w:t>McKenzie, M., </w:t>
      </w:r>
      <w:r>
        <w:rPr>
          <w:color w:val="4C4D4F"/>
          <w:spacing w:val="-3"/>
          <w:w w:val="110"/>
          <w:sz w:val="18"/>
        </w:rPr>
        <w:t>Zaller, </w:t>
      </w:r>
      <w:r>
        <w:rPr>
          <w:color w:val="4C4D4F"/>
          <w:w w:val="110"/>
          <w:sz w:val="18"/>
        </w:rPr>
        <w:t>N., Dickman, S. L., Green, </w:t>
      </w:r>
      <w:r>
        <w:rPr>
          <w:color w:val="4C4D4F"/>
          <w:spacing w:val="-10"/>
          <w:w w:val="110"/>
          <w:sz w:val="18"/>
        </w:rPr>
        <w:t>T. </w:t>
      </w:r>
      <w:r>
        <w:rPr>
          <w:color w:val="4C4D4F"/>
          <w:w w:val="110"/>
          <w:sz w:val="18"/>
        </w:rPr>
        <w:t>C., Parihk, A., Friedmann, </w:t>
      </w:r>
      <w:r>
        <w:rPr>
          <w:color w:val="4C4D4F"/>
          <w:spacing w:val="-17"/>
          <w:w w:val="110"/>
          <w:sz w:val="18"/>
        </w:rPr>
        <w:t>P. </w:t>
      </w:r>
      <w:r>
        <w:rPr>
          <w:color w:val="4C4D4F"/>
          <w:w w:val="110"/>
          <w:sz w:val="18"/>
        </w:rPr>
        <w:t>D., &amp; Rich, </w:t>
      </w:r>
      <w:r>
        <w:rPr>
          <w:color w:val="4C4D4F"/>
          <w:w w:val="135"/>
          <w:sz w:val="18"/>
        </w:rPr>
        <w:t>J. </w:t>
      </w:r>
      <w:r>
        <w:rPr>
          <w:color w:val="4C4D4F"/>
          <w:w w:val="110"/>
          <w:sz w:val="18"/>
        </w:rPr>
        <w:t>D. </w:t>
      </w:r>
      <w:r>
        <w:rPr>
          <w:color w:val="4C4D4F"/>
          <w:spacing w:val="-3"/>
          <w:w w:val="110"/>
          <w:sz w:val="18"/>
        </w:rPr>
        <w:t>(2012). </w:t>
      </w:r>
      <w:r>
        <w:rPr>
          <w:color w:val="4C4D4F"/>
          <w:w w:val="110"/>
          <w:sz w:val="18"/>
        </w:rPr>
        <w:t>A randomized trial of methadone initiation prior to </w:t>
      </w:r>
      <w:r>
        <w:rPr>
          <w:color w:val="4C4D4F"/>
          <w:w w:val="105"/>
          <w:sz w:val="18"/>
        </w:rPr>
        <w:t>release from incarceration. </w:t>
      </w:r>
      <w:r>
        <w:rPr>
          <w:rFonts w:ascii="Arial" w:hAnsi="Arial"/>
          <w:i/>
          <w:color w:val="4C4D4F"/>
          <w:w w:val="105"/>
          <w:sz w:val="18"/>
        </w:rPr>
        <w:t>Substance Abuse,</w:t>
      </w:r>
      <w:r>
        <w:rPr>
          <w:rFonts w:ascii="Arial" w:hAnsi="Arial"/>
          <w:i/>
          <w:color w:val="4C4D4F"/>
          <w:spacing w:val="-37"/>
          <w:w w:val="105"/>
          <w:sz w:val="18"/>
        </w:rPr>
        <w:t> </w:t>
      </w:r>
      <w:r>
        <w:rPr>
          <w:rFonts w:ascii="Arial" w:hAnsi="Arial"/>
          <w:i/>
          <w:color w:val="4C4D4F"/>
          <w:w w:val="105"/>
          <w:sz w:val="18"/>
        </w:rPr>
        <w:t>33</w:t>
      </w:r>
      <w:r>
        <w:rPr>
          <w:color w:val="4C4D4F"/>
          <w:w w:val="105"/>
          <w:sz w:val="18"/>
        </w:rPr>
        <w:t>(1), </w:t>
      </w:r>
      <w:r>
        <w:rPr>
          <w:color w:val="4C4D4F"/>
          <w:w w:val="110"/>
          <w:sz w:val="18"/>
        </w:rPr>
        <w:t>19–29.</w:t>
      </w:r>
    </w:p>
    <w:p>
      <w:pPr>
        <w:pStyle w:val="ListParagraph"/>
        <w:numPr>
          <w:ilvl w:val="0"/>
          <w:numId w:val="51"/>
        </w:numPr>
        <w:tabs>
          <w:tab w:pos="500" w:val="left" w:leader="none"/>
        </w:tabs>
        <w:spacing w:line="247" w:lineRule="auto" w:before="76" w:after="0"/>
        <w:ind w:left="500" w:right="345" w:hanging="360"/>
        <w:jc w:val="left"/>
        <w:rPr>
          <w:color w:val="4C4D4F"/>
          <w:sz w:val="18"/>
        </w:rPr>
      </w:pPr>
      <w:r>
        <w:rPr>
          <w:color w:val="4C4D4F"/>
          <w:w w:val="115"/>
          <w:sz w:val="18"/>
        </w:rPr>
        <w:t>Gordon, M. S., Kinlock, </w:t>
      </w:r>
      <w:r>
        <w:rPr>
          <w:color w:val="4C4D4F"/>
          <w:spacing w:val="-10"/>
          <w:w w:val="115"/>
          <w:sz w:val="18"/>
        </w:rPr>
        <w:t>T. </w:t>
      </w:r>
      <w:r>
        <w:rPr>
          <w:color w:val="4C4D4F"/>
          <w:spacing w:val="-5"/>
          <w:w w:val="115"/>
          <w:sz w:val="18"/>
        </w:rPr>
        <w:t>W., </w:t>
      </w:r>
      <w:r>
        <w:rPr>
          <w:color w:val="4C4D4F"/>
          <w:w w:val="115"/>
          <w:sz w:val="18"/>
        </w:rPr>
        <w:t>Schwartz, R. </w:t>
      </w:r>
      <w:r>
        <w:rPr>
          <w:color w:val="4C4D4F"/>
          <w:spacing w:val="-11"/>
          <w:w w:val="115"/>
          <w:sz w:val="18"/>
        </w:rPr>
        <w:t>P., </w:t>
      </w:r>
      <w:r>
        <w:rPr>
          <w:color w:val="4C4D4F"/>
          <w:w w:val="115"/>
          <w:sz w:val="18"/>
        </w:rPr>
        <w:t>O’Grady,</w:t>
      </w:r>
      <w:r>
        <w:rPr>
          <w:color w:val="4C4D4F"/>
          <w:spacing w:val="-20"/>
          <w:w w:val="115"/>
          <w:sz w:val="18"/>
        </w:rPr>
        <w:t> </w:t>
      </w:r>
      <w:r>
        <w:rPr>
          <w:color w:val="4C4D4F"/>
          <w:w w:val="115"/>
          <w:sz w:val="18"/>
        </w:rPr>
        <w:t>K.</w:t>
      </w:r>
      <w:r>
        <w:rPr>
          <w:color w:val="4C4D4F"/>
          <w:spacing w:val="-19"/>
          <w:w w:val="115"/>
          <w:sz w:val="18"/>
        </w:rPr>
        <w:t> </w:t>
      </w:r>
      <w:r>
        <w:rPr>
          <w:color w:val="4C4D4F"/>
          <w:w w:val="115"/>
          <w:sz w:val="18"/>
        </w:rPr>
        <w:t>E.,</w:t>
      </w:r>
      <w:r>
        <w:rPr>
          <w:color w:val="4C4D4F"/>
          <w:spacing w:val="-19"/>
          <w:w w:val="115"/>
          <w:sz w:val="18"/>
        </w:rPr>
        <w:t> </w:t>
      </w:r>
      <w:r>
        <w:rPr>
          <w:color w:val="4C4D4F"/>
          <w:w w:val="115"/>
          <w:sz w:val="18"/>
        </w:rPr>
        <w:t>Fitzgerald,</w:t>
      </w:r>
      <w:r>
        <w:rPr>
          <w:color w:val="4C4D4F"/>
          <w:spacing w:val="-20"/>
          <w:w w:val="115"/>
          <w:sz w:val="18"/>
        </w:rPr>
        <w:t> </w:t>
      </w:r>
      <w:r>
        <w:rPr>
          <w:color w:val="4C4D4F"/>
          <w:spacing w:val="-10"/>
          <w:w w:val="115"/>
          <w:sz w:val="18"/>
        </w:rPr>
        <w:t>T.</w:t>
      </w:r>
      <w:r>
        <w:rPr>
          <w:color w:val="4C4D4F"/>
          <w:spacing w:val="-19"/>
          <w:w w:val="115"/>
          <w:sz w:val="18"/>
        </w:rPr>
        <w:t> </w:t>
      </w:r>
      <w:r>
        <w:rPr>
          <w:color w:val="4C4D4F"/>
          <w:spacing w:val="-7"/>
          <w:w w:val="115"/>
          <w:sz w:val="18"/>
        </w:rPr>
        <w:t>T.,</w:t>
      </w:r>
      <w:r>
        <w:rPr>
          <w:color w:val="4C4D4F"/>
          <w:spacing w:val="-19"/>
          <w:w w:val="115"/>
          <w:sz w:val="18"/>
        </w:rPr>
        <w:t> </w:t>
      </w:r>
      <w:r>
        <w:rPr>
          <w:color w:val="4C4D4F"/>
          <w:w w:val="115"/>
          <w:sz w:val="18"/>
        </w:rPr>
        <w:t>&amp;</w:t>
      </w:r>
      <w:r>
        <w:rPr>
          <w:color w:val="4C4D4F"/>
          <w:spacing w:val="-19"/>
          <w:w w:val="115"/>
          <w:sz w:val="18"/>
        </w:rPr>
        <w:t> </w:t>
      </w:r>
      <w:r>
        <w:rPr>
          <w:color w:val="4C4D4F"/>
          <w:w w:val="115"/>
          <w:sz w:val="18"/>
        </w:rPr>
        <w:t>Vocci,</w:t>
      </w:r>
      <w:r>
        <w:rPr>
          <w:color w:val="4C4D4F"/>
          <w:spacing w:val="-20"/>
          <w:w w:val="115"/>
          <w:sz w:val="18"/>
        </w:rPr>
        <w:t> </w:t>
      </w:r>
      <w:r>
        <w:rPr>
          <w:color w:val="4C4D4F"/>
          <w:spacing w:val="-15"/>
          <w:w w:val="115"/>
          <w:sz w:val="18"/>
        </w:rPr>
        <w:t>F.</w:t>
      </w:r>
      <w:r>
        <w:rPr>
          <w:color w:val="4C4D4F"/>
          <w:spacing w:val="-19"/>
          <w:w w:val="115"/>
          <w:sz w:val="18"/>
        </w:rPr>
        <w:t> </w:t>
      </w:r>
      <w:r>
        <w:rPr>
          <w:color w:val="4C4D4F"/>
          <w:w w:val="135"/>
          <w:sz w:val="18"/>
        </w:rPr>
        <w:t>J.</w:t>
      </w:r>
      <w:r>
        <w:rPr>
          <w:color w:val="4C4D4F"/>
          <w:spacing w:val="-29"/>
          <w:w w:val="135"/>
          <w:sz w:val="18"/>
        </w:rPr>
        <w:t> </w:t>
      </w:r>
      <w:r>
        <w:rPr>
          <w:color w:val="4C4D4F"/>
          <w:spacing w:val="-3"/>
          <w:w w:val="115"/>
          <w:sz w:val="18"/>
        </w:rPr>
        <w:t>(2017). </w:t>
      </w:r>
      <w:r>
        <w:rPr>
          <w:color w:val="4C4D4F"/>
          <w:w w:val="115"/>
          <w:sz w:val="18"/>
        </w:rPr>
        <w:t>A</w:t>
      </w:r>
      <w:r>
        <w:rPr>
          <w:color w:val="4C4D4F"/>
          <w:spacing w:val="-29"/>
          <w:w w:val="115"/>
          <w:sz w:val="18"/>
        </w:rPr>
        <w:t> </w:t>
      </w:r>
      <w:r>
        <w:rPr>
          <w:color w:val="4C4D4F"/>
          <w:w w:val="115"/>
          <w:sz w:val="18"/>
        </w:rPr>
        <w:t>randomized</w:t>
      </w:r>
      <w:r>
        <w:rPr>
          <w:color w:val="4C4D4F"/>
          <w:spacing w:val="-29"/>
          <w:w w:val="115"/>
          <w:sz w:val="18"/>
        </w:rPr>
        <w:t> </w:t>
      </w:r>
      <w:r>
        <w:rPr>
          <w:color w:val="4C4D4F"/>
          <w:w w:val="115"/>
          <w:sz w:val="18"/>
        </w:rPr>
        <w:t>trial</w:t>
      </w:r>
      <w:r>
        <w:rPr>
          <w:color w:val="4C4D4F"/>
          <w:spacing w:val="-28"/>
          <w:w w:val="115"/>
          <w:sz w:val="18"/>
        </w:rPr>
        <w:t> </w:t>
      </w:r>
      <w:r>
        <w:rPr>
          <w:color w:val="4C4D4F"/>
          <w:w w:val="115"/>
          <w:sz w:val="18"/>
        </w:rPr>
        <w:t>of</w:t>
      </w:r>
      <w:r>
        <w:rPr>
          <w:color w:val="4C4D4F"/>
          <w:spacing w:val="-29"/>
          <w:w w:val="115"/>
          <w:sz w:val="18"/>
        </w:rPr>
        <w:t> </w:t>
      </w:r>
      <w:r>
        <w:rPr>
          <w:color w:val="4C4D4F"/>
          <w:w w:val="115"/>
          <w:sz w:val="18"/>
        </w:rPr>
        <w:t>buprenorphine</w:t>
      </w:r>
      <w:r>
        <w:rPr>
          <w:color w:val="4C4D4F"/>
          <w:spacing w:val="-29"/>
          <w:w w:val="115"/>
          <w:sz w:val="18"/>
        </w:rPr>
        <w:t> </w:t>
      </w:r>
      <w:r>
        <w:rPr>
          <w:color w:val="4C4D4F"/>
          <w:w w:val="115"/>
          <w:sz w:val="18"/>
        </w:rPr>
        <w:t>for</w:t>
      </w:r>
      <w:r>
        <w:rPr>
          <w:color w:val="4C4D4F"/>
          <w:spacing w:val="-28"/>
          <w:w w:val="115"/>
          <w:sz w:val="18"/>
        </w:rPr>
        <w:t> </w:t>
      </w:r>
      <w:r>
        <w:rPr>
          <w:color w:val="4C4D4F"/>
          <w:w w:val="115"/>
          <w:sz w:val="18"/>
        </w:rPr>
        <w:t>prisoners:</w:t>
      </w:r>
    </w:p>
    <w:p>
      <w:pPr>
        <w:spacing w:line="247" w:lineRule="auto" w:before="1"/>
        <w:ind w:left="500" w:right="98" w:firstLine="0"/>
        <w:jc w:val="left"/>
        <w:rPr>
          <w:sz w:val="18"/>
        </w:rPr>
      </w:pPr>
      <w:r>
        <w:rPr>
          <w:color w:val="4C4D4F"/>
          <w:w w:val="110"/>
          <w:sz w:val="18"/>
        </w:rPr>
        <w:t>Findings at 12-months post-release. </w:t>
      </w:r>
      <w:r>
        <w:rPr>
          <w:rFonts w:ascii="Arial" w:hAnsi="Arial"/>
          <w:i/>
          <w:color w:val="4C4D4F"/>
          <w:w w:val="110"/>
          <w:sz w:val="18"/>
        </w:rPr>
        <w:t>Drug and Alcohol </w:t>
      </w:r>
      <w:r>
        <w:rPr>
          <w:rFonts w:ascii="Arial" w:hAnsi="Arial"/>
          <w:i/>
          <w:color w:val="4C4D4F"/>
          <w:w w:val="110"/>
          <w:sz w:val="18"/>
        </w:rPr>
        <w:t>Dependence, 172, </w:t>
      </w:r>
      <w:r>
        <w:rPr>
          <w:color w:val="4C4D4F"/>
          <w:w w:val="110"/>
          <w:sz w:val="18"/>
        </w:rPr>
        <w:t>34–42.</w:t>
      </w:r>
    </w:p>
    <w:p>
      <w:pPr>
        <w:pStyle w:val="ListParagraph"/>
        <w:numPr>
          <w:ilvl w:val="0"/>
          <w:numId w:val="51"/>
        </w:numPr>
        <w:tabs>
          <w:tab w:pos="500" w:val="left" w:leader="none"/>
        </w:tabs>
        <w:spacing w:line="247" w:lineRule="auto" w:before="72" w:after="0"/>
        <w:ind w:left="500" w:right="244" w:hanging="360"/>
        <w:jc w:val="left"/>
        <w:rPr>
          <w:color w:val="4C4D4F"/>
          <w:sz w:val="18"/>
        </w:rPr>
      </w:pPr>
      <w:r>
        <w:rPr>
          <w:color w:val="4C4D4F"/>
          <w:w w:val="115"/>
          <w:sz w:val="18"/>
        </w:rPr>
        <w:t>Vocci,</w:t>
      </w:r>
      <w:r>
        <w:rPr>
          <w:color w:val="4C4D4F"/>
          <w:spacing w:val="-20"/>
          <w:w w:val="115"/>
          <w:sz w:val="18"/>
        </w:rPr>
        <w:t> </w:t>
      </w:r>
      <w:r>
        <w:rPr>
          <w:color w:val="4C4D4F"/>
          <w:spacing w:val="-15"/>
          <w:w w:val="115"/>
          <w:sz w:val="18"/>
        </w:rPr>
        <w:t>F.</w:t>
      </w:r>
      <w:r>
        <w:rPr>
          <w:color w:val="4C4D4F"/>
          <w:spacing w:val="-19"/>
          <w:w w:val="115"/>
          <w:sz w:val="18"/>
        </w:rPr>
        <w:t> </w:t>
      </w:r>
      <w:r>
        <w:rPr>
          <w:color w:val="4C4D4F"/>
          <w:w w:val="135"/>
          <w:sz w:val="18"/>
        </w:rPr>
        <w:t>J.,</w:t>
      </w:r>
      <w:r>
        <w:rPr>
          <w:color w:val="4C4D4F"/>
          <w:spacing w:val="-29"/>
          <w:w w:val="135"/>
          <w:sz w:val="18"/>
        </w:rPr>
        <w:t> </w:t>
      </w:r>
      <w:r>
        <w:rPr>
          <w:color w:val="4C4D4F"/>
          <w:w w:val="115"/>
          <w:sz w:val="18"/>
        </w:rPr>
        <w:t>Schwartz,</w:t>
      </w:r>
      <w:r>
        <w:rPr>
          <w:color w:val="4C4D4F"/>
          <w:spacing w:val="-19"/>
          <w:w w:val="115"/>
          <w:sz w:val="18"/>
        </w:rPr>
        <w:t> </w:t>
      </w:r>
      <w:r>
        <w:rPr>
          <w:color w:val="4C4D4F"/>
          <w:w w:val="115"/>
          <w:sz w:val="18"/>
        </w:rPr>
        <w:t>R.</w:t>
      </w:r>
      <w:r>
        <w:rPr>
          <w:color w:val="4C4D4F"/>
          <w:spacing w:val="-19"/>
          <w:w w:val="115"/>
          <w:sz w:val="18"/>
        </w:rPr>
        <w:t> </w:t>
      </w:r>
      <w:r>
        <w:rPr>
          <w:color w:val="4C4D4F"/>
          <w:spacing w:val="-11"/>
          <w:w w:val="115"/>
          <w:sz w:val="18"/>
        </w:rPr>
        <w:t>P.,</w:t>
      </w:r>
      <w:r>
        <w:rPr>
          <w:color w:val="4C4D4F"/>
          <w:spacing w:val="-19"/>
          <w:w w:val="115"/>
          <w:sz w:val="18"/>
        </w:rPr>
        <w:t> </w:t>
      </w:r>
      <w:r>
        <w:rPr>
          <w:color w:val="4C4D4F"/>
          <w:w w:val="115"/>
          <w:sz w:val="18"/>
        </w:rPr>
        <w:t>Wilson,</w:t>
      </w:r>
      <w:r>
        <w:rPr>
          <w:color w:val="4C4D4F"/>
          <w:spacing w:val="-20"/>
          <w:w w:val="115"/>
          <w:sz w:val="18"/>
        </w:rPr>
        <w:t> </w:t>
      </w:r>
      <w:r>
        <w:rPr>
          <w:color w:val="4C4D4F"/>
          <w:w w:val="115"/>
          <w:sz w:val="18"/>
        </w:rPr>
        <w:t>M.</w:t>
      </w:r>
      <w:r>
        <w:rPr>
          <w:color w:val="4C4D4F"/>
          <w:spacing w:val="-19"/>
          <w:w w:val="115"/>
          <w:sz w:val="18"/>
        </w:rPr>
        <w:t> </w:t>
      </w:r>
      <w:r>
        <w:rPr>
          <w:color w:val="4C4D4F"/>
          <w:w w:val="115"/>
          <w:sz w:val="18"/>
        </w:rPr>
        <w:t>E.,</w:t>
      </w:r>
      <w:r>
        <w:rPr>
          <w:color w:val="4C4D4F"/>
          <w:spacing w:val="-19"/>
          <w:w w:val="115"/>
          <w:sz w:val="18"/>
        </w:rPr>
        <w:t> </w:t>
      </w:r>
      <w:r>
        <w:rPr>
          <w:color w:val="4C4D4F"/>
          <w:w w:val="115"/>
          <w:sz w:val="18"/>
        </w:rPr>
        <w:t>Gordon,</w:t>
      </w:r>
      <w:r>
        <w:rPr>
          <w:color w:val="4C4D4F"/>
          <w:spacing w:val="-19"/>
          <w:w w:val="115"/>
          <w:sz w:val="18"/>
        </w:rPr>
        <w:t> </w:t>
      </w:r>
      <w:r>
        <w:rPr>
          <w:color w:val="4C4D4F"/>
          <w:spacing w:val="-8"/>
          <w:w w:val="115"/>
          <w:sz w:val="18"/>
        </w:rPr>
        <w:t>M. </w:t>
      </w:r>
      <w:r>
        <w:rPr>
          <w:color w:val="4C4D4F"/>
          <w:w w:val="115"/>
          <w:sz w:val="18"/>
        </w:rPr>
        <w:t>S.,</w:t>
      </w:r>
      <w:r>
        <w:rPr>
          <w:color w:val="4C4D4F"/>
          <w:spacing w:val="-20"/>
          <w:w w:val="115"/>
          <w:sz w:val="18"/>
        </w:rPr>
        <w:t> </w:t>
      </w:r>
      <w:r>
        <w:rPr>
          <w:color w:val="4C4D4F"/>
          <w:w w:val="115"/>
          <w:sz w:val="18"/>
        </w:rPr>
        <w:t>Kinlock,</w:t>
      </w:r>
      <w:r>
        <w:rPr>
          <w:color w:val="4C4D4F"/>
          <w:spacing w:val="-20"/>
          <w:w w:val="115"/>
          <w:sz w:val="18"/>
        </w:rPr>
        <w:t> </w:t>
      </w:r>
      <w:r>
        <w:rPr>
          <w:color w:val="4C4D4F"/>
          <w:spacing w:val="-10"/>
          <w:w w:val="115"/>
          <w:sz w:val="18"/>
        </w:rPr>
        <w:t>T.</w:t>
      </w:r>
      <w:r>
        <w:rPr>
          <w:color w:val="4C4D4F"/>
          <w:spacing w:val="-19"/>
          <w:w w:val="115"/>
          <w:sz w:val="18"/>
        </w:rPr>
        <w:t> </w:t>
      </w:r>
      <w:r>
        <w:rPr>
          <w:color w:val="4C4D4F"/>
          <w:spacing w:val="-5"/>
          <w:w w:val="115"/>
          <w:sz w:val="18"/>
        </w:rPr>
        <w:t>W.,</w:t>
      </w:r>
      <w:r>
        <w:rPr>
          <w:color w:val="4C4D4F"/>
          <w:spacing w:val="-20"/>
          <w:w w:val="115"/>
          <w:sz w:val="18"/>
        </w:rPr>
        <w:t> </w:t>
      </w:r>
      <w:r>
        <w:rPr>
          <w:color w:val="4C4D4F"/>
          <w:w w:val="115"/>
          <w:sz w:val="18"/>
        </w:rPr>
        <w:t>Fitzgerald,</w:t>
      </w:r>
      <w:r>
        <w:rPr>
          <w:color w:val="4C4D4F"/>
          <w:spacing w:val="-19"/>
          <w:w w:val="115"/>
          <w:sz w:val="18"/>
        </w:rPr>
        <w:t> </w:t>
      </w:r>
      <w:r>
        <w:rPr>
          <w:color w:val="4C4D4F"/>
          <w:spacing w:val="-10"/>
          <w:w w:val="115"/>
          <w:sz w:val="18"/>
        </w:rPr>
        <w:t>T.</w:t>
      </w:r>
      <w:r>
        <w:rPr>
          <w:color w:val="4C4D4F"/>
          <w:spacing w:val="-20"/>
          <w:w w:val="115"/>
          <w:sz w:val="18"/>
        </w:rPr>
        <w:t> </w:t>
      </w:r>
      <w:r>
        <w:rPr>
          <w:color w:val="4C4D4F"/>
          <w:spacing w:val="-7"/>
          <w:w w:val="115"/>
          <w:sz w:val="18"/>
        </w:rPr>
        <w:t>T.,</w:t>
      </w:r>
      <w:r>
        <w:rPr>
          <w:color w:val="4C4D4F"/>
          <w:spacing w:val="-19"/>
          <w:w w:val="115"/>
          <w:sz w:val="18"/>
        </w:rPr>
        <w:t> </w:t>
      </w:r>
      <w:r>
        <w:rPr>
          <w:color w:val="4C4D4F"/>
          <w:w w:val="115"/>
          <w:sz w:val="18"/>
        </w:rPr>
        <w:t>O’Grady,</w:t>
      </w:r>
      <w:r>
        <w:rPr>
          <w:color w:val="4C4D4F"/>
          <w:spacing w:val="-20"/>
          <w:w w:val="115"/>
          <w:sz w:val="18"/>
        </w:rPr>
        <w:t> </w:t>
      </w:r>
      <w:r>
        <w:rPr>
          <w:color w:val="4C4D4F"/>
          <w:w w:val="115"/>
          <w:sz w:val="18"/>
        </w:rPr>
        <w:t>K.</w:t>
      </w:r>
      <w:r>
        <w:rPr>
          <w:color w:val="4C4D4F"/>
          <w:spacing w:val="-20"/>
          <w:w w:val="115"/>
          <w:sz w:val="18"/>
        </w:rPr>
        <w:t> </w:t>
      </w:r>
      <w:r>
        <w:rPr>
          <w:color w:val="4C4D4F"/>
          <w:w w:val="115"/>
          <w:sz w:val="18"/>
        </w:rPr>
        <w:t>E.,</w:t>
      </w:r>
      <w:r>
        <w:rPr>
          <w:color w:val="4C4D4F"/>
          <w:spacing w:val="-19"/>
          <w:w w:val="115"/>
          <w:sz w:val="18"/>
        </w:rPr>
        <w:t> </w:t>
      </w:r>
      <w:r>
        <w:rPr>
          <w:color w:val="4C4D4F"/>
          <w:w w:val="115"/>
          <w:sz w:val="18"/>
        </w:rPr>
        <w:t>&amp; Jaffe,</w:t>
      </w:r>
      <w:r>
        <w:rPr>
          <w:color w:val="4C4D4F"/>
          <w:spacing w:val="-16"/>
          <w:w w:val="115"/>
          <w:sz w:val="18"/>
        </w:rPr>
        <w:t> </w:t>
      </w:r>
      <w:r>
        <w:rPr>
          <w:color w:val="4C4D4F"/>
          <w:w w:val="135"/>
          <w:sz w:val="18"/>
        </w:rPr>
        <w:t>J.</w:t>
      </w:r>
      <w:r>
        <w:rPr>
          <w:color w:val="4C4D4F"/>
          <w:spacing w:val="-25"/>
          <w:w w:val="135"/>
          <w:sz w:val="18"/>
        </w:rPr>
        <w:t> </w:t>
      </w:r>
      <w:r>
        <w:rPr>
          <w:color w:val="4C4D4F"/>
          <w:w w:val="115"/>
          <w:sz w:val="18"/>
        </w:rPr>
        <w:t>H.</w:t>
      </w:r>
      <w:r>
        <w:rPr>
          <w:color w:val="4C4D4F"/>
          <w:spacing w:val="-15"/>
          <w:w w:val="115"/>
          <w:sz w:val="18"/>
        </w:rPr>
        <w:t> </w:t>
      </w:r>
      <w:r>
        <w:rPr>
          <w:color w:val="4C4D4F"/>
          <w:w w:val="115"/>
          <w:sz w:val="18"/>
        </w:rPr>
        <w:t>(2015).</w:t>
      </w:r>
      <w:r>
        <w:rPr>
          <w:color w:val="4C4D4F"/>
          <w:spacing w:val="-15"/>
          <w:w w:val="115"/>
          <w:sz w:val="18"/>
        </w:rPr>
        <w:t> </w:t>
      </w:r>
      <w:r>
        <w:rPr>
          <w:color w:val="4C4D4F"/>
          <w:w w:val="115"/>
          <w:sz w:val="18"/>
        </w:rPr>
        <w:t>Buprenorphine</w:t>
      </w:r>
      <w:r>
        <w:rPr>
          <w:color w:val="4C4D4F"/>
          <w:spacing w:val="-15"/>
          <w:w w:val="115"/>
          <w:sz w:val="18"/>
        </w:rPr>
        <w:t> </w:t>
      </w:r>
      <w:r>
        <w:rPr>
          <w:color w:val="4C4D4F"/>
          <w:w w:val="115"/>
          <w:sz w:val="18"/>
        </w:rPr>
        <w:t>dose</w:t>
      </w:r>
      <w:r>
        <w:rPr>
          <w:color w:val="4C4D4F"/>
          <w:spacing w:val="-16"/>
          <w:w w:val="115"/>
          <w:sz w:val="18"/>
        </w:rPr>
        <w:t> </w:t>
      </w:r>
      <w:r>
        <w:rPr>
          <w:color w:val="4C4D4F"/>
          <w:w w:val="115"/>
          <w:sz w:val="18"/>
        </w:rPr>
        <w:t>induction</w:t>
      </w:r>
      <w:r>
        <w:rPr>
          <w:color w:val="4C4D4F"/>
          <w:spacing w:val="-15"/>
          <w:w w:val="115"/>
          <w:sz w:val="18"/>
        </w:rPr>
        <w:t> </w:t>
      </w:r>
      <w:r>
        <w:rPr>
          <w:color w:val="4C4D4F"/>
          <w:w w:val="115"/>
          <w:sz w:val="18"/>
        </w:rPr>
        <w:t>in </w:t>
      </w:r>
      <w:r>
        <w:rPr>
          <w:color w:val="4C4D4F"/>
          <w:w w:val="110"/>
          <w:sz w:val="18"/>
        </w:rPr>
        <w:t>non-opioid-tolerant pre-release prisoners. </w:t>
      </w:r>
      <w:r>
        <w:rPr>
          <w:rFonts w:ascii="Arial" w:hAnsi="Arial"/>
          <w:i/>
          <w:color w:val="4C4D4F"/>
          <w:w w:val="110"/>
          <w:sz w:val="18"/>
        </w:rPr>
        <w:t>Drug and </w:t>
      </w:r>
      <w:r>
        <w:rPr>
          <w:rFonts w:ascii="Arial" w:hAnsi="Arial"/>
          <w:i/>
          <w:color w:val="4C4D4F"/>
          <w:w w:val="115"/>
          <w:sz w:val="18"/>
        </w:rPr>
        <w:t>Alcohol</w:t>
      </w:r>
      <w:r>
        <w:rPr>
          <w:rFonts w:ascii="Arial" w:hAnsi="Arial"/>
          <w:i/>
          <w:color w:val="4C4D4F"/>
          <w:spacing w:val="-18"/>
          <w:w w:val="115"/>
          <w:sz w:val="18"/>
        </w:rPr>
        <w:t> </w:t>
      </w:r>
      <w:r>
        <w:rPr>
          <w:rFonts w:ascii="Arial" w:hAnsi="Arial"/>
          <w:i/>
          <w:color w:val="4C4D4F"/>
          <w:w w:val="115"/>
          <w:sz w:val="18"/>
        </w:rPr>
        <w:t>Dependence,</w:t>
      </w:r>
      <w:r>
        <w:rPr>
          <w:rFonts w:ascii="Arial" w:hAnsi="Arial"/>
          <w:i/>
          <w:color w:val="4C4D4F"/>
          <w:spacing w:val="-17"/>
          <w:w w:val="115"/>
          <w:sz w:val="18"/>
        </w:rPr>
        <w:t> </w:t>
      </w:r>
      <w:r>
        <w:rPr>
          <w:rFonts w:ascii="Arial" w:hAnsi="Arial"/>
          <w:i/>
          <w:color w:val="4C4D4F"/>
          <w:w w:val="115"/>
          <w:sz w:val="18"/>
        </w:rPr>
        <w:t>156,</w:t>
      </w:r>
      <w:r>
        <w:rPr>
          <w:rFonts w:ascii="Arial" w:hAnsi="Arial"/>
          <w:i/>
          <w:color w:val="4C4D4F"/>
          <w:spacing w:val="-17"/>
          <w:w w:val="115"/>
          <w:sz w:val="18"/>
        </w:rPr>
        <w:t> </w:t>
      </w:r>
      <w:r>
        <w:rPr>
          <w:color w:val="4C4D4F"/>
          <w:w w:val="115"/>
          <w:sz w:val="18"/>
        </w:rPr>
        <w:t>133–138.</w:t>
      </w:r>
    </w:p>
    <w:p>
      <w:pPr>
        <w:pStyle w:val="ListParagraph"/>
        <w:numPr>
          <w:ilvl w:val="0"/>
          <w:numId w:val="51"/>
        </w:numPr>
        <w:tabs>
          <w:tab w:pos="500" w:val="left" w:leader="none"/>
        </w:tabs>
        <w:spacing w:line="247" w:lineRule="auto" w:before="100" w:after="0"/>
        <w:ind w:left="500" w:right="329" w:hanging="360"/>
        <w:jc w:val="left"/>
        <w:rPr>
          <w:color w:val="4C4D4F"/>
          <w:sz w:val="18"/>
        </w:rPr>
      </w:pPr>
      <w:r>
        <w:rPr>
          <w:color w:val="4C4D4F"/>
          <w:w w:val="114"/>
          <w:sz w:val="18"/>
        </w:rPr>
        <w:br w:type="column"/>
      </w: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8"/>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455" w:hanging="360"/>
        <w:jc w:val="left"/>
        <w:rPr>
          <w:color w:val="4C4D4F"/>
          <w:sz w:val="18"/>
        </w:rPr>
      </w:pPr>
      <w:r>
        <w:rPr>
          <w:color w:val="4C4D4F"/>
          <w:spacing w:val="-3"/>
          <w:w w:val="110"/>
          <w:sz w:val="18"/>
        </w:rPr>
        <w:t>Binder, </w:t>
      </w:r>
      <w:r>
        <w:rPr>
          <w:color w:val="4C4D4F"/>
          <w:spacing w:val="-7"/>
          <w:w w:val="110"/>
          <w:sz w:val="18"/>
        </w:rPr>
        <w:t>T., </w:t>
      </w:r>
      <w:r>
        <w:rPr>
          <w:color w:val="4C4D4F"/>
          <w:w w:val="110"/>
          <w:sz w:val="18"/>
        </w:rPr>
        <w:t>&amp; Vavrinková, B. (2008). Prospective randomised comparative study of the effect of buprenorphine, methadone and heroin on the course of pregnancy, birthweight of newborns, </w:t>
      </w:r>
      <w:r>
        <w:rPr>
          <w:color w:val="4C4D4F"/>
          <w:spacing w:val="-4"/>
          <w:w w:val="110"/>
          <w:sz w:val="18"/>
        </w:rPr>
        <w:t>early </w:t>
      </w:r>
      <w:r>
        <w:rPr>
          <w:color w:val="4C4D4F"/>
          <w:w w:val="110"/>
          <w:sz w:val="18"/>
        </w:rPr>
        <w:t>postpartum adaptation and course of the neonatal abstinence syndrome (NAS) in women followed up in</w:t>
      </w:r>
      <w:r>
        <w:rPr>
          <w:color w:val="4C4D4F"/>
          <w:spacing w:val="-18"/>
          <w:w w:val="110"/>
          <w:sz w:val="18"/>
        </w:rPr>
        <w:t> </w:t>
      </w:r>
      <w:r>
        <w:rPr>
          <w:color w:val="4C4D4F"/>
          <w:w w:val="110"/>
          <w:sz w:val="18"/>
        </w:rPr>
        <w:t>the</w:t>
      </w:r>
      <w:r>
        <w:rPr>
          <w:color w:val="4C4D4F"/>
          <w:spacing w:val="-17"/>
          <w:w w:val="110"/>
          <w:sz w:val="18"/>
        </w:rPr>
        <w:t> </w:t>
      </w:r>
      <w:r>
        <w:rPr>
          <w:color w:val="4C4D4F"/>
          <w:w w:val="110"/>
          <w:sz w:val="18"/>
        </w:rPr>
        <w:t>outpatient</w:t>
      </w:r>
      <w:r>
        <w:rPr>
          <w:color w:val="4C4D4F"/>
          <w:spacing w:val="-18"/>
          <w:w w:val="110"/>
          <w:sz w:val="18"/>
        </w:rPr>
        <w:t> </w:t>
      </w:r>
      <w:r>
        <w:rPr>
          <w:color w:val="4C4D4F"/>
          <w:w w:val="110"/>
          <w:sz w:val="18"/>
        </w:rPr>
        <w:t>department.</w:t>
      </w:r>
      <w:r>
        <w:rPr>
          <w:color w:val="4C4D4F"/>
          <w:spacing w:val="-17"/>
          <w:w w:val="110"/>
          <w:sz w:val="18"/>
        </w:rPr>
        <w:t> </w:t>
      </w:r>
      <w:r>
        <w:rPr>
          <w:rFonts w:ascii="Arial" w:hAnsi="Arial"/>
          <w:i/>
          <w:color w:val="4C4D4F"/>
          <w:w w:val="110"/>
          <w:sz w:val="18"/>
        </w:rPr>
        <w:t>Neuro</w:t>
      </w:r>
      <w:r>
        <w:rPr>
          <w:rFonts w:ascii="Arial" w:hAnsi="Arial"/>
          <w:i/>
          <w:color w:val="4C4D4F"/>
          <w:spacing w:val="-18"/>
          <w:w w:val="110"/>
          <w:sz w:val="18"/>
        </w:rPr>
        <w:t> </w:t>
      </w:r>
      <w:r>
        <w:rPr>
          <w:rFonts w:ascii="Arial" w:hAnsi="Arial"/>
          <w:i/>
          <w:color w:val="4C4D4F"/>
          <w:w w:val="110"/>
          <w:sz w:val="18"/>
        </w:rPr>
        <w:t>Endocrinology </w:t>
      </w:r>
      <w:r>
        <w:rPr>
          <w:rFonts w:ascii="Arial" w:hAnsi="Arial"/>
          <w:i/>
          <w:color w:val="4C4D4F"/>
          <w:w w:val="110"/>
          <w:sz w:val="18"/>
        </w:rPr>
        <w:t>Letters, 29</w:t>
      </w:r>
      <w:r>
        <w:rPr>
          <w:color w:val="4C4D4F"/>
          <w:w w:val="110"/>
          <w:sz w:val="18"/>
        </w:rPr>
        <w:t>(1),</w:t>
      </w:r>
      <w:r>
        <w:rPr>
          <w:color w:val="4C4D4F"/>
          <w:spacing w:val="-14"/>
          <w:w w:val="110"/>
          <w:sz w:val="18"/>
        </w:rPr>
        <w:t> </w:t>
      </w:r>
      <w:r>
        <w:rPr>
          <w:color w:val="4C4D4F"/>
          <w:w w:val="110"/>
          <w:sz w:val="18"/>
        </w:rPr>
        <w:t>80–86.</w:t>
      </w:r>
    </w:p>
    <w:p>
      <w:pPr>
        <w:pStyle w:val="ListParagraph"/>
        <w:numPr>
          <w:ilvl w:val="0"/>
          <w:numId w:val="51"/>
        </w:numPr>
        <w:tabs>
          <w:tab w:pos="500" w:val="left" w:leader="none"/>
        </w:tabs>
        <w:spacing w:line="247" w:lineRule="auto" w:before="76" w:after="0"/>
        <w:ind w:left="500" w:right="481" w:hanging="360"/>
        <w:jc w:val="left"/>
        <w:rPr>
          <w:color w:val="4C4D4F"/>
          <w:sz w:val="18"/>
        </w:rPr>
      </w:pPr>
      <w:r>
        <w:rPr>
          <w:color w:val="4C4D4F"/>
          <w:w w:val="110"/>
          <w:sz w:val="18"/>
        </w:rPr>
        <w:t>Fajemirokun-Odudeyi, O., Sinha, C., </w:t>
      </w:r>
      <w:r>
        <w:rPr>
          <w:color w:val="4C4D4F"/>
          <w:spacing w:val="-6"/>
          <w:w w:val="110"/>
          <w:sz w:val="18"/>
        </w:rPr>
        <w:t>Tutty, </w:t>
      </w:r>
      <w:r>
        <w:rPr>
          <w:color w:val="4C4D4F"/>
          <w:w w:val="110"/>
          <w:sz w:val="18"/>
        </w:rPr>
        <w:t>S., Pairaudeau, </w:t>
      </w:r>
      <w:r>
        <w:rPr>
          <w:color w:val="4C4D4F"/>
          <w:spacing w:val="-11"/>
          <w:w w:val="110"/>
          <w:sz w:val="18"/>
        </w:rPr>
        <w:t>P., </w:t>
      </w:r>
      <w:r>
        <w:rPr>
          <w:color w:val="4C4D4F"/>
          <w:w w:val="110"/>
          <w:sz w:val="18"/>
        </w:rPr>
        <w:t>Armstrong, D., Phillips, </w:t>
      </w:r>
      <w:r>
        <w:rPr>
          <w:color w:val="4C4D4F"/>
          <w:spacing w:val="-7"/>
          <w:w w:val="110"/>
          <w:sz w:val="18"/>
        </w:rPr>
        <w:t>T., </w:t>
      </w:r>
      <w:r>
        <w:rPr>
          <w:color w:val="4C4D4F"/>
          <w:w w:val="110"/>
          <w:sz w:val="18"/>
        </w:rPr>
        <w:t>&amp;</w:t>
      </w:r>
      <w:r>
        <w:rPr>
          <w:color w:val="4C4D4F"/>
          <w:spacing w:val="18"/>
          <w:w w:val="110"/>
          <w:sz w:val="18"/>
        </w:rPr>
        <w:t> </w:t>
      </w:r>
      <w:r>
        <w:rPr>
          <w:color w:val="4C4D4F"/>
          <w:spacing w:val="-5"/>
          <w:w w:val="110"/>
          <w:sz w:val="18"/>
        </w:rPr>
        <w:t>Lindow,</w:t>
      </w:r>
    </w:p>
    <w:p>
      <w:pPr>
        <w:spacing w:line="247" w:lineRule="auto" w:before="2"/>
        <w:ind w:left="500" w:right="164" w:firstLine="0"/>
        <w:jc w:val="left"/>
        <w:rPr>
          <w:sz w:val="18"/>
        </w:rPr>
      </w:pPr>
      <w:r>
        <w:rPr>
          <w:color w:val="4C4D4F"/>
          <w:w w:val="110"/>
          <w:sz w:val="18"/>
        </w:rPr>
        <w:t>S. W. (2006). Pregnancy outcome in women who use </w:t>
      </w:r>
      <w:r>
        <w:rPr>
          <w:color w:val="4C4D4F"/>
          <w:w w:val="105"/>
          <w:sz w:val="18"/>
        </w:rPr>
        <w:t>opiates. </w:t>
      </w:r>
      <w:r>
        <w:rPr>
          <w:rFonts w:ascii="Arial" w:hAnsi="Arial"/>
          <w:i/>
          <w:color w:val="4C4D4F"/>
          <w:w w:val="105"/>
          <w:sz w:val="18"/>
        </w:rPr>
        <w:t>European Journal of Obstetrics &amp; Gynecology </w:t>
      </w:r>
      <w:r>
        <w:rPr>
          <w:rFonts w:ascii="Arial" w:hAnsi="Arial"/>
          <w:i/>
          <w:color w:val="4C4D4F"/>
          <w:w w:val="110"/>
          <w:sz w:val="18"/>
        </w:rPr>
        <w:t>and Reproductive Biology, 126</w:t>
      </w:r>
      <w:r>
        <w:rPr>
          <w:color w:val="4C4D4F"/>
          <w:w w:val="110"/>
          <w:sz w:val="18"/>
        </w:rPr>
        <w:t>(2), 170–175.</w:t>
      </w:r>
    </w:p>
    <w:p>
      <w:pPr>
        <w:pStyle w:val="ListParagraph"/>
        <w:numPr>
          <w:ilvl w:val="0"/>
          <w:numId w:val="51"/>
        </w:numPr>
        <w:tabs>
          <w:tab w:pos="500" w:val="left" w:leader="none"/>
        </w:tabs>
        <w:spacing w:line="247" w:lineRule="auto" w:before="72" w:after="0"/>
        <w:ind w:left="500" w:right="455" w:hanging="360"/>
        <w:jc w:val="left"/>
        <w:rPr>
          <w:color w:val="4C4D4F"/>
          <w:sz w:val="18"/>
        </w:rPr>
      </w:pPr>
      <w:r>
        <w:rPr>
          <w:color w:val="4C4D4F"/>
          <w:w w:val="110"/>
          <w:sz w:val="18"/>
        </w:rPr>
        <w:t>Stimmel, B., &amp; Adamsons, K. (1976). Narcotic dependency in pregnancy. Methadone maintenance compared to use of street drugs. </w:t>
      </w:r>
      <w:r>
        <w:rPr>
          <w:rFonts w:ascii="Arial" w:hAnsi="Arial"/>
          <w:i/>
          <w:color w:val="4C4D4F"/>
          <w:w w:val="110"/>
          <w:sz w:val="18"/>
        </w:rPr>
        <w:t>JAMA, 235, </w:t>
      </w:r>
      <w:r>
        <w:rPr>
          <w:color w:val="4C4D4F"/>
          <w:w w:val="110"/>
          <w:sz w:val="18"/>
        </w:rPr>
        <w:t>1121–1124.</w:t>
      </w:r>
    </w:p>
    <w:p>
      <w:pPr>
        <w:pStyle w:val="ListParagraph"/>
        <w:numPr>
          <w:ilvl w:val="0"/>
          <w:numId w:val="51"/>
        </w:numPr>
        <w:tabs>
          <w:tab w:pos="500" w:val="left" w:leader="none"/>
        </w:tabs>
        <w:spacing w:line="247" w:lineRule="auto" w:before="75" w:after="0"/>
        <w:ind w:left="500" w:right="329"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8"/>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6" w:after="0"/>
        <w:ind w:left="500" w:right="192"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1"/>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3"/>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332" w:hanging="360"/>
        <w:jc w:val="left"/>
        <w:rPr>
          <w:color w:val="4C4D4F"/>
          <w:sz w:val="18"/>
        </w:rPr>
      </w:pPr>
      <w:r>
        <w:rPr>
          <w:color w:val="4C4D4F"/>
          <w:w w:val="110"/>
          <w:sz w:val="18"/>
        </w:rPr>
        <w:t>American College of Obstetricians and </w:t>
      </w:r>
      <w:r>
        <w:rPr>
          <w:color w:val="4C4D4F"/>
          <w:spacing w:val="-2"/>
          <w:w w:val="110"/>
          <w:sz w:val="18"/>
        </w:rPr>
        <w:t>Gynecologists </w:t>
      </w:r>
      <w:r>
        <w:rPr>
          <w:color w:val="4C4D4F"/>
          <w:w w:val="110"/>
          <w:sz w:val="18"/>
        </w:rPr>
        <w:t>Committee Opinion. (2017, August). Opioid use and opioid use disorder in pregnancy. Number</w:t>
      </w:r>
      <w:r>
        <w:rPr>
          <w:color w:val="4C4D4F"/>
          <w:spacing w:val="-18"/>
          <w:w w:val="110"/>
          <w:sz w:val="18"/>
        </w:rPr>
        <w:t> </w:t>
      </w:r>
      <w:r>
        <w:rPr>
          <w:color w:val="4C4D4F"/>
          <w:w w:val="110"/>
          <w:sz w:val="18"/>
        </w:rPr>
        <w:t>711.</w:t>
      </w:r>
    </w:p>
    <w:p>
      <w:pPr>
        <w:pStyle w:val="ListParagraph"/>
        <w:numPr>
          <w:ilvl w:val="0"/>
          <w:numId w:val="51"/>
        </w:numPr>
        <w:tabs>
          <w:tab w:pos="500" w:val="left" w:leader="none"/>
        </w:tabs>
        <w:spacing w:line="247" w:lineRule="auto" w:before="75" w:after="0"/>
        <w:ind w:left="500" w:right="329"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8"/>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6" w:after="0"/>
        <w:ind w:left="500" w:right="332" w:hanging="360"/>
        <w:jc w:val="left"/>
        <w:rPr>
          <w:color w:val="4C4D4F"/>
          <w:sz w:val="18"/>
        </w:rPr>
      </w:pPr>
      <w:r>
        <w:rPr>
          <w:color w:val="4C4D4F"/>
          <w:w w:val="110"/>
          <w:sz w:val="18"/>
        </w:rPr>
        <w:t>American College of Obstetricians and </w:t>
      </w:r>
      <w:r>
        <w:rPr>
          <w:color w:val="4C4D4F"/>
          <w:spacing w:val="-2"/>
          <w:w w:val="110"/>
          <w:sz w:val="18"/>
        </w:rPr>
        <w:t>Gynecologists </w:t>
      </w:r>
      <w:r>
        <w:rPr>
          <w:color w:val="4C4D4F"/>
          <w:w w:val="110"/>
          <w:sz w:val="18"/>
        </w:rPr>
        <w:t>Committee Opinion. (2017, August). Opioid use and opioid use disorder in pregnancy. Number</w:t>
      </w:r>
      <w:r>
        <w:rPr>
          <w:color w:val="4C4D4F"/>
          <w:spacing w:val="-18"/>
          <w:w w:val="110"/>
          <w:sz w:val="18"/>
        </w:rPr>
        <w:t> </w:t>
      </w:r>
      <w:r>
        <w:rPr>
          <w:color w:val="4C4D4F"/>
          <w:w w:val="110"/>
          <w:sz w:val="18"/>
        </w:rPr>
        <w:t>711.</w:t>
      </w:r>
    </w:p>
    <w:p>
      <w:pPr>
        <w:pStyle w:val="ListParagraph"/>
        <w:numPr>
          <w:ilvl w:val="0"/>
          <w:numId w:val="51"/>
        </w:numPr>
        <w:tabs>
          <w:tab w:pos="500" w:val="left" w:leader="none"/>
        </w:tabs>
        <w:spacing w:line="249" w:lineRule="auto" w:before="75" w:after="0"/>
        <w:ind w:left="500" w:right="465" w:hanging="360"/>
        <w:jc w:val="left"/>
        <w:rPr>
          <w:color w:val="4C4D4F"/>
          <w:sz w:val="18"/>
        </w:rPr>
      </w:pPr>
      <w:r>
        <w:rPr>
          <w:color w:val="4C4D4F"/>
          <w:w w:val="105"/>
          <w:sz w:val="18"/>
        </w:rPr>
        <w:t>American Society of  Addiction  Medicine.  (2015). </w:t>
      </w:r>
      <w:r>
        <w:rPr>
          <w:rFonts w:ascii="Arial"/>
          <w:i/>
          <w:color w:val="4C4D4F"/>
          <w:w w:val="105"/>
          <w:sz w:val="18"/>
        </w:rPr>
        <w:t>The</w:t>
      </w:r>
      <w:r>
        <w:rPr>
          <w:rFonts w:ascii="Arial"/>
          <w:i/>
          <w:color w:val="4C4D4F"/>
          <w:spacing w:val="-14"/>
          <w:w w:val="105"/>
          <w:sz w:val="18"/>
        </w:rPr>
        <w:t> </w:t>
      </w:r>
      <w:r>
        <w:rPr>
          <w:rFonts w:ascii="Arial"/>
          <w:i/>
          <w:color w:val="4C4D4F"/>
          <w:w w:val="105"/>
          <w:sz w:val="18"/>
        </w:rPr>
        <w:t>ASAM</w:t>
      </w:r>
      <w:r>
        <w:rPr>
          <w:rFonts w:ascii="Arial"/>
          <w:i/>
          <w:color w:val="4C4D4F"/>
          <w:spacing w:val="-14"/>
          <w:w w:val="105"/>
          <w:sz w:val="18"/>
        </w:rPr>
        <w:t> </w:t>
      </w:r>
      <w:r>
        <w:rPr>
          <w:rFonts w:ascii="Arial"/>
          <w:i/>
          <w:color w:val="4C4D4F"/>
          <w:w w:val="105"/>
          <w:sz w:val="18"/>
        </w:rPr>
        <w:t>national</w:t>
      </w:r>
      <w:r>
        <w:rPr>
          <w:rFonts w:ascii="Arial"/>
          <w:i/>
          <w:color w:val="4C4D4F"/>
          <w:spacing w:val="-14"/>
          <w:w w:val="105"/>
          <w:sz w:val="18"/>
        </w:rPr>
        <w:t> </w:t>
      </w:r>
      <w:r>
        <w:rPr>
          <w:rFonts w:ascii="Arial"/>
          <w:i/>
          <w:color w:val="4C4D4F"/>
          <w:w w:val="105"/>
          <w:sz w:val="18"/>
        </w:rPr>
        <w:t>practice</w:t>
      </w:r>
      <w:r>
        <w:rPr>
          <w:rFonts w:ascii="Arial"/>
          <w:i/>
          <w:color w:val="4C4D4F"/>
          <w:spacing w:val="-13"/>
          <w:w w:val="105"/>
          <w:sz w:val="18"/>
        </w:rPr>
        <w:t> </w:t>
      </w:r>
      <w:r>
        <w:rPr>
          <w:rFonts w:ascii="Arial"/>
          <w:i/>
          <w:color w:val="4C4D4F"/>
          <w:w w:val="105"/>
          <w:sz w:val="18"/>
        </w:rPr>
        <w:t>guideline</w:t>
      </w:r>
      <w:r>
        <w:rPr>
          <w:rFonts w:ascii="Arial"/>
          <w:i/>
          <w:color w:val="4C4D4F"/>
          <w:spacing w:val="-14"/>
          <w:w w:val="105"/>
          <w:sz w:val="18"/>
        </w:rPr>
        <w:t> </w:t>
      </w:r>
      <w:r>
        <w:rPr>
          <w:rFonts w:ascii="Arial"/>
          <w:i/>
          <w:color w:val="4C4D4F"/>
          <w:w w:val="105"/>
          <w:sz w:val="18"/>
        </w:rPr>
        <w:t>for</w:t>
      </w:r>
      <w:r>
        <w:rPr>
          <w:rFonts w:ascii="Arial"/>
          <w:i/>
          <w:color w:val="4C4D4F"/>
          <w:spacing w:val="-14"/>
          <w:w w:val="105"/>
          <w:sz w:val="18"/>
        </w:rPr>
        <w:t> </w:t>
      </w:r>
      <w:r>
        <w:rPr>
          <w:rFonts w:ascii="Arial"/>
          <w:i/>
          <w:color w:val="4C4D4F"/>
          <w:w w:val="105"/>
          <w:sz w:val="18"/>
        </w:rPr>
        <w:t>the</w:t>
      </w:r>
      <w:r>
        <w:rPr>
          <w:rFonts w:ascii="Arial"/>
          <w:i/>
          <w:color w:val="4C4D4F"/>
          <w:spacing w:val="-14"/>
          <w:w w:val="105"/>
          <w:sz w:val="18"/>
        </w:rPr>
        <w:t> </w:t>
      </w:r>
      <w:r>
        <w:rPr>
          <w:rFonts w:ascii="Arial"/>
          <w:i/>
          <w:color w:val="4C4D4F"/>
          <w:w w:val="105"/>
          <w:sz w:val="18"/>
        </w:rPr>
        <w:t>use</w:t>
      </w:r>
      <w:r>
        <w:rPr>
          <w:rFonts w:ascii="Arial"/>
          <w:i/>
          <w:color w:val="4C4D4F"/>
          <w:spacing w:val="-13"/>
          <w:w w:val="105"/>
          <w:sz w:val="18"/>
        </w:rPr>
        <w:t> </w:t>
      </w:r>
      <w:r>
        <w:rPr>
          <w:rFonts w:ascii="Arial"/>
          <w:i/>
          <w:color w:val="4C4D4F"/>
          <w:spacing w:val="-9"/>
          <w:w w:val="105"/>
          <w:sz w:val="18"/>
        </w:rPr>
        <w:t>of </w:t>
      </w:r>
      <w:r>
        <w:rPr>
          <w:rFonts w:ascii="Arial"/>
          <w:i/>
          <w:color w:val="4C4D4F"/>
          <w:w w:val="105"/>
          <w:sz w:val="18"/>
        </w:rPr>
        <w:t>medications in the treatment of addiction involving opioid use. </w:t>
      </w:r>
      <w:r>
        <w:rPr>
          <w:color w:val="4C4D4F"/>
          <w:w w:val="105"/>
          <w:sz w:val="18"/>
        </w:rPr>
        <w:t>Chevy Chase, MD:</w:t>
      </w:r>
      <w:r>
        <w:rPr>
          <w:color w:val="4C4D4F"/>
          <w:spacing w:val="-1"/>
          <w:w w:val="105"/>
          <w:sz w:val="18"/>
        </w:rPr>
        <w:t> </w:t>
      </w:r>
      <w:r>
        <w:rPr>
          <w:color w:val="4C4D4F"/>
          <w:spacing w:val="-3"/>
          <w:w w:val="105"/>
          <w:sz w:val="18"/>
        </w:rPr>
        <w:t>Author.</w:t>
      </w:r>
    </w:p>
    <w:p>
      <w:pPr>
        <w:spacing w:after="0" w:line="249" w:lineRule="auto"/>
        <w:jc w:val="left"/>
        <w:rPr>
          <w:sz w:val="18"/>
        </w:rPr>
        <w:sectPr>
          <w:type w:val="continuous"/>
          <w:pgSz w:w="12240" w:h="15840"/>
          <w:pgMar w:top="540" w:bottom="280" w:left="940" w:right="920"/>
          <w:cols w:num="2" w:equalWidth="0">
            <w:col w:w="5036" w:space="184"/>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317" w:hanging="360"/>
        <w:jc w:val="left"/>
        <w:rPr>
          <w:color w:val="4C4D4F"/>
          <w:sz w:val="18"/>
        </w:rPr>
      </w:pPr>
      <w:r>
        <w:rPr>
          <w:color w:val="4C4D4F"/>
          <w:w w:val="110"/>
          <w:sz w:val="18"/>
        </w:rPr>
        <w:t>Mattick, R. </w:t>
      </w:r>
      <w:r>
        <w:rPr>
          <w:color w:val="4C4D4F"/>
          <w:spacing w:val="-11"/>
          <w:w w:val="110"/>
          <w:sz w:val="18"/>
        </w:rPr>
        <w:t>P., </w:t>
      </w:r>
      <w:r>
        <w:rPr>
          <w:color w:val="4C4D4F"/>
          <w:w w:val="110"/>
          <w:sz w:val="18"/>
        </w:rPr>
        <w:t>Breen, C., </w:t>
      </w:r>
      <w:r>
        <w:rPr>
          <w:color w:val="4C4D4F"/>
          <w:spacing w:val="-3"/>
          <w:w w:val="110"/>
          <w:sz w:val="18"/>
        </w:rPr>
        <w:t>Kimber, </w:t>
      </w:r>
      <w:r>
        <w:rPr>
          <w:color w:val="4C4D4F"/>
          <w:w w:val="120"/>
          <w:sz w:val="18"/>
        </w:rPr>
        <w:t>J., </w:t>
      </w:r>
      <w:r>
        <w:rPr>
          <w:color w:val="4C4D4F"/>
          <w:w w:val="110"/>
          <w:sz w:val="18"/>
        </w:rPr>
        <w:t>&amp; Davoli, M. (2014). Buprenorphine maintenance versus placebo or methadone maintenance for opioid dependence. </w:t>
      </w:r>
      <w:r>
        <w:rPr>
          <w:rFonts w:ascii="Arial"/>
          <w:i/>
          <w:color w:val="4C4D4F"/>
          <w:sz w:val="18"/>
        </w:rPr>
        <w:t>Cochrane Database of Systematic Reviews,</w:t>
      </w:r>
      <w:r>
        <w:rPr>
          <w:rFonts w:ascii="Arial"/>
          <w:i/>
          <w:color w:val="4C4D4F"/>
          <w:spacing w:val="-32"/>
          <w:sz w:val="18"/>
        </w:rPr>
        <w:t> </w:t>
      </w:r>
      <w:r>
        <w:rPr>
          <w:rFonts w:ascii="Arial"/>
          <w:i/>
          <w:color w:val="4C4D4F"/>
          <w:sz w:val="18"/>
        </w:rPr>
        <w:t>2014</w:t>
      </w:r>
      <w:r>
        <w:rPr>
          <w:color w:val="4C4D4F"/>
          <w:sz w:val="18"/>
        </w:rPr>
        <w:t>(2). </w:t>
      </w:r>
      <w:r>
        <w:rPr>
          <w:color w:val="4C4D4F"/>
          <w:w w:val="110"/>
          <w:sz w:val="18"/>
        </w:rPr>
        <w:t>CD002207.</w:t>
      </w:r>
    </w:p>
    <w:p>
      <w:pPr>
        <w:pStyle w:val="ListParagraph"/>
        <w:numPr>
          <w:ilvl w:val="0"/>
          <w:numId w:val="51"/>
        </w:numPr>
        <w:tabs>
          <w:tab w:pos="500" w:val="left" w:leader="none"/>
        </w:tabs>
        <w:spacing w:line="247" w:lineRule="auto" w:before="75" w:after="0"/>
        <w:ind w:left="500" w:right="627" w:hanging="360"/>
        <w:jc w:val="left"/>
        <w:rPr>
          <w:color w:val="4C4D4F"/>
          <w:sz w:val="18"/>
        </w:rPr>
      </w:pPr>
      <w:r>
        <w:rPr>
          <w:color w:val="4C4D4F"/>
          <w:w w:val="115"/>
          <w:sz w:val="18"/>
        </w:rPr>
        <w:t>Lee, </w:t>
      </w:r>
      <w:r>
        <w:rPr>
          <w:color w:val="4C4D4F"/>
          <w:w w:val="135"/>
          <w:sz w:val="18"/>
        </w:rPr>
        <w:t>J. </w:t>
      </w:r>
      <w:r>
        <w:rPr>
          <w:color w:val="4C4D4F"/>
          <w:w w:val="115"/>
          <w:sz w:val="18"/>
        </w:rPr>
        <w:t>D., Nunes, E. </w:t>
      </w:r>
      <w:r>
        <w:rPr>
          <w:color w:val="4C4D4F"/>
          <w:spacing w:val="-8"/>
          <w:w w:val="115"/>
          <w:sz w:val="18"/>
        </w:rPr>
        <w:t>V., </w:t>
      </w:r>
      <w:r>
        <w:rPr>
          <w:color w:val="4C4D4F"/>
          <w:spacing w:val="-5"/>
          <w:w w:val="115"/>
          <w:sz w:val="18"/>
        </w:rPr>
        <w:t>Jr., </w:t>
      </w:r>
      <w:r>
        <w:rPr>
          <w:color w:val="4C4D4F"/>
          <w:w w:val="115"/>
          <w:sz w:val="18"/>
        </w:rPr>
        <w:t>Novo, </w:t>
      </w:r>
      <w:r>
        <w:rPr>
          <w:color w:val="4C4D4F"/>
          <w:spacing w:val="-11"/>
          <w:w w:val="115"/>
          <w:sz w:val="18"/>
        </w:rPr>
        <w:t>P., </w:t>
      </w:r>
      <w:r>
        <w:rPr>
          <w:color w:val="4C4D4F"/>
          <w:w w:val="115"/>
          <w:sz w:val="18"/>
        </w:rPr>
        <w:t>Bachrach, K.,</w:t>
      </w:r>
      <w:r>
        <w:rPr>
          <w:color w:val="4C4D4F"/>
          <w:spacing w:val="-22"/>
          <w:w w:val="115"/>
          <w:sz w:val="18"/>
        </w:rPr>
        <w:t> </w:t>
      </w:r>
      <w:r>
        <w:rPr>
          <w:color w:val="4C4D4F"/>
          <w:w w:val="115"/>
          <w:sz w:val="18"/>
        </w:rPr>
        <w:t>Bailey,</w:t>
      </w:r>
      <w:r>
        <w:rPr>
          <w:color w:val="4C4D4F"/>
          <w:spacing w:val="-21"/>
          <w:w w:val="115"/>
          <w:sz w:val="18"/>
        </w:rPr>
        <w:t> </w:t>
      </w:r>
      <w:r>
        <w:rPr>
          <w:color w:val="4C4D4F"/>
          <w:w w:val="115"/>
          <w:sz w:val="18"/>
        </w:rPr>
        <w:t>G.</w:t>
      </w:r>
      <w:r>
        <w:rPr>
          <w:color w:val="4C4D4F"/>
          <w:spacing w:val="-22"/>
          <w:w w:val="115"/>
          <w:sz w:val="18"/>
        </w:rPr>
        <w:t> </w:t>
      </w:r>
      <w:r>
        <w:rPr>
          <w:color w:val="4C4D4F"/>
          <w:w w:val="115"/>
          <w:sz w:val="18"/>
        </w:rPr>
        <w:t>L.,</w:t>
      </w:r>
      <w:r>
        <w:rPr>
          <w:color w:val="4C4D4F"/>
          <w:spacing w:val="-21"/>
          <w:w w:val="115"/>
          <w:sz w:val="18"/>
        </w:rPr>
        <w:t> </w:t>
      </w:r>
      <w:r>
        <w:rPr>
          <w:color w:val="4C4D4F"/>
          <w:w w:val="115"/>
          <w:sz w:val="18"/>
        </w:rPr>
        <w:t>Bhatt,</w:t>
      </w:r>
      <w:r>
        <w:rPr>
          <w:color w:val="4C4D4F"/>
          <w:spacing w:val="-22"/>
          <w:w w:val="115"/>
          <w:sz w:val="18"/>
        </w:rPr>
        <w:t> </w:t>
      </w:r>
      <w:r>
        <w:rPr>
          <w:color w:val="4C4D4F"/>
          <w:w w:val="115"/>
          <w:sz w:val="18"/>
        </w:rPr>
        <w:t>S.,</w:t>
      </w:r>
      <w:r>
        <w:rPr>
          <w:color w:val="4C4D4F"/>
          <w:spacing w:val="-21"/>
          <w:w w:val="115"/>
          <w:sz w:val="18"/>
        </w:rPr>
        <w:t> </w:t>
      </w:r>
      <w:r>
        <w:rPr>
          <w:color w:val="4C4D4F"/>
          <w:w w:val="115"/>
          <w:sz w:val="18"/>
        </w:rPr>
        <w:t>…</w:t>
      </w:r>
      <w:r>
        <w:rPr>
          <w:color w:val="4C4D4F"/>
          <w:spacing w:val="-22"/>
          <w:w w:val="115"/>
          <w:sz w:val="18"/>
        </w:rPr>
        <w:t> </w:t>
      </w:r>
      <w:r>
        <w:rPr>
          <w:color w:val="4C4D4F"/>
          <w:w w:val="115"/>
          <w:sz w:val="18"/>
        </w:rPr>
        <w:t>Rotrosen,</w:t>
      </w:r>
      <w:r>
        <w:rPr>
          <w:color w:val="4C4D4F"/>
          <w:spacing w:val="-21"/>
          <w:w w:val="115"/>
          <w:sz w:val="18"/>
        </w:rPr>
        <w:t> </w:t>
      </w:r>
      <w:r>
        <w:rPr>
          <w:color w:val="4C4D4F"/>
          <w:w w:val="135"/>
          <w:sz w:val="18"/>
        </w:rPr>
        <w:t>J.</w:t>
      </w:r>
      <w:r>
        <w:rPr>
          <w:color w:val="4C4D4F"/>
          <w:spacing w:val="-32"/>
          <w:w w:val="135"/>
          <w:sz w:val="18"/>
        </w:rPr>
        <w:t> </w:t>
      </w:r>
      <w:r>
        <w:rPr>
          <w:color w:val="4C4D4F"/>
          <w:spacing w:val="-3"/>
          <w:w w:val="115"/>
          <w:sz w:val="18"/>
        </w:rPr>
        <w:t>(2018).</w:t>
      </w:r>
    </w:p>
    <w:p>
      <w:pPr>
        <w:spacing w:line="247" w:lineRule="auto" w:before="2"/>
        <w:ind w:left="500" w:right="56" w:firstLine="0"/>
        <w:jc w:val="left"/>
        <w:rPr>
          <w:sz w:val="18"/>
        </w:rPr>
      </w:pPr>
      <w:r>
        <w:rPr>
          <w:color w:val="4C4D4F"/>
          <w:w w:val="110"/>
          <w:sz w:val="18"/>
        </w:rPr>
        <w:t>Comparative effectiveness of extended-release naltrexone versus buprenorphine-naloxone for opioid relapse prevention (X:BOT): A multicentre, open-label, randomised controlled trial. </w:t>
      </w:r>
      <w:r>
        <w:rPr>
          <w:rFonts w:ascii="Arial" w:hAnsi="Arial"/>
          <w:i/>
          <w:color w:val="4C4D4F"/>
          <w:w w:val="110"/>
          <w:sz w:val="18"/>
        </w:rPr>
        <w:t>Lancet, 391</w:t>
      </w:r>
      <w:r>
        <w:rPr>
          <w:color w:val="4C4D4F"/>
          <w:w w:val="110"/>
          <w:sz w:val="18"/>
        </w:rPr>
        <w:t>(10118), 309–318.</w:t>
      </w:r>
    </w:p>
    <w:p>
      <w:pPr>
        <w:pStyle w:val="ListParagraph"/>
        <w:numPr>
          <w:ilvl w:val="0"/>
          <w:numId w:val="51"/>
        </w:numPr>
        <w:tabs>
          <w:tab w:pos="500" w:val="left" w:leader="none"/>
        </w:tabs>
        <w:spacing w:line="247" w:lineRule="auto" w:before="76" w:after="0"/>
        <w:ind w:left="500" w:right="114" w:hanging="360"/>
        <w:jc w:val="left"/>
        <w:rPr>
          <w:color w:val="4C4D4F"/>
          <w:sz w:val="18"/>
        </w:rPr>
      </w:pPr>
      <w:r>
        <w:rPr>
          <w:color w:val="4C4D4F"/>
          <w:spacing w:val="-4"/>
          <w:w w:val="110"/>
          <w:sz w:val="18"/>
        </w:rPr>
        <w:t>Tanum, </w:t>
      </w:r>
      <w:r>
        <w:rPr>
          <w:color w:val="4C4D4F"/>
          <w:w w:val="110"/>
          <w:sz w:val="18"/>
        </w:rPr>
        <w:t>L., Solli, K. K., Latif, Z. E., Benth, </w:t>
      </w:r>
      <w:r>
        <w:rPr>
          <w:color w:val="4C4D4F"/>
          <w:w w:val="130"/>
          <w:sz w:val="18"/>
        </w:rPr>
        <w:t>J. </w:t>
      </w:r>
      <w:r>
        <w:rPr>
          <w:color w:val="4C4D4F"/>
          <w:w w:val="110"/>
          <w:sz w:val="18"/>
        </w:rPr>
        <w:t>Š.,  Opheim, A., Sharma-Haase, K., … Kunøe, N. (2017). The effectiveness of injectable extended-release naltrexone vs daily buprenorphine-naloxone for </w:t>
      </w:r>
      <w:r>
        <w:rPr>
          <w:color w:val="4C4D4F"/>
          <w:spacing w:val="-3"/>
          <w:w w:val="110"/>
          <w:sz w:val="18"/>
        </w:rPr>
        <w:t>opioid </w:t>
      </w:r>
      <w:r>
        <w:rPr>
          <w:color w:val="4C4D4F"/>
          <w:w w:val="110"/>
          <w:sz w:val="18"/>
        </w:rPr>
        <w:t>dependence: A randomized clinical noninferiority trial. </w:t>
      </w:r>
      <w:r>
        <w:rPr>
          <w:rFonts w:ascii="Arial" w:hAnsi="Arial"/>
          <w:i/>
          <w:color w:val="4C4D4F"/>
          <w:w w:val="110"/>
          <w:sz w:val="18"/>
        </w:rPr>
        <w:t>JAMA Psychiatry, 74</w:t>
      </w:r>
      <w:r>
        <w:rPr>
          <w:color w:val="4C4D4F"/>
          <w:w w:val="110"/>
          <w:sz w:val="18"/>
        </w:rPr>
        <w:t>(12),</w:t>
      </w:r>
      <w:r>
        <w:rPr>
          <w:color w:val="4C4D4F"/>
          <w:spacing w:val="-33"/>
          <w:w w:val="110"/>
          <w:sz w:val="18"/>
        </w:rPr>
        <w:t> </w:t>
      </w:r>
      <w:r>
        <w:rPr>
          <w:color w:val="4C4D4F"/>
          <w:w w:val="110"/>
          <w:sz w:val="18"/>
        </w:rPr>
        <w:t>1197–1205.</w:t>
      </w:r>
    </w:p>
    <w:p>
      <w:pPr>
        <w:pStyle w:val="ListParagraph"/>
        <w:numPr>
          <w:ilvl w:val="0"/>
          <w:numId w:val="51"/>
        </w:numPr>
        <w:tabs>
          <w:tab w:pos="500" w:val="left" w:leader="none"/>
        </w:tabs>
        <w:spacing w:line="247" w:lineRule="auto" w:before="76" w:after="0"/>
        <w:ind w:left="500" w:right="61" w:hanging="360"/>
        <w:jc w:val="left"/>
        <w:rPr>
          <w:color w:val="4C4D4F"/>
          <w:sz w:val="18"/>
        </w:rPr>
      </w:pPr>
      <w:r>
        <w:rPr>
          <w:color w:val="4C4D4F"/>
          <w:w w:val="110"/>
          <w:sz w:val="18"/>
        </w:rPr>
        <w:t>Department of Veterans Affairs &amp; Department of Defense.</w:t>
      </w:r>
      <w:r>
        <w:rPr>
          <w:color w:val="4C4D4F"/>
          <w:spacing w:val="-33"/>
          <w:w w:val="110"/>
          <w:sz w:val="18"/>
        </w:rPr>
        <w:t> </w:t>
      </w:r>
      <w:r>
        <w:rPr>
          <w:color w:val="4C4D4F"/>
          <w:w w:val="110"/>
          <w:sz w:val="18"/>
        </w:rPr>
        <w:t>(2015).</w:t>
      </w:r>
      <w:r>
        <w:rPr>
          <w:color w:val="4C4D4F"/>
          <w:spacing w:val="-32"/>
          <w:w w:val="110"/>
          <w:sz w:val="18"/>
        </w:rPr>
        <w:t> </w:t>
      </w:r>
      <w:r>
        <w:rPr>
          <w:rFonts w:ascii="Arial"/>
          <w:i/>
          <w:color w:val="4C4D4F"/>
          <w:w w:val="110"/>
          <w:sz w:val="18"/>
        </w:rPr>
        <w:t>VA/DoD</w:t>
      </w:r>
      <w:r>
        <w:rPr>
          <w:rFonts w:ascii="Arial"/>
          <w:i/>
          <w:color w:val="4C4D4F"/>
          <w:spacing w:val="-33"/>
          <w:w w:val="110"/>
          <w:sz w:val="18"/>
        </w:rPr>
        <w:t> </w:t>
      </w:r>
      <w:r>
        <w:rPr>
          <w:rFonts w:ascii="Arial"/>
          <w:i/>
          <w:color w:val="4C4D4F"/>
          <w:w w:val="110"/>
          <w:sz w:val="18"/>
        </w:rPr>
        <w:t>clinical</w:t>
      </w:r>
      <w:r>
        <w:rPr>
          <w:rFonts w:ascii="Arial"/>
          <w:i/>
          <w:color w:val="4C4D4F"/>
          <w:spacing w:val="-32"/>
          <w:w w:val="110"/>
          <w:sz w:val="18"/>
        </w:rPr>
        <w:t> </w:t>
      </w:r>
      <w:r>
        <w:rPr>
          <w:rFonts w:ascii="Arial"/>
          <w:i/>
          <w:color w:val="4C4D4F"/>
          <w:w w:val="110"/>
          <w:sz w:val="18"/>
        </w:rPr>
        <w:t>practice</w:t>
      </w:r>
      <w:r>
        <w:rPr>
          <w:rFonts w:ascii="Arial"/>
          <w:i/>
          <w:color w:val="4C4D4F"/>
          <w:spacing w:val="-33"/>
          <w:w w:val="110"/>
          <w:sz w:val="18"/>
        </w:rPr>
        <w:t> </w:t>
      </w:r>
      <w:r>
        <w:rPr>
          <w:rFonts w:ascii="Arial"/>
          <w:i/>
          <w:color w:val="4C4D4F"/>
          <w:w w:val="110"/>
          <w:sz w:val="18"/>
        </w:rPr>
        <w:t>guideline</w:t>
      </w:r>
      <w:r>
        <w:rPr>
          <w:rFonts w:ascii="Arial"/>
          <w:i/>
          <w:color w:val="4C4D4F"/>
          <w:spacing w:val="-32"/>
          <w:w w:val="110"/>
          <w:sz w:val="18"/>
        </w:rPr>
        <w:t> </w:t>
      </w:r>
      <w:r>
        <w:rPr>
          <w:rFonts w:ascii="Arial"/>
          <w:i/>
          <w:color w:val="4C4D4F"/>
          <w:w w:val="110"/>
          <w:sz w:val="18"/>
        </w:rPr>
        <w:t>for </w:t>
      </w:r>
      <w:r>
        <w:rPr>
          <w:rFonts w:ascii="Arial"/>
          <w:i/>
          <w:color w:val="4C4D4F"/>
          <w:w w:val="105"/>
          <w:sz w:val="18"/>
        </w:rPr>
        <w:t>the</w:t>
      </w:r>
      <w:r>
        <w:rPr>
          <w:rFonts w:ascii="Arial"/>
          <w:i/>
          <w:color w:val="4C4D4F"/>
          <w:spacing w:val="-23"/>
          <w:w w:val="105"/>
          <w:sz w:val="18"/>
        </w:rPr>
        <w:t> </w:t>
      </w:r>
      <w:r>
        <w:rPr>
          <w:rFonts w:ascii="Arial"/>
          <w:i/>
          <w:color w:val="4C4D4F"/>
          <w:w w:val="105"/>
          <w:sz w:val="18"/>
        </w:rPr>
        <w:t>management</w:t>
      </w:r>
      <w:r>
        <w:rPr>
          <w:rFonts w:ascii="Arial"/>
          <w:i/>
          <w:color w:val="4C4D4F"/>
          <w:spacing w:val="-22"/>
          <w:w w:val="105"/>
          <w:sz w:val="18"/>
        </w:rPr>
        <w:t> </w:t>
      </w:r>
      <w:r>
        <w:rPr>
          <w:rFonts w:ascii="Arial"/>
          <w:i/>
          <w:color w:val="4C4D4F"/>
          <w:w w:val="105"/>
          <w:sz w:val="18"/>
        </w:rPr>
        <w:t>of</w:t>
      </w:r>
      <w:r>
        <w:rPr>
          <w:rFonts w:ascii="Arial"/>
          <w:i/>
          <w:color w:val="4C4D4F"/>
          <w:spacing w:val="-23"/>
          <w:w w:val="105"/>
          <w:sz w:val="18"/>
        </w:rPr>
        <w:t> </w:t>
      </w:r>
      <w:r>
        <w:rPr>
          <w:rFonts w:ascii="Arial"/>
          <w:i/>
          <w:color w:val="4C4D4F"/>
          <w:w w:val="105"/>
          <w:sz w:val="18"/>
        </w:rPr>
        <w:t>substance</w:t>
      </w:r>
      <w:r>
        <w:rPr>
          <w:rFonts w:ascii="Arial"/>
          <w:i/>
          <w:color w:val="4C4D4F"/>
          <w:spacing w:val="-22"/>
          <w:w w:val="105"/>
          <w:sz w:val="18"/>
        </w:rPr>
        <w:t> </w:t>
      </w:r>
      <w:r>
        <w:rPr>
          <w:rFonts w:ascii="Arial"/>
          <w:i/>
          <w:color w:val="4C4D4F"/>
          <w:w w:val="105"/>
          <w:sz w:val="18"/>
        </w:rPr>
        <w:t>use</w:t>
      </w:r>
      <w:r>
        <w:rPr>
          <w:rFonts w:ascii="Arial"/>
          <w:i/>
          <w:color w:val="4C4D4F"/>
          <w:spacing w:val="-23"/>
          <w:w w:val="105"/>
          <w:sz w:val="18"/>
        </w:rPr>
        <w:t> </w:t>
      </w:r>
      <w:r>
        <w:rPr>
          <w:rFonts w:ascii="Arial"/>
          <w:i/>
          <w:color w:val="4C4D4F"/>
          <w:w w:val="105"/>
          <w:sz w:val="18"/>
        </w:rPr>
        <w:t>disorders.</w:t>
      </w:r>
      <w:r>
        <w:rPr>
          <w:rFonts w:ascii="Arial"/>
          <w:i/>
          <w:color w:val="4C4D4F"/>
          <w:spacing w:val="-23"/>
          <w:w w:val="105"/>
          <w:sz w:val="18"/>
        </w:rPr>
        <w:t> </w:t>
      </w:r>
      <w:r>
        <w:rPr>
          <w:color w:val="4C4D4F"/>
          <w:w w:val="105"/>
          <w:sz w:val="18"/>
        </w:rPr>
        <w:t>Retrieved </w:t>
      </w:r>
      <w:r>
        <w:rPr>
          <w:color w:val="4C4D4F"/>
          <w:w w:val="110"/>
          <w:sz w:val="18"/>
        </w:rPr>
        <w:t>October 16, 2017, from</w:t>
      </w:r>
      <w:r>
        <w:rPr>
          <w:color w:val="205E9E"/>
          <w:spacing w:val="-15"/>
          <w:w w:val="110"/>
          <w:sz w:val="18"/>
        </w:rPr>
        <w:t> </w:t>
      </w:r>
      <w:hyperlink r:id="rId93">
        <w:r>
          <w:rPr>
            <w:color w:val="205E9E"/>
            <w:w w:val="110"/>
            <w:sz w:val="18"/>
            <w:u w:val="single" w:color="205E9E"/>
          </w:rPr>
          <w:t>www.healthquality.va.gov</w:t>
        </w:r>
      </w:hyperlink>
    </w:p>
    <w:p>
      <w:pPr>
        <w:spacing w:before="1"/>
        <w:ind w:left="500" w:right="0" w:firstLine="0"/>
        <w:jc w:val="left"/>
        <w:rPr>
          <w:sz w:val="18"/>
        </w:rPr>
      </w:pPr>
      <w:r>
        <w:rPr>
          <w:color w:val="205E9E"/>
          <w:w w:val="110"/>
          <w:sz w:val="18"/>
          <w:u w:val="single" w:color="205E9E"/>
        </w:rPr>
        <w:t>/guidelines/MH/sud/VADoDSUDCPGRevised22216.pdf</w:t>
      </w:r>
    </w:p>
    <w:p>
      <w:pPr>
        <w:pStyle w:val="ListParagraph"/>
        <w:numPr>
          <w:ilvl w:val="0"/>
          <w:numId w:val="51"/>
        </w:numPr>
        <w:tabs>
          <w:tab w:pos="500" w:val="left" w:leader="none"/>
        </w:tabs>
        <w:spacing w:line="247" w:lineRule="auto" w:before="79" w:after="0"/>
        <w:ind w:left="500" w:right="378" w:hanging="360"/>
        <w:jc w:val="left"/>
        <w:rPr>
          <w:color w:val="4C4D4F"/>
          <w:sz w:val="18"/>
        </w:rPr>
      </w:pPr>
      <w:r>
        <w:rPr>
          <w:color w:val="4C4D4F"/>
          <w:w w:val="110"/>
          <w:sz w:val="18"/>
        </w:rPr>
        <w:t>Sees, K. L., Delucchi, K. L., Masson, C., Rosen, A., Clark, H. </w:t>
      </w:r>
      <w:r>
        <w:rPr>
          <w:color w:val="4C4D4F"/>
          <w:spacing w:val="-5"/>
          <w:w w:val="110"/>
          <w:sz w:val="18"/>
        </w:rPr>
        <w:t>W., </w:t>
      </w:r>
      <w:r>
        <w:rPr>
          <w:color w:val="4C4D4F"/>
          <w:w w:val="110"/>
          <w:sz w:val="18"/>
        </w:rPr>
        <w:t>Robillard, H., … Hall, S. M. (2000). Methadone maintenance vs 180-day psychosocially enriched detoxiﬁcation for treatment of opioid dependence: A randomized controlled trial. </w:t>
      </w:r>
      <w:r>
        <w:rPr>
          <w:rFonts w:ascii="Arial" w:hAnsi="Arial"/>
          <w:i/>
          <w:color w:val="4C4D4F"/>
          <w:spacing w:val="-4"/>
          <w:w w:val="110"/>
          <w:sz w:val="18"/>
        </w:rPr>
        <w:t>JAMA, </w:t>
      </w:r>
      <w:r>
        <w:rPr>
          <w:rFonts w:ascii="Arial" w:hAnsi="Arial"/>
          <w:i/>
          <w:color w:val="4C4D4F"/>
          <w:w w:val="110"/>
          <w:sz w:val="18"/>
        </w:rPr>
        <w:t>283</w:t>
      </w:r>
      <w:r>
        <w:rPr>
          <w:color w:val="4C4D4F"/>
          <w:w w:val="110"/>
          <w:sz w:val="18"/>
        </w:rPr>
        <w:t>(10),</w:t>
      </w:r>
      <w:r>
        <w:rPr>
          <w:color w:val="4C4D4F"/>
          <w:spacing w:val="-6"/>
          <w:w w:val="110"/>
          <w:sz w:val="18"/>
        </w:rPr>
        <w:t> </w:t>
      </w:r>
      <w:r>
        <w:rPr>
          <w:color w:val="4C4D4F"/>
          <w:w w:val="110"/>
          <w:sz w:val="18"/>
        </w:rPr>
        <w:t>1303–1310.</w:t>
      </w:r>
    </w:p>
    <w:p>
      <w:pPr>
        <w:pStyle w:val="ListParagraph"/>
        <w:numPr>
          <w:ilvl w:val="0"/>
          <w:numId w:val="51"/>
        </w:numPr>
        <w:tabs>
          <w:tab w:pos="500" w:val="left" w:leader="none"/>
        </w:tabs>
        <w:spacing w:line="247" w:lineRule="auto" w:before="75" w:after="0"/>
        <w:ind w:left="500" w:right="38" w:hanging="360"/>
        <w:jc w:val="left"/>
        <w:rPr>
          <w:color w:val="4C4D4F"/>
          <w:sz w:val="18"/>
        </w:rPr>
      </w:pPr>
      <w:r>
        <w:rPr>
          <w:color w:val="4C4D4F"/>
          <w:w w:val="110"/>
          <w:sz w:val="18"/>
        </w:rPr>
        <w:t>Weiss, R. D., </w:t>
      </w:r>
      <w:r>
        <w:rPr>
          <w:color w:val="4C4D4F"/>
          <w:spacing w:val="-3"/>
          <w:w w:val="110"/>
          <w:sz w:val="18"/>
        </w:rPr>
        <w:t>Potter, </w:t>
      </w:r>
      <w:r>
        <w:rPr>
          <w:color w:val="4C4D4F"/>
          <w:w w:val="130"/>
          <w:sz w:val="18"/>
        </w:rPr>
        <w:t>J. </w:t>
      </w:r>
      <w:r>
        <w:rPr>
          <w:color w:val="4C4D4F"/>
          <w:w w:val="110"/>
          <w:sz w:val="18"/>
        </w:rPr>
        <w:t>S., Fiellin, D. A., Byrne, M., Connery, H. S., Dickinson, </w:t>
      </w:r>
      <w:r>
        <w:rPr>
          <w:color w:val="4C4D4F"/>
          <w:spacing w:val="-5"/>
          <w:w w:val="110"/>
          <w:sz w:val="18"/>
        </w:rPr>
        <w:t>W., </w:t>
      </w:r>
      <w:r>
        <w:rPr>
          <w:color w:val="4C4D4F"/>
          <w:w w:val="110"/>
          <w:sz w:val="18"/>
        </w:rPr>
        <w:t>… Ling, </w:t>
      </w:r>
      <w:r>
        <w:rPr>
          <w:color w:val="4C4D4F"/>
          <w:spacing w:val="-7"/>
          <w:w w:val="110"/>
          <w:sz w:val="18"/>
        </w:rPr>
        <w:t>W. </w:t>
      </w:r>
      <w:r>
        <w:rPr>
          <w:color w:val="4C4D4F"/>
          <w:w w:val="110"/>
          <w:sz w:val="18"/>
        </w:rPr>
        <w:t>(2011). Adjunctive counseling during brief and extended buprenorphine-naloxone treatment for prescription opioid dependence: A 2-phase randomized controlled </w:t>
      </w:r>
      <w:r>
        <w:rPr>
          <w:color w:val="4C4D4F"/>
          <w:w w:val="105"/>
          <w:sz w:val="18"/>
        </w:rPr>
        <w:t>trial.</w:t>
      </w:r>
      <w:r>
        <w:rPr>
          <w:color w:val="4C4D4F"/>
          <w:spacing w:val="-21"/>
          <w:w w:val="105"/>
          <w:sz w:val="18"/>
        </w:rPr>
        <w:t> </w:t>
      </w:r>
      <w:r>
        <w:rPr>
          <w:rFonts w:ascii="Arial" w:hAnsi="Arial"/>
          <w:i/>
          <w:color w:val="4C4D4F"/>
          <w:w w:val="105"/>
          <w:sz w:val="18"/>
        </w:rPr>
        <w:t>Archives</w:t>
      </w:r>
      <w:r>
        <w:rPr>
          <w:rFonts w:ascii="Arial" w:hAnsi="Arial"/>
          <w:i/>
          <w:color w:val="4C4D4F"/>
          <w:spacing w:val="-21"/>
          <w:w w:val="105"/>
          <w:sz w:val="18"/>
        </w:rPr>
        <w:t> </w:t>
      </w:r>
      <w:r>
        <w:rPr>
          <w:rFonts w:ascii="Arial" w:hAnsi="Arial"/>
          <w:i/>
          <w:color w:val="4C4D4F"/>
          <w:w w:val="105"/>
          <w:sz w:val="18"/>
        </w:rPr>
        <w:t>of</w:t>
      </w:r>
      <w:r>
        <w:rPr>
          <w:rFonts w:ascii="Arial" w:hAnsi="Arial"/>
          <w:i/>
          <w:color w:val="4C4D4F"/>
          <w:spacing w:val="-21"/>
          <w:w w:val="105"/>
          <w:sz w:val="18"/>
        </w:rPr>
        <w:t> </w:t>
      </w:r>
      <w:r>
        <w:rPr>
          <w:rFonts w:ascii="Arial" w:hAnsi="Arial"/>
          <w:i/>
          <w:color w:val="4C4D4F"/>
          <w:w w:val="105"/>
          <w:sz w:val="18"/>
        </w:rPr>
        <w:t>General</w:t>
      </w:r>
      <w:r>
        <w:rPr>
          <w:rFonts w:ascii="Arial" w:hAnsi="Arial"/>
          <w:i/>
          <w:color w:val="4C4D4F"/>
          <w:spacing w:val="-21"/>
          <w:w w:val="105"/>
          <w:sz w:val="18"/>
        </w:rPr>
        <w:t> </w:t>
      </w:r>
      <w:r>
        <w:rPr>
          <w:rFonts w:ascii="Arial" w:hAnsi="Arial"/>
          <w:i/>
          <w:color w:val="4C4D4F"/>
          <w:w w:val="105"/>
          <w:sz w:val="18"/>
        </w:rPr>
        <w:t>Psychiatry,</w:t>
      </w:r>
      <w:r>
        <w:rPr>
          <w:rFonts w:ascii="Arial" w:hAnsi="Arial"/>
          <w:i/>
          <w:color w:val="4C4D4F"/>
          <w:spacing w:val="-21"/>
          <w:w w:val="105"/>
          <w:sz w:val="18"/>
        </w:rPr>
        <w:t> </w:t>
      </w:r>
      <w:r>
        <w:rPr>
          <w:rFonts w:ascii="Arial" w:hAnsi="Arial"/>
          <w:i/>
          <w:color w:val="4C4D4F"/>
          <w:w w:val="105"/>
          <w:sz w:val="18"/>
        </w:rPr>
        <w:t>68</w:t>
      </w:r>
      <w:r>
        <w:rPr>
          <w:color w:val="4C4D4F"/>
          <w:w w:val="105"/>
          <w:sz w:val="18"/>
        </w:rPr>
        <w:t>(12),</w:t>
      </w:r>
      <w:r>
        <w:rPr>
          <w:color w:val="4C4D4F"/>
          <w:spacing w:val="-21"/>
          <w:w w:val="105"/>
          <w:sz w:val="18"/>
        </w:rPr>
        <w:t> </w:t>
      </w:r>
      <w:r>
        <w:rPr>
          <w:color w:val="4C4D4F"/>
          <w:w w:val="105"/>
          <w:sz w:val="18"/>
        </w:rPr>
        <w:t>1238–1246.</w:t>
      </w:r>
    </w:p>
    <w:p>
      <w:pPr>
        <w:pStyle w:val="ListParagraph"/>
        <w:numPr>
          <w:ilvl w:val="0"/>
          <w:numId w:val="51"/>
        </w:numPr>
        <w:tabs>
          <w:tab w:pos="500" w:val="left" w:leader="none"/>
        </w:tabs>
        <w:spacing w:line="247" w:lineRule="auto" w:before="76" w:after="0"/>
        <w:ind w:left="500" w:right="131" w:hanging="360"/>
        <w:jc w:val="left"/>
        <w:rPr>
          <w:color w:val="4C4D4F"/>
          <w:sz w:val="18"/>
        </w:rPr>
      </w:pPr>
      <w:r>
        <w:rPr>
          <w:color w:val="4C4D4F"/>
          <w:w w:val="115"/>
          <w:sz w:val="18"/>
        </w:rPr>
        <w:t>Lee,</w:t>
      </w:r>
      <w:r>
        <w:rPr>
          <w:color w:val="4C4D4F"/>
          <w:spacing w:val="-18"/>
          <w:w w:val="115"/>
          <w:sz w:val="18"/>
        </w:rPr>
        <w:t> </w:t>
      </w:r>
      <w:r>
        <w:rPr>
          <w:color w:val="4C4D4F"/>
          <w:w w:val="135"/>
          <w:sz w:val="18"/>
        </w:rPr>
        <w:t>J.</w:t>
      </w:r>
      <w:r>
        <w:rPr>
          <w:color w:val="4C4D4F"/>
          <w:spacing w:val="-27"/>
          <w:w w:val="135"/>
          <w:sz w:val="18"/>
        </w:rPr>
        <w:t> </w:t>
      </w:r>
      <w:r>
        <w:rPr>
          <w:color w:val="4C4D4F"/>
          <w:w w:val="115"/>
          <w:sz w:val="18"/>
        </w:rPr>
        <w:t>D.,</w:t>
      </w:r>
      <w:r>
        <w:rPr>
          <w:color w:val="4C4D4F"/>
          <w:spacing w:val="-18"/>
          <w:w w:val="115"/>
          <w:sz w:val="18"/>
        </w:rPr>
        <w:t> </w:t>
      </w:r>
      <w:r>
        <w:rPr>
          <w:color w:val="4C4D4F"/>
          <w:w w:val="115"/>
          <w:sz w:val="18"/>
        </w:rPr>
        <w:t>Friedmann,</w:t>
      </w:r>
      <w:r>
        <w:rPr>
          <w:color w:val="4C4D4F"/>
          <w:spacing w:val="-17"/>
          <w:w w:val="115"/>
          <w:sz w:val="18"/>
        </w:rPr>
        <w:t> P. </w:t>
      </w:r>
      <w:r>
        <w:rPr>
          <w:color w:val="4C4D4F"/>
          <w:w w:val="115"/>
          <w:sz w:val="18"/>
        </w:rPr>
        <w:t>D.,</w:t>
      </w:r>
      <w:r>
        <w:rPr>
          <w:color w:val="4C4D4F"/>
          <w:spacing w:val="-18"/>
          <w:w w:val="115"/>
          <w:sz w:val="18"/>
        </w:rPr>
        <w:t> </w:t>
      </w:r>
      <w:r>
        <w:rPr>
          <w:color w:val="4C4D4F"/>
          <w:w w:val="115"/>
          <w:sz w:val="18"/>
        </w:rPr>
        <w:t>Kinlock,</w:t>
      </w:r>
      <w:r>
        <w:rPr>
          <w:color w:val="4C4D4F"/>
          <w:spacing w:val="-17"/>
          <w:w w:val="115"/>
          <w:sz w:val="18"/>
        </w:rPr>
        <w:t> </w:t>
      </w:r>
      <w:r>
        <w:rPr>
          <w:color w:val="4C4D4F"/>
          <w:spacing w:val="-10"/>
          <w:w w:val="115"/>
          <w:sz w:val="18"/>
        </w:rPr>
        <w:t>T.</w:t>
      </w:r>
      <w:r>
        <w:rPr>
          <w:color w:val="4C4D4F"/>
          <w:spacing w:val="-17"/>
          <w:w w:val="115"/>
          <w:sz w:val="18"/>
        </w:rPr>
        <w:t> </w:t>
      </w:r>
      <w:r>
        <w:rPr>
          <w:color w:val="4C4D4F"/>
          <w:spacing w:val="-5"/>
          <w:w w:val="115"/>
          <w:sz w:val="18"/>
        </w:rPr>
        <w:t>W.,</w:t>
      </w:r>
      <w:r>
        <w:rPr>
          <w:color w:val="4C4D4F"/>
          <w:spacing w:val="-18"/>
          <w:w w:val="115"/>
          <w:sz w:val="18"/>
        </w:rPr>
        <w:t> </w:t>
      </w:r>
      <w:r>
        <w:rPr>
          <w:color w:val="4C4D4F"/>
          <w:w w:val="115"/>
          <w:sz w:val="18"/>
        </w:rPr>
        <w:t>Nunes,</w:t>
      </w:r>
      <w:r>
        <w:rPr>
          <w:color w:val="4C4D4F"/>
          <w:spacing w:val="-17"/>
          <w:w w:val="115"/>
          <w:sz w:val="18"/>
        </w:rPr>
        <w:t> </w:t>
      </w:r>
      <w:r>
        <w:rPr>
          <w:color w:val="4C4D4F"/>
          <w:w w:val="115"/>
          <w:sz w:val="18"/>
        </w:rPr>
        <w:t>E. </w:t>
      </w:r>
      <w:r>
        <w:rPr>
          <w:color w:val="4C4D4F"/>
          <w:spacing w:val="-8"/>
          <w:w w:val="115"/>
          <w:sz w:val="18"/>
        </w:rPr>
        <w:t>V.,</w:t>
      </w:r>
      <w:r>
        <w:rPr>
          <w:color w:val="4C4D4F"/>
          <w:spacing w:val="-19"/>
          <w:w w:val="115"/>
          <w:sz w:val="18"/>
        </w:rPr>
        <w:t> </w:t>
      </w:r>
      <w:r>
        <w:rPr>
          <w:color w:val="4C4D4F"/>
          <w:spacing w:val="-3"/>
          <w:w w:val="115"/>
          <w:sz w:val="18"/>
        </w:rPr>
        <w:t>Boney,</w:t>
      </w:r>
      <w:r>
        <w:rPr>
          <w:color w:val="4C4D4F"/>
          <w:spacing w:val="-18"/>
          <w:w w:val="115"/>
          <w:sz w:val="18"/>
        </w:rPr>
        <w:t> </w:t>
      </w:r>
      <w:r>
        <w:rPr>
          <w:color w:val="4C4D4F"/>
          <w:spacing w:val="-10"/>
          <w:w w:val="115"/>
          <w:sz w:val="18"/>
        </w:rPr>
        <w:t>T.</w:t>
      </w:r>
      <w:r>
        <w:rPr>
          <w:color w:val="4C4D4F"/>
          <w:spacing w:val="-19"/>
          <w:w w:val="115"/>
          <w:sz w:val="18"/>
        </w:rPr>
        <w:t> </w:t>
      </w:r>
      <w:r>
        <w:rPr>
          <w:color w:val="4C4D4F"/>
          <w:spacing w:val="-9"/>
          <w:w w:val="115"/>
          <w:sz w:val="18"/>
        </w:rPr>
        <w:t>Y.,</w:t>
      </w:r>
      <w:r>
        <w:rPr>
          <w:color w:val="4C4D4F"/>
          <w:spacing w:val="-18"/>
          <w:w w:val="115"/>
          <w:sz w:val="18"/>
        </w:rPr>
        <w:t> </w:t>
      </w:r>
      <w:r>
        <w:rPr>
          <w:color w:val="4C4D4F"/>
          <w:w w:val="115"/>
          <w:sz w:val="18"/>
        </w:rPr>
        <w:t>Hoskinson,</w:t>
      </w:r>
      <w:r>
        <w:rPr>
          <w:color w:val="4C4D4F"/>
          <w:spacing w:val="-18"/>
          <w:w w:val="115"/>
          <w:sz w:val="18"/>
        </w:rPr>
        <w:t> </w:t>
      </w:r>
      <w:r>
        <w:rPr>
          <w:color w:val="4C4D4F"/>
          <w:w w:val="115"/>
          <w:sz w:val="18"/>
        </w:rPr>
        <w:t>R.</w:t>
      </w:r>
      <w:r>
        <w:rPr>
          <w:color w:val="4C4D4F"/>
          <w:spacing w:val="-19"/>
          <w:w w:val="115"/>
          <w:sz w:val="18"/>
        </w:rPr>
        <w:t> </w:t>
      </w:r>
      <w:r>
        <w:rPr>
          <w:color w:val="4C4D4F"/>
          <w:w w:val="115"/>
          <w:sz w:val="18"/>
        </w:rPr>
        <w:t>A.,</w:t>
      </w:r>
      <w:r>
        <w:rPr>
          <w:color w:val="4C4D4F"/>
          <w:spacing w:val="-18"/>
          <w:w w:val="115"/>
          <w:sz w:val="18"/>
        </w:rPr>
        <w:t> </w:t>
      </w:r>
      <w:r>
        <w:rPr>
          <w:color w:val="4C4D4F"/>
          <w:spacing w:val="-5"/>
          <w:w w:val="115"/>
          <w:sz w:val="18"/>
        </w:rPr>
        <w:t>Jr.,</w:t>
      </w:r>
      <w:r>
        <w:rPr>
          <w:color w:val="4C4D4F"/>
          <w:spacing w:val="-18"/>
          <w:w w:val="115"/>
          <w:sz w:val="18"/>
        </w:rPr>
        <w:t> </w:t>
      </w:r>
      <w:r>
        <w:rPr>
          <w:color w:val="4C4D4F"/>
          <w:w w:val="115"/>
          <w:sz w:val="18"/>
        </w:rPr>
        <w:t>…</w:t>
      </w:r>
      <w:r>
        <w:rPr>
          <w:color w:val="4C4D4F"/>
          <w:spacing w:val="-19"/>
          <w:w w:val="115"/>
          <w:sz w:val="18"/>
        </w:rPr>
        <w:t> </w:t>
      </w:r>
      <w:r>
        <w:rPr>
          <w:color w:val="4C4D4F"/>
          <w:w w:val="115"/>
          <w:sz w:val="18"/>
        </w:rPr>
        <w:t>O’Brien,</w:t>
      </w:r>
      <w:r>
        <w:rPr>
          <w:color w:val="4C4D4F"/>
          <w:spacing w:val="-18"/>
          <w:w w:val="115"/>
          <w:sz w:val="18"/>
        </w:rPr>
        <w:t> </w:t>
      </w:r>
      <w:r>
        <w:rPr>
          <w:color w:val="4C4D4F"/>
          <w:w w:val="115"/>
          <w:sz w:val="18"/>
        </w:rPr>
        <w:t>C.</w:t>
      </w:r>
      <w:r>
        <w:rPr>
          <w:color w:val="4C4D4F"/>
          <w:spacing w:val="-19"/>
          <w:w w:val="115"/>
          <w:sz w:val="18"/>
        </w:rPr>
        <w:t> </w:t>
      </w:r>
      <w:r>
        <w:rPr>
          <w:color w:val="4C4D4F"/>
          <w:spacing w:val="-17"/>
          <w:w w:val="115"/>
          <w:sz w:val="18"/>
        </w:rPr>
        <w:t>P. </w:t>
      </w:r>
      <w:r>
        <w:rPr>
          <w:color w:val="4C4D4F"/>
          <w:w w:val="115"/>
          <w:sz w:val="18"/>
        </w:rPr>
        <w:t>(2016).</w:t>
      </w:r>
      <w:r>
        <w:rPr>
          <w:color w:val="4C4D4F"/>
          <w:spacing w:val="-40"/>
          <w:w w:val="115"/>
          <w:sz w:val="18"/>
        </w:rPr>
        <w:t> </w:t>
      </w:r>
      <w:r>
        <w:rPr>
          <w:color w:val="4C4D4F"/>
          <w:w w:val="115"/>
          <w:sz w:val="18"/>
        </w:rPr>
        <w:t>Extended-release</w:t>
      </w:r>
      <w:r>
        <w:rPr>
          <w:color w:val="4C4D4F"/>
          <w:spacing w:val="-40"/>
          <w:w w:val="115"/>
          <w:sz w:val="18"/>
        </w:rPr>
        <w:t> </w:t>
      </w:r>
      <w:r>
        <w:rPr>
          <w:color w:val="4C4D4F"/>
          <w:w w:val="115"/>
          <w:sz w:val="18"/>
        </w:rPr>
        <w:t>naltrexone</w:t>
      </w:r>
      <w:r>
        <w:rPr>
          <w:color w:val="4C4D4F"/>
          <w:spacing w:val="-40"/>
          <w:w w:val="115"/>
          <w:sz w:val="18"/>
        </w:rPr>
        <w:t> </w:t>
      </w:r>
      <w:r>
        <w:rPr>
          <w:color w:val="4C4D4F"/>
          <w:w w:val="115"/>
          <w:sz w:val="18"/>
        </w:rPr>
        <w:t>to</w:t>
      </w:r>
      <w:r>
        <w:rPr>
          <w:color w:val="4C4D4F"/>
          <w:spacing w:val="-39"/>
          <w:w w:val="115"/>
          <w:sz w:val="18"/>
        </w:rPr>
        <w:t> </w:t>
      </w:r>
      <w:r>
        <w:rPr>
          <w:color w:val="4C4D4F"/>
          <w:w w:val="115"/>
          <w:sz w:val="18"/>
        </w:rPr>
        <w:t>prevent</w:t>
      </w:r>
      <w:r>
        <w:rPr>
          <w:color w:val="4C4D4F"/>
          <w:spacing w:val="-40"/>
          <w:w w:val="115"/>
          <w:sz w:val="18"/>
        </w:rPr>
        <w:t> </w:t>
      </w:r>
      <w:r>
        <w:rPr>
          <w:color w:val="4C4D4F"/>
          <w:spacing w:val="-3"/>
          <w:w w:val="115"/>
          <w:sz w:val="18"/>
        </w:rPr>
        <w:t>opioid </w:t>
      </w:r>
      <w:r>
        <w:rPr>
          <w:color w:val="4C4D4F"/>
          <w:w w:val="115"/>
          <w:sz w:val="18"/>
        </w:rPr>
        <w:t>relapse in criminal justice offenders. </w:t>
      </w:r>
      <w:r>
        <w:rPr>
          <w:rFonts w:ascii="Arial" w:hAnsi="Arial"/>
          <w:i/>
          <w:color w:val="4C4D4F"/>
          <w:w w:val="115"/>
          <w:sz w:val="18"/>
        </w:rPr>
        <w:t>New England </w:t>
      </w:r>
      <w:r>
        <w:rPr>
          <w:rFonts w:ascii="Arial" w:hAnsi="Arial"/>
          <w:i/>
          <w:color w:val="4C4D4F"/>
          <w:w w:val="115"/>
          <w:sz w:val="18"/>
        </w:rPr>
        <w:t>Journal</w:t>
      </w:r>
      <w:r>
        <w:rPr>
          <w:rFonts w:ascii="Arial" w:hAnsi="Arial"/>
          <w:i/>
          <w:color w:val="4C4D4F"/>
          <w:spacing w:val="-20"/>
          <w:w w:val="115"/>
          <w:sz w:val="18"/>
        </w:rPr>
        <w:t> </w:t>
      </w:r>
      <w:r>
        <w:rPr>
          <w:rFonts w:ascii="Arial" w:hAnsi="Arial"/>
          <w:i/>
          <w:color w:val="4C4D4F"/>
          <w:w w:val="115"/>
          <w:sz w:val="18"/>
        </w:rPr>
        <w:t>of</w:t>
      </w:r>
      <w:r>
        <w:rPr>
          <w:rFonts w:ascii="Arial" w:hAnsi="Arial"/>
          <w:i/>
          <w:color w:val="4C4D4F"/>
          <w:spacing w:val="-20"/>
          <w:w w:val="115"/>
          <w:sz w:val="18"/>
        </w:rPr>
        <w:t> </w:t>
      </w:r>
      <w:r>
        <w:rPr>
          <w:rFonts w:ascii="Arial" w:hAnsi="Arial"/>
          <w:i/>
          <w:color w:val="4C4D4F"/>
          <w:w w:val="115"/>
          <w:sz w:val="18"/>
        </w:rPr>
        <w:t>Medicine,</w:t>
      </w:r>
      <w:r>
        <w:rPr>
          <w:rFonts w:ascii="Arial" w:hAnsi="Arial"/>
          <w:i/>
          <w:color w:val="4C4D4F"/>
          <w:spacing w:val="-19"/>
          <w:w w:val="115"/>
          <w:sz w:val="18"/>
        </w:rPr>
        <w:t> </w:t>
      </w:r>
      <w:r>
        <w:rPr>
          <w:rFonts w:ascii="Arial" w:hAnsi="Arial"/>
          <w:i/>
          <w:color w:val="4C4D4F"/>
          <w:w w:val="115"/>
          <w:sz w:val="18"/>
        </w:rPr>
        <w:t>374</w:t>
      </w:r>
      <w:r>
        <w:rPr>
          <w:color w:val="4C4D4F"/>
          <w:w w:val="115"/>
          <w:sz w:val="18"/>
        </w:rPr>
        <w:t>(13),</w:t>
      </w:r>
      <w:r>
        <w:rPr>
          <w:color w:val="4C4D4F"/>
          <w:spacing w:val="-20"/>
          <w:w w:val="115"/>
          <w:sz w:val="18"/>
        </w:rPr>
        <w:t> </w:t>
      </w:r>
      <w:r>
        <w:rPr>
          <w:color w:val="4C4D4F"/>
          <w:w w:val="115"/>
          <w:sz w:val="18"/>
        </w:rPr>
        <w:t>1232–1242.</w:t>
      </w:r>
    </w:p>
    <w:p>
      <w:pPr>
        <w:pStyle w:val="ListParagraph"/>
        <w:numPr>
          <w:ilvl w:val="0"/>
          <w:numId w:val="51"/>
        </w:numPr>
        <w:tabs>
          <w:tab w:pos="500" w:val="left" w:leader="none"/>
        </w:tabs>
        <w:spacing w:line="247" w:lineRule="auto" w:before="74" w:after="0"/>
        <w:ind w:left="500" w:right="215" w:hanging="360"/>
        <w:jc w:val="left"/>
        <w:rPr>
          <w:color w:val="4C4D4F"/>
          <w:sz w:val="18"/>
        </w:rPr>
      </w:pPr>
      <w:r>
        <w:rPr>
          <w:color w:val="4C4D4F"/>
          <w:w w:val="110"/>
          <w:sz w:val="18"/>
        </w:rPr>
        <w:t>Gowing, L., Ali, R., White, </w:t>
      </w:r>
      <w:r>
        <w:rPr>
          <w:color w:val="4C4D4F"/>
          <w:w w:val="135"/>
          <w:sz w:val="18"/>
        </w:rPr>
        <w:t>J. </w:t>
      </w:r>
      <w:r>
        <w:rPr>
          <w:color w:val="4C4D4F"/>
          <w:w w:val="110"/>
          <w:sz w:val="18"/>
        </w:rPr>
        <w:t>M., &amp; Mbewe, D. </w:t>
      </w:r>
      <w:r>
        <w:rPr>
          <w:color w:val="4C4D4F"/>
          <w:spacing w:val="-3"/>
          <w:w w:val="110"/>
          <w:sz w:val="18"/>
        </w:rPr>
        <w:t>(2017). </w:t>
      </w:r>
      <w:r>
        <w:rPr>
          <w:color w:val="4C4D4F"/>
          <w:w w:val="110"/>
          <w:sz w:val="18"/>
        </w:rPr>
        <w:t>Buprenorphine for managing opioid withdrawal. </w:t>
      </w:r>
      <w:r>
        <w:rPr>
          <w:rFonts w:ascii="Arial"/>
          <w:i/>
          <w:color w:val="4C4D4F"/>
          <w:w w:val="105"/>
          <w:sz w:val="18"/>
        </w:rPr>
        <w:t>Cochrane</w:t>
      </w:r>
      <w:r>
        <w:rPr>
          <w:rFonts w:ascii="Arial"/>
          <w:i/>
          <w:color w:val="4C4D4F"/>
          <w:spacing w:val="-34"/>
          <w:w w:val="105"/>
          <w:sz w:val="18"/>
        </w:rPr>
        <w:t> </w:t>
      </w:r>
      <w:r>
        <w:rPr>
          <w:rFonts w:ascii="Arial"/>
          <w:i/>
          <w:color w:val="4C4D4F"/>
          <w:w w:val="105"/>
          <w:sz w:val="18"/>
        </w:rPr>
        <w:t>Database</w:t>
      </w:r>
      <w:r>
        <w:rPr>
          <w:rFonts w:ascii="Arial"/>
          <w:i/>
          <w:color w:val="4C4D4F"/>
          <w:spacing w:val="-33"/>
          <w:w w:val="105"/>
          <w:sz w:val="18"/>
        </w:rPr>
        <w:t> </w:t>
      </w:r>
      <w:r>
        <w:rPr>
          <w:rFonts w:ascii="Arial"/>
          <w:i/>
          <w:color w:val="4C4D4F"/>
          <w:w w:val="105"/>
          <w:sz w:val="18"/>
        </w:rPr>
        <w:t>of</w:t>
      </w:r>
      <w:r>
        <w:rPr>
          <w:rFonts w:ascii="Arial"/>
          <w:i/>
          <w:color w:val="4C4D4F"/>
          <w:spacing w:val="-33"/>
          <w:w w:val="105"/>
          <w:sz w:val="18"/>
        </w:rPr>
        <w:t> </w:t>
      </w:r>
      <w:r>
        <w:rPr>
          <w:rFonts w:ascii="Arial"/>
          <w:i/>
          <w:color w:val="4C4D4F"/>
          <w:w w:val="105"/>
          <w:sz w:val="18"/>
        </w:rPr>
        <w:t>Systematic</w:t>
      </w:r>
      <w:r>
        <w:rPr>
          <w:rFonts w:ascii="Arial"/>
          <w:i/>
          <w:color w:val="4C4D4F"/>
          <w:spacing w:val="-33"/>
          <w:w w:val="105"/>
          <w:sz w:val="18"/>
        </w:rPr>
        <w:t> </w:t>
      </w:r>
      <w:r>
        <w:rPr>
          <w:rFonts w:ascii="Arial"/>
          <w:i/>
          <w:color w:val="4C4D4F"/>
          <w:w w:val="105"/>
          <w:sz w:val="18"/>
        </w:rPr>
        <w:t>Reviews,</w:t>
      </w:r>
      <w:r>
        <w:rPr>
          <w:rFonts w:ascii="Arial"/>
          <w:i/>
          <w:color w:val="4C4D4F"/>
          <w:spacing w:val="-34"/>
          <w:w w:val="105"/>
          <w:sz w:val="18"/>
        </w:rPr>
        <w:t> </w:t>
      </w:r>
      <w:r>
        <w:rPr>
          <w:rFonts w:ascii="Arial"/>
          <w:i/>
          <w:color w:val="4C4D4F"/>
          <w:w w:val="105"/>
          <w:sz w:val="18"/>
        </w:rPr>
        <w:t>2017</w:t>
      </w:r>
      <w:r>
        <w:rPr>
          <w:color w:val="4C4D4F"/>
          <w:w w:val="105"/>
          <w:sz w:val="18"/>
        </w:rPr>
        <w:t>(2). </w:t>
      </w:r>
      <w:r>
        <w:rPr>
          <w:color w:val="4C4D4F"/>
          <w:w w:val="110"/>
          <w:sz w:val="18"/>
        </w:rPr>
        <w:t>CD002025.</w:t>
      </w:r>
    </w:p>
    <w:p>
      <w:pPr>
        <w:pStyle w:val="ListParagraph"/>
        <w:numPr>
          <w:ilvl w:val="0"/>
          <w:numId w:val="51"/>
        </w:numPr>
        <w:tabs>
          <w:tab w:pos="500" w:val="left" w:leader="none"/>
        </w:tabs>
        <w:spacing w:line="247" w:lineRule="auto" w:before="75" w:after="0"/>
        <w:ind w:left="500" w:right="221" w:hanging="360"/>
        <w:jc w:val="left"/>
        <w:rPr>
          <w:color w:val="4C4D4F"/>
          <w:sz w:val="18"/>
        </w:rPr>
      </w:pPr>
      <w:r>
        <w:rPr>
          <w:color w:val="4C4D4F"/>
          <w:w w:val="110"/>
          <w:sz w:val="18"/>
        </w:rPr>
        <w:t>Degenhardt, L., Randall, D., Hall, </w:t>
      </w:r>
      <w:r>
        <w:rPr>
          <w:color w:val="4C4D4F"/>
          <w:spacing w:val="-5"/>
          <w:w w:val="110"/>
          <w:sz w:val="18"/>
        </w:rPr>
        <w:t>W., </w:t>
      </w:r>
      <w:r>
        <w:rPr>
          <w:color w:val="4C4D4F"/>
          <w:spacing w:val="-3"/>
          <w:w w:val="110"/>
          <w:sz w:val="18"/>
        </w:rPr>
        <w:t>Law, </w:t>
      </w:r>
      <w:r>
        <w:rPr>
          <w:color w:val="4C4D4F"/>
          <w:w w:val="110"/>
          <w:sz w:val="18"/>
        </w:rPr>
        <w:t>M., </w:t>
      </w:r>
      <w:r>
        <w:rPr>
          <w:color w:val="4C4D4F"/>
          <w:spacing w:val="-3"/>
          <w:w w:val="110"/>
          <w:sz w:val="18"/>
        </w:rPr>
        <w:t>Butler, </w:t>
      </w:r>
      <w:r>
        <w:rPr>
          <w:color w:val="4C4D4F"/>
          <w:spacing w:val="-7"/>
          <w:w w:val="110"/>
          <w:sz w:val="18"/>
        </w:rPr>
        <w:t>T., </w:t>
      </w:r>
      <w:r>
        <w:rPr>
          <w:color w:val="4C4D4F"/>
          <w:w w:val="110"/>
          <w:sz w:val="18"/>
        </w:rPr>
        <w:t>&amp; Burns, L. (2009). Mortality among clients of a state-wide opioid pharmacotherapy program over </w:t>
      </w:r>
      <w:r>
        <w:rPr>
          <w:color w:val="4C4D4F"/>
          <w:spacing w:val="-9"/>
          <w:w w:val="110"/>
          <w:sz w:val="18"/>
        </w:rPr>
        <w:t>20 </w:t>
      </w:r>
      <w:r>
        <w:rPr>
          <w:color w:val="4C4D4F"/>
          <w:w w:val="110"/>
          <w:sz w:val="18"/>
        </w:rPr>
        <w:t>years:</w:t>
      </w:r>
      <w:r>
        <w:rPr>
          <w:color w:val="4C4D4F"/>
          <w:spacing w:val="-10"/>
          <w:w w:val="110"/>
          <w:sz w:val="18"/>
        </w:rPr>
        <w:t> </w:t>
      </w:r>
      <w:r>
        <w:rPr>
          <w:color w:val="4C4D4F"/>
          <w:w w:val="110"/>
          <w:sz w:val="18"/>
        </w:rPr>
        <w:t>Risk</w:t>
      </w:r>
      <w:r>
        <w:rPr>
          <w:color w:val="4C4D4F"/>
          <w:spacing w:val="-9"/>
          <w:w w:val="110"/>
          <w:sz w:val="18"/>
        </w:rPr>
        <w:t> </w:t>
      </w:r>
      <w:r>
        <w:rPr>
          <w:color w:val="4C4D4F"/>
          <w:w w:val="110"/>
          <w:sz w:val="18"/>
        </w:rPr>
        <w:t>factors</w:t>
      </w:r>
      <w:r>
        <w:rPr>
          <w:color w:val="4C4D4F"/>
          <w:spacing w:val="-10"/>
          <w:w w:val="110"/>
          <w:sz w:val="18"/>
        </w:rPr>
        <w:t> </w:t>
      </w:r>
      <w:r>
        <w:rPr>
          <w:color w:val="4C4D4F"/>
          <w:w w:val="110"/>
          <w:sz w:val="18"/>
        </w:rPr>
        <w:t>and</w:t>
      </w:r>
      <w:r>
        <w:rPr>
          <w:color w:val="4C4D4F"/>
          <w:spacing w:val="-9"/>
          <w:w w:val="110"/>
          <w:sz w:val="18"/>
        </w:rPr>
        <w:t> </w:t>
      </w:r>
      <w:r>
        <w:rPr>
          <w:color w:val="4C4D4F"/>
          <w:w w:val="110"/>
          <w:sz w:val="18"/>
        </w:rPr>
        <w:t>lives</w:t>
      </w:r>
      <w:r>
        <w:rPr>
          <w:color w:val="4C4D4F"/>
          <w:spacing w:val="-10"/>
          <w:w w:val="110"/>
          <w:sz w:val="18"/>
        </w:rPr>
        <w:t> </w:t>
      </w:r>
      <w:r>
        <w:rPr>
          <w:color w:val="4C4D4F"/>
          <w:w w:val="110"/>
          <w:sz w:val="18"/>
        </w:rPr>
        <w:t>saved.</w:t>
      </w:r>
      <w:r>
        <w:rPr>
          <w:color w:val="4C4D4F"/>
          <w:spacing w:val="-9"/>
          <w:w w:val="110"/>
          <w:sz w:val="18"/>
        </w:rPr>
        <w:t> </w:t>
      </w:r>
      <w:r>
        <w:rPr>
          <w:rFonts w:ascii="Arial" w:hAnsi="Arial"/>
          <w:i/>
          <w:color w:val="4C4D4F"/>
          <w:w w:val="110"/>
          <w:sz w:val="18"/>
        </w:rPr>
        <w:t>Drug</w:t>
      </w:r>
      <w:r>
        <w:rPr>
          <w:rFonts w:ascii="Arial" w:hAnsi="Arial"/>
          <w:i/>
          <w:color w:val="4C4D4F"/>
          <w:spacing w:val="-10"/>
          <w:w w:val="110"/>
          <w:sz w:val="18"/>
        </w:rPr>
        <w:t> </w:t>
      </w:r>
      <w:r>
        <w:rPr>
          <w:rFonts w:ascii="Arial" w:hAnsi="Arial"/>
          <w:i/>
          <w:color w:val="4C4D4F"/>
          <w:w w:val="110"/>
          <w:sz w:val="18"/>
        </w:rPr>
        <w:t>and</w:t>
      </w:r>
      <w:r>
        <w:rPr>
          <w:rFonts w:ascii="Arial" w:hAnsi="Arial"/>
          <w:i/>
          <w:color w:val="4C4D4F"/>
          <w:spacing w:val="-9"/>
          <w:w w:val="110"/>
          <w:sz w:val="18"/>
        </w:rPr>
        <w:t> </w:t>
      </w:r>
      <w:r>
        <w:rPr>
          <w:rFonts w:ascii="Arial" w:hAnsi="Arial"/>
          <w:i/>
          <w:color w:val="4C4D4F"/>
          <w:w w:val="110"/>
          <w:sz w:val="18"/>
        </w:rPr>
        <w:t>Alcohol </w:t>
      </w:r>
      <w:r>
        <w:rPr>
          <w:rFonts w:ascii="Arial" w:hAnsi="Arial"/>
          <w:i/>
          <w:color w:val="4C4D4F"/>
          <w:w w:val="110"/>
          <w:sz w:val="18"/>
        </w:rPr>
        <w:t>Dependence, 105</w:t>
      </w:r>
      <w:r>
        <w:rPr>
          <w:color w:val="4C4D4F"/>
          <w:w w:val="110"/>
          <w:sz w:val="18"/>
        </w:rPr>
        <w:t>(1–2),</w:t>
      </w:r>
      <w:r>
        <w:rPr>
          <w:color w:val="4C4D4F"/>
          <w:spacing w:val="-18"/>
          <w:w w:val="110"/>
          <w:sz w:val="18"/>
        </w:rPr>
        <w:t> </w:t>
      </w:r>
      <w:r>
        <w:rPr>
          <w:color w:val="4C4D4F"/>
          <w:w w:val="110"/>
          <w:sz w:val="18"/>
        </w:rPr>
        <w:t>9–15.</w:t>
      </w:r>
    </w:p>
    <w:p>
      <w:pPr>
        <w:pStyle w:val="ListParagraph"/>
        <w:numPr>
          <w:ilvl w:val="0"/>
          <w:numId w:val="51"/>
        </w:numPr>
        <w:tabs>
          <w:tab w:pos="500" w:val="left" w:leader="none"/>
        </w:tabs>
        <w:spacing w:line="247" w:lineRule="auto" w:before="74" w:after="0"/>
        <w:ind w:left="500" w:right="329" w:hanging="360"/>
        <w:jc w:val="left"/>
        <w:rPr>
          <w:color w:val="4C4D4F"/>
          <w:sz w:val="18"/>
        </w:rPr>
      </w:pPr>
      <w:r>
        <w:rPr>
          <w:color w:val="4C4D4F"/>
          <w:spacing w:val="-4"/>
          <w:w w:val="110"/>
          <w:sz w:val="18"/>
        </w:rPr>
        <w:t>Hser, </w:t>
      </w:r>
      <w:r>
        <w:rPr>
          <w:color w:val="4C4D4F"/>
          <w:spacing w:val="-13"/>
          <w:w w:val="110"/>
          <w:sz w:val="18"/>
        </w:rPr>
        <w:t>Y. </w:t>
      </w:r>
      <w:r>
        <w:rPr>
          <w:color w:val="4C4D4F"/>
          <w:w w:val="110"/>
          <w:sz w:val="18"/>
        </w:rPr>
        <w:t>I., Huang, D., Saxon, A. </w:t>
      </w:r>
      <w:r>
        <w:rPr>
          <w:color w:val="4C4D4F"/>
          <w:w w:val="120"/>
          <w:sz w:val="18"/>
        </w:rPr>
        <w:t>J., </w:t>
      </w:r>
      <w:r>
        <w:rPr>
          <w:color w:val="4C4D4F"/>
          <w:spacing w:val="-5"/>
          <w:w w:val="110"/>
          <w:sz w:val="18"/>
        </w:rPr>
        <w:t>Woody, </w:t>
      </w:r>
      <w:r>
        <w:rPr>
          <w:color w:val="4C4D4F"/>
          <w:w w:val="110"/>
          <w:sz w:val="18"/>
        </w:rPr>
        <w:t>G., Moskowitz, A. L., Matthews, A. G., &amp; Ling, </w:t>
      </w:r>
      <w:r>
        <w:rPr>
          <w:color w:val="4C4D4F"/>
          <w:spacing w:val="-7"/>
          <w:w w:val="110"/>
          <w:sz w:val="18"/>
        </w:rPr>
        <w:t>W. </w:t>
      </w:r>
      <w:r>
        <w:rPr>
          <w:color w:val="4C4D4F"/>
          <w:w w:val="110"/>
          <w:sz w:val="18"/>
        </w:rPr>
        <w:t>(2017).</w:t>
      </w:r>
      <w:r>
        <w:rPr>
          <w:color w:val="4C4D4F"/>
          <w:spacing w:val="-9"/>
          <w:w w:val="110"/>
          <w:sz w:val="18"/>
        </w:rPr>
        <w:t> </w:t>
      </w:r>
      <w:r>
        <w:rPr>
          <w:color w:val="4C4D4F"/>
          <w:w w:val="110"/>
          <w:sz w:val="18"/>
        </w:rPr>
        <w:t>Distinctive</w:t>
      </w:r>
      <w:r>
        <w:rPr>
          <w:color w:val="4C4D4F"/>
          <w:spacing w:val="-8"/>
          <w:w w:val="110"/>
          <w:sz w:val="18"/>
        </w:rPr>
        <w:t> </w:t>
      </w:r>
      <w:r>
        <w:rPr>
          <w:color w:val="4C4D4F"/>
          <w:w w:val="110"/>
          <w:sz w:val="18"/>
        </w:rPr>
        <w:t>trajectories</w:t>
      </w:r>
      <w:r>
        <w:rPr>
          <w:color w:val="4C4D4F"/>
          <w:spacing w:val="-8"/>
          <w:w w:val="110"/>
          <w:sz w:val="18"/>
        </w:rPr>
        <w:t> </w:t>
      </w:r>
      <w:r>
        <w:rPr>
          <w:color w:val="4C4D4F"/>
          <w:w w:val="110"/>
          <w:sz w:val="18"/>
        </w:rPr>
        <w:t>of</w:t>
      </w:r>
      <w:r>
        <w:rPr>
          <w:color w:val="4C4D4F"/>
          <w:spacing w:val="-8"/>
          <w:w w:val="110"/>
          <w:sz w:val="18"/>
        </w:rPr>
        <w:t> </w:t>
      </w:r>
      <w:r>
        <w:rPr>
          <w:color w:val="4C4D4F"/>
          <w:w w:val="110"/>
          <w:sz w:val="18"/>
        </w:rPr>
        <w:t>opioid</w:t>
      </w:r>
      <w:r>
        <w:rPr>
          <w:color w:val="4C4D4F"/>
          <w:spacing w:val="-9"/>
          <w:w w:val="110"/>
          <w:sz w:val="18"/>
        </w:rPr>
        <w:t> </w:t>
      </w:r>
      <w:r>
        <w:rPr>
          <w:color w:val="4C4D4F"/>
          <w:w w:val="110"/>
          <w:sz w:val="18"/>
        </w:rPr>
        <w:t>use</w:t>
      </w:r>
      <w:r>
        <w:rPr>
          <w:color w:val="4C4D4F"/>
          <w:spacing w:val="-8"/>
          <w:w w:val="110"/>
          <w:sz w:val="18"/>
        </w:rPr>
        <w:t> </w:t>
      </w:r>
      <w:r>
        <w:rPr>
          <w:color w:val="4C4D4F"/>
          <w:w w:val="110"/>
          <w:sz w:val="18"/>
        </w:rPr>
        <w:t>over</w:t>
      </w:r>
      <w:r>
        <w:rPr>
          <w:color w:val="4C4D4F"/>
          <w:spacing w:val="-8"/>
          <w:w w:val="110"/>
          <w:sz w:val="18"/>
        </w:rPr>
        <w:t> </w:t>
      </w:r>
      <w:r>
        <w:rPr>
          <w:color w:val="4C4D4F"/>
          <w:w w:val="110"/>
          <w:sz w:val="18"/>
        </w:rPr>
        <w:t>an extended follow-up of patients in a multisite trial</w:t>
      </w:r>
      <w:r>
        <w:rPr>
          <w:color w:val="4C4D4F"/>
          <w:spacing w:val="9"/>
          <w:w w:val="110"/>
          <w:sz w:val="18"/>
        </w:rPr>
        <w:t> </w:t>
      </w:r>
      <w:r>
        <w:rPr>
          <w:color w:val="4C4D4F"/>
          <w:spacing w:val="-9"/>
          <w:w w:val="110"/>
          <w:sz w:val="18"/>
        </w:rPr>
        <w:t>on</w:t>
      </w:r>
    </w:p>
    <w:p>
      <w:pPr>
        <w:spacing w:line="247" w:lineRule="auto" w:before="2"/>
        <w:ind w:left="500" w:right="56" w:firstLine="0"/>
        <w:jc w:val="left"/>
        <w:rPr>
          <w:sz w:val="18"/>
        </w:rPr>
      </w:pPr>
      <w:r>
        <w:rPr>
          <w:color w:val="4C4D4F"/>
          <w:w w:val="110"/>
          <w:sz w:val="18"/>
        </w:rPr>
        <w:t>buprenorphine + naloxone and methadone. </w:t>
      </w:r>
      <w:r>
        <w:rPr>
          <w:rFonts w:ascii="Arial" w:hAnsi="Arial"/>
          <w:i/>
          <w:color w:val="4C4D4F"/>
          <w:w w:val="110"/>
          <w:sz w:val="18"/>
        </w:rPr>
        <w:t>Journal of </w:t>
      </w:r>
      <w:r>
        <w:rPr>
          <w:rFonts w:ascii="Arial" w:hAnsi="Arial"/>
          <w:i/>
          <w:color w:val="4C4D4F"/>
          <w:w w:val="110"/>
          <w:sz w:val="18"/>
        </w:rPr>
        <w:t>Addiction Medicine, 11</w:t>
      </w:r>
      <w:r>
        <w:rPr>
          <w:color w:val="4C4D4F"/>
          <w:w w:val="110"/>
          <w:sz w:val="18"/>
        </w:rPr>
        <w:t>(1), 63–69.</w:t>
      </w: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07"/>
          <w:sz w:val="18"/>
        </w:rPr>
        <w:br w:type="column"/>
      </w:r>
      <w:r>
        <w:rPr>
          <w:color w:val="4C4D4F"/>
          <w:w w:val="115"/>
          <w:sz w:val="18"/>
        </w:rPr>
        <w:t>Novick,</w:t>
      </w:r>
      <w:r>
        <w:rPr>
          <w:color w:val="4C4D4F"/>
          <w:spacing w:val="-11"/>
          <w:w w:val="115"/>
          <w:sz w:val="18"/>
        </w:rPr>
        <w:t> </w:t>
      </w:r>
      <w:r>
        <w:rPr>
          <w:color w:val="4C4D4F"/>
          <w:w w:val="115"/>
          <w:sz w:val="18"/>
        </w:rPr>
        <w:t>D.</w:t>
      </w:r>
      <w:r>
        <w:rPr>
          <w:color w:val="4C4D4F"/>
          <w:spacing w:val="-11"/>
          <w:w w:val="115"/>
          <w:sz w:val="18"/>
        </w:rPr>
        <w:t> </w:t>
      </w:r>
      <w:r>
        <w:rPr>
          <w:color w:val="4C4D4F"/>
          <w:w w:val="115"/>
          <w:sz w:val="18"/>
        </w:rPr>
        <w:t>M.,</w:t>
      </w:r>
      <w:r>
        <w:rPr>
          <w:color w:val="4C4D4F"/>
          <w:spacing w:val="-10"/>
          <w:w w:val="115"/>
          <w:sz w:val="18"/>
        </w:rPr>
        <w:t> </w:t>
      </w:r>
      <w:r>
        <w:rPr>
          <w:color w:val="4C4D4F"/>
          <w:w w:val="115"/>
          <w:sz w:val="18"/>
        </w:rPr>
        <w:t>Salsitz,</w:t>
      </w:r>
      <w:r>
        <w:rPr>
          <w:color w:val="4C4D4F"/>
          <w:spacing w:val="-11"/>
          <w:w w:val="115"/>
          <w:sz w:val="18"/>
        </w:rPr>
        <w:t> </w:t>
      </w:r>
      <w:r>
        <w:rPr>
          <w:color w:val="4C4D4F"/>
          <w:w w:val="115"/>
          <w:sz w:val="18"/>
        </w:rPr>
        <w:t>E.</w:t>
      </w:r>
      <w:r>
        <w:rPr>
          <w:color w:val="4C4D4F"/>
          <w:spacing w:val="-11"/>
          <w:w w:val="115"/>
          <w:sz w:val="18"/>
        </w:rPr>
        <w:t> </w:t>
      </w:r>
      <w:r>
        <w:rPr>
          <w:color w:val="4C4D4F"/>
          <w:w w:val="115"/>
          <w:sz w:val="18"/>
        </w:rPr>
        <w:t>A.,</w:t>
      </w:r>
      <w:r>
        <w:rPr>
          <w:color w:val="4C4D4F"/>
          <w:spacing w:val="-10"/>
          <w:w w:val="115"/>
          <w:sz w:val="18"/>
        </w:rPr>
        <w:t> </w:t>
      </w:r>
      <w:r>
        <w:rPr>
          <w:color w:val="4C4D4F"/>
          <w:w w:val="115"/>
          <w:sz w:val="18"/>
        </w:rPr>
        <w:t>Joseph,</w:t>
      </w:r>
      <w:r>
        <w:rPr>
          <w:color w:val="4C4D4F"/>
          <w:spacing w:val="-11"/>
          <w:w w:val="115"/>
          <w:sz w:val="18"/>
        </w:rPr>
        <w:t> </w:t>
      </w:r>
      <w:r>
        <w:rPr>
          <w:color w:val="4C4D4F"/>
          <w:w w:val="115"/>
          <w:sz w:val="18"/>
        </w:rPr>
        <w:t>H.,</w:t>
      </w:r>
      <w:r>
        <w:rPr>
          <w:color w:val="4C4D4F"/>
          <w:spacing w:val="-11"/>
          <w:w w:val="115"/>
          <w:sz w:val="18"/>
        </w:rPr>
        <w:t> </w:t>
      </w:r>
      <w:r>
        <w:rPr>
          <w:color w:val="4C4D4F"/>
          <w:w w:val="115"/>
          <w:sz w:val="18"/>
        </w:rPr>
        <w:t>&amp;</w:t>
      </w:r>
      <w:r>
        <w:rPr>
          <w:color w:val="4C4D4F"/>
          <w:spacing w:val="-10"/>
          <w:w w:val="115"/>
          <w:sz w:val="18"/>
        </w:rPr>
        <w:t> </w:t>
      </w:r>
      <w:r>
        <w:rPr>
          <w:color w:val="4C4D4F"/>
          <w:w w:val="115"/>
          <w:sz w:val="18"/>
        </w:rPr>
        <w:t>Kreek,</w:t>
      </w:r>
    </w:p>
    <w:p>
      <w:pPr>
        <w:spacing w:line="247" w:lineRule="auto" w:before="7"/>
        <w:ind w:left="500" w:right="495" w:firstLine="0"/>
        <w:jc w:val="left"/>
        <w:rPr>
          <w:sz w:val="18"/>
        </w:rPr>
      </w:pPr>
      <w:r>
        <w:rPr>
          <w:color w:val="4C4D4F"/>
          <w:w w:val="115"/>
          <w:sz w:val="18"/>
        </w:rPr>
        <w:t>M.</w:t>
      </w:r>
      <w:r>
        <w:rPr>
          <w:color w:val="4C4D4F"/>
          <w:spacing w:val="-15"/>
          <w:w w:val="115"/>
          <w:sz w:val="18"/>
        </w:rPr>
        <w:t> </w:t>
      </w:r>
      <w:r>
        <w:rPr>
          <w:color w:val="4C4D4F"/>
          <w:w w:val="135"/>
          <w:sz w:val="18"/>
        </w:rPr>
        <w:t>J.</w:t>
      </w:r>
      <w:r>
        <w:rPr>
          <w:color w:val="4C4D4F"/>
          <w:spacing w:val="-24"/>
          <w:w w:val="135"/>
          <w:sz w:val="18"/>
        </w:rPr>
        <w:t> </w:t>
      </w:r>
      <w:r>
        <w:rPr>
          <w:color w:val="4C4D4F"/>
          <w:w w:val="115"/>
          <w:sz w:val="18"/>
        </w:rPr>
        <w:t>(2015).</w:t>
      </w:r>
      <w:r>
        <w:rPr>
          <w:color w:val="4C4D4F"/>
          <w:spacing w:val="-14"/>
          <w:w w:val="115"/>
          <w:sz w:val="18"/>
        </w:rPr>
        <w:t> </w:t>
      </w:r>
      <w:r>
        <w:rPr>
          <w:color w:val="4C4D4F"/>
          <w:w w:val="115"/>
          <w:sz w:val="18"/>
        </w:rPr>
        <w:t>Methadone</w:t>
      </w:r>
      <w:r>
        <w:rPr>
          <w:color w:val="4C4D4F"/>
          <w:spacing w:val="-14"/>
          <w:w w:val="115"/>
          <w:sz w:val="18"/>
        </w:rPr>
        <w:t> </w:t>
      </w:r>
      <w:r>
        <w:rPr>
          <w:color w:val="4C4D4F"/>
          <w:w w:val="115"/>
          <w:sz w:val="18"/>
        </w:rPr>
        <w:t>medical</w:t>
      </w:r>
      <w:r>
        <w:rPr>
          <w:color w:val="4C4D4F"/>
          <w:spacing w:val="-14"/>
          <w:w w:val="115"/>
          <w:sz w:val="18"/>
        </w:rPr>
        <w:t> </w:t>
      </w:r>
      <w:r>
        <w:rPr>
          <w:color w:val="4C4D4F"/>
          <w:w w:val="115"/>
          <w:sz w:val="18"/>
        </w:rPr>
        <w:t>maintenance:</w:t>
      </w:r>
      <w:r>
        <w:rPr>
          <w:color w:val="4C4D4F"/>
          <w:spacing w:val="-15"/>
          <w:w w:val="115"/>
          <w:sz w:val="18"/>
        </w:rPr>
        <w:t> </w:t>
      </w:r>
      <w:r>
        <w:rPr>
          <w:color w:val="4C4D4F"/>
          <w:w w:val="115"/>
          <w:sz w:val="18"/>
        </w:rPr>
        <w:t>An </w:t>
      </w:r>
      <w:r>
        <w:rPr>
          <w:color w:val="4C4D4F"/>
          <w:w w:val="110"/>
          <w:sz w:val="18"/>
        </w:rPr>
        <w:t>early</w:t>
      </w:r>
      <w:r>
        <w:rPr>
          <w:color w:val="4C4D4F"/>
          <w:spacing w:val="-23"/>
          <w:w w:val="110"/>
          <w:sz w:val="18"/>
        </w:rPr>
        <w:t> </w:t>
      </w:r>
      <w:r>
        <w:rPr>
          <w:color w:val="4C4D4F"/>
          <w:w w:val="110"/>
          <w:sz w:val="18"/>
        </w:rPr>
        <w:t>21st-century</w:t>
      </w:r>
      <w:r>
        <w:rPr>
          <w:color w:val="4C4D4F"/>
          <w:spacing w:val="-23"/>
          <w:w w:val="110"/>
          <w:sz w:val="18"/>
        </w:rPr>
        <w:t> </w:t>
      </w:r>
      <w:r>
        <w:rPr>
          <w:color w:val="4C4D4F"/>
          <w:w w:val="110"/>
          <w:sz w:val="18"/>
        </w:rPr>
        <w:t>perspective.</w:t>
      </w:r>
      <w:r>
        <w:rPr>
          <w:color w:val="4C4D4F"/>
          <w:spacing w:val="-23"/>
          <w:w w:val="110"/>
          <w:sz w:val="18"/>
        </w:rPr>
        <w:t> </w:t>
      </w:r>
      <w:r>
        <w:rPr>
          <w:rFonts w:ascii="Arial" w:hAnsi="Arial"/>
          <w:i/>
          <w:color w:val="4C4D4F"/>
          <w:w w:val="110"/>
          <w:sz w:val="18"/>
        </w:rPr>
        <w:t>Journal</w:t>
      </w:r>
      <w:r>
        <w:rPr>
          <w:rFonts w:ascii="Arial" w:hAnsi="Arial"/>
          <w:i/>
          <w:color w:val="4C4D4F"/>
          <w:spacing w:val="-23"/>
          <w:w w:val="110"/>
          <w:sz w:val="18"/>
        </w:rPr>
        <w:t> </w:t>
      </w:r>
      <w:r>
        <w:rPr>
          <w:rFonts w:ascii="Arial" w:hAnsi="Arial"/>
          <w:i/>
          <w:color w:val="4C4D4F"/>
          <w:w w:val="110"/>
          <w:sz w:val="18"/>
        </w:rPr>
        <w:t>of</w:t>
      </w:r>
      <w:r>
        <w:rPr>
          <w:rFonts w:ascii="Arial" w:hAnsi="Arial"/>
          <w:i/>
          <w:color w:val="4C4D4F"/>
          <w:spacing w:val="-22"/>
          <w:w w:val="110"/>
          <w:sz w:val="18"/>
        </w:rPr>
        <w:t> </w:t>
      </w:r>
      <w:r>
        <w:rPr>
          <w:rFonts w:ascii="Arial" w:hAnsi="Arial"/>
          <w:i/>
          <w:color w:val="4C4D4F"/>
          <w:w w:val="110"/>
          <w:sz w:val="18"/>
        </w:rPr>
        <w:t>Addictive </w:t>
      </w:r>
      <w:r>
        <w:rPr>
          <w:rFonts w:ascii="Arial" w:hAnsi="Arial"/>
          <w:i/>
          <w:color w:val="4C4D4F"/>
          <w:w w:val="115"/>
          <w:sz w:val="18"/>
        </w:rPr>
        <w:t>Diseases, 34</w:t>
      </w:r>
      <w:r>
        <w:rPr>
          <w:color w:val="4C4D4F"/>
          <w:w w:val="115"/>
          <w:sz w:val="18"/>
        </w:rPr>
        <w:t>(2–3),</w:t>
      </w:r>
      <w:r>
        <w:rPr>
          <w:color w:val="4C4D4F"/>
          <w:spacing w:val="-29"/>
          <w:w w:val="115"/>
          <w:sz w:val="18"/>
        </w:rPr>
        <w:t> </w:t>
      </w:r>
      <w:r>
        <w:rPr>
          <w:color w:val="4C4D4F"/>
          <w:w w:val="115"/>
          <w:sz w:val="18"/>
        </w:rPr>
        <w:t>226–237.</w:t>
      </w:r>
    </w:p>
    <w:p>
      <w:pPr>
        <w:pStyle w:val="ListParagraph"/>
        <w:numPr>
          <w:ilvl w:val="0"/>
          <w:numId w:val="51"/>
        </w:numPr>
        <w:tabs>
          <w:tab w:pos="500" w:val="left" w:leader="none"/>
        </w:tabs>
        <w:spacing w:line="247" w:lineRule="auto" w:before="72" w:after="0"/>
        <w:ind w:left="500" w:right="302" w:hanging="360"/>
        <w:jc w:val="left"/>
        <w:rPr>
          <w:color w:val="4C4D4F"/>
          <w:sz w:val="18"/>
        </w:rPr>
      </w:pPr>
      <w:r>
        <w:rPr>
          <w:color w:val="4C4D4F"/>
          <w:w w:val="115"/>
          <w:sz w:val="18"/>
        </w:rPr>
        <w:t>Fiellin,</w:t>
      </w:r>
      <w:r>
        <w:rPr>
          <w:color w:val="4C4D4F"/>
          <w:spacing w:val="-17"/>
          <w:w w:val="115"/>
          <w:sz w:val="18"/>
        </w:rPr>
        <w:t> </w:t>
      </w:r>
      <w:r>
        <w:rPr>
          <w:color w:val="4C4D4F"/>
          <w:w w:val="115"/>
          <w:sz w:val="18"/>
        </w:rPr>
        <w:t>D.</w:t>
      </w:r>
      <w:r>
        <w:rPr>
          <w:color w:val="4C4D4F"/>
          <w:spacing w:val="-16"/>
          <w:w w:val="115"/>
          <w:sz w:val="18"/>
        </w:rPr>
        <w:t> </w:t>
      </w:r>
      <w:r>
        <w:rPr>
          <w:color w:val="4C4D4F"/>
          <w:w w:val="115"/>
          <w:sz w:val="18"/>
        </w:rPr>
        <w:t>A.,</w:t>
      </w:r>
      <w:r>
        <w:rPr>
          <w:color w:val="4C4D4F"/>
          <w:spacing w:val="-16"/>
          <w:w w:val="115"/>
          <w:sz w:val="18"/>
        </w:rPr>
        <w:t> </w:t>
      </w:r>
      <w:r>
        <w:rPr>
          <w:color w:val="4C4D4F"/>
          <w:w w:val="115"/>
          <w:sz w:val="18"/>
        </w:rPr>
        <w:t>Moore,</w:t>
      </w:r>
      <w:r>
        <w:rPr>
          <w:color w:val="4C4D4F"/>
          <w:spacing w:val="-16"/>
          <w:w w:val="115"/>
          <w:sz w:val="18"/>
        </w:rPr>
        <w:t> </w:t>
      </w:r>
      <w:r>
        <w:rPr>
          <w:color w:val="4C4D4F"/>
          <w:w w:val="115"/>
          <w:sz w:val="18"/>
        </w:rPr>
        <w:t>B.</w:t>
      </w:r>
      <w:r>
        <w:rPr>
          <w:color w:val="4C4D4F"/>
          <w:spacing w:val="-16"/>
          <w:w w:val="115"/>
          <w:sz w:val="18"/>
        </w:rPr>
        <w:t> </w:t>
      </w:r>
      <w:r>
        <w:rPr>
          <w:color w:val="4C4D4F"/>
          <w:w w:val="115"/>
          <w:sz w:val="18"/>
        </w:rPr>
        <w:t>A.,</w:t>
      </w:r>
      <w:r>
        <w:rPr>
          <w:color w:val="4C4D4F"/>
          <w:spacing w:val="-17"/>
          <w:w w:val="115"/>
          <w:sz w:val="18"/>
        </w:rPr>
        <w:t> </w:t>
      </w:r>
      <w:r>
        <w:rPr>
          <w:color w:val="4C4D4F"/>
          <w:w w:val="115"/>
          <w:sz w:val="18"/>
        </w:rPr>
        <w:t>Sullivan,</w:t>
      </w:r>
      <w:r>
        <w:rPr>
          <w:color w:val="4C4D4F"/>
          <w:spacing w:val="-16"/>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spacing w:val="-3"/>
          <w:w w:val="115"/>
          <w:sz w:val="18"/>
        </w:rPr>
        <w:t>Becker,</w:t>
      </w:r>
      <w:r>
        <w:rPr>
          <w:color w:val="4C4D4F"/>
          <w:spacing w:val="-16"/>
          <w:w w:val="115"/>
          <w:sz w:val="18"/>
        </w:rPr>
        <w:t> </w:t>
      </w:r>
      <w:r>
        <w:rPr>
          <w:color w:val="4C4D4F"/>
          <w:spacing w:val="-7"/>
          <w:w w:val="115"/>
          <w:sz w:val="18"/>
        </w:rPr>
        <w:t>W. </w:t>
      </w:r>
      <w:r>
        <w:rPr>
          <w:color w:val="4C4D4F"/>
          <w:w w:val="115"/>
          <w:sz w:val="18"/>
        </w:rPr>
        <w:t>C.,</w:t>
      </w:r>
      <w:r>
        <w:rPr>
          <w:color w:val="4C4D4F"/>
          <w:spacing w:val="-20"/>
          <w:w w:val="115"/>
          <w:sz w:val="18"/>
        </w:rPr>
        <w:t> </w:t>
      </w:r>
      <w:r>
        <w:rPr>
          <w:color w:val="4C4D4F"/>
          <w:w w:val="115"/>
          <w:sz w:val="18"/>
        </w:rPr>
        <w:t>Pantalon,</w:t>
      </w:r>
      <w:r>
        <w:rPr>
          <w:color w:val="4C4D4F"/>
          <w:spacing w:val="-20"/>
          <w:w w:val="115"/>
          <w:sz w:val="18"/>
        </w:rPr>
        <w:t> </w:t>
      </w:r>
      <w:r>
        <w:rPr>
          <w:color w:val="4C4D4F"/>
          <w:w w:val="115"/>
          <w:sz w:val="18"/>
        </w:rPr>
        <w:t>M.</w:t>
      </w:r>
      <w:r>
        <w:rPr>
          <w:color w:val="4C4D4F"/>
          <w:spacing w:val="-20"/>
          <w:w w:val="115"/>
          <w:sz w:val="18"/>
        </w:rPr>
        <w:t> </w:t>
      </w:r>
      <w:r>
        <w:rPr>
          <w:color w:val="4C4D4F"/>
          <w:spacing w:val="-8"/>
          <w:w w:val="115"/>
          <w:sz w:val="18"/>
        </w:rPr>
        <w:t>V.,</w:t>
      </w:r>
      <w:r>
        <w:rPr>
          <w:color w:val="4C4D4F"/>
          <w:spacing w:val="-20"/>
          <w:w w:val="115"/>
          <w:sz w:val="18"/>
        </w:rPr>
        <w:t> </w:t>
      </w:r>
      <w:r>
        <w:rPr>
          <w:color w:val="4C4D4F"/>
          <w:w w:val="115"/>
          <w:sz w:val="18"/>
        </w:rPr>
        <w:t>Chawarski,</w:t>
      </w:r>
      <w:r>
        <w:rPr>
          <w:color w:val="4C4D4F"/>
          <w:spacing w:val="-20"/>
          <w:w w:val="115"/>
          <w:sz w:val="18"/>
        </w:rPr>
        <w:t> </w:t>
      </w:r>
      <w:r>
        <w:rPr>
          <w:color w:val="4C4D4F"/>
          <w:w w:val="115"/>
          <w:sz w:val="18"/>
        </w:rPr>
        <w:t>M.</w:t>
      </w:r>
      <w:r>
        <w:rPr>
          <w:color w:val="4C4D4F"/>
          <w:spacing w:val="-20"/>
          <w:w w:val="115"/>
          <w:sz w:val="18"/>
        </w:rPr>
        <w:t> </w:t>
      </w:r>
      <w:r>
        <w:rPr>
          <w:color w:val="4C4D4F"/>
          <w:w w:val="115"/>
          <w:sz w:val="18"/>
        </w:rPr>
        <w:t>C.,</w:t>
      </w:r>
      <w:r>
        <w:rPr>
          <w:color w:val="4C4D4F"/>
          <w:spacing w:val="-20"/>
          <w:w w:val="115"/>
          <w:sz w:val="18"/>
        </w:rPr>
        <w:t> </w:t>
      </w:r>
      <w:r>
        <w:rPr>
          <w:color w:val="4C4D4F"/>
          <w:w w:val="115"/>
          <w:sz w:val="18"/>
        </w:rPr>
        <w:t>…</w:t>
      </w:r>
      <w:r>
        <w:rPr>
          <w:color w:val="4C4D4F"/>
          <w:spacing w:val="-20"/>
          <w:w w:val="115"/>
          <w:sz w:val="18"/>
        </w:rPr>
        <w:t> </w:t>
      </w:r>
      <w:r>
        <w:rPr>
          <w:color w:val="4C4D4F"/>
          <w:spacing w:val="-2"/>
          <w:w w:val="115"/>
          <w:sz w:val="18"/>
        </w:rPr>
        <w:t>Schottenfeld,</w:t>
      </w:r>
    </w:p>
    <w:p>
      <w:pPr>
        <w:spacing w:line="247" w:lineRule="auto" w:before="2"/>
        <w:ind w:left="500" w:right="157" w:firstLine="0"/>
        <w:jc w:val="left"/>
        <w:rPr>
          <w:sz w:val="18"/>
        </w:rPr>
      </w:pPr>
      <w:r>
        <w:rPr>
          <w:color w:val="4C4D4F"/>
          <w:w w:val="110"/>
          <w:sz w:val="18"/>
        </w:rPr>
        <w:t>R. S. (2008). Long-term treatment with buprenorphine/ naloxone in primary care: Results at 2-5 years. </w:t>
      </w:r>
      <w:r>
        <w:rPr>
          <w:rFonts w:ascii="Arial" w:hAnsi="Arial"/>
          <w:i/>
          <w:color w:val="4C4D4F"/>
          <w:w w:val="110"/>
          <w:sz w:val="18"/>
        </w:rPr>
        <w:t>American Journal on Addictions, 17</w:t>
      </w:r>
      <w:r>
        <w:rPr>
          <w:color w:val="4C4D4F"/>
          <w:w w:val="110"/>
          <w:sz w:val="18"/>
        </w:rPr>
        <w:t>(2), 116–120.</w:t>
      </w:r>
    </w:p>
    <w:p>
      <w:pPr>
        <w:pStyle w:val="ListParagraph"/>
        <w:numPr>
          <w:ilvl w:val="0"/>
          <w:numId w:val="51"/>
        </w:numPr>
        <w:tabs>
          <w:tab w:pos="500" w:val="left" w:leader="none"/>
        </w:tabs>
        <w:spacing w:line="247" w:lineRule="auto" w:before="73" w:after="0"/>
        <w:ind w:left="500" w:right="362" w:hanging="360"/>
        <w:jc w:val="left"/>
        <w:rPr>
          <w:color w:val="4C4D4F"/>
          <w:sz w:val="18"/>
        </w:rPr>
      </w:pPr>
      <w:r>
        <w:rPr>
          <w:color w:val="4C4D4F"/>
          <w:w w:val="110"/>
          <w:sz w:val="18"/>
        </w:rPr>
        <w:t>Krupitsky, E., Nunes, E. </w:t>
      </w:r>
      <w:r>
        <w:rPr>
          <w:color w:val="4C4D4F"/>
          <w:spacing w:val="-8"/>
          <w:w w:val="110"/>
          <w:sz w:val="18"/>
        </w:rPr>
        <w:t>V., </w:t>
      </w:r>
      <w:r>
        <w:rPr>
          <w:color w:val="4C4D4F"/>
          <w:w w:val="110"/>
          <w:sz w:val="18"/>
        </w:rPr>
        <w:t>Ling, </w:t>
      </w:r>
      <w:r>
        <w:rPr>
          <w:color w:val="4C4D4F"/>
          <w:spacing w:val="-5"/>
          <w:w w:val="110"/>
          <w:sz w:val="18"/>
        </w:rPr>
        <w:t>W., </w:t>
      </w:r>
      <w:r>
        <w:rPr>
          <w:color w:val="4C4D4F"/>
          <w:w w:val="110"/>
          <w:sz w:val="18"/>
        </w:rPr>
        <w:t>Gastfriend, D. </w:t>
      </w:r>
      <w:r>
        <w:rPr>
          <w:color w:val="4C4D4F"/>
          <w:spacing w:val="-5"/>
          <w:w w:val="110"/>
          <w:sz w:val="18"/>
        </w:rPr>
        <w:t>R., </w:t>
      </w:r>
      <w:r>
        <w:rPr>
          <w:color w:val="4C4D4F"/>
          <w:w w:val="110"/>
          <w:sz w:val="18"/>
        </w:rPr>
        <w:t>Memisoglu, A., &amp; Silverman, B. L. (2013). Injectable extended-release naltrexone (XR-NTX) for opioid dependence: long-term safety and effectiveness. </w:t>
      </w:r>
      <w:r>
        <w:rPr>
          <w:rFonts w:ascii="Arial" w:hAnsi="Arial"/>
          <w:i/>
          <w:color w:val="4C4D4F"/>
          <w:w w:val="110"/>
          <w:sz w:val="18"/>
        </w:rPr>
        <w:t>Addiction, 108</w:t>
      </w:r>
      <w:r>
        <w:rPr>
          <w:color w:val="4C4D4F"/>
          <w:w w:val="110"/>
          <w:sz w:val="18"/>
        </w:rPr>
        <w:t>(9),</w:t>
      </w:r>
      <w:r>
        <w:rPr>
          <w:color w:val="4C4D4F"/>
          <w:spacing w:val="-14"/>
          <w:w w:val="110"/>
          <w:sz w:val="18"/>
        </w:rPr>
        <w:t> </w:t>
      </w:r>
      <w:r>
        <w:rPr>
          <w:color w:val="4C4D4F"/>
          <w:w w:val="110"/>
          <w:sz w:val="18"/>
        </w:rPr>
        <w:t>162–1637.</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20"/>
          <w:sz w:val="18"/>
        </w:rPr>
        <w:t>Kreek,</w:t>
      </w:r>
      <w:r>
        <w:rPr>
          <w:color w:val="4C4D4F"/>
          <w:spacing w:val="-18"/>
          <w:w w:val="120"/>
          <w:sz w:val="18"/>
        </w:rPr>
        <w:t> </w:t>
      </w:r>
      <w:r>
        <w:rPr>
          <w:color w:val="4C4D4F"/>
          <w:w w:val="120"/>
          <w:sz w:val="18"/>
        </w:rPr>
        <w:t>M.</w:t>
      </w:r>
      <w:r>
        <w:rPr>
          <w:color w:val="4C4D4F"/>
          <w:spacing w:val="-18"/>
          <w:w w:val="120"/>
          <w:sz w:val="18"/>
        </w:rPr>
        <w:t> </w:t>
      </w:r>
      <w:r>
        <w:rPr>
          <w:color w:val="4C4D4F"/>
          <w:w w:val="120"/>
          <w:sz w:val="18"/>
        </w:rPr>
        <w:t>J.,</w:t>
      </w:r>
      <w:r>
        <w:rPr>
          <w:color w:val="4C4D4F"/>
          <w:spacing w:val="-18"/>
          <w:w w:val="120"/>
          <w:sz w:val="18"/>
        </w:rPr>
        <w:t> </w:t>
      </w:r>
      <w:r>
        <w:rPr>
          <w:color w:val="4C4D4F"/>
          <w:w w:val="120"/>
          <w:sz w:val="18"/>
        </w:rPr>
        <w:t>Levran,</w:t>
      </w:r>
      <w:r>
        <w:rPr>
          <w:color w:val="4C4D4F"/>
          <w:spacing w:val="-18"/>
          <w:w w:val="120"/>
          <w:sz w:val="18"/>
        </w:rPr>
        <w:t> </w:t>
      </w:r>
      <w:r>
        <w:rPr>
          <w:color w:val="4C4D4F"/>
          <w:w w:val="120"/>
          <w:sz w:val="18"/>
        </w:rPr>
        <w:t>O.,</w:t>
      </w:r>
      <w:r>
        <w:rPr>
          <w:color w:val="4C4D4F"/>
          <w:spacing w:val="-18"/>
          <w:w w:val="120"/>
          <w:sz w:val="18"/>
        </w:rPr>
        <w:t> </w:t>
      </w:r>
      <w:r>
        <w:rPr>
          <w:color w:val="4C4D4F"/>
          <w:w w:val="120"/>
          <w:sz w:val="18"/>
        </w:rPr>
        <w:t>Reed,</w:t>
      </w:r>
      <w:r>
        <w:rPr>
          <w:color w:val="4C4D4F"/>
          <w:spacing w:val="-18"/>
          <w:w w:val="120"/>
          <w:sz w:val="18"/>
        </w:rPr>
        <w:t> </w:t>
      </w:r>
      <w:r>
        <w:rPr>
          <w:color w:val="4C4D4F"/>
          <w:w w:val="120"/>
          <w:sz w:val="18"/>
        </w:rPr>
        <w:t>B.,</w:t>
      </w:r>
      <w:r>
        <w:rPr>
          <w:color w:val="4C4D4F"/>
          <w:spacing w:val="-18"/>
          <w:w w:val="120"/>
          <w:sz w:val="18"/>
        </w:rPr>
        <w:t> </w:t>
      </w:r>
      <w:r>
        <w:rPr>
          <w:color w:val="4C4D4F"/>
          <w:w w:val="120"/>
          <w:sz w:val="18"/>
        </w:rPr>
        <w:t>Schlussman,</w:t>
      </w:r>
    </w:p>
    <w:p>
      <w:pPr>
        <w:spacing w:line="247" w:lineRule="auto" w:before="7"/>
        <w:ind w:left="500" w:right="253" w:firstLine="0"/>
        <w:jc w:val="left"/>
        <w:rPr>
          <w:sz w:val="18"/>
        </w:rPr>
      </w:pPr>
      <w:r>
        <w:rPr>
          <w:color w:val="4C4D4F"/>
          <w:w w:val="110"/>
          <w:sz w:val="18"/>
        </w:rPr>
        <w:t>S. D., Zhou, Y., &amp; Butelman, E. R. (2012). Opiate addiction and cocaine addiction: Underlying molecular neurobiology and genetics. </w:t>
      </w:r>
      <w:r>
        <w:rPr>
          <w:rFonts w:ascii="Arial" w:hAnsi="Arial"/>
          <w:i/>
          <w:color w:val="4C4D4F"/>
          <w:w w:val="110"/>
          <w:sz w:val="18"/>
        </w:rPr>
        <w:t>Journal of Clinical </w:t>
      </w:r>
      <w:r>
        <w:rPr>
          <w:rFonts w:ascii="Arial" w:hAnsi="Arial"/>
          <w:i/>
          <w:color w:val="4C4D4F"/>
          <w:w w:val="110"/>
          <w:sz w:val="18"/>
        </w:rPr>
        <w:t>Investigation, 122</w:t>
      </w:r>
      <w:r>
        <w:rPr>
          <w:color w:val="4C4D4F"/>
          <w:w w:val="110"/>
          <w:sz w:val="18"/>
        </w:rPr>
        <w:t>(10), 3387–3393.</w:t>
      </w:r>
    </w:p>
    <w:p>
      <w:pPr>
        <w:pStyle w:val="ListParagraph"/>
        <w:numPr>
          <w:ilvl w:val="0"/>
          <w:numId w:val="51"/>
        </w:numPr>
        <w:tabs>
          <w:tab w:pos="500" w:val="left" w:leader="none"/>
        </w:tabs>
        <w:spacing w:line="247" w:lineRule="auto" w:before="73" w:after="0"/>
        <w:ind w:left="500" w:right="195" w:hanging="360"/>
        <w:jc w:val="left"/>
        <w:rPr>
          <w:color w:val="4C4D4F"/>
          <w:sz w:val="18"/>
        </w:rPr>
      </w:pPr>
      <w:r>
        <w:rPr>
          <w:color w:val="4C4D4F"/>
          <w:spacing w:val="-3"/>
          <w:w w:val="110"/>
          <w:sz w:val="18"/>
        </w:rPr>
        <w:t>Volkow, </w:t>
      </w:r>
      <w:r>
        <w:rPr>
          <w:color w:val="4C4D4F"/>
          <w:w w:val="110"/>
          <w:sz w:val="18"/>
        </w:rPr>
        <w:t>N. D., Koob, G. </w:t>
      </w:r>
      <w:r>
        <w:rPr>
          <w:color w:val="4C4D4F"/>
          <w:spacing w:val="-10"/>
          <w:w w:val="110"/>
          <w:sz w:val="18"/>
        </w:rPr>
        <w:t>F., </w:t>
      </w:r>
      <w:r>
        <w:rPr>
          <w:color w:val="4C4D4F"/>
          <w:w w:val="110"/>
          <w:sz w:val="18"/>
        </w:rPr>
        <w:t>&amp; McLellan, A. </w:t>
      </w:r>
      <w:r>
        <w:rPr>
          <w:color w:val="4C4D4F"/>
          <w:spacing w:val="-10"/>
          <w:w w:val="110"/>
          <w:sz w:val="18"/>
        </w:rPr>
        <w:t>T. </w:t>
      </w:r>
      <w:r>
        <w:rPr>
          <w:color w:val="4C4D4F"/>
          <w:w w:val="110"/>
          <w:sz w:val="18"/>
        </w:rPr>
        <w:t>(2016). Neurobiologic advances from the brain disease model of</w:t>
      </w:r>
      <w:r>
        <w:rPr>
          <w:color w:val="4C4D4F"/>
          <w:spacing w:val="-33"/>
          <w:w w:val="110"/>
          <w:sz w:val="18"/>
        </w:rPr>
        <w:t> </w:t>
      </w:r>
      <w:r>
        <w:rPr>
          <w:color w:val="4C4D4F"/>
          <w:w w:val="110"/>
          <w:sz w:val="18"/>
        </w:rPr>
        <w:t>addiction.</w:t>
      </w:r>
      <w:r>
        <w:rPr>
          <w:color w:val="4C4D4F"/>
          <w:spacing w:val="-33"/>
          <w:w w:val="110"/>
          <w:sz w:val="18"/>
        </w:rPr>
        <w:t> </w:t>
      </w:r>
      <w:r>
        <w:rPr>
          <w:rFonts w:ascii="Arial" w:hAnsi="Arial"/>
          <w:i/>
          <w:color w:val="4C4D4F"/>
          <w:w w:val="110"/>
          <w:sz w:val="18"/>
        </w:rPr>
        <w:t>New</w:t>
      </w:r>
      <w:r>
        <w:rPr>
          <w:rFonts w:ascii="Arial" w:hAnsi="Arial"/>
          <w:i/>
          <w:color w:val="4C4D4F"/>
          <w:spacing w:val="-33"/>
          <w:w w:val="110"/>
          <w:sz w:val="18"/>
        </w:rPr>
        <w:t> </w:t>
      </w:r>
      <w:r>
        <w:rPr>
          <w:rFonts w:ascii="Arial" w:hAnsi="Arial"/>
          <w:i/>
          <w:color w:val="4C4D4F"/>
          <w:w w:val="110"/>
          <w:sz w:val="18"/>
        </w:rPr>
        <w:t>England</w:t>
      </w:r>
      <w:r>
        <w:rPr>
          <w:rFonts w:ascii="Arial" w:hAnsi="Arial"/>
          <w:i/>
          <w:color w:val="4C4D4F"/>
          <w:spacing w:val="-33"/>
          <w:w w:val="110"/>
          <w:sz w:val="18"/>
        </w:rPr>
        <w:t> </w:t>
      </w:r>
      <w:r>
        <w:rPr>
          <w:rFonts w:ascii="Arial" w:hAnsi="Arial"/>
          <w:i/>
          <w:color w:val="4C4D4F"/>
          <w:w w:val="110"/>
          <w:sz w:val="18"/>
        </w:rPr>
        <w:t>Journal</w:t>
      </w:r>
      <w:r>
        <w:rPr>
          <w:rFonts w:ascii="Arial" w:hAnsi="Arial"/>
          <w:i/>
          <w:color w:val="4C4D4F"/>
          <w:spacing w:val="-33"/>
          <w:w w:val="110"/>
          <w:sz w:val="18"/>
        </w:rPr>
        <w:t> </w:t>
      </w:r>
      <w:r>
        <w:rPr>
          <w:rFonts w:ascii="Arial" w:hAnsi="Arial"/>
          <w:i/>
          <w:color w:val="4C4D4F"/>
          <w:w w:val="110"/>
          <w:sz w:val="18"/>
        </w:rPr>
        <w:t>of</w:t>
      </w:r>
      <w:r>
        <w:rPr>
          <w:rFonts w:ascii="Arial" w:hAnsi="Arial"/>
          <w:i/>
          <w:color w:val="4C4D4F"/>
          <w:spacing w:val="-32"/>
          <w:w w:val="110"/>
          <w:sz w:val="18"/>
        </w:rPr>
        <w:t> </w:t>
      </w:r>
      <w:r>
        <w:rPr>
          <w:rFonts w:ascii="Arial" w:hAnsi="Arial"/>
          <w:i/>
          <w:color w:val="4C4D4F"/>
          <w:w w:val="110"/>
          <w:sz w:val="18"/>
        </w:rPr>
        <w:t>Medicine,</w:t>
      </w:r>
      <w:r>
        <w:rPr>
          <w:rFonts w:ascii="Arial" w:hAnsi="Arial"/>
          <w:i/>
          <w:color w:val="4C4D4F"/>
          <w:spacing w:val="-33"/>
          <w:w w:val="110"/>
          <w:sz w:val="18"/>
        </w:rPr>
        <w:t> </w:t>
      </w:r>
      <w:r>
        <w:rPr>
          <w:rFonts w:ascii="Arial" w:hAnsi="Arial"/>
          <w:i/>
          <w:color w:val="4C4D4F"/>
          <w:spacing w:val="-3"/>
          <w:w w:val="110"/>
          <w:sz w:val="18"/>
        </w:rPr>
        <w:t>374</w:t>
      </w:r>
      <w:r>
        <w:rPr>
          <w:color w:val="4C4D4F"/>
          <w:spacing w:val="-3"/>
          <w:w w:val="110"/>
          <w:sz w:val="18"/>
        </w:rPr>
        <w:t>(4), </w:t>
      </w:r>
      <w:r>
        <w:rPr>
          <w:color w:val="4C4D4F"/>
          <w:w w:val="110"/>
          <w:sz w:val="18"/>
        </w:rPr>
        <w:t>363–371.</w:t>
      </w:r>
    </w:p>
    <w:p>
      <w:pPr>
        <w:pStyle w:val="ListParagraph"/>
        <w:numPr>
          <w:ilvl w:val="0"/>
          <w:numId w:val="51"/>
        </w:numPr>
        <w:tabs>
          <w:tab w:pos="500" w:val="left" w:leader="none"/>
        </w:tabs>
        <w:spacing w:line="247" w:lineRule="auto" w:before="74" w:after="0"/>
        <w:ind w:left="500" w:right="842" w:hanging="360"/>
        <w:jc w:val="left"/>
        <w:rPr>
          <w:color w:val="4C4D4F"/>
          <w:sz w:val="18"/>
        </w:rPr>
      </w:pPr>
      <w:r>
        <w:rPr>
          <w:color w:val="4C4D4F"/>
          <w:w w:val="115"/>
          <w:sz w:val="18"/>
        </w:rPr>
        <w:t>Ling,</w:t>
      </w:r>
      <w:r>
        <w:rPr>
          <w:color w:val="4C4D4F"/>
          <w:spacing w:val="-29"/>
          <w:w w:val="115"/>
          <w:sz w:val="18"/>
        </w:rPr>
        <w:t> </w:t>
      </w:r>
      <w:r>
        <w:rPr>
          <w:color w:val="4C4D4F"/>
          <w:spacing w:val="-5"/>
          <w:w w:val="115"/>
          <w:sz w:val="18"/>
        </w:rPr>
        <w:t>W.,</w:t>
      </w:r>
      <w:r>
        <w:rPr>
          <w:color w:val="4C4D4F"/>
          <w:spacing w:val="-29"/>
          <w:w w:val="115"/>
          <w:sz w:val="18"/>
        </w:rPr>
        <w:t> </w:t>
      </w:r>
      <w:r>
        <w:rPr>
          <w:color w:val="4C4D4F"/>
          <w:w w:val="115"/>
          <w:sz w:val="18"/>
        </w:rPr>
        <w:t>Hillhouse,</w:t>
      </w:r>
      <w:r>
        <w:rPr>
          <w:color w:val="4C4D4F"/>
          <w:spacing w:val="-28"/>
          <w:w w:val="115"/>
          <w:sz w:val="18"/>
        </w:rPr>
        <w:t> </w:t>
      </w:r>
      <w:r>
        <w:rPr>
          <w:color w:val="4C4D4F"/>
          <w:w w:val="115"/>
          <w:sz w:val="18"/>
        </w:rPr>
        <w:t>M.,</w:t>
      </w:r>
      <w:r>
        <w:rPr>
          <w:color w:val="4C4D4F"/>
          <w:spacing w:val="-29"/>
          <w:w w:val="115"/>
          <w:sz w:val="18"/>
        </w:rPr>
        <w:t> </w:t>
      </w:r>
      <w:r>
        <w:rPr>
          <w:color w:val="4C4D4F"/>
          <w:spacing w:val="-3"/>
          <w:w w:val="115"/>
          <w:sz w:val="18"/>
        </w:rPr>
        <w:t>Domier,</w:t>
      </w:r>
      <w:r>
        <w:rPr>
          <w:color w:val="4C4D4F"/>
          <w:spacing w:val="-28"/>
          <w:w w:val="115"/>
          <w:sz w:val="18"/>
        </w:rPr>
        <w:t> </w:t>
      </w:r>
      <w:r>
        <w:rPr>
          <w:color w:val="4C4D4F"/>
          <w:w w:val="115"/>
          <w:sz w:val="18"/>
        </w:rPr>
        <w:t>C.,</w:t>
      </w:r>
      <w:r>
        <w:rPr>
          <w:color w:val="4C4D4F"/>
          <w:spacing w:val="-29"/>
          <w:w w:val="115"/>
          <w:sz w:val="18"/>
        </w:rPr>
        <w:t> </w:t>
      </w:r>
      <w:r>
        <w:rPr>
          <w:color w:val="4C4D4F"/>
          <w:w w:val="115"/>
          <w:sz w:val="18"/>
        </w:rPr>
        <w:t>Doraimani, G.,</w:t>
      </w:r>
      <w:r>
        <w:rPr>
          <w:color w:val="4C4D4F"/>
          <w:spacing w:val="-21"/>
          <w:w w:val="115"/>
          <w:sz w:val="18"/>
        </w:rPr>
        <w:t> </w:t>
      </w:r>
      <w:r>
        <w:rPr>
          <w:color w:val="4C4D4F"/>
          <w:spacing w:val="-3"/>
          <w:w w:val="115"/>
          <w:sz w:val="18"/>
        </w:rPr>
        <w:t>Hunter,</w:t>
      </w:r>
      <w:r>
        <w:rPr>
          <w:color w:val="4C4D4F"/>
          <w:spacing w:val="-20"/>
          <w:w w:val="115"/>
          <w:sz w:val="18"/>
        </w:rPr>
        <w:t> </w:t>
      </w:r>
      <w:r>
        <w:rPr>
          <w:color w:val="4C4D4F"/>
          <w:w w:val="120"/>
          <w:sz w:val="18"/>
        </w:rPr>
        <w:t>J.,</w:t>
      </w:r>
      <w:r>
        <w:rPr>
          <w:color w:val="4C4D4F"/>
          <w:spacing w:val="-23"/>
          <w:w w:val="120"/>
          <w:sz w:val="18"/>
        </w:rPr>
        <w:t> </w:t>
      </w:r>
      <w:r>
        <w:rPr>
          <w:color w:val="4C4D4F"/>
          <w:w w:val="115"/>
          <w:sz w:val="18"/>
        </w:rPr>
        <w:t>Thomas,</w:t>
      </w:r>
      <w:r>
        <w:rPr>
          <w:color w:val="4C4D4F"/>
          <w:spacing w:val="-20"/>
          <w:w w:val="115"/>
          <w:sz w:val="18"/>
        </w:rPr>
        <w:t> </w:t>
      </w:r>
      <w:r>
        <w:rPr>
          <w:color w:val="4C4D4F"/>
          <w:w w:val="115"/>
          <w:sz w:val="18"/>
        </w:rPr>
        <w:t>C.,</w:t>
      </w:r>
      <w:r>
        <w:rPr>
          <w:color w:val="4C4D4F"/>
          <w:spacing w:val="-21"/>
          <w:w w:val="115"/>
          <w:sz w:val="18"/>
        </w:rPr>
        <w:t> </w:t>
      </w:r>
      <w:r>
        <w:rPr>
          <w:color w:val="4C4D4F"/>
          <w:w w:val="115"/>
          <w:sz w:val="18"/>
        </w:rPr>
        <w:t>…</w:t>
      </w:r>
      <w:r>
        <w:rPr>
          <w:color w:val="4C4D4F"/>
          <w:spacing w:val="-20"/>
          <w:w w:val="115"/>
          <w:sz w:val="18"/>
        </w:rPr>
        <w:t> </w:t>
      </w:r>
      <w:r>
        <w:rPr>
          <w:color w:val="4C4D4F"/>
          <w:w w:val="115"/>
          <w:sz w:val="18"/>
        </w:rPr>
        <w:t>Bilangi,</w:t>
      </w:r>
      <w:r>
        <w:rPr>
          <w:color w:val="4C4D4F"/>
          <w:spacing w:val="-21"/>
          <w:w w:val="115"/>
          <w:sz w:val="18"/>
        </w:rPr>
        <w:t> </w:t>
      </w:r>
      <w:r>
        <w:rPr>
          <w:color w:val="4C4D4F"/>
          <w:w w:val="115"/>
          <w:sz w:val="18"/>
        </w:rPr>
        <w:t>R.</w:t>
      </w:r>
      <w:r>
        <w:rPr>
          <w:color w:val="4C4D4F"/>
          <w:spacing w:val="-20"/>
          <w:w w:val="115"/>
          <w:sz w:val="18"/>
        </w:rPr>
        <w:t> </w:t>
      </w:r>
      <w:r>
        <w:rPr>
          <w:color w:val="4C4D4F"/>
          <w:spacing w:val="-3"/>
          <w:w w:val="115"/>
          <w:sz w:val="18"/>
        </w:rPr>
        <w:t>(2009).</w:t>
      </w:r>
    </w:p>
    <w:p>
      <w:pPr>
        <w:spacing w:before="2"/>
        <w:ind w:left="500" w:right="0" w:firstLine="0"/>
        <w:jc w:val="left"/>
        <w:rPr>
          <w:sz w:val="18"/>
        </w:rPr>
      </w:pPr>
      <w:r>
        <w:rPr>
          <w:color w:val="4C4D4F"/>
          <w:w w:val="115"/>
          <w:sz w:val="18"/>
        </w:rPr>
        <w:t>Buprenorphine tapering schedule and illicit opioid use.</w:t>
      </w:r>
    </w:p>
    <w:p>
      <w:pPr>
        <w:spacing w:before="6"/>
        <w:ind w:left="500" w:right="0" w:firstLine="0"/>
        <w:jc w:val="left"/>
        <w:rPr>
          <w:sz w:val="18"/>
        </w:rPr>
      </w:pPr>
      <w:r>
        <w:rPr>
          <w:rFonts w:ascii="Arial" w:hAnsi="Arial"/>
          <w:i/>
          <w:color w:val="4C4D4F"/>
          <w:w w:val="105"/>
          <w:sz w:val="18"/>
        </w:rPr>
        <w:t>Addiction, 104</w:t>
      </w:r>
      <w:r>
        <w:rPr>
          <w:color w:val="4C4D4F"/>
          <w:w w:val="105"/>
          <w:sz w:val="18"/>
        </w:rPr>
        <w:t>(2), 256–265.</w:t>
      </w:r>
    </w:p>
    <w:p>
      <w:pPr>
        <w:pStyle w:val="ListParagraph"/>
        <w:numPr>
          <w:ilvl w:val="0"/>
          <w:numId w:val="51"/>
        </w:numPr>
        <w:tabs>
          <w:tab w:pos="500" w:val="left" w:leader="none"/>
        </w:tabs>
        <w:spacing w:line="247" w:lineRule="auto" w:before="79" w:after="0"/>
        <w:ind w:left="500" w:right="572" w:hanging="360"/>
        <w:jc w:val="left"/>
        <w:rPr>
          <w:color w:val="4C4D4F"/>
          <w:sz w:val="18"/>
        </w:rPr>
      </w:pPr>
      <w:r>
        <w:rPr>
          <w:color w:val="4C4D4F"/>
          <w:spacing w:val="-3"/>
          <w:w w:val="110"/>
          <w:sz w:val="18"/>
        </w:rPr>
        <w:t>Senay, </w:t>
      </w:r>
      <w:r>
        <w:rPr>
          <w:color w:val="4C4D4F"/>
          <w:w w:val="110"/>
          <w:sz w:val="18"/>
        </w:rPr>
        <w:t>E. C., Dorus, </w:t>
      </w:r>
      <w:r>
        <w:rPr>
          <w:color w:val="4C4D4F"/>
          <w:spacing w:val="-5"/>
          <w:w w:val="110"/>
          <w:sz w:val="18"/>
        </w:rPr>
        <w:t>W., </w:t>
      </w:r>
      <w:r>
        <w:rPr>
          <w:color w:val="4C4D4F"/>
          <w:w w:val="110"/>
          <w:sz w:val="18"/>
        </w:rPr>
        <w:t>&amp; Thornton, </w:t>
      </w:r>
      <w:r>
        <w:rPr>
          <w:color w:val="4C4D4F"/>
          <w:spacing w:val="-7"/>
          <w:w w:val="110"/>
          <w:sz w:val="18"/>
        </w:rPr>
        <w:t>W. </w:t>
      </w:r>
      <w:r>
        <w:rPr>
          <w:color w:val="4C4D4F"/>
          <w:w w:val="110"/>
          <w:sz w:val="18"/>
        </w:rPr>
        <w:t>(1977). Withdrawal from methadone maintenance: Rate </w:t>
      </w:r>
      <w:r>
        <w:rPr>
          <w:color w:val="4C4D4F"/>
          <w:spacing w:val="-9"/>
          <w:w w:val="110"/>
          <w:sz w:val="18"/>
        </w:rPr>
        <w:t>of </w:t>
      </w:r>
      <w:r>
        <w:rPr>
          <w:color w:val="4C4D4F"/>
          <w:w w:val="110"/>
          <w:sz w:val="18"/>
        </w:rPr>
        <w:t>withdrawal and expectation. </w:t>
      </w:r>
      <w:r>
        <w:rPr>
          <w:rFonts w:ascii="Arial" w:hAnsi="Arial"/>
          <w:i/>
          <w:color w:val="4C4D4F"/>
          <w:w w:val="110"/>
          <w:sz w:val="18"/>
        </w:rPr>
        <w:t>Archives of General </w:t>
      </w:r>
      <w:r>
        <w:rPr>
          <w:rFonts w:ascii="Arial" w:hAnsi="Arial"/>
          <w:i/>
          <w:color w:val="4C4D4F"/>
          <w:w w:val="110"/>
          <w:sz w:val="18"/>
        </w:rPr>
        <w:t>Psychiatry, 34</w:t>
      </w:r>
      <w:r>
        <w:rPr>
          <w:color w:val="4C4D4F"/>
          <w:w w:val="110"/>
          <w:sz w:val="18"/>
        </w:rPr>
        <w:t>(3),</w:t>
      </w:r>
      <w:r>
        <w:rPr>
          <w:color w:val="4C4D4F"/>
          <w:spacing w:val="-18"/>
          <w:w w:val="110"/>
          <w:sz w:val="18"/>
        </w:rPr>
        <w:t> </w:t>
      </w:r>
      <w:r>
        <w:rPr>
          <w:color w:val="4C4D4F"/>
          <w:w w:val="110"/>
          <w:sz w:val="18"/>
        </w:rPr>
        <w:t>361–367.</w:t>
      </w:r>
    </w:p>
    <w:p>
      <w:pPr>
        <w:pStyle w:val="ListParagraph"/>
        <w:numPr>
          <w:ilvl w:val="0"/>
          <w:numId w:val="51"/>
        </w:numPr>
        <w:tabs>
          <w:tab w:pos="500" w:val="left" w:leader="none"/>
        </w:tabs>
        <w:spacing w:line="247" w:lineRule="auto" w:before="73" w:after="0"/>
        <w:ind w:left="500" w:right="212" w:hanging="360"/>
        <w:jc w:val="left"/>
        <w:rPr>
          <w:color w:val="4C4D4F"/>
          <w:sz w:val="18"/>
        </w:rPr>
      </w:pPr>
      <w:r>
        <w:rPr>
          <w:color w:val="4C4D4F"/>
          <w:w w:val="110"/>
          <w:sz w:val="18"/>
        </w:rPr>
        <w:t>Sigmon, S. C., Dunn, K. E., Saulsgiver, K., Patrick, M.  E., </w:t>
      </w:r>
      <w:r>
        <w:rPr>
          <w:color w:val="4C4D4F"/>
          <w:spacing w:val="-3"/>
          <w:w w:val="110"/>
          <w:sz w:val="18"/>
        </w:rPr>
        <w:t>Badger, </w:t>
      </w:r>
      <w:r>
        <w:rPr>
          <w:color w:val="4C4D4F"/>
          <w:w w:val="110"/>
          <w:sz w:val="18"/>
        </w:rPr>
        <w:t>G. </w:t>
      </w:r>
      <w:r>
        <w:rPr>
          <w:color w:val="4C4D4F"/>
          <w:w w:val="120"/>
          <w:sz w:val="18"/>
        </w:rPr>
        <w:t>J., </w:t>
      </w:r>
      <w:r>
        <w:rPr>
          <w:color w:val="4C4D4F"/>
          <w:w w:val="110"/>
          <w:sz w:val="18"/>
        </w:rPr>
        <w:t>Heil, S. H., … Higgins, S. </w:t>
      </w:r>
      <w:r>
        <w:rPr>
          <w:color w:val="4C4D4F"/>
          <w:spacing w:val="-10"/>
          <w:w w:val="110"/>
          <w:sz w:val="18"/>
        </w:rPr>
        <w:t>T. </w:t>
      </w:r>
      <w:r>
        <w:rPr>
          <w:color w:val="4C4D4F"/>
          <w:w w:val="110"/>
          <w:sz w:val="18"/>
        </w:rPr>
        <w:t>(2013). A randomized, double-blind evaluation of </w:t>
      </w:r>
      <w:r>
        <w:rPr>
          <w:color w:val="4C4D4F"/>
          <w:spacing w:val="-3"/>
          <w:w w:val="110"/>
          <w:sz w:val="18"/>
        </w:rPr>
        <w:t>buprenorphine </w:t>
      </w:r>
      <w:r>
        <w:rPr>
          <w:color w:val="4C4D4F"/>
          <w:w w:val="110"/>
          <w:sz w:val="18"/>
        </w:rPr>
        <w:t>taper duration in primary prescription opioid abusers. </w:t>
      </w:r>
      <w:r>
        <w:rPr>
          <w:rFonts w:ascii="Arial" w:hAnsi="Arial"/>
          <w:i/>
          <w:color w:val="4C4D4F"/>
          <w:w w:val="110"/>
          <w:sz w:val="18"/>
        </w:rPr>
        <w:t>JAMA Psychiatry, 70</w:t>
      </w:r>
      <w:r>
        <w:rPr>
          <w:color w:val="4C4D4F"/>
          <w:w w:val="110"/>
          <w:sz w:val="18"/>
        </w:rPr>
        <w:t>(12),</w:t>
      </w:r>
      <w:r>
        <w:rPr>
          <w:color w:val="4C4D4F"/>
          <w:spacing w:val="-33"/>
          <w:w w:val="110"/>
          <w:sz w:val="18"/>
        </w:rPr>
        <w:t> </w:t>
      </w:r>
      <w:r>
        <w:rPr>
          <w:color w:val="4C4D4F"/>
          <w:w w:val="110"/>
          <w:sz w:val="18"/>
        </w:rPr>
        <w:t>1347–1354.</w:t>
      </w:r>
    </w:p>
    <w:p>
      <w:pPr>
        <w:pStyle w:val="ListParagraph"/>
        <w:numPr>
          <w:ilvl w:val="0"/>
          <w:numId w:val="51"/>
        </w:numPr>
        <w:tabs>
          <w:tab w:pos="500" w:val="left" w:leader="none"/>
        </w:tabs>
        <w:spacing w:line="247" w:lineRule="auto" w:before="75" w:after="0"/>
        <w:ind w:left="500" w:right="205" w:hanging="360"/>
        <w:jc w:val="left"/>
        <w:rPr>
          <w:color w:val="4C4D4F"/>
          <w:sz w:val="18"/>
        </w:rPr>
      </w:pPr>
      <w:r>
        <w:rPr>
          <w:color w:val="4C4D4F"/>
          <w:w w:val="110"/>
          <w:sz w:val="18"/>
        </w:rPr>
        <w:t>Department of Veterans Affairs &amp; Department of Defense.</w:t>
      </w:r>
      <w:r>
        <w:rPr>
          <w:color w:val="4C4D4F"/>
          <w:spacing w:val="-33"/>
          <w:w w:val="110"/>
          <w:sz w:val="18"/>
        </w:rPr>
        <w:t> </w:t>
      </w:r>
      <w:r>
        <w:rPr>
          <w:color w:val="4C4D4F"/>
          <w:w w:val="110"/>
          <w:sz w:val="18"/>
        </w:rPr>
        <w:t>(2015).</w:t>
      </w:r>
      <w:r>
        <w:rPr>
          <w:color w:val="4C4D4F"/>
          <w:spacing w:val="-33"/>
          <w:w w:val="110"/>
          <w:sz w:val="18"/>
        </w:rPr>
        <w:t> </w:t>
      </w:r>
      <w:r>
        <w:rPr>
          <w:rFonts w:ascii="Arial"/>
          <w:i/>
          <w:color w:val="4C4D4F"/>
          <w:w w:val="110"/>
          <w:sz w:val="18"/>
        </w:rPr>
        <w:t>VA/DoD</w:t>
      </w:r>
      <w:r>
        <w:rPr>
          <w:rFonts w:ascii="Arial"/>
          <w:i/>
          <w:color w:val="4C4D4F"/>
          <w:spacing w:val="-32"/>
          <w:w w:val="110"/>
          <w:sz w:val="18"/>
        </w:rPr>
        <w:t> </w:t>
      </w:r>
      <w:r>
        <w:rPr>
          <w:rFonts w:ascii="Arial"/>
          <w:i/>
          <w:color w:val="4C4D4F"/>
          <w:w w:val="110"/>
          <w:sz w:val="18"/>
        </w:rPr>
        <w:t>clinical</w:t>
      </w:r>
      <w:r>
        <w:rPr>
          <w:rFonts w:ascii="Arial"/>
          <w:i/>
          <w:color w:val="4C4D4F"/>
          <w:spacing w:val="-33"/>
          <w:w w:val="110"/>
          <w:sz w:val="18"/>
        </w:rPr>
        <w:t> </w:t>
      </w:r>
      <w:r>
        <w:rPr>
          <w:rFonts w:ascii="Arial"/>
          <w:i/>
          <w:color w:val="4C4D4F"/>
          <w:w w:val="110"/>
          <w:sz w:val="18"/>
        </w:rPr>
        <w:t>practice</w:t>
      </w:r>
      <w:r>
        <w:rPr>
          <w:rFonts w:ascii="Arial"/>
          <w:i/>
          <w:color w:val="4C4D4F"/>
          <w:spacing w:val="-32"/>
          <w:w w:val="110"/>
          <w:sz w:val="18"/>
        </w:rPr>
        <w:t> </w:t>
      </w:r>
      <w:r>
        <w:rPr>
          <w:rFonts w:ascii="Arial"/>
          <w:i/>
          <w:color w:val="4C4D4F"/>
          <w:w w:val="110"/>
          <w:sz w:val="18"/>
        </w:rPr>
        <w:t>guideline</w:t>
      </w:r>
      <w:r>
        <w:rPr>
          <w:rFonts w:ascii="Arial"/>
          <w:i/>
          <w:color w:val="4C4D4F"/>
          <w:spacing w:val="-33"/>
          <w:w w:val="110"/>
          <w:sz w:val="18"/>
        </w:rPr>
        <w:t> </w:t>
      </w:r>
      <w:r>
        <w:rPr>
          <w:rFonts w:ascii="Arial"/>
          <w:i/>
          <w:color w:val="4C4D4F"/>
          <w:w w:val="110"/>
          <w:sz w:val="18"/>
        </w:rPr>
        <w:t>for </w:t>
      </w:r>
      <w:r>
        <w:rPr>
          <w:rFonts w:ascii="Arial"/>
          <w:i/>
          <w:color w:val="4C4D4F"/>
          <w:w w:val="105"/>
          <w:sz w:val="18"/>
        </w:rPr>
        <w:t>the</w:t>
      </w:r>
      <w:r>
        <w:rPr>
          <w:rFonts w:ascii="Arial"/>
          <w:i/>
          <w:color w:val="4C4D4F"/>
          <w:spacing w:val="-23"/>
          <w:w w:val="105"/>
          <w:sz w:val="18"/>
        </w:rPr>
        <w:t> </w:t>
      </w:r>
      <w:r>
        <w:rPr>
          <w:rFonts w:ascii="Arial"/>
          <w:i/>
          <w:color w:val="4C4D4F"/>
          <w:w w:val="105"/>
          <w:sz w:val="18"/>
        </w:rPr>
        <w:t>management</w:t>
      </w:r>
      <w:r>
        <w:rPr>
          <w:rFonts w:ascii="Arial"/>
          <w:i/>
          <w:color w:val="4C4D4F"/>
          <w:spacing w:val="-23"/>
          <w:w w:val="105"/>
          <w:sz w:val="18"/>
        </w:rPr>
        <w:t> </w:t>
      </w:r>
      <w:r>
        <w:rPr>
          <w:rFonts w:ascii="Arial"/>
          <w:i/>
          <w:color w:val="4C4D4F"/>
          <w:w w:val="105"/>
          <w:sz w:val="18"/>
        </w:rPr>
        <w:t>of</w:t>
      </w:r>
      <w:r>
        <w:rPr>
          <w:rFonts w:ascii="Arial"/>
          <w:i/>
          <w:color w:val="4C4D4F"/>
          <w:spacing w:val="-22"/>
          <w:w w:val="105"/>
          <w:sz w:val="18"/>
        </w:rPr>
        <w:t> </w:t>
      </w:r>
      <w:r>
        <w:rPr>
          <w:rFonts w:ascii="Arial"/>
          <w:i/>
          <w:color w:val="4C4D4F"/>
          <w:w w:val="105"/>
          <w:sz w:val="18"/>
        </w:rPr>
        <w:t>substance</w:t>
      </w:r>
      <w:r>
        <w:rPr>
          <w:rFonts w:ascii="Arial"/>
          <w:i/>
          <w:color w:val="4C4D4F"/>
          <w:spacing w:val="-23"/>
          <w:w w:val="105"/>
          <w:sz w:val="18"/>
        </w:rPr>
        <w:t> </w:t>
      </w:r>
      <w:r>
        <w:rPr>
          <w:rFonts w:ascii="Arial"/>
          <w:i/>
          <w:color w:val="4C4D4F"/>
          <w:w w:val="105"/>
          <w:sz w:val="18"/>
        </w:rPr>
        <w:t>use</w:t>
      </w:r>
      <w:r>
        <w:rPr>
          <w:rFonts w:ascii="Arial"/>
          <w:i/>
          <w:color w:val="4C4D4F"/>
          <w:spacing w:val="-22"/>
          <w:w w:val="105"/>
          <w:sz w:val="18"/>
        </w:rPr>
        <w:t> </w:t>
      </w:r>
      <w:r>
        <w:rPr>
          <w:rFonts w:ascii="Arial"/>
          <w:i/>
          <w:color w:val="4C4D4F"/>
          <w:w w:val="105"/>
          <w:sz w:val="18"/>
        </w:rPr>
        <w:t>disorders.</w:t>
      </w:r>
      <w:r>
        <w:rPr>
          <w:rFonts w:ascii="Arial"/>
          <w:i/>
          <w:color w:val="4C4D4F"/>
          <w:spacing w:val="-23"/>
          <w:w w:val="105"/>
          <w:sz w:val="18"/>
        </w:rPr>
        <w:t> </w:t>
      </w:r>
      <w:r>
        <w:rPr>
          <w:color w:val="4C4D4F"/>
          <w:w w:val="105"/>
          <w:sz w:val="18"/>
        </w:rPr>
        <w:t>Retrieved </w:t>
      </w:r>
      <w:r>
        <w:rPr>
          <w:color w:val="4C4D4F"/>
          <w:w w:val="110"/>
          <w:sz w:val="18"/>
        </w:rPr>
        <w:t>October 16, 2017, from</w:t>
      </w:r>
      <w:r>
        <w:rPr>
          <w:color w:val="205E9E"/>
          <w:spacing w:val="-15"/>
          <w:w w:val="110"/>
          <w:sz w:val="18"/>
        </w:rPr>
        <w:t> </w:t>
      </w:r>
      <w:hyperlink r:id="rId93">
        <w:r>
          <w:rPr>
            <w:color w:val="205E9E"/>
            <w:w w:val="110"/>
            <w:sz w:val="18"/>
            <w:u w:val="single" w:color="205E9E"/>
          </w:rPr>
          <w:t>www.healthquality.va.gov</w:t>
        </w:r>
      </w:hyperlink>
    </w:p>
    <w:p>
      <w:pPr>
        <w:spacing w:before="1"/>
        <w:ind w:left="500" w:right="0" w:firstLine="0"/>
        <w:jc w:val="left"/>
        <w:rPr>
          <w:sz w:val="18"/>
        </w:rPr>
      </w:pPr>
      <w:r>
        <w:rPr>
          <w:color w:val="205E9E"/>
          <w:w w:val="110"/>
          <w:sz w:val="18"/>
          <w:u w:val="single" w:color="205E9E"/>
        </w:rPr>
        <w:t>/guidelines/MH/sud/VADoDSUDCPGRevised22216.pdf</w:t>
      </w:r>
    </w:p>
    <w:p>
      <w:pPr>
        <w:pStyle w:val="ListParagraph"/>
        <w:numPr>
          <w:ilvl w:val="0"/>
          <w:numId w:val="51"/>
        </w:numPr>
        <w:tabs>
          <w:tab w:pos="500" w:val="left" w:leader="none"/>
        </w:tabs>
        <w:spacing w:line="247" w:lineRule="auto" w:before="80" w:after="0"/>
        <w:ind w:left="500" w:right="389" w:hanging="360"/>
        <w:jc w:val="left"/>
        <w:rPr>
          <w:color w:val="4C4D4F"/>
          <w:sz w:val="18"/>
        </w:rPr>
      </w:pPr>
      <w:r>
        <w:rPr>
          <w:color w:val="4C4D4F"/>
          <w:w w:val="110"/>
          <w:sz w:val="18"/>
        </w:rPr>
        <w:t>Fullerton, C. A., Kim, M., Thomas, C. </w:t>
      </w:r>
      <w:r>
        <w:rPr>
          <w:color w:val="4C4D4F"/>
          <w:spacing w:val="-11"/>
          <w:w w:val="110"/>
          <w:sz w:val="18"/>
        </w:rPr>
        <w:t>P., </w:t>
      </w:r>
      <w:r>
        <w:rPr>
          <w:color w:val="4C4D4F"/>
          <w:w w:val="110"/>
          <w:sz w:val="18"/>
        </w:rPr>
        <w:t>Lyman, D. R., Montejano, L. B., Dougherty, R. H., … Delphin- Rittmon, M. E. (2014). Medication-assisted </w:t>
      </w:r>
      <w:r>
        <w:rPr>
          <w:color w:val="4C4D4F"/>
          <w:spacing w:val="-3"/>
          <w:w w:val="110"/>
          <w:sz w:val="18"/>
        </w:rPr>
        <w:t>treatment </w:t>
      </w:r>
      <w:r>
        <w:rPr>
          <w:color w:val="4C4D4F"/>
          <w:w w:val="110"/>
          <w:sz w:val="18"/>
        </w:rPr>
        <w:t>with</w:t>
      </w:r>
      <w:r>
        <w:rPr>
          <w:color w:val="4C4D4F"/>
          <w:spacing w:val="-9"/>
          <w:w w:val="110"/>
          <w:sz w:val="18"/>
        </w:rPr>
        <w:t> </w:t>
      </w:r>
      <w:r>
        <w:rPr>
          <w:color w:val="4C4D4F"/>
          <w:w w:val="110"/>
          <w:sz w:val="18"/>
        </w:rPr>
        <w:t>methadone:</w:t>
      </w:r>
      <w:r>
        <w:rPr>
          <w:color w:val="4C4D4F"/>
          <w:spacing w:val="-9"/>
          <w:w w:val="110"/>
          <w:sz w:val="18"/>
        </w:rPr>
        <w:t> </w:t>
      </w:r>
      <w:r>
        <w:rPr>
          <w:color w:val="4C4D4F"/>
          <w:w w:val="110"/>
          <w:sz w:val="18"/>
        </w:rPr>
        <w:t>Assessing</w:t>
      </w:r>
      <w:r>
        <w:rPr>
          <w:color w:val="4C4D4F"/>
          <w:spacing w:val="-9"/>
          <w:w w:val="110"/>
          <w:sz w:val="18"/>
        </w:rPr>
        <w:t> </w:t>
      </w:r>
      <w:r>
        <w:rPr>
          <w:color w:val="4C4D4F"/>
          <w:w w:val="110"/>
          <w:sz w:val="18"/>
        </w:rPr>
        <w:t>the</w:t>
      </w:r>
      <w:r>
        <w:rPr>
          <w:color w:val="4C4D4F"/>
          <w:spacing w:val="-8"/>
          <w:w w:val="110"/>
          <w:sz w:val="18"/>
        </w:rPr>
        <w:t> </w:t>
      </w:r>
      <w:r>
        <w:rPr>
          <w:color w:val="4C4D4F"/>
          <w:w w:val="110"/>
          <w:sz w:val="18"/>
        </w:rPr>
        <w:t>evidence.</w:t>
      </w:r>
      <w:r>
        <w:rPr>
          <w:color w:val="4C4D4F"/>
          <w:spacing w:val="-9"/>
          <w:w w:val="110"/>
          <w:sz w:val="18"/>
        </w:rPr>
        <w:t> </w:t>
      </w:r>
      <w:r>
        <w:rPr>
          <w:rFonts w:ascii="Arial" w:hAnsi="Arial"/>
          <w:i/>
          <w:color w:val="4C4D4F"/>
          <w:w w:val="110"/>
          <w:sz w:val="18"/>
        </w:rPr>
        <w:t>Psychiatric </w:t>
      </w:r>
      <w:r>
        <w:rPr>
          <w:rFonts w:ascii="Arial" w:hAnsi="Arial"/>
          <w:i/>
          <w:color w:val="4C4D4F"/>
          <w:w w:val="110"/>
          <w:sz w:val="18"/>
        </w:rPr>
        <w:t>Services, 65</w:t>
      </w:r>
      <w:r>
        <w:rPr>
          <w:color w:val="4C4D4F"/>
          <w:w w:val="110"/>
          <w:sz w:val="18"/>
        </w:rPr>
        <w:t>(2),</w:t>
      </w:r>
      <w:r>
        <w:rPr>
          <w:color w:val="4C4D4F"/>
          <w:spacing w:val="-17"/>
          <w:w w:val="110"/>
          <w:sz w:val="18"/>
        </w:rPr>
        <w:t> </w:t>
      </w:r>
      <w:r>
        <w:rPr>
          <w:color w:val="4C4D4F"/>
          <w:w w:val="110"/>
          <w:sz w:val="18"/>
        </w:rPr>
        <w:t>146–157.</w:t>
      </w:r>
    </w:p>
    <w:p>
      <w:pPr>
        <w:pStyle w:val="ListParagraph"/>
        <w:numPr>
          <w:ilvl w:val="0"/>
          <w:numId w:val="51"/>
        </w:numPr>
        <w:tabs>
          <w:tab w:pos="500" w:val="left" w:leader="none"/>
        </w:tabs>
        <w:spacing w:line="247" w:lineRule="auto" w:before="73" w:after="0"/>
        <w:ind w:left="500" w:right="181" w:hanging="360"/>
        <w:jc w:val="left"/>
        <w:rPr>
          <w:color w:val="4C4D4F"/>
          <w:sz w:val="18"/>
        </w:rPr>
      </w:pPr>
      <w:r>
        <w:rPr>
          <w:color w:val="4C4D4F"/>
          <w:w w:val="110"/>
          <w:sz w:val="18"/>
        </w:rPr>
        <w:t>Weiss, R. D., </w:t>
      </w:r>
      <w:r>
        <w:rPr>
          <w:color w:val="4C4D4F"/>
          <w:spacing w:val="-3"/>
          <w:w w:val="110"/>
          <w:sz w:val="18"/>
        </w:rPr>
        <w:t>Potter, </w:t>
      </w:r>
      <w:r>
        <w:rPr>
          <w:color w:val="4C4D4F"/>
          <w:w w:val="130"/>
          <w:sz w:val="18"/>
        </w:rPr>
        <w:t>J. </w:t>
      </w:r>
      <w:r>
        <w:rPr>
          <w:color w:val="4C4D4F"/>
          <w:w w:val="110"/>
          <w:sz w:val="18"/>
        </w:rPr>
        <w:t>S., Fiellin, D. A., Byrne, M., Connery, H. S., Dickinson, </w:t>
      </w:r>
      <w:r>
        <w:rPr>
          <w:color w:val="4C4D4F"/>
          <w:spacing w:val="-5"/>
          <w:w w:val="110"/>
          <w:sz w:val="18"/>
        </w:rPr>
        <w:t>W., </w:t>
      </w:r>
      <w:r>
        <w:rPr>
          <w:color w:val="4C4D4F"/>
          <w:w w:val="110"/>
          <w:sz w:val="18"/>
        </w:rPr>
        <w:t>… Ling, </w:t>
      </w:r>
      <w:r>
        <w:rPr>
          <w:color w:val="4C4D4F"/>
          <w:spacing w:val="-7"/>
          <w:w w:val="110"/>
          <w:sz w:val="18"/>
        </w:rPr>
        <w:t>W. </w:t>
      </w:r>
      <w:r>
        <w:rPr>
          <w:color w:val="4C4D4F"/>
          <w:w w:val="110"/>
          <w:sz w:val="18"/>
        </w:rPr>
        <w:t>(2011). Adjunctive counseling during brief and extended buprenorphine-naloxone treatment for prescription opioid dependence: A 2-phase randomized controlled </w:t>
      </w:r>
      <w:r>
        <w:rPr>
          <w:color w:val="4C4D4F"/>
          <w:w w:val="105"/>
          <w:sz w:val="18"/>
        </w:rPr>
        <w:t>trial.</w:t>
      </w:r>
      <w:r>
        <w:rPr>
          <w:color w:val="4C4D4F"/>
          <w:spacing w:val="-21"/>
          <w:w w:val="105"/>
          <w:sz w:val="18"/>
        </w:rPr>
        <w:t> </w:t>
      </w:r>
      <w:r>
        <w:rPr>
          <w:rFonts w:ascii="Arial" w:hAnsi="Arial"/>
          <w:i/>
          <w:color w:val="4C4D4F"/>
          <w:w w:val="105"/>
          <w:sz w:val="18"/>
        </w:rPr>
        <w:t>Archives</w:t>
      </w:r>
      <w:r>
        <w:rPr>
          <w:rFonts w:ascii="Arial" w:hAnsi="Arial"/>
          <w:i/>
          <w:color w:val="4C4D4F"/>
          <w:spacing w:val="-21"/>
          <w:w w:val="105"/>
          <w:sz w:val="18"/>
        </w:rPr>
        <w:t> </w:t>
      </w:r>
      <w:r>
        <w:rPr>
          <w:rFonts w:ascii="Arial" w:hAnsi="Arial"/>
          <w:i/>
          <w:color w:val="4C4D4F"/>
          <w:w w:val="105"/>
          <w:sz w:val="18"/>
        </w:rPr>
        <w:t>of</w:t>
      </w:r>
      <w:r>
        <w:rPr>
          <w:rFonts w:ascii="Arial" w:hAnsi="Arial"/>
          <w:i/>
          <w:color w:val="4C4D4F"/>
          <w:spacing w:val="-21"/>
          <w:w w:val="105"/>
          <w:sz w:val="18"/>
        </w:rPr>
        <w:t> </w:t>
      </w:r>
      <w:r>
        <w:rPr>
          <w:rFonts w:ascii="Arial" w:hAnsi="Arial"/>
          <w:i/>
          <w:color w:val="4C4D4F"/>
          <w:w w:val="105"/>
          <w:sz w:val="18"/>
        </w:rPr>
        <w:t>General</w:t>
      </w:r>
      <w:r>
        <w:rPr>
          <w:rFonts w:ascii="Arial" w:hAnsi="Arial"/>
          <w:i/>
          <w:color w:val="4C4D4F"/>
          <w:spacing w:val="-21"/>
          <w:w w:val="105"/>
          <w:sz w:val="18"/>
        </w:rPr>
        <w:t> </w:t>
      </w:r>
      <w:r>
        <w:rPr>
          <w:rFonts w:ascii="Arial" w:hAnsi="Arial"/>
          <w:i/>
          <w:color w:val="4C4D4F"/>
          <w:w w:val="105"/>
          <w:sz w:val="18"/>
        </w:rPr>
        <w:t>Psychiatry,</w:t>
      </w:r>
      <w:r>
        <w:rPr>
          <w:rFonts w:ascii="Arial" w:hAnsi="Arial"/>
          <w:i/>
          <w:color w:val="4C4D4F"/>
          <w:spacing w:val="-21"/>
          <w:w w:val="105"/>
          <w:sz w:val="18"/>
        </w:rPr>
        <w:t> </w:t>
      </w:r>
      <w:r>
        <w:rPr>
          <w:rFonts w:ascii="Arial" w:hAnsi="Arial"/>
          <w:i/>
          <w:color w:val="4C4D4F"/>
          <w:w w:val="105"/>
          <w:sz w:val="18"/>
        </w:rPr>
        <w:t>68</w:t>
      </w:r>
      <w:r>
        <w:rPr>
          <w:color w:val="4C4D4F"/>
          <w:w w:val="105"/>
          <w:sz w:val="18"/>
        </w:rPr>
        <w:t>(12),</w:t>
      </w:r>
      <w:r>
        <w:rPr>
          <w:color w:val="4C4D4F"/>
          <w:spacing w:val="-21"/>
          <w:w w:val="105"/>
          <w:sz w:val="18"/>
        </w:rPr>
        <w:t> </w:t>
      </w:r>
      <w:r>
        <w:rPr>
          <w:color w:val="4C4D4F"/>
          <w:w w:val="105"/>
          <w:sz w:val="18"/>
        </w:rPr>
        <w:t>1238–1246.</w:t>
      </w:r>
    </w:p>
    <w:p>
      <w:pPr>
        <w:spacing w:after="0" w:line="247" w:lineRule="auto"/>
        <w:jc w:val="left"/>
        <w:rPr>
          <w:sz w:val="18"/>
        </w:rPr>
        <w:sectPr>
          <w:type w:val="continuous"/>
          <w:pgSz w:w="12240" w:h="15840"/>
          <w:pgMar w:top="540" w:bottom="280" w:left="940" w:right="920"/>
          <w:cols w:num="2" w:equalWidth="0">
            <w:col w:w="5017" w:space="203"/>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44" w:hanging="360"/>
        <w:jc w:val="left"/>
        <w:rPr>
          <w:color w:val="4C4D4F"/>
          <w:sz w:val="18"/>
        </w:rPr>
      </w:pPr>
      <w:r>
        <w:rPr>
          <w:color w:val="4C4D4F"/>
          <w:w w:val="110"/>
          <w:sz w:val="18"/>
        </w:rPr>
        <w:t>Amato, L., Davoli, M., Minozzi, S., Ferroni, E., Ali, R., &amp; Ferri M. (2013). Methadone at tapered doses for the management</w:t>
      </w:r>
      <w:r>
        <w:rPr>
          <w:color w:val="4C4D4F"/>
          <w:spacing w:val="-21"/>
          <w:w w:val="110"/>
          <w:sz w:val="18"/>
        </w:rPr>
        <w:t> </w:t>
      </w:r>
      <w:r>
        <w:rPr>
          <w:color w:val="4C4D4F"/>
          <w:w w:val="110"/>
          <w:sz w:val="18"/>
        </w:rPr>
        <w:t>of</w:t>
      </w:r>
      <w:r>
        <w:rPr>
          <w:color w:val="4C4D4F"/>
          <w:spacing w:val="-21"/>
          <w:w w:val="110"/>
          <w:sz w:val="18"/>
        </w:rPr>
        <w:t> </w:t>
      </w:r>
      <w:r>
        <w:rPr>
          <w:color w:val="4C4D4F"/>
          <w:w w:val="110"/>
          <w:sz w:val="18"/>
        </w:rPr>
        <w:t>opioid</w:t>
      </w:r>
      <w:r>
        <w:rPr>
          <w:color w:val="4C4D4F"/>
          <w:spacing w:val="-20"/>
          <w:w w:val="110"/>
          <w:sz w:val="18"/>
        </w:rPr>
        <w:t> </w:t>
      </w:r>
      <w:r>
        <w:rPr>
          <w:color w:val="4C4D4F"/>
          <w:w w:val="110"/>
          <w:sz w:val="18"/>
        </w:rPr>
        <w:t>withdrawal.</w:t>
      </w:r>
      <w:r>
        <w:rPr>
          <w:color w:val="4C4D4F"/>
          <w:spacing w:val="-21"/>
          <w:w w:val="110"/>
          <w:sz w:val="18"/>
        </w:rPr>
        <w:t> </w:t>
      </w:r>
      <w:r>
        <w:rPr>
          <w:rFonts w:ascii="Arial"/>
          <w:i/>
          <w:color w:val="4C4D4F"/>
          <w:w w:val="110"/>
          <w:sz w:val="18"/>
        </w:rPr>
        <w:t>Cochrane</w:t>
      </w:r>
      <w:r>
        <w:rPr>
          <w:rFonts w:ascii="Arial"/>
          <w:i/>
          <w:color w:val="4C4D4F"/>
          <w:spacing w:val="-21"/>
          <w:w w:val="110"/>
          <w:sz w:val="18"/>
        </w:rPr>
        <w:t> </w:t>
      </w:r>
      <w:r>
        <w:rPr>
          <w:rFonts w:ascii="Arial"/>
          <w:i/>
          <w:color w:val="4C4D4F"/>
          <w:spacing w:val="-3"/>
          <w:w w:val="110"/>
          <w:sz w:val="18"/>
        </w:rPr>
        <w:t>Database </w:t>
      </w:r>
      <w:r>
        <w:rPr>
          <w:rFonts w:ascii="Arial"/>
          <w:i/>
          <w:color w:val="4C4D4F"/>
          <w:w w:val="110"/>
          <w:sz w:val="18"/>
        </w:rPr>
        <w:t>of</w:t>
      </w:r>
      <w:r>
        <w:rPr>
          <w:rFonts w:ascii="Arial"/>
          <w:i/>
          <w:color w:val="4C4D4F"/>
          <w:spacing w:val="-17"/>
          <w:w w:val="110"/>
          <w:sz w:val="18"/>
        </w:rPr>
        <w:t> </w:t>
      </w:r>
      <w:r>
        <w:rPr>
          <w:rFonts w:ascii="Arial"/>
          <w:i/>
          <w:color w:val="4C4D4F"/>
          <w:w w:val="110"/>
          <w:sz w:val="18"/>
        </w:rPr>
        <w:t>Systematic</w:t>
      </w:r>
      <w:r>
        <w:rPr>
          <w:rFonts w:ascii="Arial"/>
          <w:i/>
          <w:color w:val="4C4D4F"/>
          <w:spacing w:val="-17"/>
          <w:w w:val="110"/>
          <w:sz w:val="18"/>
        </w:rPr>
        <w:t> </w:t>
      </w:r>
      <w:r>
        <w:rPr>
          <w:rFonts w:ascii="Arial"/>
          <w:i/>
          <w:color w:val="4C4D4F"/>
          <w:w w:val="110"/>
          <w:sz w:val="18"/>
        </w:rPr>
        <w:t>Reviews,</w:t>
      </w:r>
      <w:r>
        <w:rPr>
          <w:rFonts w:ascii="Arial"/>
          <w:i/>
          <w:color w:val="4C4D4F"/>
          <w:spacing w:val="-17"/>
          <w:w w:val="110"/>
          <w:sz w:val="18"/>
        </w:rPr>
        <w:t> </w:t>
      </w:r>
      <w:r>
        <w:rPr>
          <w:rFonts w:ascii="Arial"/>
          <w:i/>
          <w:color w:val="4C4D4F"/>
          <w:w w:val="110"/>
          <w:sz w:val="18"/>
        </w:rPr>
        <w:t>2013</w:t>
      </w:r>
      <w:r>
        <w:rPr>
          <w:color w:val="4C4D4F"/>
          <w:w w:val="110"/>
          <w:sz w:val="18"/>
        </w:rPr>
        <w:t>(2).</w:t>
      </w:r>
      <w:r>
        <w:rPr>
          <w:color w:val="4C4D4F"/>
          <w:spacing w:val="-17"/>
          <w:w w:val="110"/>
          <w:sz w:val="18"/>
        </w:rPr>
        <w:t> </w:t>
      </w:r>
      <w:r>
        <w:rPr>
          <w:color w:val="4C4D4F"/>
          <w:w w:val="110"/>
          <w:sz w:val="18"/>
        </w:rPr>
        <w:t>CD003409.</w:t>
      </w:r>
    </w:p>
    <w:p>
      <w:pPr>
        <w:pStyle w:val="ListParagraph"/>
        <w:numPr>
          <w:ilvl w:val="0"/>
          <w:numId w:val="51"/>
        </w:numPr>
        <w:tabs>
          <w:tab w:pos="500" w:val="left" w:leader="none"/>
        </w:tabs>
        <w:spacing w:line="247" w:lineRule="auto" w:before="73" w:after="0"/>
        <w:ind w:left="500" w:right="38" w:hanging="360"/>
        <w:jc w:val="left"/>
        <w:rPr>
          <w:color w:val="4C4D4F"/>
          <w:sz w:val="18"/>
        </w:rPr>
      </w:pPr>
      <w:r>
        <w:rPr>
          <w:color w:val="4C4D4F"/>
          <w:w w:val="110"/>
          <w:sz w:val="18"/>
        </w:rPr>
        <w:t>Weiss, R. D., </w:t>
      </w:r>
      <w:r>
        <w:rPr>
          <w:color w:val="4C4D4F"/>
          <w:spacing w:val="-3"/>
          <w:w w:val="110"/>
          <w:sz w:val="18"/>
        </w:rPr>
        <w:t>Potter, </w:t>
      </w:r>
      <w:r>
        <w:rPr>
          <w:color w:val="4C4D4F"/>
          <w:w w:val="130"/>
          <w:sz w:val="18"/>
        </w:rPr>
        <w:t>J. </w:t>
      </w:r>
      <w:r>
        <w:rPr>
          <w:color w:val="4C4D4F"/>
          <w:w w:val="110"/>
          <w:sz w:val="18"/>
        </w:rPr>
        <w:t>S., Fiellin, D. A., Byrne, M., Connery, H. S., Dickinson, </w:t>
      </w:r>
      <w:r>
        <w:rPr>
          <w:color w:val="4C4D4F"/>
          <w:spacing w:val="-5"/>
          <w:w w:val="110"/>
          <w:sz w:val="18"/>
        </w:rPr>
        <w:t>W., </w:t>
      </w:r>
      <w:r>
        <w:rPr>
          <w:color w:val="4C4D4F"/>
          <w:w w:val="110"/>
          <w:sz w:val="18"/>
        </w:rPr>
        <w:t>… Ling, </w:t>
      </w:r>
      <w:r>
        <w:rPr>
          <w:color w:val="4C4D4F"/>
          <w:spacing w:val="-7"/>
          <w:w w:val="110"/>
          <w:sz w:val="18"/>
        </w:rPr>
        <w:t>W. </w:t>
      </w:r>
      <w:r>
        <w:rPr>
          <w:color w:val="4C4D4F"/>
          <w:w w:val="110"/>
          <w:sz w:val="18"/>
        </w:rPr>
        <w:t>(2011). Adjunctive counseling during brief and extended buprenorphine-naloxone treatment for prescription opioid dependence: A 2-phase randomized controlled </w:t>
      </w:r>
      <w:r>
        <w:rPr>
          <w:color w:val="4C4D4F"/>
          <w:w w:val="105"/>
          <w:sz w:val="18"/>
        </w:rPr>
        <w:t>trial.</w:t>
      </w:r>
      <w:r>
        <w:rPr>
          <w:color w:val="4C4D4F"/>
          <w:spacing w:val="-21"/>
          <w:w w:val="105"/>
          <w:sz w:val="18"/>
        </w:rPr>
        <w:t> </w:t>
      </w:r>
      <w:r>
        <w:rPr>
          <w:rFonts w:ascii="Arial" w:hAnsi="Arial"/>
          <w:i/>
          <w:color w:val="4C4D4F"/>
          <w:w w:val="105"/>
          <w:sz w:val="18"/>
        </w:rPr>
        <w:t>Archives</w:t>
      </w:r>
      <w:r>
        <w:rPr>
          <w:rFonts w:ascii="Arial" w:hAnsi="Arial"/>
          <w:i/>
          <w:color w:val="4C4D4F"/>
          <w:spacing w:val="-21"/>
          <w:w w:val="105"/>
          <w:sz w:val="18"/>
        </w:rPr>
        <w:t> </w:t>
      </w:r>
      <w:r>
        <w:rPr>
          <w:rFonts w:ascii="Arial" w:hAnsi="Arial"/>
          <w:i/>
          <w:color w:val="4C4D4F"/>
          <w:w w:val="105"/>
          <w:sz w:val="18"/>
        </w:rPr>
        <w:t>of</w:t>
      </w:r>
      <w:r>
        <w:rPr>
          <w:rFonts w:ascii="Arial" w:hAnsi="Arial"/>
          <w:i/>
          <w:color w:val="4C4D4F"/>
          <w:spacing w:val="-21"/>
          <w:w w:val="105"/>
          <w:sz w:val="18"/>
        </w:rPr>
        <w:t> </w:t>
      </w:r>
      <w:r>
        <w:rPr>
          <w:rFonts w:ascii="Arial" w:hAnsi="Arial"/>
          <w:i/>
          <w:color w:val="4C4D4F"/>
          <w:w w:val="105"/>
          <w:sz w:val="18"/>
        </w:rPr>
        <w:t>General</w:t>
      </w:r>
      <w:r>
        <w:rPr>
          <w:rFonts w:ascii="Arial" w:hAnsi="Arial"/>
          <w:i/>
          <w:color w:val="4C4D4F"/>
          <w:spacing w:val="-21"/>
          <w:w w:val="105"/>
          <w:sz w:val="18"/>
        </w:rPr>
        <w:t> </w:t>
      </w:r>
      <w:r>
        <w:rPr>
          <w:rFonts w:ascii="Arial" w:hAnsi="Arial"/>
          <w:i/>
          <w:color w:val="4C4D4F"/>
          <w:w w:val="105"/>
          <w:sz w:val="18"/>
        </w:rPr>
        <w:t>Psychiatry,</w:t>
      </w:r>
      <w:r>
        <w:rPr>
          <w:rFonts w:ascii="Arial" w:hAnsi="Arial"/>
          <w:i/>
          <w:color w:val="4C4D4F"/>
          <w:spacing w:val="-21"/>
          <w:w w:val="105"/>
          <w:sz w:val="18"/>
        </w:rPr>
        <w:t> </w:t>
      </w:r>
      <w:r>
        <w:rPr>
          <w:rFonts w:ascii="Arial" w:hAnsi="Arial"/>
          <w:i/>
          <w:color w:val="4C4D4F"/>
          <w:w w:val="105"/>
          <w:sz w:val="18"/>
        </w:rPr>
        <w:t>68</w:t>
      </w:r>
      <w:r>
        <w:rPr>
          <w:color w:val="4C4D4F"/>
          <w:w w:val="105"/>
          <w:sz w:val="18"/>
        </w:rPr>
        <w:t>(12),</w:t>
      </w:r>
      <w:r>
        <w:rPr>
          <w:color w:val="4C4D4F"/>
          <w:spacing w:val="-21"/>
          <w:w w:val="105"/>
          <w:sz w:val="18"/>
        </w:rPr>
        <w:t> </w:t>
      </w:r>
      <w:r>
        <w:rPr>
          <w:color w:val="4C4D4F"/>
          <w:w w:val="105"/>
          <w:sz w:val="18"/>
        </w:rPr>
        <w:t>1238–1246.</w:t>
      </w:r>
    </w:p>
    <w:p>
      <w:pPr>
        <w:pStyle w:val="ListParagraph"/>
        <w:numPr>
          <w:ilvl w:val="0"/>
          <w:numId w:val="51"/>
        </w:numPr>
        <w:tabs>
          <w:tab w:pos="500" w:val="left" w:leader="none"/>
        </w:tabs>
        <w:spacing w:line="247" w:lineRule="auto" w:before="76" w:after="0"/>
        <w:ind w:left="500" w:right="748" w:hanging="360"/>
        <w:jc w:val="left"/>
        <w:rPr>
          <w:color w:val="4C4D4F"/>
          <w:sz w:val="18"/>
        </w:rPr>
      </w:pPr>
      <w:r>
        <w:rPr>
          <w:color w:val="4C4D4F"/>
          <w:w w:val="115"/>
          <w:sz w:val="18"/>
        </w:rPr>
        <w:t>Ling,</w:t>
      </w:r>
      <w:r>
        <w:rPr>
          <w:color w:val="4C4D4F"/>
          <w:spacing w:val="-32"/>
          <w:w w:val="115"/>
          <w:sz w:val="18"/>
        </w:rPr>
        <w:t> </w:t>
      </w:r>
      <w:r>
        <w:rPr>
          <w:color w:val="4C4D4F"/>
          <w:spacing w:val="-5"/>
          <w:w w:val="115"/>
          <w:sz w:val="18"/>
        </w:rPr>
        <w:t>W.,</w:t>
      </w:r>
      <w:r>
        <w:rPr>
          <w:color w:val="4C4D4F"/>
          <w:spacing w:val="-32"/>
          <w:w w:val="115"/>
          <w:sz w:val="18"/>
        </w:rPr>
        <w:t> </w:t>
      </w:r>
      <w:r>
        <w:rPr>
          <w:color w:val="4C4D4F"/>
          <w:w w:val="115"/>
          <w:sz w:val="18"/>
        </w:rPr>
        <w:t>Hillhouse,</w:t>
      </w:r>
      <w:r>
        <w:rPr>
          <w:color w:val="4C4D4F"/>
          <w:spacing w:val="-32"/>
          <w:w w:val="115"/>
          <w:sz w:val="18"/>
        </w:rPr>
        <w:t> </w:t>
      </w:r>
      <w:r>
        <w:rPr>
          <w:color w:val="4C4D4F"/>
          <w:w w:val="115"/>
          <w:sz w:val="18"/>
        </w:rPr>
        <w:t>M.,</w:t>
      </w:r>
      <w:r>
        <w:rPr>
          <w:color w:val="4C4D4F"/>
          <w:spacing w:val="-32"/>
          <w:w w:val="115"/>
          <w:sz w:val="18"/>
        </w:rPr>
        <w:t> </w:t>
      </w:r>
      <w:r>
        <w:rPr>
          <w:color w:val="4C4D4F"/>
          <w:spacing w:val="-3"/>
          <w:w w:val="115"/>
          <w:sz w:val="18"/>
        </w:rPr>
        <w:t>Domier,</w:t>
      </w:r>
      <w:r>
        <w:rPr>
          <w:color w:val="4C4D4F"/>
          <w:spacing w:val="-31"/>
          <w:w w:val="115"/>
          <w:sz w:val="18"/>
        </w:rPr>
        <w:t> </w:t>
      </w:r>
      <w:r>
        <w:rPr>
          <w:color w:val="4C4D4F"/>
          <w:w w:val="115"/>
          <w:sz w:val="18"/>
        </w:rPr>
        <w:t>C.,</w:t>
      </w:r>
      <w:r>
        <w:rPr>
          <w:color w:val="4C4D4F"/>
          <w:spacing w:val="-32"/>
          <w:w w:val="115"/>
          <w:sz w:val="18"/>
        </w:rPr>
        <w:t> </w:t>
      </w:r>
      <w:r>
        <w:rPr>
          <w:color w:val="4C4D4F"/>
          <w:w w:val="115"/>
          <w:sz w:val="18"/>
        </w:rPr>
        <w:t>Doraimani, G.,</w:t>
      </w:r>
      <w:r>
        <w:rPr>
          <w:color w:val="4C4D4F"/>
          <w:spacing w:val="-18"/>
          <w:w w:val="115"/>
          <w:sz w:val="18"/>
        </w:rPr>
        <w:t> </w:t>
      </w:r>
      <w:r>
        <w:rPr>
          <w:color w:val="4C4D4F"/>
          <w:spacing w:val="-3"/>
          <w:w w:val="115"/>
          <w:sz w:val="18"/>
        </w:rPr>
        <w:t>Hunter,</w:t>
      </w:r>
      <w:r>
        <w:rPr>
          <w:color w:val="4C4D4F"/>
          <w:spacing w:val="-17"/>
          <w:w w:val="115"/>
          <w:sz w:val="18"/>
        </w:rPr>
        <w:t> </w:t>
      </w:r>
      <w:r>
        <w:rPr>
          <w:color w:val="4C4D4F"/>
          <w:w w:val="120"/>
          <w:sz w:val="18"/>
        </w:rPr>
        <w:t>J.,</w:t>
      </w:r>
      <w:r>
        <w:rPr>
          <w:color w:val="4C4D4F"/>
          <w:spacing w:val="-19"/>
          <w:w w:val="120"/>
          <w:sz w:val="18"/>
        </w:rPr>
        <w:t> </w:t>
      </w:r>
      <w:r>
        <w:rPr>
          <w:color w:val="4C4D4F"/>
          <w:w w:val="115"/>
          <w:sz w:val="18"/>
        </w:rPr>
        <w:t>Thomas,</w:t>
      </w:r>
      <w:r>
        <w:rPr>
          <w:color w:val="4C4D4F"/>
          <w:spacing w:val="-17"/>
          <w:w w:val="115"/>
          <w:sz w:val="18"/>
        </w:rPr>
        <w:t> </w:t>
      </w:r>
      <w:r>
        <w:rPr>
          <w:color w:val="4C4D4F"/>
          <w:w w:val="115"/>
          <w:sz w:val="18"/>
        </w:rPr>
        <w:t>C.,</w:t>
      </w:r>
      <w:r>
        <w:rPr>
          <w:color w:val="4C4D4F"/>
          <w:spacing w:val="-17"/>
          <w:w w:val="115"/>
          <w:sz w:val="18"/>
        </w:rPr>
        <w:t> </w:t>
      </w:r>
      <w:r>
        <w:rPr>
          <w:color w:val="4C4D4F"/>
          <w:w w:val="115"/>
          <w:sz w:val="18"/>
        </w:rPr>
        <w:t>&amp;</w:t>
      </w:r>
      <w:r>
        <w:rPr>
          <w:color w:val="4C4D4F"/>
          <w:spacing w:val="-17"/>
          <w:w w:val="115"/>
          <w:sz w:val="18"/>
        </w:rPr>
        <w:t> </w:t>
      </w:r>
      <w:r>
        <w:rPr>
          <w:color w:val="4C4D4F"/>
          <w:w w:val="115"/>
          <w:sz w:val="18"/>
        </w:rPr>
        <w:t>Bilangi,</w:t>
      </w:r>
      <w:r>
        <w:rPr>
          <w:color w:val="4C4D4F"/>
          <w:spacing w:val="-17"/>
          <w:w w:val="115"/>
          <w:sz w:val="18"/>
        </w:rPr>
        <w:t> </w:t>
      </w:r>
      <w:r>
        <w:rPr>
          <w:color w:val="4C4D4F"/>
          <w:w w:val="115"/>
          <w:sz w:val="18"/>
        </w:rPr>
        <w:t>R.</w:t>
      </w:r>
      <w:r>
        <w:rPr>
          <w:color w:val="4C4D4F"/>
          <w:spacing w:val="-17"/>
          <w:w w:val="115"/>
          <w:sz w:val="18"/>
        </w:rPr>
        <w:t> </w:t>
      </w:r>
      <w:r>
        <w:rPr>
          <w:color w:val="4C4D4F"/>
          <w:spacing w:val="-3"/>
          <w:w w:val="115"/>
          <w:sz w:val="18"/>
        </w:rPr>
        <w:t>(2009).</w:t>
      </w:r>
    </w:p>
    <w:p>
      <w:pPr>
        <w:spacing w:before="2"/>
        <w:ind w:left="500" w:right="0" w:firstLine="0"/>
        <w:jc w:val="left"/>
        <w:rPr>
          <w:sz w:val="18"/>
        </w:rPr>
      </w:pPr>
      <w:r>
        <w:rPr>
          <w:color w:val="4C4D4F"/>
          <w:w w:val="115"/>
          <w:sz w:val="18"/>
        </w:rPr>
        <w:t>Buprenorphine</w:t>
      </w:r>
      <w:r>
        <w:rPr>
          <w:color w:val="4C4D4F"/>
          <w:spacing w:val="-18"/>
          <w:w w:val="115"/>
          <w:sz w:val="18"/>
        </w:rPr>
        <w:t> </w:t>
      </w:r>
      <w:r>
        <w:rPr>
          <w:color w:val="4C4D4F"/>
          <w:w w:val="115"/>
          <w:sz w:val="18"/>
        </w:rPr>
        <w:t>tapering</w:t>
      </w:r>
      <w:r>
        <w:rPr>
          <w:color w:val="4C4D4F"/>
          <w:spacing w:val="-18"/>
          <w:w w:val="115"/>
          <w:sz w:val="18"/>
        </w:rPr>
        <w:t> </w:t>
      </w:r>
      <w:r>
        <w:rPr>
          <w:color w:val="4C4D4F"/>
          <w:w w:val="115"/>
          <w:sz w:val="18"/>
        </w:rPr>
        <w:t>schedule</w:t>
      </w:r>
      <w:r>
        <w:rPr>
          <w:color w:val="4C4D4F"/>
          <w:spacing w:val="-18"/>
          <w:w w:val="115"/>
          <w:sz w:val="18"/>
        </w:rPr>
        <w:t> </w:t>
      </w:r>
      <w:r>
        <w:rPr>
          <w:color w:val="4C4D4F"/>
          <w:w w:val="115"/>
          <w:sz w:val="18"/>
        </w:rPr>
        <w:t>and</w:t>
      </w:r>
      <w:r>
        <w:rPr>
          <w:color w:val="4C4D4F"/>
          <w:spacing w:val="-18"/>
          <w:w w:val="115"/>
          <w:sz w:val="18"/>
        </w:rPr>
        <w:t> </w:t>
      </w:r>
      <w:r>
        <w:rPr>
          <w:color w:val="4C4D4F"/>
          <w:w w:val="115"/>
          <w:sz w:val="18"/>
        </w:rPr>
        <w:t>illicit</w:t>
      </w:r>
      <w:r>
        <w:rPr>
          <w:color w:val="4C4D4F"/>
          <w:spacing w:val="-18"/>
          <w:w w:val="115"/>
          <w:sz w:val="18"/>
        </w:rPr>
        <w:t> </w:t>
      </w:r>
      <w:r>
        <w:rPr>
          <w:color w:val="4C4D4F"/>
          <w:w w:val="115"/>
          <w:sz w:val="18"/>
        </w:rPr>
        <w:t>opioid</w:t>
      </w:r>
      <w:r>
        <w:rPr>
          <w:color w:val="4C4D4F"/>
          <w:spacing w:val="-17"/>
          <w:w w:val="115"/>
          <w:sz w:val="18"/>
        </w:rPr>
        <w:t> </w:t>
      </w:r>
      <w:r>
        <w:rPr>
          <w:color w:val="4C4D4F"/>
          <w:w w:val="115"/>
          <w:sz w:val="18"/>
        </w:rPr>
        <w:t>use.</w:t>
      </w:r>
    </w:p>
    <w:p>
      <w:pPr>
        <w:spacing w:before="6"/>
        <w:ind w:left="500" w:right="0" w:firstLine="0"/>
        <w:jc w:val="left"/>
        <w:rPr>
          <w:sz w:val="18"/>
        </w:rPr>
      </w:pPr>
      <w:r>
        <w:rPr>
          <w:rFonts w:ascii="Arial" w:hAnsi="Arial"/>
          <w:i/>
          <w:color w:val="4C4D4F"/>
          <w:w w:val="105"/>
          <w:sz w:val="18"/>
        </w:rPr>
        <w:t>Addiction, 104</w:t>
      </w:r>
      <w:r>
        <w:rPr>
          <w:color w:val="4C4D4F"/>
          <w:w w:val="105"/>
          <w:sz w:val="18"/>
        </w:rPr>
        <w:t>(2), 256–265.</w:t>
      </w:r>
    </w:p>
    <w:p>
      <w:pPr>
        <w:pStyle w:val="ListParagraph"/>
        <w:numPr>
          <w:ilvl w:val="0"/>
          <w:numId w:val="51"/>
        </w:numPr>
        <w:tabs>
          <w:tab w:pos="500" w:val="left" w:leader="none"/>
        </w:tabs>
        <w:spacing w:line="247" w:lineRule="auto" w:before="79" w:after="0"/>
        <w:ind w:left="500" w:right="195" w:hanging="360"/>
        <w:jc w:val="left"/>
        <w:rPr>
          <w:color w:val="4C4D4F"/>
          <w:sz w:val="18"/>
        </w:rPr>
      </w:pPr>
      <w:r>
        <w:rPr>
          <w:color w:val="4C4D4F"/>
          <w:w w:val="110"/>
          <w:sz w:val="18"/>
        </w:rPr>
        <w:t>Amato, L., Minozzi, S., Davoli, M., &amp; Vecchi, S. </w:t>
      </w:r>
      <w:r>
        <w:rPr>
          <w:color w:val="4C4D4F"/>
          <w:spacing w:val="-3"/>
          <w:w w:val="110"/>
          <w:sz w:val="18"/>
        </w:rPr>
        <w:t>(2011). </w:t>
      </w:r>
      <w:r>
        <w:rPr>
          <w:color w:val="4C4D4F"/>
          <w:w w:val="110"/>
          <w:sz w:val="18"/>
        </w:rPr>
        <w:t>Psychosocial and pharmacological treatments versus pharmacological treatments for opioid detoxiﬁcation. </w:t>
      </w:r>
      <w:r>
        <w:rPr>
          <w:rFonts w:ascii="Arial" w:hAnsi="Arial"/>
          <w:i/>
          <w:color w:val="4C4D4F"/>
          <w:w w:val="105"/>
          <w:sz w:val="18"/>
        </w:rPr>
        <w:t>Cochrane</w:t>
      </w:r>
      <w:r>
        <w:rPr>
          <w:rFonts w:ascii="Arial" w:hAnsi="Arial"/>
          <w:i/>
          <w:color w:val="4C4D4F"/>
          <w:spacing w:val="-32"/>
          <w:w w:val="105"/>
          <w:sz w:val="18"/>
        </w:rPr>
        <w:t> </w:t>
      </w:r>
      <w:r>
        <w:rPr>
          <w:rFonts w:ascii="Arial" w:hAnsi="Arial"/>
          <w:i/>
          <w:color w:val="4C4D4F"/>
          <w:w w:val="105"/>
          <w:sz w:val="18"/>
        </w:rPr>
        <w:t>Database</w:t>
      </w:r>
      <w:r>
        <w:rPr>
          <w:rFonts w:ascii="Arial" w:hAnsi="Arial"/>
          <w:i/>
          <w:color w:val="4C4D4F"/>
          <w:spacing w:val="-32"/>
          <w:w w:val="105"/>
          <w:sz w:val="18"/>
        </w:rPr>
        <w:t> </w:t>
      </w:r>
      <w:r>
        <w:rPr>
          <w:rFonts w:ascii="Arial" w:hAnsi="Arial"/>
          <w:i/>
          <w:color w:val="4C4D4F"/>
          <w:w w:val="105"/>
          <w:sz w:val="18"/>
        </w:rPr>
        <w:t>of</w:t>
      </w:r>
      <w:r>
        <w:rPr>
          <w:rFonts w:ascii="Arial" w:hAnsi="Arial"/>
          <w:i/>
          <w:color w:val="4C4D4F"/>
          <w:spacing w:val="-32"/>
          <w:w w:val="105"/>
          <w:sz w:val="18"/>
        </w:rPr>
        <w:t> </w:t>
      </w:r>
      <w:r>
        <w:rPr>
          <w:rFonts w:ascii="Arial" w:hAnsi="Arial"/>
          <w:i/>
          <w:color w:val="4C4D4F"/>
          <w:w w:val="105"/>
          <w:sz w:val="18"/>
        </w:rPr>
        <w:t>Systematic</w:t>
      </w:r>
      <w:r>
        <w:rPr>
          <w:rFonts w:ascii="Arial" w:hAnsi="Arial"/>
          <w:i/>
          <w:color w:val="4C4D4F"/>
          <w:spacing w:val="-31"/>
          <w:w w:val="105"/>
          <w:sz w:val="18"/>
        </w:rPr>
        <w:t> </w:t>
      </w:r>
      <w:r>
        <w:rPr>
          <w:rFonts w:ascii="Arial" w:hAnsi="Arial"/>
          <w:i/>
          <w:color w:val="4C4D4F"/>
          <w:w w:val="105"/>
          <w:sz w:val="18"/>
        </w:rPr>
        <w:t>Reviews,</w:t>
      </w:r>
      <w:r>
        <w:rPr>
          <w:rFonts w:ascii="Arial" w:hAnsi="Arial"/>
          <w:i/>
          <w:color w:val="4C4D4F"/>
          <w:spacing w:val="-32"/>
          <w:w w:val="105"/>
          <w:sz w:val="18"/>
        </w:rPr>
        <w:t> </w:t>
      </w:r>
      <w:r>
        <w:rPr>
          <w:rFonts w:ascii="Arial" w:hAnsi="Arial"/>
          <w:i/>
          <w:color w:val="4C4D4F"/>
          <w:w w:val="105"/>
          <w:sz w:val="18"/>
        </w:rPr>
        <w:t>2011</w:t>
      </w:r>
      <w:r>
        <w:rPr>
          <w:color w:val="4C4D4F"/>
          <w:w w:val="105"/>
          <w:sz w:val="18"/>
        </w:rPr>
        <w:t>(9). </w:t>
      </w:r>
      <w:r>
        <w:rPr>
          <w:color w:val="4C4D4F"/>
          <w:w w:val="110"/>
          <w:sz w:val="18"/>
        </w:rPr>
        <w:t>CD005031.</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15"/>
          <w:sz w:val="18"/>
        </w:rPr>
        <w:t>Nunes,</w:t>
      </w:r>
      <w:r>
        <w:rPr>
          <w:color w:val="4C4D4F"/>
          <w:spacing w:val="-14"/>
          <w:w w:val="115"/>
          <w:sz w:val="18"/>
        </w:rPr>
        <w:t> </w:t>
      </w:r>
      <w:r>
        <w:rPr>
          <w:color w:val="4C4D4F"/>
          <w:w w:val="115"/>
          <w:sz w:val="18"/>
        </w:rPr>
        <w:t>E.</w:t>
      </w:r>
      <w:r>
        <w:rPr>
          <w:color w:val="4C4D4F"/>
          <w:spacing w:val="-14"/>
          <w:w w:val="115"/>
          <w:sz w:val="18"/>
        </w:rPr>
        <w:t> </w:t>
      </w:r>
      <w:r>
        <w:rPr>
          <w:color w:val="4C4D4F"/>
          <w:spacing w:val="-8"/>
          <w:w w:val="115"/>
          <w:sz w:val="18"/>
        </w:rPr>
        <w:t>V.,</w:t>
      </w:r>
      <w:r>
        <w:rPr>
          <w:color w:val="4C4D4F"/>
          <w:spacing w:val="-14"/>
          <w:w w:val="115"/>
          <w:sz w:val="18"/>
        </w:rPr>
        <w:t> </w:t>
      </w:r>
      <w:r>
        <w:rPr>
          <w:color w:val="4C4D4F"/>
          <w:w w:val="115"/>
          <w:sz w:val="18"/>
        </w:rPr>
        <w:t>Gordon,</w:t>
      </w:r>
      <w:r>
        <w:rPr>
          <w:color w:val="4C4D4F"/>
          <w:spacing w:val="-13"/>
          <w:w w:val="115"/>
          <w:sz w:val="18"/>
        </w:rPr>
        <w:t> </w:t>
      </w:r>
      <w:r>
        <w:rPr>
          <w:color w:val="4C4D4F"/>
          <w:w w:val="115"/>
          <w:sz w:val="18"/>
        </w:rPr>
        <w:t>M.,</w:t>
      </w:r>
      <w:r>
        <w:rPr>
          <w:color w:val="4C4D4F"/>
          <w:spacing w:val="-14"/>
          <w:w w:val="115"/>
          <w:sz w:val="18"/>
        </w:rPr>
        <w:t> </w:t>
      </w:r>
      <w:r>
        <w:rPr>
          <w:color w:val="4C4D4F"/>
          <w:w w:val="115"/>
          <w:sz w:val="18"/>
        </w:rPr>
        <w:t>Friedmann,</w:t>
      </w:r>
      <w:r>
        <w:rPr>
          <w:color w:val="4C4D4F"/>
          <w:spacing w:val="-14"/>
          <w:w w:val="115"/>
          <w:sz w:val="18"/>
        </w:rPr>
        <w:t> </w:t>
      </w:r>
      <w:r>
        <w:rPr>
          <w:color w:val="4C4D4F"/>
          <w:spacing w:val="-17"/>
          <w:w w:val="115"/>
          <w:sz w:val="18"/>
        </w:rPr>
        <w:t>P.</w:t>
      </w:r>
      <w:r>
        <w:rPr>
          <w:color w:val="4C4D4F"/>
          <w:spacing w:val="-13"/>
          <w:w w:val="115"/>
          <w:sz w:val="18"/>
        </w:rPr>
        <w:t> </w:t>
      </w:r>
      <w:r>
        <w:rPr>
          <w:color w:val="4C4D4F"/>
          <w:w w:val="115"/>
          <w:sz w:val="18"/>
        </w:rPr>
        <w:t>D.,</w:t>
      </w:r>
      <w:r>
        <w:rPr>
          <w:color w:val="4C4D4F"/>
          <w:spacing w:val="-14"/>
          <w:w w:val="115"/>
          <w:sz w:val="18"/>
        </w:rPr>
        <w:t> </w:t>
      </w:r>
      <w:r>
        <w:rPr>
          <w:color w:val="4C4D4F"/>
          <w:w w:val="115"/>
          <w:sz w:val="18"/>
        </w:rPr>
        <w:t>Fishman,</w:t>
      </w:r>
    </w:p>
    <w:p>
      <w:pPr>
        <w:spacing w:line="247" w:lineRule="auto" w:before="7"/>
        <w:ind w:left="500" w:right="56" w:firstLine="0"/>
        <w:jc w:val="left"/>
        <w:rPr>
          <w:sz w:val="18"/>
        </w:rPr>
      </w:pPr>
      <w:r>
        <w:rPr>
          <w:color w:val="4C4D4F"/>
          <w:w w:val="110"/>
          <w:sz w:val="18"/>
        </w:rPr>
        <w:t>M. </w:t>
      </w:r>
      <w:r>
        <w:rPr>
          <w:color w:val="4C4D4F"/>
          <w:w w:val="135"/>
          <w:sz w:val="18"/>
        </w:rPr>
        <w:t>J., </w:t>
      </w:r>
      <w:r>
        <w:rPr>
          <w:color w:val="4C4D4F"/>
          <w:w w:val="110"/>
          <w:sz w:val="18"/>
        </w:rPr>
        <w:t>Lee, </w:t>
      </w:r>
      <w:r>
        <w:rPr>
          <w:color w:val="4C4D4F"/>
          <w:w w:val="135"/>
          <w:sz w:val="18"/>
        </w:rPr>
        <w:t>J. </w:t>
      </w:r>
      <w:r>
        <w:rPr>
          <w:color w:val="4C4D4F"/>
          <w:w w:val="110"/>
          <w:sz w:val="18"/>
        </w:rPr>
        <w:t>D., Chen, D. </w:t>
      </w:r>
      <w:r>
        <w:rPr>
          <w:color w:val="4C4D4F"/>
          <w:spacing w:val="-7"/>
          <w:w w:val="110"/>
          <w:sz w:val="18"/>
        </w:rPr>
        <w:t>T., </w:t>
      </w:r>
      <w:r>
        <w:rPr>
          <w:color w:val="4C4D4F"/>
          <w:w w:val="110"/>
          <w:sz w:val="18"/>
        </w:rPr>
        <w:t>… O’Brien, C.</w:t>
      </w:r>
      <w:r>
        <w:rPr>
          <w:color w:val="4C4D4F"/>
          <w:spacing w:val="-36"/>
          <w:w w:val="110"/>
          <w:sz w:val="18"/>
        </w:rPr>
        <w:t> </w:t>
      </w:r>
      <w:r>
        <w:rPr>
          <w:color w:val="4C4D4F"/>
          <w:spacing w:val="-17"/>
          <w:w w:val="110"/>
          <w:sz w:val="18"/>
        </w:rPr>
        <w:t>P. </w:t>
      </w:r>
      <w:r>
        <w:rPr>
          <w:color w:val="4C4D4F"/>
          <w:spacing w:val="-3"/>
          <w:w w:val="110"/>
          <w:sz w:val="18"/>
        </w:rPr>
        <w:t>(2018). </w:t>
      </w:r>
      <w:r>
        <w:rPr>
          <w:color w:val="4C4D4F"/>
          <w:w w:val="110"/>
          <w:sz w:val="18"/>
        </w:rPr>
        <w:t>Relapse to opioid use disorder after inpatient treatment: Protective effect of injection naltrexone. </w:t>
      </w:r>
      <w:r>
        <w:rPr>
          <w:rFonts w:ascii="Arial" w:hAnsi="Arial"/>
          <w:i/>
          <w:color w:val="4C4D4F"/>
          <w:w w:val="110"/>
          <w:sz w:val="18"/>
        </w:rPr>
        <w:t>Journal</w:t>
      </w:r>
      <w:r>
        <w:rPr>
          <w:rFonts w:ascii="Arial" w:hAnsi="Arial"/>
          <w:i/>
          <w:color w:val="4C4D4F"/>
          <w:spacing w:val="-34"/>
          <w:w w:val="110"/>
          <w:sz w:val="18"/>
        </w:rPr>
        <w:t> </w:t>
      </w:r>
      <w:r>
        <w:rPr>
          <w:rFonts w:ascii="Arial" w:hAnsi="Arial"/>
          <w:i/>
          <w:color w:val="4C4D4F"/>
          <w:w w:val="110"/>
          <w:sz w:val="18"/>
        </w:rPr>
        <w:t>of</w:t>
      </w:r>
      <w:r>
        <w:rPr>
          <w:rFonts w:ascii="Arial" w:hAnsi="Arial"/>
          <w:i/>
          <w:color w:val="4C4D4F"/>
          <w:spacing w:val="-33"/>
          <w:w w:val="110"/>
          <w:sz w:val="18"/>
        </w:rPr>
        <w:t> </w:t>
      </w:r>
      <w:r>
        <w:rPr>
          <w:rFonts w:ascii="Arial" w:hAnsi="Arial"/>
          <w:i/>
          <w:color w:val="4C4D4F"/>
          <w:w w:val="110"/>
          <w:sz w:val="18"/>
        </w:rPr>
        <w:t>Substance</w:t>
      </w:r>
      <w:r>
        <w:rPr>
          <w:rFonts w:ascii="Arial" w:hAnsi="Arial"/>
          <w:i/>
          <w:color w:val="4C4D4F"/>
          <w:spacing w:val="-33"/>
          <w:w w:val="110"/>
          <w:sz w:val="18"/>
        </w:rPr>
        <w:t> </w:t>
      </w:r>
      <w:r>
        <w:rPr>
          <w:rFonts w:ascii="Arial" w:hAnsi="Arial"/>
          <w:i/>
          <w:color w:val="4C4D4F"/>
          <w:w w:val="110"/>
          <w:sz w:val="18"/>
        </w:rPr>
        <w:t>Abuse</w:t>
      </w:r>
      <w:r>
        <w:rPr>
          <w:rFonts w:ascii="Arial" w:hAnsi="Arial"/>
          <w:i/>
          <w:color w:val="4C4D4F"/>
          <w:spacing w:val="-33"/>
          <w:w w:val="110"/>
          <w:sz w:val="18"/>
        </w:rPr>
        <w:t> </w:t>
      </w:r>
      <w:r>
        <w:rPr>
          <w:rFonts w:ascii="Arial" w:hAnsi="Arial"/>
          <w:i/>
          <w:color w:val="4C4D4F"/>
          <w:spacing w:val="-3"/>
          <w:w w:val="110"/>
          <w:sz w:val="18"/>
        </w:rPr>
        <w:t>Treatment,</w:t>
      </w:r>
      <w:r>
        <w:rPr>
          <w:rFonts w:ascii="Arial" w:hAnsi="Arial"/>
          <w:i/>
          <w:color w:val="4C4D4F"/>
          <w:spacing w:val="-33"/>
          <w:w w:val="110"/>
          <w:sz w:val="18"/>
        </w:rPr>
        <w:t> </w:t>
      </w:r>
      <w:r>
        <w:rPr>
          <w:rFonts w:ascii="Arial" w:hAnsi="Arial"/>
          <w:i/>
          <w:color w:val="4C4D4F"/>
          <w:w w:val="110"/>
          <w:sz w:val="18"/>
        </w:rPr>
        <w:t>85</w:t>
      </w:r>
      <w:r>
        <w:rPr>
          <w:color w:val="4C4D4F"/>
          <w:w w:val="110"/>
          <w:sz w:val="18"/>
        </w:rPr>
        <w:t>,</w:t>
      </w:r>
      <w:r>
        <w:rPr>
          <w:color w:val="4C4D4F"/>
          <w:spacing w:val="-33"/>
          <w:w w:val="110"/>
          <w:sz w:val="18"/>
        </w:rPr>
        <w:t> </w:t>
      </w:r>
      <w:r>
        <w:rPr>
          <w:color w:val="4C4D4F"/>
          <w:w w:val="110"/>
          <w:sz w:val="18"/>
        </w:rPr>
        <w:t>49–55.</w:t>
      </w:r>
    </w:p>
    <w:p>
      <w:pPr>
        <w:pStyle w:val="ListParagraph"/>
        <w:numPr>
          <w:ilvl w:val="0"/>
          <w:numId w:val="51"/>
        </w:numPr>
        <w:tabs>
          <w:tab w:pos="500" w:val="left" w:leader="none"/>
        </w:tabs>
        <w:spacing w:line="247" w:lineRule="auto" w:before="74" w:after="0"/>
        <w:ind w:left="500" w:right="215" w:hanging="360"/>
        <w:jc w:val="left"/>
        <w:rPr>
          <w:color w:val="4C4D4F"/>
          <w:sz w:val="18"/>
        </w:rPr>
      </w:pPr>
      <w:r>
        <w:rPr>
          <w:color w:val="4C4D4F"/>
          <w:w w:val="115"/>
          <w:sz w:val="18"/>
        </w:rPr>
        <w:t>Satoh, M., &amp; Minami, M. (1995). Molecular </w:t>
      </w:r>
      <w:r>
        <w:rPr>
          <w:color w:val="4C4D4F"/>
          <w:w w:val="110"/>
          <w:sz w:val="18"/>
        </w:rPr>
        <w:t>pharmacology</w:t>
      </w:r>
      <w:r>
        <w:rPr>
          <w:color w:val="4C4D4F"/>
          <w:spacing w:val="-21"/>
          <w:w w:val="110"/>
          <w:sz w:val="18"/>
        </w:rPr>
        <w:t> </w:t>
      </w:r>
      <w:r>
        <w:rPr>
          <w:color w:val="4C4D4F"/>
          <w:w w:val="110"/>
          <w:sz w:val="18"/>
        </w:rPr>
        <w:t>of</w:t>
      </w:r>
      <w:r>
        <w:rPr>
          <w:color w:val="4C4D4F"/>
          <w:spacing w:val="-20"/>
          <w:w w:val="110"/>
          <w:sz w:val="18"/>
        </w:rPr>
        <w:t> </w:t>
      </w:r>
      <w:r>
        <w:rPr>
          <w:color w:val="4C4D4F"/>
          <w:w w:val="110"/>
          <w:sz w:val="18"/>
        </w:rPr>
        <w:t>the</w:t>
      </w:r>
      <w:r>
        <w:rPr>
          <w:color w:val="4C4D4F"/>
          <w:spacing w:val="-19"/>
          <w:w w:val="110"/>
          <w:sz w:val="18"/>
        </w:rPr>
        <w:t> </w:t>
      </w:r>
      <w:r>
        <w:rPr>
          <w:color w:val="4C4D4F"/>
          <w:w w:val="110"/>
          <w:sz w:val="18"/>
        </w:rPr>
        <w:t>opioid</w:t>
      </w:r>
      <w:r>
        <w:rPr>
          <w:color w:val="4C4D4F"/>
          <w:spacing w:val="-19"/>
          <w:w w:val="110"/>
          <w:sz w:val="18"/>
        </w:rPr>
        <w:t> </w:t>
      </w:r>
      <w:r>
        <w:rPr>
          <w:color w:val="4C4D4F"/>
          <w:w w:val="110"/>
          <w:sz w:val="18"/>
        </w:rPr>
        <w:t>receptors.</w:t>
      </w:r>
      <w:r>
        <w:rPr>
          <w:color w:val="4C4D4F"/>
          <w:spacing w:val="-20"/>
          <w:w w:val="110"/>
          <w:sz w:val="18"/>
        </w:rPr>
        <w:t> </w:t>
      </w:r>
      <w:r>
        <w:rPr>
          <w:rFonts w:ascii="Arial" w:hAnsi="Arial"/>
          <w:i/>
          <w:color w:val="4C4D4F"/>
          <w:spacing w:val="-2"/>
          <w:w w:val="110"/>
          <w:sz w:val="18"/>
        </w:rPr>
        <w:t>Pharmacology </w:t>
      </w:r>
      <w:r>
        <w:rPr>
          <w:rFonts w:ascii="Arial" w:hAnsi="Arial"/>
          <w:i/>
          <w:color w:val="4C4D4F"/>
          <w:w w:val="115"/>
          <w:sz w:val="18"/>
        </w:rPr>
        <w:t>&amp; Therapeutics, 68</w:t>
      </w:r>
      <w:r>
        <w:rPr>
          <w:color w:val="4C4D4F"/>
          <w:w w:val="115"/>
          <w:sz w:val="18"/>
        </w:rPr>
        <w:t>(3),</w:t>
      </w:r>
      <w:r>
        <w:rPr>
          <w:color w:val="4C4D4F"/>
          <w:spacing w:val="-44"/>
          <w:w w:val="115"/>
          <w:sz w:val="18"/>
        </w:rPr>
        <w:t> </w:t>
      </w:r>
      <w:r>
        <w:rPr>
          <w:color w:val="4C4D4F"/>
          <w:w w:val="115"/>
          <w:sz w:val="18"/>
        </w:rPr>
        <w:t>343–364.</w:t>
      </w:r>
    </w:p>
    <w:p>
      <w:pPr>
        <w:pStyle w:val="ListParagraph"/>
        <w:numPr>
          <w:ilvl w:val="0"/>
          <w:numId w:val="51"/>
        </w:numPr>
        <w:tabs>
          <w:tab w:pos="500" w:val="left" w:leader="none"/>
        </w:tabs>
        <w:spacing w:line="247" w:lineRule="auto" w:before="72" w:after="0"/>
        <w:ind w:left="500" w:right="507" w:hanging="360"/>
        <w:jc w:val="left"/>
        <w:rPr>
          <w:color w:val="4C4D4F"/>
          <w:sz w:val="18"/>
        </w:rPr>
      </w:pPr>
      <w:r>
        <w:rPr>
          <w:color w:val="4C4D4F"/>
          <w:w w:val="105"/>
          <w:sz w:val="18"/>
        </w:rPr>
        <w:t>Akbarali, H. I., </w:t>
      </w:r>
      <w:r>
        <w:rPr>
          <w:color w:val="4C4D4F"/>
          <w:spacing w:val="-3"/>
          <w:w w:val="105"/>
          <w:sz w:val="18"/>
        </w:rPr>
        <w:t>Inkisar, </w:t>
      </w:r>
      <w:r>
        <w:rPr>
          <w:color w:val="4C4D4F"/>
          <w:w w:val="105"/>
          <w:sz w:val="18"/>
        </w:rPr>
        <w:t>A., &amp; </w:t>
      </w:r>
      <w:r>
        <w:rPr>
          <w:color w:val="4C4D4F"/>
          <w:spacing w:val="-3"/>
          <w:w w:val="105"/>
          <w:sz w:val="18"/>
        </w:rPr>
        <w:t>Dewey, </w:t>
      </w:r>
      <w:r>
        <w:rPr>
          <w:color w:val="4C4D4F"/>
          <w:spacing w:val="-7"/>
          <w:w w:val="105"/>
          <w:sz w:val="18"/>
        </w:rPr>
        <w:t>W. </w:t>
      </w:r>
      <w:r>
        <w:rPr>
          <w:color w:val="4C4D4F"/>
          <w:w w:val="105"/>
          <w:sz w:val="18"/>
        </w:rPr>
        <w:t>L. (2014). Site and mechanism of morphine tolerance in the gastrointestinal tract. </w:t>
      </w:r>
      <w:r>
        <w:rPr>
          <w:rFonts w:ascii="Arial" w:hAnsi="Arial"/>
          <w:i/>
          <w:color w:val="4C4D4F"/>
          <w:w w:val="105"/>
          <w:sz w:val="18"/>
        </w:rPr>
        <w:t>Neurogastroenterology </w:t>
      </w:r>
      <w:r>
        <w:rPr>
          <w:rFonts w:ascii="Arial" w:hAnsi="Arial"/>
          <w:i/>
          <w:color w:val="4C4D4F"/>
          <w:spacing w:val="-5"/>
          <w:w w:val="105"/>
          <w:sz w:val="18"/>
        </w:rPr>
        <w:t>and </w:t>
      </w:r>
      <w:r>
        <w:rPr>
          <w:rFonts w:ascii="Arial" w:hAnsi="Arial"/>
          <w:i/>
          <w:color w:val="4C4D4F"/>
          <w:w w:val="105"/>
          <w:sz w:val="18"/>
        </w:rPr>
        <w:t>Motility, 26</w:t>
      </w:r>
      <w:r>
        <w:rPr>
          <w:color w:val="4C4D4F"/>
          <w:w w:val="105"/>
          <w:sz w:val="18"/>
        </w:rPr>
        <w:t>(10),</w:t>
      </w:r>
      <w:r>
        <w:rPr>
          <w:color w:val="4C4D4F"/>
          <w:spacing w:val="-3"/>
          <w:w w:val="105"/>
          <w:sz w:val="18"/>
        </w:rPr>
        <w:t> </w:t>
      </w:r>
      <w:r>
        <w:rPr>
          <w:color w:val="4C4D4F"/>
          <w:w w:val="105"/>
          <w:sz w:val="18"/>
        </w:rPr>
        <w:t>1361–1367.</w:t>
      </w:r>
    </w:p>
    <w:p>
      <w:pPr>
        <w:pStyle w:val="ListParagraph"/>
        <w:numPr>
          <w:ilvl w:val="0"/>
          <w:numId w:val="51"/>
        </w:numPr>
        <w:tabs>
          <w:tab w:pos="500" w:val="left" w:leader="none"/>
        </w:tabs>
        <w:spacing w:line="247" w:lineRule="auto" w:before="73" w:after="0"/>
        <w:ind w:left="500" w:right="43" w:hanging="360"/>
        <w:jc w:val="left"/>
        <w:rPr>
          <w:color w:val="4C4D4F"/>
          <w:sz w:val="18"/>
        </w:rPr>
      </w:pPr>
      <w:r>
        <w:rPr>
          <w:color w:val="4C4D4F"/>
          <w:spacing w:val="-3"/>
          <w:w w:val="115"/>
          <w:sz w:val="18"/>
        </w:rPr>
        <w:t>Bodnar,</w:t>
      </w:r>
      <w:r>
        <w:rPr>
          <w:color w:val="4C4D4F"/>
          <w:spacing w:val="-16"/>
          <w:w w:val="115"/>
          <w:sz w:val="18"/>
        </w:rPr>
        <w:t> </w:t>
      </w:r>
      <w:r>
        <w:rPr>
          <w:color w:val="4C4D4F"/>
          <w:w w:val="115"/>
          <w:sz w:val="18"/>
        </w:rPr>
        <w:t>R.</w:t>
      </w:r>
      <w:r>
        <w:rPr>
          <w:color w:val="4C4D4F"/>
          <w:spacing w:val="-15"/>
          <w:w w:val="115"/>
          <w:sz w:val="18"/>
        </w:rPr>
        <w:t> </w:t>
      </w:r>
      <w:r>
        <w:rPr>
          <w:color w:val="4C4D4F"/>
          <w:w w:val="135"/>
          <w:sz w:val="18"/>
        </w:rPr>
        <w:t>J.</w:t>
      </w:r>
      <w:r>
        <w:rPr>
          <w:color w:val="4C4D4F"/>
          <w:spacing w:val="-25"/>
          <w:w w:val="135"/>
          <w:sz w:val="18"/>
        </w:rPr>
        <w:t> </w:t>
      </w:r>
      <w:r>
        <w:rPr>
          <w:color w:val="4C4D4F"/>
          <w:w w:val="115"/>
          <w:sz w:val="18"/>
        </w:rPr>
        <w:t>(2017).</w:t>
      </w:r>
      <w:r>
        <w:rPr>
          <w:color w:val="4C4D4F"/>
          <w:spacing w:val="-15"/>
          <w:w w:val="115"/>
          <w:sz w:val="18"/>
        </w:rPr>
        <w:t> </w:t>
      </w:r>
      <w:r>
        <w:rPr>
          <w:color w:val="4C4D4F"/>
          <w:w w:val="115"/>
          <w:sz w:val="18"/>
        </w:rPr>
        <w:t>Endogenous</w:t>
      </w:r>
      <w:r>
        <w:rPr>
          <w:color w:val="4C4D4F"/>
          <w:spacing w:val="-15"/>
          <w:w w:val="115"/>
          <w:sz w:val="18"/>
        </w:rPr>
        <w:t> </w:t>
      </w:r>
      <w:r>
        <w:rPr>
          <w:color w:val="4C4D4F"/>
          <w:w w:val="115"/>
          <w:sz w:val="18"/>
        </w:rPr>
        <w:t>opiates</w:t>
      </w:r>
      <w:r>
        <w:rPr>
          <w:color w:val="4C4D4F"/>
          <w:spacing w:val="-15"/>
          <w:w w:val="115"/>
          <w:sz w:val="18"/>
        </w:rPr>
        <w:t> </w:t>
      </w:r>
      <w:r>
        <w:rPr>
          <w:color w:val="4C4D4F"/>
          <w:w w:val="115"/>
          <w:sz w:val="18"/>
        </w:rPr>
        <w:t>and</w:t>
      </w:r>
      <w:r>
        <w:rPr>
          <w:color w:val="4C4D4F"/>
          <w:spacing w:val="-15"/>
          <w:w w:val="115"/>
          <w:sz w:val="18"/>
        </w:rPr>
        <w:t> </w:t>
      </w:r>
      <w:r>
        <w:rPr>
          <w:color w:val="4C4D4F"/>
          <w:spacing w:val="-4"/>
          <w:w w:val="115"/>
          <w:sz w:val="18"/>
        </w:rPr>
        <w:t>behavior, </w:t>
      </w:r>
      <w:r>
        <w:rPr>
          <w:color w:val="4C4D4F"/>
          <w:w w:val="115"/>
          <w:sz w:val="18"/>
        </w:rPr>
        <w:t>2015. </w:t>
      </w:r>
      <w:r>
        <w:rPr>
          <w:rFonts w:ascii="Arial" w:hAnsi="Arial"/>
          <w:i/>
          <w:color w:val="4C4D4F"/>
          <w:w w:val="115"/>
          <w:sz w:val="18"/>
        </w:rPr>
        <w:t>Peptides, 88,</w:t>
      </w:r>
      <w:r>
        <w:rPr>
          <w:rFonts w:ascii="Arial" w:hAnsi="Arial"/>
          <w:i/>
          <w:color w:val="4C4D4F"/>
          <w:spacing w:val="-35"/>
          <w:w w:val="115"/>
          <w:sz w:val="18"/>
        </w:rPr>
        <w:t> </w:t>
      </w:r>
      <w:r>
        <w:rPr>
          <w:color w:val="4C4D4F"/>
          <w:w w:val="115"/>
          <w:sz w:val="18"/>
        </w:rPr>
        <w:t>126–188.</w:t>
      </w:r>
    </w:p>
    <w:p>
      <w:pPr>
        <w:pStyle w:val="ListParagraph"/>
        <w:numPr>
          <w:ilvl w:val="0"/>
          <w:numId w:val="51"/>
        </w:numPr>
        <w:tabs>
          <w:tab w:pos="500" w:val="left" w:leader="none"/>
        </w:tabs>
        <w:spacing w:line="247" w:lineRule="auto" w:before="72" w:after="0"/>
        <w:ind w:left="500" w:right="178" w:hanging="360"/>
        <w:jc w:val="left"/>
        <w:rPr>
          <w:color w:val="4C4D4F"/>
          <w:sz w:val="18"/>
        </w:rPr>
      </w:pPr>
      <w:r>
        <w:rPr>
          <w:color w:val="4C4D4F"/>
          <w:w w:val="110"/>
          <w:sz w:val="18"/>
        </w:rPr>
        <w:t>Johnson, R. E., Strain, E. C., &amp; Amass, L. (2003). Buprenorphine:</w:t>
      </w:r>
      <w:r>
        <w:rPr>
          <w:color w:val="4C4D4F"/>
          <w:spacing w:val="-15"/>
          <w:w w:val="110"/>
          <w:sz w:val="18"/>
        </w:rPr>
        <w:t> </w:t>
      </w:r>
      <w:r>
        <w:rPr>
          <w:color w:val="4C4D4F"/>
          <w:w w:val="110"/>
          <w:sz w:val="18"/>
        </w:rPr>
        <w:t>How</w:t>
      </w:r>
      <w:r>
        <w:rPr>
          <w:color w:val="4C4D4F"/>
          <w:spacing w:val="-15"/>
          <w:w w:val="110"/>
          <w:sz w:val="18"/>
        </w:rPr>
        <w:t> </w:t>
      </w:r>
      <w:r>
        <w:rPr>
          <w:color w:val="4C4D4F"/>
          <w:w w:val="110"/>
          <w:sz w:val="18"/>
        </w:rPr>
        <w:t>to</w:t>
      </w:r>
      <w:r>
        <w:rPr>
          <w:color w:val="4C4D4F"/>
          <w:spacing w:val="-15"/>
          <w:w w:val="110"/>
          <w:sz w:val="18"/>
        </w:rPr>
        <w:t> </w:t>
      </w:r>
      <w:r>
        <w:rPr>
          <w:color w:val="4C4D4F"/>
          <w:w w:val="110"/>
          <w:sz w:val="18"/>
        </w:rPr>
        <w:t>use</w:t>
      </w:r>
      <w:r>
        <w:rPr>
          <w:color w:val="4C4D4F"/>
          <w:spacing w:val="-15"/>
          <w:w w:val="110"/>
          <w:sz w:val="18"/>
        </w:rPr>
        <w:t> </w:t>
      </w:r>
      <w:r>
        <w:rPr>
          <w:color w:val="4C4D4F"/>
          <w:w w:val="110"/>
          <w:sz w:val="18"/>
        </w:rPr>
        <w:t>it</w:t>
      </w:r>
      <w:r>
        <w:rPr>
          <w:color w:val="4C4D4F"/>
          <w:spacing w:val="-15"/>
          <w:w w:val="110"/>
          <w:sz w:val="18"/>
        </w:rPr>
        <w:t> </w:t>
      </w:r>
      <w:r>
        <w:rPr>
          <w:color w:val="4C4D4F"/>
          <w:w w:val="110"/>
          <w:sz w:val="18"/>
        </w:rPr>
        <w:t>right.</w:t>
      </w:r>
      <w:r>
        <w:rPr>
          <w:color w:val="4C4D4F"/>
          <w:spacing w:val="-15"/>
          <w:w w:val="110"/>
          <w:sz w:val="18"/>
        </w:rPr>
        <w:t> </w:t>
      </w:r>
      <w:r>
        <w:rPr>
          <w:rFonts w:ascii="Arial" w:hAnsi="Arial"/>
          <w:i/>
          <w:color w:val="4C4D4F"/>
          <w:w w:val="110"/>
          <w:sz w:val="18"/>
        </w:rPr>
        <w:t>Drug</w:t>
      </w:r>
      <w:r>
        <w:rPr>
          <w:rFonts w:ascii="Arial" w:hAnsi="Arial"/>
          <w:i/>
          <w:color w:val="4C4D4F"/>
          <w:spacing w:val="-15"/>
          <w:w w:val="110"/>
          <w:sz w:val="18"/>
        </w:rPr>
        <w:t> </w:t>
      </w:r>
      <w:r>
        <w:rPr>
          <w:rFonts w:ascii="Arial" w:hAnsi="Arial"/>
          <w:i/>
          <w:color w:val="4C4D4F"/>
          <w:w w:val="110"/>
          <w:sz w:val="18"/>
        </w:rPr>
        <w:t>and</w:t>
      </w:r>
      <w:r>
        <w:rPr>
          <w:rFonts w:ascii="Arial" w:hAnsi="Arial"/>
          <w:i/>
          <w:color w:val="4C4D4F"/>
          <w:spacing w:val="-15"/>
          <w:w w:val="110"/>
          <w:sz w:val="18"/>
        </w:rPr>
        <w:t> </w:t>
      </w:r>
      <w:r>
        <w:rPr>
          <w:rFonts w:ascii="Arial" w:hAnsi="Arial"/>
          <w:i/>
          <w:color w:val="4C4D4F"/>
          <w:spacing w:val="-3"/>
          <w:w w:val="110"/>
          <w:sz w:val="18"/>
        </w:rPr>
        <w:t>Alcohol </w:t>
      </w:r>
      <w:r>
        <w:rPr>
          <w:rFonts w:ascii="Arial" w:hAnsi="Arial"/>
          <w:i/>
          <w:color w:val="4C4D4F"/>
          <w:w w:val="110"/>
          <w:sz w:val="18"/>
        </w:rPr>
        <w:t>Dependence, 70</w:t>
      </w:r>
      <w:r>
        <w:rPr>
          <w:color w:val="4C4D4F"/>
          <w:w w:val="110"/>
          <w:sz w:val="18"/>
        </w:rPr>
        <w:t>(Suppl.),</w:t>
      </w:r>
      <w:r>
        <w:rPr>
          <w:color w:val="4C4D4F"/>
          <w:spacing w:val="-15"/>
          <w:w w:val="110"/>
          <w:sz w:val="18"/>
        </w:rPr>
        <w:t> </w:t>
      </w:r>
      <w:r>
        <w:rPr>
          <w:color w:val="4C4D4F"/>
          <w:w w:val="110"/>
          <w:sz w:val="18"/>
        </w:rPr>
        <w:t>S59–S77.</w:t>
      </w:r>
    </w:p>
    <w:p>
      <w:pPr>
        <w:pStyle w:val="ListParagraph"/>
        <w:numPr>
          <w:ilvl w:val="0"/>
          <w:numId w:val="51"/>
        </w:numPr>
        <w:tabs>
          <w:tab w:pos="500" w:val="left" w:leader="none"/>
        </w:tabs>
        <w:spacing w:line="247" w:lineRule="auto" w:before="72" w:after="0"/>
        <w:ind w:left="500" w:right="337" w:hanging="360"/>
        <w:jc w:val="left"/>
        <w:rPr>
          <w:color w:val="4C4D4F"/>
          <w:sz w:val="18"/>
        </w:rPr>
      </w:pPr>
      <w:r>
        <w:rPr>
          <w:color w:val="4C4D4F"/>
          <w:w w:val="110"/>
          <w:sz w:val="18"/>
        </w:rPr>
        <w:t>Minozzi, S., Amato, L., Vecchi, S., Davoli, M., Kirchmayer,</w:t>
      </w:r>
      <w:r>
        <w:rPr>
          <w:color w:val="4C4D4F"/>
          <w:spacing w:val="-18"/>
          <w:w w:val="110"/>
          <w:sz w:val="18"/>
        </w:rPr>
        <w:t> </w:t>
      </w:r>
      <w:r>
        <w:rPr>
          <w:color w:val="4C4D4F"/>
          <w:w w:val="110"/>
          <w:sz w:val="18"/>
        </w:rPr>
        <w:t>U.,</w:t>
      </w:r>
      <w:r>
        <w:rPr>
          <w:color w:val="4C4D4F"/>
          <w:spacing w:val="-17"/>
          <w:w w:val="110"/>
          <w:sz w:val="18"/>
        </w:rPr>
        <w:t> </w:t>
      </w:r>
      <w:r>
        <w:rPr>
          <w:color w:val="4C4D4F"/>
          <w:w w:val="110"/>
          <w:sz w:val="18"/>
        </w:rPr>
        <w:t>&amp;</w:t>
      </w:r>
      <w:r>
        <w:rPr>
          <w:color w:val="4C4D4F"/>
          <w:spacing w:val="-17"/>
          <w:w w:val="110"/>
          <w:sz w:val="18"/>
        </w:rPr>
        <w:t> </w:t>
      </w:r>
      <w:r>
        <w:rPr>
          <w:color w:val="4C4D4F"/>
          <w:spacing w:val="-4"/>
          <w:w w:val="110"/>
          <w:sz w:val="18"/>
        </w:rPr>
        <w:t>Verster,</w:t>
      </w:r>
      <w:r>
        <w:rPr>
          <w:color w:val="4C4D4F"/>
          <w:spacing w:val="-17"/>
          <w:w w:val="110"/>
          <w:sz w:val="18"/>
        </w:rPr>
        <w:t> </w:t>
      </w:r>
      <w:r>
        <w:rPr>
          <w:color w:val="4C4D4F"/>
          <w:w w:val="110"/>
          <w:sz w:val="18"/>
        </w:rPr>
        <w:t>A.</w:t>
      </w:r>
      <w:r>
        <w:rPr>
          <w:color w:val="4C4D4F"/>
          <w:spacing w:val="-17"/>
          <w:w w:val="110"/>
          <w:sz w:val="18"/>
        </w:rPr>
        <w:t> </w:t>
      </w:r>
      <w:r>
        <w:rPr>
          <w:color w:val="4C4D4F"/>
          <w:w w:val="110"/>
          <w:sz w:val="18"/>
        </w:rPr>
        <w:t>(2011).</w:t>
      </w:r>
      <w:r>
        <w:rPr>
          <w:color w:val="4C4D4F"/>
          <w:spacing w:val="-17"/>
          <w:w w:val="110"/>
          <w:sz w:val="18"/>
        </w:rPr>
        <w:t> </w:t>
      </w:r>
      <w:r>
        <w:rPr>
          <w:color w:val="4C4D4F"/>
          <w:w w:val="110"/>
          <w:sz w:val="18"/>
        </w:rPr>
        <w:t>Oral</w:t>
      </w:r>
      <w:r>
        <w:rPr>
          <w:color w:val="4C4D4F"/>
          <w:spacing w:val="-17"/>
          <w:w w:val="110"/>
          <w:sz w:val="18"/>
        </w:rPr>
        <w:t> </w:t>
      </w:r>
      <w:r>
        <w:rPr>
          <w:color w:val="4C4D4F"/>
          <w:spacing w:val="-3"/>
          <w:w w:val="110"/>
          <w:sz w:val="18"/>
        </w:rPr>
        <w:t>naltrexone </w:t>
      </w:r>
      <w:r>
        <w:rPr>
          <w:color w:val="4C4D4F"/>
          <w:w w:val="110"/>
          <w:sz w:val="18"/>
        </w:rPr>
        <w:t>maintenance treatment for opioid dependence. </w:t>
      </w:r>
      <w:r>
        <w:rPr>
          <w:rFonts w:ascii="Arial"/>
          <w:i/>
          <w:color w:val="4C4D4F"/>
          <w:sz w:val="18"/>
        </w:rPr>
        <w:t>Cochrane</w:t>
      </w:r>
      <w:r>
        <w:rPr>
          <w:rFonts w:ascii="Arial"/>
          <w:i/>
          <w:color w:val="4C4D4F"/>
          <w:spacing w:val="-10"/>
          <w:sz w:val="18"/>
        </w:rPr>
        <w:t> </w:t>
      </w:r>
      <w:r>
        <w:rPr>
          <w:rFonts w:ascii="Arial"/>
          <w:i/>
          <w:color w:val="4C4D4F"/>
          <w:sz w:val="18"/>
        </w:rPr>
        <w:t>Database</w:t>
      </w:r>
      <w:r>
        <w:rPr>
          <w:rFonts w:ascii="Arial"/>
          <w:i/>
          <w:color w:val="4C4D4F"/>
          <w:spacing w:val="-9"/>
          <w:sz w:val="18"/>
        </w:rPr>
        <w:t> </w:t>
      </w:r>
      <w:r>
        <w:rPr>
          <w:rFonts w:ascii="Arial"/>
          <w:i/>
          <w:color w:val="4C4D4F"/>
          <w:sz w:val="18"/>
        </w:rPr>
        <w:t>of</w:t>
      </w:r>
      <w:r>
        <w:rPr>
          <w:rFonts w:ascii="Arial"/>
          <w:i/>
          <w:color w:val="4C4D4F"/>
          <w:spacing w:val="-9"/>
          <w:sz w:val="18"/>
        </w:rPr>
        <w:t> </w:t>
      </w:r>
      <w:r>
        <w:rPr>
          <w:rFonts w:ascii="Arial"/>
          <w:i/>
          <w:color w:val="4C4D4F"/>
          <w:sz w:val="18"/>
        </w:rPr>
        <w:t>Systematic</w:t>
      </w:r>
      <w:r>
        <w:rPr>
          <w:rFonts w:ascii="Arial"/>
          <w:i/>
          <w:color w:val="4C4D4F"/>
          <w:spacing w:val="-9"/>
          <w:sz w:val="18"/>
        </w:rPr>
        <w:t> </w:t>
      </w:r>
      <w:r>
        <w:rPr>
          <w:rFonts w:ascii="Arial"/>
          <w:i/>
          <w:color w:val="4C4D4F"/>
          <w:sz w:val="18"/>
        </w:rPr>
        <w:t>Reviews,</w:t>
      </w:r>
      <w:r>
        <w:rPr>
          <w:rFonts w:ascii="Arial"/>
          <w:i/>
          <w:color w:val="4C4D4F"/>
          <w:spacing w:val="-9"/>
          <w:sz w:val="18"/>
        </w:rPr>
        <w:t> </w:t>
      </w:r>
      <w:r>
        <w:rPr>
          <w:rFonts w:ascii="Arial"/>
          <w:i/>
          <w:color w:val="4C4D4F"/>
          <w:sz w:val="18"/>
        </w:rPr>
        <w:t>2011</w:t>
      </w:r>
      <w:r>
        <w:rPr>
          <w:color w:val="4C4D4F"/>
          <w:sz w:val="18"/>
        </w:rPr>
        <w:t>(2). </w:t>
      </w:r>
      <w:r>
        <w:rPr>
          <w:color w:val="4C4D4F"/>
          <w:w w:val="110"/>
          <w:sz w:val="18"/>
        </w:rPr>
        <w:t>CD001333.</w:t>
      </w:r>
    </w:p>
    <w:p>
      <w:pPr>
        <w:pStyle w:val="ListParagraph"/>
        <w:numPr>
          <w:ilvl w:val="0"/>
          <w:numId w:val="51"/>
        </w:numPr>
        <w:tabs>
          <w:tab w:pos="500" w:val="left" w:leader="none"/>
        </w:tabs>
        <w:spacing w:line="247" w:lineRule="auto" w:before="75" w:after="0"/>
        <w:ind w:left="500" w:right="322" w:hanging="360"/>
        <w:jc w:val="left"/>
        <w:rPr>
          <w:color w:val="4C4D4F"/>
          <w:sz w:val="18"/>
        </w:rPr>
      </w:pPr>
      <w:r>
        <w:rPr>
          <w:color w:val="4C4D4F"/>
          <w:w w:val="110"/>
          <w:sz w:val="18"/>
        </w:rPr>
        <w:t>Substance Abuse and Mental Health Services Administration. (2016). Sublingual and </w:t>
      </w:r>
      <w:r>
        <w:rPr>
          <w:color w:val="4C4D4F"/>
          <w:spacing w:val="-2"/>
          <w:w w:val="110"/>
          <w:sz w:val="18"/>
        </w:rPr>
        <w:t>transmucosal </w:t>
      </w:r>
      <w:r>
        <w:rPr>
          <w:color w:val="4C4D4F"/>
          <w:w w:val="110"/>
          <w:sz w:val="18"/>
        </w:rPr>
        <w:t>buprenorphine for opioid use disorder:</w:t>
      </w:r>
      <w:r>
        <w:rPr>
          <w:color w:val="4C4D4F"/>
          <w:spacing w:val="-22"/>
          <w:w w:val="110"/>
          <w:sz w:val="18"/>
        </w:rPr>
        <w:t> </w:t>
      </w:r>
      <w:r>
        <w:rPr>
          <w:color w:val="4C4D4F"/>
          <w:w w:val="110"/>
          <w:sz w:val="18"/>
        </w:rPr>
        <w:t>Review</w:t>
      </w:r>
    </w:p>
    <w:p>
      <w:pPr>
        <w:spacing w:line="247" w:lineRule="auto" w:before="2"/>
        <w:ind w:left="500" w:right="258" w:firstLine="0"/>
        <w:jc w:val="left"/>
        <w:rPr>
          <w:sz w:val="18"/>
        </w:rPr>
      </w:pPr>
      <w:r>
        <w:rPr>
          <w:color w:val="4C4D4F"/>
          <w:w w:val="110"/>
          <w:sz w:val="18"/>
        </w:rPr>
        <w:t>and update. </w:t>
      </w:r>
      <w:r>
        <w:rPr>
          <w:rFonts w:ascii="Arial"/>
          <w:i/>
          <w:color w:val="4C4D4F"/>
          <w:w w:val="110"/>
          <w:sz w:val="18"/>
        </w:rPr>
        <w:t>Advisory, </w:t>
      </w:r>
      <w:r>
        <w:rPr>
          <w:color w:val="4C4D4F"/>
          <w:w w:val="110"/>
          <w:sz w:val="18"/>
        </w:rPr>
        <w:t>Vol. 15, Issue 1. Rockville, MD: Substance Abuse and Mental Health Services Administration.</w:t>
      </w:r>
    </w:p>
    <w:p>
      <w:pPr>
        <w:pStyle w:val="ListParagraph"/>
        <w:numPr>
          <w:ilvl w:val="0"/>
          <w:numId w:val="51"/>
        </w:numPr>
        <w:tabs>
          <w:tab w:pos="500" w:val="left" w:leader="none"/>
        </w:tabs>
        <w:spacing w:line="247" w:lineRule="auto" w:before="75" w:after="0"/>
        <w:ind w:left="500" w:right="548" w:hanging="360"/>
        <w:jc w:val="left"/>
        <w:rPr>
          <w:color w:val="4C4D4F"/>
          <w:sz w:val="18"/>
        </w:rPr>
      </w:pPr>
      <w:r>
        <w:rPr>
          <w:color w:val="4C4D4F"/>
          <w:w w:val="110"/>
          <w:sz w:val="18"/>
        </w:rPr>
        <w:t>Kreek, M. </w:t>
      </w:r>
      <w:r>
        <w:rPr>
          <w:color w:val="4C4D4F"/>
          <w:w w:val="120"/>
          <w:sz w:val="18"/>
        </w:rPr>
        <w:t>J., </w:t>
      </w:r>
      <w:r>
        <w:rPr>
          <w:color w:val="4C4D4F"/>
          <w:w w:val="110"/>
          <w:sz w:val="18"/>
        </w:rPr>
        <w:t>Borg, L., Ducat, E., &amp; </w:t>
      </w:r>
      <w:r>
        <w:rPr>
          <w:color w:val="4C4D4F"/>
          <w:spacing w:val="-4"/>
          <w:w w:val="110"/>
          <w:sz w:val="18"/>
        </w:rPr>
        <w:t>Ray, </w:t>
      </w:r>
      <w:r>
        <w:rPr>
          <w:color w:val="4C4D4F"/>
          <w:w w:val="110"/>
          <w:sz w:val="18"/>
        </w:rPr>
        <w:t>B. (2010). Pharmacotherapy in the treatment of addiction: </w:t>
      </w:r>
      <w:r>
        <w:rPr>
          <w:color w:val="4C4D4F"/>
          <w:w w:val="105"/>
          <w:sz w:val="18"/>
        </w:rPr>
        <w:t>Methadone. </w:t>
      </w:r>
      <w:r>
        <w:rPr>
          <w:rFonts w:ascii="Arial" w:hAnsi="Arial"/>
          <w:i/>
          <w:color w:val="4C4D4F"/>
          <w:w w:val="105"/>
          <w:sz w:val="18"/>
        </w:rPr>
        <w:t>Journal of Addictive Diseases,</w:t>
      </w:r>
      <w:r>
        <w:rPr>
          <w:rFonts w:ascii="Arial" w:hAnsi="Arial"/>
          <w:i/>
          <w:color w:val="4C4D4F"/>
          <w:spacing w:val="-35"/>
          <w:w w:val="105"/>
          <w:sz w:val="18"/>
        </w:rPr>
        <w:t> </w:t>
      </w:r>
      <w:r>
        <w:rPr>
          <w:rFonts w:ascii="Arial" w:hAnsi="Arial"/>
          <w:i/>
          <w:color w:val="4C4D4F"/>
          <w:spacing w:val="-4"/>
          <w:w w:val="105"/>
          <w:sz w:val="18"/>
        </w:rPr>
        <w:t>29</w:t>
      </w:r>
      <w:r>
        <w:rPr>
          <w:color w:val="4C4D4F"/>
          <w:spacing w:val="-4"/>
          <w:w w:val="105"/>
          <w:sz w:val="18"/>
        </w:rPr>
        <w:t>(2), </w:t>
      </w:r>
      <w:r>
        <w:rPr>
          <w:color w:val="4C4D4F"/>
          <w:w w:val="110"/>
          <w:sz w:val="18"/>
        </w:rPr>
        <w:t>200–216.</w:t>
      </w:r>
    </w:p>
    <w:p>
      <w:pPr>
        <w:pStyle w:val="ListParagraph"/>
        <w:numPr>
          <w:ilvl w:val="0"/>
          <w:numId w:val="51"/>
        </w:numPr>
        <w:tabs>
          <w:tab w:pos="500" w:val="left" w:leader="none"/>
        </w:tabs>
        <w:spacing w:line="247" w:lineRule="auto" w:before="100" w:after="0"/>
        <w:ind w:left="500" w:right="164" w:hanging="360"/>
        <w:jc w:val="left"/>
        <w:rPr>
          <w:color w:val="4C4D4F"/>
          <w:sz w:val="18"/>
        </w:rPr>
      </w:pPr>
      <w:r>
        <w:rPr>
          <w:color w:val="4C4D4F"/>
          <w:w w:val="112"/>
          <w:sz w:val="18"/>
        </w:rPr>
        <w:br w:type="column"/>
      </w:r>
      <w:r>
        <w:rPr>
          <w:color w:val="4C4D4F"/>
          <w:w w:val="110"/>
          <w:sz w:val="18"/>
        </w:rPr>
        <w:t>Mattick, R. </w:t>
      </w:r>
      <w:r>
        <w:rPr>
          <w:color w:val="4C4D4F"/>
          <w:spacing w:val="-11"/>
          <w:w w:val="110"/>
          <w:sz w:val="18"/>
        </w:rPr>
        <w:t>P., </w:t>
      </w:r>
      <w:r>
        <w:rPr>
          <w:color w:val="4C4D4F"/>
          <w:w w:val="110"/>
          <w:sz w:val="18"/>
        </w:rPr>
        <w:t>Breen, C., </w:t>
      </w:r>
      <w:r>
        <w:rPr>
          <w:color w:val="4C4D4F"/>
          <w:spacing w:val="-3"/>
          <w:w w:val="110"/>
          <w:sz w:val="18"/>
        </w:rPr>
        <w:t>Kimber, </w:t>
      </w:r>
      <w:r>
        <w:rPr>
          <w:color w:val="4C4D4F"/>
          <w:w w:val="120"/>
          <w:sz w:val="18"/>
        </w:rPr>
        <w:t>J., </w:t>
      </w:r>
      <w:r>
        <w:rPr>
          <w:color w:val="4C4D4F"/>
          <w:w w:val="110"/>
          <w:sz w:val="18"/>
        </w:rPr>
        <w:t>&amp; Davoli, M. </w:t>
      </w:r>
      <w:r>
        <w:rPr>
          <w:color w:val="4C4D4F"/>
          <w:spacing w:val="-3"/>
          <w:w w:val="110"/>
          <w:sz w:val="18"/>
        </w:rPr>
        <w:t>(2009). </w:t>
      </w:r>
      <w:r>
        <w:rPr>
          <w:color w:val="4C4D4F"/>
          <w:w w:val="110"/>
          <w:sz w:val="18"/>
        </w:rPr>
        <w:t>Methadone maintenance therapy versus no opioid replacement therapy for opioid dependence. </w:t>
      </w:r>
      <w:r>
        <w:rPr>
          <w:rFonts w:ascii="Arial" w:hAnsi="Arial"/>
          <w:i/>
          <w:color w:val="4C4D4F"/>
          <w:w w:val="110"/>
          <w:sz w:val="18"/>
        </w:rPr>
        <w:t>Cochrane </w:t>
      </w:r>
      <w:r>
        <w:rPr>
          <w:rFonts w:ascii="Arial" w:hAnsi="Arial"/>
          <w:i/>
          <w:color w:val="4C4D4F"/>
          <w:w w:val="110"/>
          <w:sz w:val="18"/>
        </w:rPr>
        <w:t>Database</w:t>
      </w:r>
      <w:r>
        <w:rPr>
          <w:rFonts w:ascii="Arial" w:hAnsi="Arial"/>
          <w:i/>
          <w:color w:val="4C4D4F"/>
          <w:spacing w:val="-25"/>
          <w:w w:val="110"/>
          <w:sz w:val="18"/>
        </w:rPr>
        <w:t> </w:t>
      </w:r>
      <w:r>
        <w:rPr>
          <w:rFonts w:ascii="Arial" w:hAnsi="Arial"/>
          <w:i/>
          <w:color w:val="4C4D4F"/>
          <w:w w:val="110"/>
          <w:sz w:val="18"/>
        </w:rPr>
        <w:t>of</w:t>
      </w:r>
      <w:r>
        <w:rPr>
          <w:rFonts w:ascii="Arial" w:hAnsi="Arial"/>
          <w:i/>
          <w:color w:val="4C4D4F"/>
          <w:spacing w:val="-24"/>
          <w:w w:val="110"/>
          <w:sz w:val="18"/>
        </w:rPr>
        <w:t> </w:t>
      </w:r>
      <w:r>
        <w:rPr>
          <w:rFonts w:ascii="Arial" w:hAnsi="Arial"/>
          <w:i/>
          <w:color w:val="4C4D4F"/>
          <w:w w:val="110"/>
          <w:sz w:val="18"/>
        </w:rPr>
        <w:t>Systematic</w:t>
      </w:r>
      <w:r>
        <w:rPr>
          <w:rFonts w:ascii="Arial" w:hAnsi="Arial"/>
          <w:i/>
          <w:color w:val="4C4D4F"/>
          <w:spacing w:val="-24"/>
          <w:w w:val="110"/>
          <w:sz w:val="18"/>
        </w:rPr>
        <w:t> </w:t>
      </w:r>
      <w:r>
        <w:rPr>
          <w:rFonts w:ascii="Arial" w:hAnsi="Arial"/>
          <w:i/>
          <w:color w:val="4C4D4F"/>
          <w:w w:val="110"/>
          <w:sz w:val="18"/>
        </w:rPr>
        <w:t>Reviews,</w:t>
      </w:r>
      <w:r>
        <w:rPr>
          <w:rFonts w:ascii="Arial" w:hAnsi="Arial"/>
          <w:i/>
          <w:color w:val="4C4D4F"/>
          <w:spacing w:val="-24"/>
          <w:w w:val="110"/>
          <w:sz w:val="18"/>
        </w:rPr>
        <w:t> </w:t>
      </w:r>
      <w:r>
        <w:rPr>
          <w:rFonts w:ascii="Arial" w:hAnsi="Arial"/>
          <w:i/>
          <w:color w:val="4C4D4F"/>
          <w:w w:val="110"/>
          <w:sz w:val="18"/>
        </w:rPr>
        <w:t>2009</w:t>
      </w:r>
      <w:r>
        <w:rPr>
          <w:color w:val="4C4D4F"/>
          <w:w w:val="110"/>
          <w:sz w:val="18"/>
        </w:rPr>
        <w:t>(3),</w:t>
      </w:r>
      <w:r>
        <w:rPr>
          <w:color w:val="4C4D4F"/>
          <w:spacing w:val="-24"/>
          <w:w w:val="110"/>
          <w:sz w:val="18"/>
        </w:rPr>
        <w:t> </w:t>
      </w:r>
      <w:r>
        <w:rPr>
          <w:color w:val="4C4D4F"/>
          <w:w w:val="110"/>
          <w:sz w:val="18"/>
        </w:rPr>
        <w:t>1–19.</w:t>
      </w:r>
    </w:p>
    <w:p>
      <w:pPr>
        <w:pStyle w:val="ListParagraph"/>
        <w:numPr>
          <w:ilvl w:val="0"/>
          <w:numId w:val="51"/>
        </w:numPr>
        <w:tabs>
          <w:tab w:pos="500" w:val="left" w:leader="none"/>
        </w:tabs>
        <w:spacing w:line="247" w:lineRule="auto" w:before="73" w:after="0"/>
        <w:ind w:left="500" w:right="164" w:hanging="360"/>
        <w:jc w:val="left"/>
        <w:rPr>
          <w:color w:val="4C4D4F"/>
          <w:sz w:val="18"/>
        </w:rPr>
      </w:pPr>
      <w:r>
        <w:rPr>
          <w:color w:val="4C4D4F"/>
          <w:w w:val="110"/>
          <w:sz w:val="18"/>
        </w:rPr>
        <w:t>Mattick, R. </w:t>
      </w:r>
      <w:r>
        <w:rPr>
          <w:color w:val="4C4D4F"/>
          <w:spacing w:val="-11"/>
          <w:w w:val="110"/>
          <w:sz w:val="18"/>
        </w:rPr>
        <w:t>P., </w:t>
      </w:r>
      <w:r>
        <w:rPr>
          <w:color w:val="4C4D4F"/>
          <w:w w:val="110"/>
          <w:sz w:val="18"/>
        </w:rPr>
        <w:t>Breen, C., </w:t>
      </w:r>
      <w:r>
        <w:rPr>
          <w:color w:val="4C4D4F"/>
          <w:spacing w:val="-3"/>
          <w:w w:val="110"/>
          <w:sz w:val="18"/>
        </w:rPr>
        <w:t>Kimber, </w:t>
      </w:r>
      <w:r>
        <w:rPr>
          <w:color w:val="4C4D4F"/>
          <w:w w:val="120"/>
          <w:sz w:val="18"/>
        </w:rPr>
        <w:t>J., </w:t>
      </w:r>
      <w:r>
        <w:rPr>
          <w:color w:val="4C4D4F"/>
          <w:w w:val="110"/>
          <w:sz w:val="18"/>
        </w:rPr>
        <w:t>&amp; Davoli, M. </w:t>
      </w:r>
      <w:r>
        <w:rPr>
          <w:color w:val="4C4D4F"/>
          <w:spacing w:val="-3"/>
          <w:w w:val="110"/>
          <w:sz w:val="18"/>
        </w:rPr>
        <w:t>(2009). </w:t>
      </w:r>
      <w:r>
        <w:rPr>
          <w:color w:val="4C4D4F"/>
          <w:w w:val="110"/>
          <w:sz w:val="18"/>
        </w:rPr>
        <w:t>Methadone maintenance therapy versus no opioid replacement therapy for opioid dependence. </w:t>
      </w:r>
      <w:r>
        <w:rPr>
          <w:rFonts w:ascii="Arial" w:hAnsi="Arial"/>
          <w:i/>
          <w:color w:val="4C4D4F"/>
          <w:w w:val="110"/>
          <w:sz w:val="18"/>
        </w:rPr>
        <w:t>Cochrane </w:t>
      </w:r>
      <w:r>
        <w:rPr>
          <w:rFonts w:ascii="Arial" w:hAnsi="Arial"/>
          <w:i/>
          <w:color w:val="4C4D4F"/>
          <w:w w:val="110"/>
          <w:sz w:val="18"/>
        </w:rPr>
        <w:t>Database</w:t>
      </w:r>
      <w:r>
        <w:rPr>
          <w:rFonts w:ascii="Arial" w:hAnsi="Arial"/>
          <w:i/>
          <w:color w:val="4C4D4F"/>
          <w:spacing w:val="-25"/>
          <w:w w:val="110"/>
          <w:sz w:val="18"/>
        </w:rPr>
        <w:t> </w:t>
      </w:r>
      <w:r>
        <w:rPr>
          <w:rFonts w:ascii="Arial" w:hAnsi="Arial"/>
          <w:i/>
          <w:color w:val="4C4D4F"/>
          <w:w w:val="110"/>
          <w:sz w:val="18"/>
        </w:rPr>
        <w:t>of</w:t>
      </w:r>
      <w:r>
        <w:rPr>
          <w:rFonts w:ascii="Arial" w:hAnsi="Arial"/>
          <w:i/>
          <w:color w:val="4C4D4F"/>
          <w:spacing w:val="-24"/>
          <w:w w:val="110"/>
          <w:sz w:val="18"/>
        </w:rPr>
        <w:t> </w:t>
      </w:r>
      <w:r>
        <w:rPr>
          <w:rFonts w:ascii="Arial" w:hAnsi="Arial"/>
          <w:i/>
          <w:color w:val="4C4D4F"/>
          <w:w w:val="110"/>
          <w:sz w:val="18"/>
        </w:rPr>
        <w:t>Systematic</w:t>
      </w:r>
      <w:r>
        <w:rPr>
          <w:rFonts w:ascii="Arial" w:hAnsi="Arial"/>
          <w:i/>
          <w:color w:val="4C4D4F"/>
          <w:spacing w:val="-24"/>
          <w:w w:val="110"/>
          <w:sz w:val="18"/>
        </w:rPr>
        <w:t> </w:t>
      </w:r>
      <w:r>
        <w:rPr>
          <w:rFonts w:ascii="Arial" w:hAnsi="Arial"/>
          <w:i/>
          <w:color w:val="4C4D4F"/>
          <w:w w:val="110"/>
          <w:sz w:val="18"/>
        </w:rPr>
        <w:t>Reviews,</w:t>
      </w:r>
      <w:r>
        <w:rPr>
          <w:rFonts w:ascii="Arial" w:hAnsi="Arial"/>
          <w:i/>
          <w:color w:val="4C4D4F"/>
          <w:spacing w:val="-24"/>
          <w:w w:val="110"/>
          <w:sz w:val="18"/>
        </w:rPr>
        <w:t> </w:t>
      </w:r>
      <w:r>
        <w:rPr>
          <w:rFonts w:ascii="Arial" w:hAnsi="Arial"/>
          <w:i/>
          <w:color w:val="4C4D4F"/>
          <w:w w:val="110"/>
          <w:sz w:val="18"/>
        </w:rPr>
        <w:t>2009</w:t>
      </w:r>
      <w:r>
        <w:rPr>
          <w:color w:val="4C4D4F"/>
          <w:w w:val="110"/>
          <w:sz w:val="18"/>
        </w:rPr>
        <w:t>(3),</w:t>
      </w:r>
      <w:r>
        <w:rPr>
          <w:color w:val="4C4D4F"/>
          <w:spacing w:val="-24"/>
          <w:w w:val="110"/>
          <w:sz w:val="18"/>
        </w:rPr>
        <w:t> </w:t>
      </w:r>
      <w:r>
        <w:rPr>
          <w:color w:val="4C4D4F"/>
          <w:w w:val="110"/>
          <w:sz w:val="18"/>
        </w:rPr>
        <w:t>1–19.</w:t>
      </w:r>
    </w:p>
    <w:p>
      <w:pPr>
        <w:pStyle w:val="ListParagraph"/>
        <w:numPr>
          <w:ilvl w:val="0"/>
          <w:numId w:val="51"/>
        </w:numPr>
        <w:tabs>
          <w:tab w:pos="500" w:val="left" w:leader="none"/>
        </w:tabs>
        <w:spacing w:line="247" w:lineRule="auto" w:before="73" w:after="0"/>
        <w:ind w:left="500" w:right="365" w:hanging="360"/>
        <w:jc w:val="left"/>
        <w:rPr>
          <w:color w:val="4C4D4F"/>
          <w:sz w:val="18"/>
        </w:rPr>
      </w:pPr>
      <w:r>
        <w:rPr>
          <w:color w:val="4C4D4F"/>
          <w:w w:val="110"/>
          <w:sz w:val="18"/>
        </w:rPr>
        <w:t>Degenhardt, L., Randall, D., Hall, </w:t>
      </w:r>
      <w:r>
        <w:rPr>
          <w:color w:val="4C4D4F"/>
          <w:spacing w:val="-5"/>
          <w:w w:val="110"/>
          <w:sz w:val="18"/>
        </w:rPr>
        <w:t>W., </w:t>
      </w:r>
      <w:r>
        <w:rPr>
          <w:color w:val="4C4D4F"/>
          <w:spacing w:val="-3"/>
          <w:w w:val="110"/>
          <w:sz w:val="18"/>
        </w:rPr>
        <w:t>Law, </w:t>
      </w:r>
      <w:r>
        <w:rPr>
          <w:color w:val="4C4D4F"/>
          <w:w w:val="110"/>
          <w:sz w:val="18"/>
        </w:rPr>
        <w:t>M., </w:t>
      </w:r>
      <w:r>
        <w:rPr>
          <w:color w:val="4C4D4F"/>
          <w:spacing w:val="-3"/>
          <w:w w:val="110"/>
          <w:sz w:val="18"/>
        </w:rPr>
        <w:t>Butler, </w:t>
      </w:r>
      <w:r>
        <w:rPr>
          <w:color w:val="4C4D4F"/>
          <w:spacing w:val="-7"/>
          <w:w w:val="110"/>
          <w:sz w:val="18"/>
        </w:rPr>
        <w:t>T., </w:t>
      </w:r>
      <w:r>
        <w:rPr>
          <w:color w:val="4C4D4F"/>
          <w:w w:val="110"/>
          <w:sz w:val="18"/>
        </w:rPr>
        <w:t>&amp; Burns, L. (2009). Mortality among clients of a state-wide opioid pharmacotherapy program over </w:t>
      </w:r>
      <w:r>
        <w:rPr>
          <w:color w:val="4C4D4F"/>
          <w:spacing w:val="-9"/>
          <w:w w:val="110"/>
          <w:sz w:val="18"/>
        </w:rPr>
        <w:t>20 </w:t>
      </w:r>
      <w:r>
        <w:rPr>
          <w:color w:val="4C4D4F"/>
          <w:w w:val="110"/>
          <w:sz w:val="18"/>
        </w:rPr>
        <w:t>years:</w:t>
      </w:r>
      <w:r>
        <w:rPr>
          <w:color w:val="4C4D4F"/>
          <w:spacing w:val="-10"/>
          <w:w w:val="110"/>
          <w:sz w:val="18"/>
        </w:rPr>
        <w:t> </w:t>
      </w:r>
      <w:r>
        <w:rPr>
          <w:color w:val="4C4D4F"/>
          <w:w w:val="110"/>
          <w:sz w:val="18"/>
        </w:rPr>
        <w:t>Risk</w:t>
      </w:r>
      <w:r>
        <w:rPr>
          <w:color w:val="4C4D4F"/>
          <w:spacing w:val="-9"/>
          <w:w w:val="110"/>
          <w:sz w:val="18"/>
        </w:rPr>
        <w:t> </w:t>
      </w:r>
      <w:r>
        <w:rPr>
          <w:color w:val="4C4D4F"/>
          <w:w w:val="110"/>
          <w:sz w:val="18"/>
        </w:rPr>
        <w:t>factors</w:t>
      </w:r>
      <w:r>
        <w:rPr>
          <w:color w:val="4C4D4F"/>
          <w:spacing w:val="-10"/>
          <w:w w:val="110"/>
          <w:sz w:val="18"/>
        </w:rPr>
        <w:t> </w:t>
      </w:r>
      <w:r>
        <w:rPr>
          <w:color w:val="4C4D4F"/>
          <w:w w:val="110"/>
          <w:sz w:val="18"/>
        </w:rPr>
        <w:t>and</w:t>
      </w:r>
      <w:r>
        <w:rPr>
          <w:color w:val="4C4D4F"/>
          <w:spacing w:val="-9"/>
          <w:w w:val="110"/>
          <w:sz w:val="18"/>
        </w:rPr>
        <w:t> </w:t>
      </w:r>
      <w:r>
        <w:rPr>
          <w:color w:val="4C4D4F"/>
          <w:w w:val="110"/>
          <w:sz w:val="18"/>
        </w:rPr>
        <w:t>lives</w:t>
      </w:r>
      <w:r>
        <w:rPr>
          <w:color w:val="4C4D4F"/>
          <w:spacing w:val="-10"/>
          <w:w w:val="110"/>
          <w:sz w:val="18"/>
        </w:rPr>
        <w:t> </w:t>
      </w:r>
      <w:r>
        <w:rPr>
          <w:color w:val="4C4D4F"/>
          <w:w w:val="110"/>
          <w:sz w:val="18"/>
        </w:rPr>
        <w:t>saved.</w:t>
      </w:r>
      <w:r>
        <w:rPr>
          <w:color w:val="4C4D4F"/>
          <w:spacing w:val="-9"/>
          <w:w w:val="110"/>
          <w:sz w:val="18"/>
        </w:rPr>
        <w:t> </w:t>
      </w:r>
      <w:r>
        <w:rPr>
          <w:rFonts w:ascii="Arial" w:hAnsi="Arial"/>
          <w:i/>
          <w:color w:val="4C4D4F"/>
          <w:w w:val="110"/>
          <w:sz w:val="18"/>
        </w:rPr>
        <w:t>Drug</w:t>
      </w:r>
      <w:r>
        <w:rPr>
          <w:rFonts w:ascii="Arial" w:hAnsi="Arial"/>
          <w:i/>
          <w:color w:val="4C4D4F"/>
          <w:spacing w:val="-10"/>
          <w:w w:val="110"/>
          <w:sz w:val="18"/>
        </w:rPr>
        <w:t> </w:t>
      </w:r>
      <w:r>
        <w:rPr>
          <w:rFonts w:ascii="Arial" w:hAnsi="Arial"/>
          <w:i/>
          <w:color w:val="4C4D4F"/>
          <w:w w:val="110"/>
          <w:sz w:val="18"/>
        </w:rPr>
        <w:t>and</w:t>
      </w:r>
      <w:r>
        <w:rPr>
          <w:rFonts w:ascii="Arial" w:hAnsi="Arial"/>
          <w:i/>
          <w:color w:val="4C4D4F"/>
          <w:spacing w:val="-9"/>
          <w:w w:val="110"/>
          <w:sz w:val="18"/>
        </w:rPr>
        <w:t> </w:t>
      </w:r>
      <w:r>
        <w:rPr>
          <w:rFonts w:ascii="Arial" w:hAnsi="Arial"/>
          <w:i/>
          <w:color w:val="4C4D4F"/>
          <w:w w:val="110"/>
          <w:sz w:val="18"/>
        </w:rPr>
        <w:t>Alcohol </w:t>
      </w:r>
      <w:r>
        <w:rPr>
          <w:rFonts w:ascii="Arial" w:hAnsi="Arial"/>
          <w:i/>
          <w:color w:val="4C4D4F"/>
          <w:w w:val="110"/>
          <w:sz w:val="18"/>
        </w:rPr>
        <w:t>Dependence, 105</w:t>
      </w:r>
      <w:r>
        <w:rPr>
          <w:color w:val="4C4D4F"/>
          <w:w w:val="110"/>
          <w:sz w:val="18"/>
        </w:rPr>
        <w:t>(1–2),</w:t>
      </w:r>
      <w:r>
        <w:rPr>
          <w:color w:val="4C4D4F"/>
          <w:spacing w:val="-18"/>
          <w:w w:val="110"/>
          <w:sz w:val="18"/>
        </w:rPr>
        <w:t> </w:t>
      </w:r>
      <w:r>
        <w:rPr>
          <w:color w:val="4C4D4F"/>
          <w:w w:val="110"/>
          <w:sz w:val="18"/>
        </w:rPr>
        <w:t>9–15.</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spacing w:val="-3"/>
          <w:w w:val="115"/>
          <w:sz w:val="18"/>
        </w:rPr>
        <w:t>Metzger,</w:t>
      </w:r>
      <w:r>
        <w:rPr>
          <w:color w:val="4C4D4F"/>
          <w:spacing w:val="-15"/>
          <w:w w:val="115"/>
          <w:sz w:val="18"/>
        </w:rPr>
        <w:t> </w:t>
      </w:r>
      <w:r>
        <w:rPr>
          <w:color w:val="4C4D4F"/>
          <w:w w:val="115"/>
          <w:sz w:val="18"/>
        </w:rPr>
        <w:t>D.</w:t>
      </w:r>
      <w:r>
        <w:rPr>
          <w:color w:val="4C4D4F"/>
          <w:spacing w:val="-14"/>
          <w:w w:val="115"/>
          <w:sz w:val="18"/>
        </w:rPr>
        <w:t> </w:t>
      </w:r>
      <w:r>
        <w:rPr>
          <w:color w:val="4C4D4F"/>
          <w:w w:val="115"/>
          <w:sz w:val="18"/>
        </w:rPr>
        <w:t>S.,</w:t>
      </w:r>
      <w:r>
        <w:rPr>
          <w:color w:val="4C4D4F"/>
          <w:spacing w:val="-15"/>
          <w:w w:val="115"/>
          <w:sz w:val="18"/>
        </w:rPr>
        <w:t> </w:t>
      </w:r>
      <w:r>
        <w:rPr>
          <w:color w:val="4C4D4F"/>
          <w:spacing w:val="-5"/>
          <w:w w:val="115"/>
          <w:sz w:val="18"/>
        </w:rPr>
        <w:t>Woody,</w:t>
      </w:r>
      <w:r>
        <w:rPr>
          <w:color w:val="4C4D4F"/>
          <w:spacing w:val="-14"/>
          <w:w w:val="115"/>
          <w:sz w:val="18"/>
        </w:rPr>
        <w:t> </w:t>
      </w:r>
      <w:r>
        <w:rPr>
          <w:color w:val="4C4D4F"/>
          <w:w w:val="115"/>
          <w:sz w:val="18"/>
        </w:rPr>
        <w:t>G.</w:t>
      </w:r>
      <w:r>
        <w:rPr>
          <w:color w:val="4C4D4F"/>
          <w:spacing w:val="-15"/>
          <w:w w:val="115"/>
          <w:sz w:val="18"/>
        </w:rPr>
        <w:t> </w:t>
      </w:r>
      <w:r>
        <w:rPr>
          <w:color w:val="4C4D4F"/>
          <w:w w:val="115"/>
          <w:sz w:val="18"/>
        </w:rPr>
        <w:t>E.,</w:t>
      </w:r>
      <w:r>
        <w:rPr>
          <w:color w:val="4C4D4F"/>
          <w:spacing w:val="-14"/>
          <w:w w:val="115"/>
          <w:sz w:val="18"/>
        </w:rPr>
        <w:t> </w:t>
      </w:r>
      <w:r>
        <w:rPr>
          <w:color w:val="4C4D4F"/>
          <w:w w:val="115"/>
          <w:sz w:val="18"/>
        </w:rPr>
        <w:t>McLellan,</w:t>
      </w:r>
      <w:r>
        <w:rPr>
          <w:color w:val="4C4D4F"/>
          <w:spacing w:val="-15"/>
          <w:w w:val="115"/>
          <w:sz w:val="18"/>
        </w:rPr>
        <w:t> </w:t>
      </w:r>
      <w:r>
        <w:rPr>
          <w:color w:val="4C4D4F"/>
          <w:w w:val="115"/>
          <w:sz w:val="18"/>
        </w:rPr>
        <w:t>A.</w:t>
      </w:r>
      <w:r>
        <w:rPr>
          <w:color w:val="4C4D4F"/>
          <w:spacing w:val="-14"/>
          <w:w w:val="115"/>
          <w:sz w:val="18"/>
        </w:rPr>
        <w:t> </w:t>
      </w:r>
      <w:r>
        <w:rPr>
          <w:color w:val="4C4D4F"/>
          <w:spacing w:val="-7"/>
          <w:w w:val="115"/>
          <w:sz w:val="18"/>
        </w:rPr>
        <w:t>T.,</w:t>
      </w:r>
      <w:r>
        <w:rPr>
          <w:color w:val="4C4D4F"/>
          <w:spacing w:val="-15"/>
          <w:w w:val="115"/>
          <w:sz w:val="18"/>
        </w:rPr>
        <w:t> </w:t>
      </w:r>
      <w:r>
        <w:rPr>
          <w:color w:val="4C4D4F"/>
          <w:w w:val="115"/>
          <w:sz w:val="18"/>
        </w:rPr>
        <w:t>O’Brien,</w:t>
      </w:r>
    </w:p>
    <w:p>
      <w:pPr>
        <w:spacing w:line="247" w:lineRule="auto" w:before="8"/>
        <w:ind w:left="500" w:right="219" w:firstLine="0"/>
        <w:jc w:val="left"/>
        <w:rPr>
          <w:sz w:val="18"/>
        </w:rPr>
      </w:pPr>
      <w:r>
        <w:rPr>
          <w:color w:val="4C4D4F"/>
          <w:w w:val="110"/>
          <w:sz w:val="18"/>
        </w:rPr>
        <w:t>C. P., Druley, P., Navaline, H., … Abrutyn, E. </w:t>
      </w:r>
      <w:r>
        <w:rPr>
          <w:color w:val="4C4D4F"/>
          <w:w w:val="135"/>
          <w:sz w:val="18"/>
        </w:rPr>
        <w:t>J. </w:t>
      </w:r>
      <w:r>
        <w:rPr>
          <w:color w:val="4C4D4F"/>
          <w:w w:val="110"/>
          <w:sz w:val="18"/>
        </w:rPr>
        <w:t>(1993). Human immunodeﬁciency virus seroconversion among intravenous drug users in- and out-of-treatment: An 18-month prospective follow-up. </w:t>
      </w:r>
      <w:r>
        <w:rPr>
          <w:rFonts w:ascii="Arial" w:hAnsi="Arial"/>
          <w:i/>
          <w:color w:val="4C4D4F"/>
          <w:w w:val="110"/>
          <w:sz w:val="18"/>
        </w:rPr>
        <w:t>Journal of Acquired </w:t>
      </w:r>
      <w:r>
        <w:rPr>
          <w:rFonts w:ascii="Arial" w:hAnsi="Arial"/>
          <w:i/>
          <w:color w:val="4C4D4F"/>
          <w:w w:val="110"/>
          <w:sz w:val="18"/>
        </w:rPr>
        <w:t>Immune Deﬁciency Syndromes, 6</w:t>
      </w:r>
      <w:r>
        <w:rPr>
          <w:color w:val="4C4D4F"/>
          <w:w w:val="110"/>
          <w:sz w:val="18"/>
        </w:rPr>
        <w:t>(9), 1049–1056.</w:t>
      </w:r>
    </w:p>
    <w:p>
      <w:pPr>
        <w:pStyle w:val="ListParagraph"/>
        <w:numPr>
          <w:ilvl w:val="0"/>
          <w:numId w:val="51"/>
        </w:numPr>
        <w:tabs>
          <w:tab w:pos="500" w:val="left" w:leader="none"/>
        </w:tabs>
        <w:spacing w:line="247" w:lineRule="auto" w:before="72" w:after="0"/>
        <w:ind w:left="500" w:right="548" w:hanging="360"/>
        <w:jc w:val="left"/>
        <w:rPr>
          <w:color w:val="4C4D4F"/>
          <w:sz w:val="18"/>
        </w:rPr>
      </w:pPr>
      <w:r>
        <w:rPr>
          <w:color w:val="4C4D4F"/>
          <w:w w:val="110"/>
          <w:sz w:val="18"/>
        </w:rPr>
        <w:t>Ball,</w:t>
      </w:r>
      <w:r>
        <w:rPr>
          <w:color w:val="4C4D4F"/>
          <w:spacing w:val="-16"/>
          <w:w w:val="110"/>
          <w:sz w:val="18"/>
        </w:rPr>
        <w:t> </w:t>
      </w:r>
      <w:r>
        <w:rPr>
          <w:color w:val="4C4D4F"/>
          <w:w w:val="135"/>
          <w:sz w:val="18"/>
        </w:rPr>
        <w:t>J.</w:t>
      </w:r>
      <w:r>
        <w:rPr>
          <w:color w:val="4C4D4F"/>
          <w:spacing w:val="-27"/>
          <w:w w:val="135"/>
          <w:sz w:val="18"/>
        </w:rPr>
        <w:t> </w:t>
      </w:r>
      <w:r>
        <w:rPr>
          <w:color w:val="4C4D4F"/>
          <w:w w:val="110"/>
          <w:sz w:val="18"/>
        </w:rPr>
        <w:t>C.,</w:t>
      </w:r>
      <w:r>
        <w:rPr>
          <w:color w:val="4C4D4F"/>
          <w:spacing w:val="-16"/>
          <w:w w:val="110"/>
          <w:sz w:val="18"/>
        </w:rPr>
        <w:t> </w:t>
      </w:r>
      <w:r>
        <w:rPr>
          <w:color w:val="4C4D4F"/>
          <w:w w:val="110"/>
          <w:sz w:val="18"/>
        </w:rPr>
        <w:t>&amp;</w:t>
      </w:r>
      <w:r>
        <w:rPr>
          <w:color w:val="4C4D4F"/>
          <w:spacing w:val="-15"/>
          <w:w w:val="110"/>
          <w:sz w:val="18"/>
        </w:rPr>
        <w:t> </w:t>
      </w:r>
      <w:r>
        <w:rPr>
          <w:color w:val="4C4D4F"/>
          <w:w w:val="110"/>
          <w:sz w:val="18"/>
        </w:rPr>
        <w:t>Ross,</w:t>
      </w:r>
      <w:r>
        <w:rPr>
          <w:color w:val="4C4D4F"/>
          <w:spacing w:val="-15"/>
          <w:w w:val="110"/>
          <w:sz w:val="18"/>
        </w:rPr>
        <w:t> </w:t>
      </w:r>
      <w:r>
        <w:rPr>
          <w:color w:val="4C4D4F"/>
          <w:w w:val="110"/>
          <w:sz w:val="18"/>
        </w:rPr>
        <w:t>A.</w:t>
      </w:r>
      <w:r>
        <w:rPr>
          <w:color w:val="4C4D4F"/>
          <w:spacing w:val="-15"/>
          <w:w w:val="110"/>
          <w:sz w:val="18"/>
        </w:rPr>
        <w:t> </w:t>
      </w:r>
      <w:r>
        <w:rPr>
          <w:color w:val="4C4D4F"/>
          <w:w w:val="110"/>
          <w:sz w:val="18"/>
        </w:rPr>
        <w:t>(1991).</w:t>
      </w:r>
      <w:r>
        <w:rPr>
          <w:color w:val="4C4D4F"/>
          <w:spacing w:val="-15"/>
          <w:w w:val="110"/>
          <w:sz w:val="18"/>
        </w:rPr>
        <w:t> </w:t>
      </w:r>
      <w:r>
        <w:rPr>
          <w:rFonts w:ascii="Arial"/>
          <w:i/>
          <w:color w:val="4C4D4F"/>
          <w:w w:val="110"/>
          <w:sz w:val="18"/>
        </w:rPr>
        <w:t>The</w:t>
      </w:r>
      <w:r>
        <w:rPr>
          <w:rFonts w:ascii="Arial"/>
          <w:i/>
          <w:color w:val="4C4D4F"/>
          <w:spacing w:val="-15"/>
          <w:w w:val="110"/>
          <w:sz w:val="18"/>
        </w:rPr>
        <w:t> </w:t>
      </w:r>
      <w:r>
        <w:rPr>
          <w:rFonts w:ascii="Arial"/>
          <w:i/>
          <w:color w:val="4C4D4F"/>
          <w:w w:val="110"/>
          <w:sz w:val="18"/>
        </w:rPr>
        <w:t>effectiveness</w:t>
      </w:r>
      <w:r>
        <w:rPr>
          <w:rFonts w:ascii="Arial"/>
          <w:i/>
          <w:color w:val="4C4D4F"/>
          <w:spacing w:val="-16"/>
          <w:w w:val="110"/>
          <w:sz w:val="18"/>
        </w:rPr>
        <w:t> </w:t>
      </w:r>
      <w:r>
        <w:rPr>
          <w:rFonts w:ascii="Arial"/>
          <w:i/>
          <w:color w:val="4C4D4F"/>
          <w:w w:val="110"/>
          <w:sz w:val="18"/>
        </w:rPr>
        <w:t>of </w:t>
      </w:r>
      <w:r>
        <w:rPr>
          <w:rFonts w:ascii="Arial"/>
          <w:i/>
          <w:color w:val="4C4D4F"/>
          <w:w w:val="105"/>
          <w:sz w:val="18"/>
        </w:rPr>
        <w:t>methadone</w:t>
      </w:r>
      <w:r>
        <w:rPr>
          <w:rFonts w:ascii="Arial"/>
          <w:i/>
          <w:color w:val="4C4D4F"/>
          <w:spacing w:val="-18"/>
          <w:w w:val="105"/>
          <w:sz w:val="18"/>
        </w:rPr>
        <w:t> </w:t>
      </w:r>
      <w:r>
        <w:rPr>
          <w:rFonts w:ascii="Arial"/>
          <w:i/>
          <w:color w:val="4C4D4F"/>
          <w:w w:val="105"/>
          <w:sz w:val="18"/>
        </w:rPr>
        <w:t>maintenance</w:t>
      </w:r>
      <w:r>
        <w:rPr>
          <w:rFonts w:ascii="Arial"/>
          <w:i/>
          <w:color w:val="4C4D4F"/>
          <w:spacing w:val="-18"/>
          <w:w w:val="105"/>
          <w:sz w:val="18"/>
        </w:rPr>
        <w:t> </w:t>
      </w:r>
      <w:r>
        <w:rPr>
          <w:rFonts w:ascii="Arial"/>
          <w:i/>
          <w:color w:val="4C4D4F"/>
          <w:w w:val="105"/>
          <w:sz w:val="18"/>
        </w:rPr>
        <w:t>treatment.</w:t>
      </w:r>
      <w:r>
        <w:rPr>
          <w:rFonts w:ascii="Arial"/>
          <w:i/>
          <w:color w:val="4C4D4F"/>
          <w:spacing w:val="-19"/>
          <w:w w:val="105"/>
          <w:sz w:val="18"/>
        </w:rPr>
        <w:t> </w:t>
      </w:r>
      <w:r>
        <w:rPr>
          <w:color w:val="4C4D4F"/>
          <w:w w:val="105"/>
          <w:sz w:val="18"/>
        </w:rPr>
        <w:t>New</w:t>
      </w:r>
      <w:r>
        <w:rPr>
          <w:color w:val="4C4D4F"/>
          <w:spacing w:val="-17"/>
          <w:w w:val="105"/>
          <w:sz w:val="18"/>
        </w:rPr>
        <w:t> </w:t>
      </w:r>
      <w:r>
        <w:rPr>
          <w:color w:val="4C4D4F"/>
          <w:spacing w:val="-4"/>
          <w:w w:val="105"/>
          <w:sz w:val="18"/>
        </w:rPr>
        <w:t>York,</w:t>
      </w:r>
      <w:r>
        <w:rPr>
          <w:color w:val="4C4D4F"/>
          <w:spacing w:val="-18"/>
          <w:w w:val="105"/>
          <w:sz w:val="18"/>
        </w:rPr>
        <w:t> </w:t>
      </w:r>
      <w:r>
        <w:rPr>
          <w:color w:val="4C4D4F"/>
          <w:spacing w:val="-12"/>
          <w:w w:val="105"/>
          <w:sz w:val="18"/>
        </w:rPr>
        <w:t>NY: </w:t>
      </w:r>
      <w:r>
        <w:rPr>
          <w:color w:val="4C4D4F"/>
          <w:w w:val="110"/>
          <w:sz w:val="18"/>
        </w:rPr>
        <w:t>Springer</w:t>
      </w:r>
      <w:r>
        <w:rPr>
          <w:color w:val="4C4D4F"/>
          <w:spacing w:val="-5"/>
          <w:w w:val="110"/>
          <w:sz w:val="18"/>
        </w:rPr>
        <w:t> </w:t>
      </w:r>
      <w:r>
        <w:rPr>
          <w:color w:val="4C4D4F"/>
          <w:w w:val="110"/>
          <w:sz w:val="18"/>
        </w:rPr>
        <w:t>Verlag.</w:t>
      </w:r>
    </w:p>
    <w:p>
      <w:pPr>
        <w:pStyle w:val="ListParagraph"/>
        <w:numPr>
          <w:ilvl w:val="0"/>
          <w:numId w:val="51"/>
        </w:numPr>
        <w:tabs>
          <w:tab w:pos="500" w:val="left" w:leader="none"/>
        </w:tabs>
        <w:spacing w:line="247" w:lineRule="auto" w:before="73" w:after="0"/>
        <w:ind w:left="500" w:right="461" w:hanging="360"/>
        <w:jc w:val="left"/>
        <w:rPr>
          <w:color w:val="4C4D4F"/>
          <w:sz w:val="18"/>
        </w:rPr>
      </w:pPr>
      <w:r>
        <w:rPr>
          <w:color w:val="4C4D4F"/>
          <w:w w:val="110"/>
          <w:sz w:val="18"/>
        </w:rPr>
        <w:t>Mattick, R. </w:t>
      </w:r>
      <w:r>
        <w:rPr>
          <w:color w:val="4C4D4F"/>
          <w:spacing w:val="-11"/>
          <w:w w:val="110"/>
          <w:sz w:val="18"/>
        </w:rPr>
        <w:t>P., </w:t>
      </w:r>
      <w:r>
        <w:rPr>
          <w:color w:val="4C4D4F"/>
          <w:w w:val="110"/>
          <w:sz w:val="18"/>
        </w:rPr>
        <w:t>Breen, C., </w:t>
      </w:r>
      <w:r>
        <w:rPr>
          <w:color w:val="4C4D4F"/>
          <w:spacing w:val="-3"/>
          <w:w w:val="110"/>
          <w:sz w:val="18"/>
        </w:rPr>
        <w:t>Kimber, </w:t>
      </w:r>
      <w:r>
        <w:rPr>
          <w:color w:val="4C4D4F"/>
          <w:w w:val="120"/>
          <w:sz w:val="18"/>
        </w:rPr>
        <w:t>J., </w:t>
      </w:r>
      <w:r>
        <w:rPr>
          <w:color w:val="4C4D4F"/>
          <w:w w:val="110"/>
          <w:sz w:val="18"/>
        </w:rPr>
        <w:t>&amp; Davoli, M. (2014). Buprenorphine maintenance versus placebo or methadone maintenance for opioid dependence. </w:t>
      </w:r>
      <w:r>
        <w:rPr>
          <w:rFonts w:ascii="Arial"/>
          <w:i/>
          <w:color w:val="4C4D4F"/>
          <w:sz w:val="18"/>
        </w:rPr>
        <w:t>Cochrane Database of Systematic Reviews,</w:t>
      </w:r>
      <w:r>
        <w:rPr>
          <w:rFonts w:ascii="Arial"/>
          <w:i/>
          <w:color w:val="4C4D4F"/>
          <w:spacing w:val="-32"/>
          <w:sz w:val="18"/>
        </w:rPr>
        <w:t> </w:t>
      </w:r>
      <w:r>
        <w:rPr>
          <w:rFonts w:ascii="Arial"/>
          <w:i/>
          <w:color w:val="4C4D4F"/>
          <w:sz w:val="18"/>
        </w:rPr>
        <w:t>2014</w:t>
      </w:r>
      <w:r>
        <w:rPr>
          <w:color w:val="4C4D4F"/>
          <w:sz w:val="18"/>
        </w:rPr>
        <w:t>(2). </w:t>
      </w:r>
      <w:r>
        <w:rPr>
          <w:color w:val="4C4D4F"/>
          <w:w w:val="110"/>
          <w:sz w:val="18"/>
        </w:rPr>
        <w:t>CD002207.</w:t>
      </w:r>
    </w:p>
    <w:p>
      <w:pPr>
        <w:pStyle w:val="ListParagraph"/>
        <w:numPr>
          <w:ilvl w:val="0"/>
          <w:numId w:val="51"/>
        </w:numPr>
        <w:tabs>
          <w:tab w:pos="500" w:val="left" w:leader="none"/>
        </w:tabs>
        <w:spacing w:line="247" w:lineRule="auto" w:before="76" w:after="0"/>
        <w:ind w:left="500" w:right="582" w:hanging="360"/>
        <w:jc w:val="left"/>
        <w:rPr>
          <w:color w:val="4C4D4F"/>
          <w:sz w:val="18"/>
        </w:rPr>
      </w:pPr>
      <w:r>
        <w:rPr>
          <w:color w:val="4C4D4F"/>
          <w:w w:val="115"/>
          <w:sz w:val="18"/>
        </w:rPr>
        <w:t>Walsh,</w:t>
      </w:r>
      <w:r>
        <w:rPr>
          <w:color w:val="4C4D4F"/>
          <w:spacing w:val="-20"/>
          <w:w w:val="115"/>
          <w:sz w:val="18"/>
        </w:rPr>
        <w:t> </w:t>
      </w:r>
      <w:r>
        <w:rPr>
          <w:color w:val="4C4D4F"/>
          <w:w w:val="115"/>
          <w:sz w:val="18"/>
        </w:rPr>
        <w:t>S.</w:t>
      </w:r>
      <w:r>
        <w:rPr>
          <w:color w:val="4C4D4F"/>
          <w:spacing w:val="-19"/>
          <w:w w:val="115"/>
          <w:sz w:val="18"/>
        </w:rPr>
        <w:t> </w:t>
      </w:r>
      <w:r>
        <w:rPr>
          <w:color w:val="4C4D4F"/>
          <w:w w:val="115"/>
          <w:sz w:val="18"/>
        </w:rPr>
        <w:t>L.,</w:t>
      </w:r>
      <w:r>
        <w:rPr>
          <w:color w:val="4C4D4F"/>
          <w:spacing w:val="-19"/>
          <w:w w:val="115"/>
          <w:sz w:val="18"/>
        </w:rPr>
        <w:t> </w:t>
      </w:r>
      <w:r>
        <w:rPr>
          <w:color w:val="4C4D4F"/>
          <w:w w:val="115"/>
          <w:sz w:val="18"/>
        </w:rPr>
        <w:t>&amp;</w:t>
      </w:r>
      <w:r>
        <w:rPr>
          <w:color w:val="4C4D4F"/>
          <w:spacing w:val="-20"/>
          <w:w w:val="115"/>
          <w:sz w:val="18"/>
        </w:rPr>
        <w:t> </w:t>
      </w:r>
      <w:r>
        <w:rPr>
          <w:color w:val="4C4D4F"/>
          <w:w w:val="115"/>
          <w:sz w:val="18"/>
        </w:rPr>
        <w:t>Strain,</w:t>
      </w:r>
      <w:r>
        <w:rPr>
          <w:color w:val="4C4D4F"/>
          <w:spacing w:val="-19"/>
          <w:w w:val="115"/>
          <w:sz w:val="18"/>
        </w:rPr>
        <w:t> </w:t>
      </w:r>
      <w:r>
        <w:rPr>
          <w:color w:val="4C4D4F"/>
          <w:w w:val="115"/>
          <w:sz w:val="18"/>
        </w:rPr>
        <w:t>E.</w:t>
      </w:r>
      <w:r>
        <w:rPr>
          <w:color w:val="4C4D4F"/>
          <w:spacing w:val="-19"/>
          <w:w w:val="115"/>
          <w:sz w:val="18"/>
        </w:rPr>
        <w:t> </w:t>
      </w:r>
      <w:r>
        <w:rPr>
          <w:color w:val="4C4D4F"/>
          <w:w w:val="115"/>
          <w:sz w:val="18"/>
        </w:rPr>
        <w:t>C.</w:t>
      </w:r>
      <w:r>
        <w:rPr>
          <w:color w:val="4C4D4F"/>
          <w:spacing w:val="-19"/>
          <w:w w:val="115"/>
          <w:sz w:val="18"/>
        </w:rPr>
        <w:t> </w:t>
      </w:r>
      <w:r>
        <w:rPr>
          <w:color w:val="4C4D4F"/>
          <w:w w:val="115"/>
          <w:sz w:val="18"/>
        </w:rPr>
        <w:t>(2006).</w:t>
      </w:r>
      <w:r>
        <w:rPr>
          <w:color w:val="4C4D4F"/>
          <w:spacing w:val="-20"/>
          <w:w w:val="115"/>
          <w:sz w:val="18"/>
        </w:rPr>
        <w:t> </w:t>
      </w:r>
      <w:r>
        <w:rPr>
          <w:color w:val="4C4D4F"/>
          <w:w w:val="115"/>
          <w:sz w:val="18"/>
        </w:rPr>
        <w:t>Pharmacology of</w:t>
      </w:r>
      <w:r>
        <w:rPr>
          <w:color w:val="4C4D4F"/>
          <w:spacing w:val="-17"/>
          <w:w w:val="115"/>
          <w:sz w:val="18"/>
        </w:rPr>
        <w:t> </w:t>
      </w:r>
      <w:r>
        <w:rPr>
          <w:color w:val="4C4D4F"/>
          <w:w w:val="115"/>
          <w:sz w:val="18"/>
        </w:rPr>
        <w:t>methadone.</w:t>
      </w:r>
      <w:r>
        <w:rPr>
          <w:color w:val="4C4D4F"/>
          <w:spacing w:val="-17"/>
          <w:w w:val="115"/>
          <w:sz w:val="18"/>
        </w:rPr>
        <w:t> </w:t>
      </w:r>
      <w:r>
        <w:rPr>
          <w:color w:val="4C4D4F"/>
          <w:w w:val="115"/>
          <w:sz w:val="18"/>
        </w:rPr>
        <w:t>In</w:t>
      </w:r>
      <w:r>
        <w:rPr>
          <w:color w:val="4C4D4F"/>
          <w:spacing w:val="-16"/>
          <w:w w:val="115"/>
          <w:sz w:val="18"/>
        </w:rPr>
        <w:t> </w:t>
      </w:r>
      <w:r>
        <w:rPr>
          <w:color w:val="4C4D4F"/>
          <w:w w:val="115"/>
          <w:sz w:val="18"/>
        </w:rPr>
        <w:t>E.</w:t>
      </w:r>
      <w:r>
        <w:rPr>
          <w:color w:val="4C4D4F"/>
          <w:spacing w:val="-17"/>
          <w:w w:val="115"/>
          <w:sz w:val="18"/>
        </w:rPr>
        <w:t> </w:t>
      </w:r>
      <w:r>
        <w:rPr>
          <w:color w:val="4C4D4F"/>
          <w:w w:val="115"/>
          <w:sz w:val="18"/>
        </w:rPr>
        <w:t>C.</w:t>
      </w:r>
      <w:r>
        <w:rPr>
          <w:color w:val="4C4D4F"/>
          <w:spacing w:val="-17"/>
          <w:w w:val="115"/>
          <w:sz w:val="18"/>
        </w:rPr>
        <w:t> </w:t>
      </w:r>
      <w:r>
        <w:rPr>
          <w:color w:val="4C4D4F"/>
          <w:w w:val="115"/>
          <w:sz w:val="18"/>
        </w:rPr>
        <w:t>Strain</w:t>
      </w:r>
      <w:r>
        <w:rPr>
          <w:color w:val="4C4D4F"/>
          <w:spacing w:val="-16"/>
          <w:w w:val="115"/>
          <w:sz w:val="18"/>
        </w:rPr>
        <w:t> </w:t>
      </w:r>
      <w:r>
        <w:rPr>
          <w:color w:val="4C4D4F"/>
          <w:w w:val="115"/>
          <w:sz w:val="18"/>
        </w:rPr>
        <w:t>&amp;</w:t>
      </w:r>
      <w:r>
        <w:rPr>
          <w:color w:val="4C4D4F"/>
          <w:spacing w:val="-17"/>
          <w:w w:val="115"/>
          <w:sz w:val="18"/>
        </w:rPr>
        <w:t> </w:t>
      </w:r>
      <w:r>
        <w:rPr>
          <w:color w:val="4C4D4F"/>
          <w:w w:val="115"/>
          <w:sz w:val="18"/>
        </w:rPr>
        <w:t>M.</w:t>
      </w:r>
      <w:r>
        <w:rPr>
          <w:color w:val="4C4D4F"/>
          <w:spacing w:val="-17"/>
          <w:w w:val="115"/>
          <w:sz w:val="18"/>
        </w:rPr>
        <w:t> </w:t>
      </w:r>
      <w:r>
        <w:rPr>
          <w:color w:val="4C4D4F"/>
          <w:w w:val="115"/>
          <w:sz w:val="18"/>
        </w:rPr>
        <w:t>L.</w:t>
      </w:r>
      <w:r>
        <w:rPr>
          <w:color w:val="4C4D4F"/>
          <w:spacing w:val="-16"/>
          <w:w w:val="115"/>
          <w:sz w:val="18"/>
        </w:rPr>
        <w:t> </w:t>
      </w:r>
      <w:r>
        <w:rPr>
          <w:color w:val="4C4D4F"/>
          <w:w w:val="115"/>
          <w:sz w:val="18"/>
        </w:rPr>
        <w:t>Stitzer</w:t>
      </w:r>
      <w:r>
        <w:rPr>
          <w:color w:val="4C4D4F"/>
          <w:spacing w:val="-17"/>
          <w:w w:val="115"/>
          <w:sz w:val="18"/>
        </w:rPr>
        <w:t> </w:t>
      </w:r>
      <w:r>
        <w:rPr>
          <w:color w:val="4C4D4F"/>
          <w:spacing w:val="-3"/>
          <w:w w:val="115"/>
          <w:sz w:val="18"/>
        </w:rPr>
        <w:t>(Eds.), </w:t>
      </w:r>
      <w:r>
        <w:rPr>
          <w:rFonts w:ascii="Arial" w:hAnsi="Arial"/>
          <w:i/>
          <w:color w:val="4C4D4F"/>
          <w:w w:val="110"/>
          <w:sz w:val="18"/>
        </w:rPr>
        <w:t>The</w:t>
      </w:r>
      <w:r>
        <w:rPr>
          <w:rFonts w:ascii="Arial" w:hAnsi="Arial"/>
          <w:i/>
          <w:color w:val="4C4D4F"/>
          <w:spacing w:val="-27"/>
          <w:w w:val="110"/>
          <w:sz w:val="18"/>
        </w:rPr>
        <w:t> </w:t>
      </w:r>
      <w:r>
        <w:rPr>
          <w:rFonts w:ascii="Arial" w:hAnsi="Arial"/>
          <w:i/>
          <w:color w:val="4C4D4F"/>
          <w:w w:val="110"/>
          <w:sz w:val="18"/>
        </w:rPr>
        <w:t>treatment</w:t>
      </w:r>
      <w:r>
        <w:rPr>
          <w:rFonts w:ascii="Arial" w:hAnsi="Arial"/>
          <w:i/>
          <w:color w:val="4C4D4F"/>
          <w:spacing w:val="-27"/>
          <w:w w:val="110"/>
          <w:sz w:val="18"/>
        </w:rPr>
        <w:t> </w:t>
      </w:r>
      <w:r>
        <w:rPr>
          <w:rFonts w:ascii="Arial" w:hAnsi="Arial"/>
          <w:i/>
          <w:color w:val="4C4D4F"/>
          <w:w w:val="110"/>
          <w:sz w:val="18"/>
        </w:rPr>
        <w:t>of</w:t>
      </w:r>
      <w:r>
        <w:rPr>
          <w:rFonts w:ascii="Arial" w:hAnsi="Arial"/>
          <w:i/>
          <w:color w:val="4C4D4F"/>
          <w:spacing w:val="-26"/>
          <w:w w:val="110"/>
          <w:sz w:val="18"/>
        </w:rPr>
        <w:t> </w:t>
      </w:r>
      <w:r>
        <w:rPr>
          <w:rFonts w:ascii="Arial" w:hAnsi="Arial"/>
          <w:i/>
          <w:color w:val="4C4D4F"/>
          <w:w w:val="110"/>
          <w:sz w:val="18"/>
        </w:rPr>
        <w:t>opioid</w:t>
      </w:r>
      <w:r>
        <w:rPr>
          <w:rFonts w:ascii="Arial" w:hAnsi="Arial"/>
          <w:i/>
          <w:color w:val="4C4D4F"/>
          <w:spacing w:val="-27"/>
          <w:w w:val="110"/>
          <w:sz w:val="18"/>
        </w:rPr>
        <w:t> </w:t>
      </w:r>
      <w:r>
        <w:rPr>
          <w:rFonts w:ascii="Arial" w:hAnsi="Arial"/>
          <w:i/>
          <w:color w:val="4C4D4F"/>
          <w:w w:val="110"/>
          <w:sz w:val="18"/>
        </w:rPr>
        <w:t>dependence</w:t>
      </w:r>
      <w:r>
        <w:rPr>
          <w:rFonts w:ascii="Arial" w:hAnsi="Arial"/>
          <w:i/>
          <w:color w:val="4C4D4F"/>
          <w:spacing w:val="-26"/>
          <w:w w:val="110"/>
          <w:sz w:val="18"/>
        </w:rPr>
        <w:t> </w:t>
      </w:r>
      <w:r>
        <w:rPr>
          <w:color w:val="4C4D4F"/>
          <w:w w:val="110"/>
          <w:sz w:val="18"/>
        </w:rPr>
        <w:t>(pp.</w:t>
      </w:r>
      <w:r>
        <w:rPr>
          <w:color w:val="4C4D4F"/>
          <w:spacing w:val="-27"/>
          <w:w w:val="110"/>
          <w:sz w:val="18"/>
        </w:rPr>
        <w:t> </w:t>
      </w:r>
      <w:r>
        <w:rPr>
          <w:color w:val="4C4D4F"/>
          <w:w w:val="110"/>
          <w:sz w:val="18"/>
        </w:rPr>
        <w:t>59–76). </w:t>
      </w:r>
      <w:r>
        <w:rPr>
          <w:color w:val="4C4D4F"/>
          <w:w w:val="115"/>
          <w:sz w:val="18"/>
        </w:rPr>
        <w:t>Baltimore,</w:t>
      </w:r>
      <w:r>
        <w:rPr>
          <w:color w:val="4C4D4F"/>
          <w:spacing w:val="-21"/>
          <w:w w:val="115"/>
          <w:sz w:val="18"/>
        </w:rPr>
        <w:t> </w:t>
      </w:r>
      <w:r>
        <w:rPr>
          <w:color w:val="4C4D4F"/>
          <w:w w:val="115"/>
          <w:sz w:val="18"/>
        </w:rPr>
        <w:t>MD:</w:t>
      </w:r>
      <w:r>
        <w:rPr>
          <w:color w:val="4C4D4F"/>
          <w:spacing w:val="-21"/>
          <w:w w:val="115"/>
          <w:sz w:val="18"/>
        </w:rPr>
        <w:t> </w:t>
      </w:r>
      <w:r>
        <w:rPr>
          <w:color w:val="4C4D4F"/>
          <w:w w:val="115"/>
          <w:sz w:val="18"/>
        </w:rPr>
        <w:t>John</w:t>
      </w:r>
      <w:r>
        <w:rPr>
          <w:color w:val="4C4D4F"/>
          <w:spacing w:val="-20"/>
          <w:w w:val="115"/>
          <w:sz w:val="18"/>
        </w:rPr>
        <w:t> </w:t>
      </w:r>
      <w:r>
        <w:rPr>
          <w:color w:val="4C4D4F"/>
          <w:w w:val="115"/>
          <w:sz w:val="18"/>
        </w:rPr>
        <w:t>Hopkins</w:t>
      </w:r>
      <w:r>
        <w:rPr>
          <w:color w:val="4C4D4F"/>
          <w:spacing w:val="-21"/>
          <w:w w:val="115"/>
          <w:sz w:val="18"/>
        </w:rPr>
        <w:t> </w:t>
      </w:r>
      <w:r>
        <w:rPr>
          <w:color w:val="4C4D4F"/>
          <w:w w:val="115"/>
          <w:sz w:val="18"/>
        </w:rPr>
        <w:t>University</w:t>
      </w:r>
      <w:r>
        <w:rPr>
          <w:color w:val="4C4D4F"/>
          <w:spacing w:val="-21"/>
          <w:w w:val="115"/>
          <w:sz w:val="18"/>
        </w:rPr>
        <w:t> </w:t>
      </w:r>
      <w:r>
        <w:rPr>
          <w:color w:val="4C4D4F"/>
          <w:w w:val="115"/>
          <w:sz w:val="18"/>
        </w:rPr>
        <w:t>Press.</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Mallinckrodt Pharmaceuticals. (2017). Label:</w:t>
      </w:r>
      <w:r>
        <w:rPr>
          <w:color w:val="4C4D4F"/>
          <w:spacing w:val="5"/>
          <w:w w:val="110"/>
          <w:sz w:val="18"/>
        </w:rPr>
        <w:t> </w:t>
      </w:r>
      <w:r>
        <w:rPr>
          <w:color w:val="4C4D4F"/>
          <w:w w:val="110"/>
          <w:sz w:val="18"/>
        </w:rPr>
        <w:t>Methadose</w:t>
      </w:r>
    </w:p>
    <w:p>
      <w:pPr>
        <w:pStyle w:val="ListParagraph"/>
        <w:numPr>
          <w:ilvl w:val="1"/>
          <w:numId w:val="51"/>
        </w:numPr>
        <w:tabs>
          <w:tab w:pos="610" w:val="left" w:leader="none"/>
        </w:tabs>
        <w:spacing w:line="247" w:lineRule="auto" w:before="7" w:after="0"/>
        <w:ind w:left="500" w:right="424" w:firstLine="0"/>
        <w:jc w:val="left"/>
        <w:rPr>
          <w:sz w:val="18"/>
        </w:rPr>
      </w:pPr>
      <w:r>
        <w:rPr>
          <w:color w:val="4C4D4F"/>
          <w:w w:val="110"/>
          <w:sz w:val="18"/>
        </w:rPr>
        <w:t>methadone hydrochloride concentrate; Methadose </w:t>
      </w:r>
      <w:r>
        <w:rPr>
          <w:color w:val="4C4D4F"/>
          <w:w w:val="115"/>
          <w:sz w:val="18"/>
        </w:rPr>
        <w:t>sugar-free-</w:t>
      </w:r>
      <w:r>
        <w:rPr>
          <w:color w:val="4C4D4F"/>
          <w:spacing w:val="-34"/>
          <w:w w:val="115"/>
          <w:sz w:val="18"/>
        </w:rPr>
        <w:t> </w:t>
      </w:r>
      <w:r>
        <w:rPr>
          <w:color w:val="4C4D4F"/>
          <w:w w:val="115"/>
          <w:sz w:val="18"/>
        </w:rPr>
        <w:t>methadone</w:t>
      </w:r>
      <w:r>
        <w:rPr>
          <w:color w:val="4C4D4F"/>
          <w:spacing w:val="-33"/>
          <w:w w:val="115"/>
          <w:sz w:val="18"/>
        </w:rPr>
        <w:t> </w:t>
      </w:r>
      <w:r>
        <w:rPr>
          <w:color w:val="4C4D4F"/>
          <w:w w:val="115"/>
          <w:sz w:val="18"/>
        </w:rPr>
        <w:t>hydrochloride</w:t>
      </w:r>
      <w:r>
        <w:rPr>
          <w:color w:val="4C4D4F"/>
          <w:spacing w:val="-33"/>
          <w:w w:val="115"/>
          <w:sz w:val="18"/>
        </w:rPr>
        <w:t> </w:t>
      </w:r>
      <w:r>
        <w:rPr>
          <w:color w:val="4C4D4F"/>
          <w:w w:val="115"/>
          <w:sz w:val="18"/>
        </w:rPr>
        <w:t>concentrate. Retrieved</w:t>
      </w:r>
      <w:r>
        <w:rPr>
          <w:color w:val="4C4D4F"/>
          <w:spacing w:val="-13"/>
          <w:w w:val="115"/>
          <w:sz w:val="18"/>
        </w:rPr>
        <w:t> </w:t>
      </w:r>
      <w:r>
        <w:rPr>
          <w:color w:val="4C4D4F"/>
          <w:w w:val="115"/>
          <w:sz w:val="18"/>
        </w:rPr>
        <w:t>January</w:t>
      </w:r>
      <w:r>
        <w:rPr>
          <w:color w:val="4C4D4F"/>
          <w:spacing w:val="-12"/>
          <w:w w:val="115"/>
          <w:sz w:val="18"/>
        </w:rPr>
        <w:t> </w:t>
      </w:r>
      <w:r>
        <w:rPr>
          <w:color w:val="4C4D4F"/>
          <w:w w:val="115"/>
          <w:sz w:val="18"/>
        </w:rPr>
        <w:t>9,</w:t>
      </w:r>
      <w:r>
        <w:rPr>
          <w:color w:val="4C4D4F"/>
          <w:spacing w:val="-12"/>
          <w:w w:val="115"/>
          <w:sz w:val="18"/>
        </w:rPr>
        <w:t> </w:t>
      </w:r>
      <w:r>
        <w:rPr>
          <w:color w:val="4C4D4F"/>
          <w:w w:val="115"/>
          <w:sz w:val="18"/>
        </w:rPr>
        <w:t>2018,</w:t>
      </w:r>
      <w:r>
        <w:rPr>
          <w:color w:val="4C4D4F"/>
          <w:spacing w:val="-13"/>
          <w:w w:val="115"/>
          <w:sz w:val="18"/>
        </w:rPr>
        <w:t> </w:t>
      </w:r>
      <w:r>
        <w:rPr>
          <w:color w:val="4C4D4F"/>
          <w:w w:val="115"/>
          <w:sz w:val="18"/>
        </w:rPr>
        <w:t>from</w:t>
      </w:r>
      <w:r>
        <w:rPr>
          <w:color w:val="205E9E"/>
          <w:spacing w:val="-13"/>
          <w:w w:val="115"/>
          <w:sz w:val="18"/>
        </w:rPr>
        <w:t> </w:t>
      </w:r>
      <w:r>
        <w:rPr>
          <w:color w:val="205E9E"/>
          <w:w w:val="115"/>
          <w:sz w:val="18"/>
          <w:u w:val="single" w:color="205E9E"/>
        </w:rPr>
        <w:t>https://dailymed</w:t>
      </w:r>
    </w:p>
    <w:p>
      <w:pPr>
        <w:spacing w:before="3"/>
        <w:ind w:left="500" w:right="0" w:firstLine="0"/>
        <w:jc w:val="left"/>
        <w:rPr>
          <w:sz w:val="18"/>
        </w:rPr>
      </w:pPr>
      <w:r>
        <w:rPr>
          <w:color w:val="205E9E"/>
          <w:w w:val="115"/>
          <w:sz w:val="18"/>
          <w:u w:val="single" w:color="205E9E"/>
        </w:rPr>
        <w:t>.nlm.nih.gov/dailymed/drugInfo.cfm?setid=808a9d0b</w:t>
      </w:r>
    </w:p>
    <w:p>
      <w:pPr>
        <w:spacing w:before="8"/>
        <w:ind w:left="500" w:right="0" w:firstLine="0"/>
        <w:jc w:val="left"/>
        <w:rPr>
          <w:sz w:val="18"/>
        </w:rPr>
      </w:pPr>
      <w:r>
        <w:rPr>
          <w:color w:val="205E9E"/>
          <w:w w:val="110"/>
          <w:sz w:val="18"/>
          <w:u w:val="single" w:color="205E9E"/>
        </w:rPr>
        <w:t>-720b-4034-a862-5122ff514608</w:t>
      </w:r>
    </w:p>
    <w:p>
      <w:pPr>
        <w:pStyle w:val="ListParagraph"/>
        <w:numPr>
          <w:ilvl w:val="0"/>
          <w:numId w:val="51"/>
        </w:numPr>
        <w:tabs>
          <w:tab w:pos="500" w:val="left" w:leader="none"/>
        </w:tabs>
        <w:spacing w:line="247" w:lineRule="auto" w:before="79" w:after="0"/>
        <w:ind w:left="500" w:right="582" w:hanging="360"/>
        <w:jc w:val="left"/>
        <w:rPr>
          <w:color w:val="4C4D4F"/>
          <w:sz w:val="18"/>
        </w:rPr>
      </w:pPr>
      <w:r>
        <w:rPr>
          <w:color w:val="4C4D4F"/>
          <w:w w:val="115"/>
          <w:sz w:val="18"/>
        </w:rPr>
        <w:t>Walsh,</w:t>
      </w:r>
      <w:r>
        <w:rPr>
          <w:color w:val="4C4D4F"/>
          <w:spacing w:val="-20"/>
          <w:w w:val="115"/>
          <w:sz w:val="18"/>
        </w:rPr>
        <w:t> </w:t>
      </w:r>
      <w:r>
        <w:rPr>
          <w:color w:val="4C4D4F"/>
          <w:w w:val="115"/>
          <w:sz w:val="18"/>
        </w:rPr>
        <w:t>S.</w:t>
      </w:r>
      <w:r>
        <w:rPr>
          <w:color w:val="4C4D4F"/>
          <w:spacing w:val="-19"/>
          <w:w w:val="115"/>
          <w:sz w:val="18"/>
        </w:rPr>
        <w:t> </w:t>
      </w:r>
      <w:r>
        <w:rPr>
          <w:color w:val="4C4D4F"/>
          <w:w w:val="115"/>
          <w:sz w:val="18"/>
        </w:rPr>
        <w:t>L.,</w:t>
      </w:r>
      <w:r>
        <w:rPr>
          <w:color w:val="4C4D4F"/>
          <w:spacing w:val="-19"/>
          <w:w w:val="115"/>
          <w:sz w:val="18"/>
        </w:rPr>
        <w:t> </w:t>
      </w:r>
      <w:r>
        <w:rPr>
          <w:color w:val="4C4D4F"/>
          <w:w w:val="115"/>
          <w:sz w:val="18"/>
        </w:rPr>
        <w:t>&amp;</w:t>
      </w:r>
      <w:r>
        <w:rPr>
          <w:color w:val="4C4D4F"/>
          <w:spacing w:val="-20"/>
          <w:w w:val="115"/>
          <w:sz w:val="18"/>
        </w:rPr>
        <w:t> </w:t>
      </w:r>
      <w:r>
        <w:rPr>
          <w:color w:val="4C4D4F"/>
          <w:w w:val="115"/>
          <w:sz w:val="18"/>
        </w:rPr>
        <w:t>Strain,</w:t>
      </w:r>
      <w:r>
        <w:rPr>
          <w:color w:val="4C4D4F"/>
          <w:spacing w:val="-19"/>
          <w:w w:val="115"/>
          <w:sz w:val="18"/>
        </w:rPr>
        <w:t> </w:t>
      </w:r>
      <w:r>
        <w:rPr>
          <w:color w:val="4C4D4F"/>
          <w:w w:val="115"/>
          <w:sz w:val="18"/>
        </w:rPr>
        <w:t>E.</w:t>
      </w:r>
      <w:r>
        <w:rPr>
          <w:color w:val="4C4D4F"/>
          <w:spacing w:val="-19"/>
          <w:w w:val="115"/>
          <w:sz w:val="18"/>
        </w:rPr>
        <w:t> </w:t>
      </w:r>
      <w:r>
        <w:rPr>
          <w:color w:val="4C4D4F"/>
          <w:w w:val="115"/>
          <w:sz w:val="18"/>
        </w:rPr>
        <w:t>C.</w:t>
      </w:r>
      <w:r>
        <w:rPr>
          <w:color w:val="4C4D4F"/>
          <w:spacing w:val="-19"/>
          <w:w w:val="115"/>
          <w:sz w:val="18"/>
        </w:rPr>
        <w:t> </w:t>
      </w:r>
      <w:r>
        <w:rPr>
          <w:color w:val="4C4D4F"/>
          <w:w w:val="115"/>
          <w:sz w:val="18"/>
        </w:rPr>
        <w:t>(2006).</w:t>
      </w:r>
      <w:r>
        <w:rPr>
          <w:color w:val="4C4D4F"/>
          <w:spacing w:val="-20"/>
          <w:w w:val="115"/>
          <w:sz w:val="18"/>
        </w:rPr>
        <w:t> </w:t>
      </w:r>
      <w:r>
        <w:rPr>
          <w:color w:val="4C4D4F"/>
          <w:w w:val="115"/>
          <w:sz w:val="18"/>
        </w:rPr>
        <w:t>Pharmacology of</w:t>
      </w:r>
      <w:r>
        <w:rPr>
          <w:color w:val="4C4D4F"/>
          <w:spacing w:val="-17"/>
          <w:w w:val="115"/>
          <w:sz w:val="18"/>
        </w:rPr>
        <w:t> </w:t>
      </w:r>
      <w:r>
        <w:rPr>
          <w:color w:val="4C4D4F"/>
          <w:w w:val="115"/>
          <w:sz w:val="18"/>
        </w:rPr>
        <w:t>methadone.</w:t>
      </w:r>
      <w:r>
        <w:rPr>
          <w:color w:val="4C4D4F"/>
          <w:spacing w:val="-17"/>
          <w:w w:val="115"/>
          <w:sz w:val="18"/>
        </w:rPr>
        <w:t> </w:t>
      </w:r>
      <w:r>
        <w:rPr>
          <w:color w:val="4C4D4F"/>
          <w:w w:val="115"/>
          <w:sz w:val="18"/>
        </w:rPr>
        <w:t>In</w:t>
      </w:r>
      <w:r>
        <w:rPr>
          <w:color w:val="4C4D4F"/>
          <w:spacing w:val="-16"/>
          <w:w w:val="115"/>
          <w:sz w:val="18"/>
        </w:rPr>
        <w:t> </w:t>
      </w:r>
      <w:r>
        <w:rPr>
          <w:color w:val="4C4D4F"/>
          <w:w w:val="115"/>
          <w:sz w:val="18"/>
        </w:rPr>
        <w:t>E.</w:t>
      </w:r>
      <w:r>
        <w:rPr>
          <w:color w:val="4C4D4F"/>
          <w:spacing w:val="-17"/>
          <w:w w:val="115"/>
          <w:sz w:val="18"/>
        </w:rPr>
        <w:t> </w:t>
      </w:r>
      <w:r>
        <w:rPr>
          <w:color w:val="4C4D4F"/>
          <w:w w:val="115"/>
          <w:sz w:val="18"/>
        </w:rPr>
        <w:t>C.</w:t>
      </w:r>
      <w:r>
        <w:rPr>
          <w:color w:val="4C4D4F"/>
          <w:spacing w:val="-17"/>
          <w:w w:val="115"/>
          <w:sz w:val="18"/>
        </w:rPr>
        <w:t> </w:t>
      </w:r>
      <w:r>
        <w:rPr>
          <w:color w:val="4C4D4F"/>
          <w:w w:val="115"/>
          <w:sz w:val="18"/>
        </w:rPr>
        <w:t>Strain</w:t>
      </w:r>
      <w:r>
        <w:rPr>
          <w:color w:val="4C4D4F"/>
          <w:spacing w:val="-16"/>
          <w:w w:val="115"/>
          <w:sz w:val="18"/>
        </w:rPr>
        <w:t> </w:t>
      </w:r>
      <w:r>
        <w:rPr>
          <w:color w:val="4C4D4F"/>
          <w:w w:val="115"/>
          <w:sz w:val="18"/>
        </w:rPr>
        <w:t>&amp;</w:t>
      </w:r>
      <w:r>
        <w:rPr>
          <w:color w:val="4C4D4F"/>
          <w:spacing w:val="-17"/>
          <w:w w:val="115"/>
          <w:sz w:val="18"/>
        </w:rPr>
        <w:t> </w:t>
      </w:r>
      <w:r>
        <w:rPr>
          <w:color w:val="4C4D4F"/>
          <w:w w:val="115"/>
          <w:sz w:val="18"/>
        </w:rPr>
        <w:t>M.</w:t>
      </w:r>
      <w:r>
        <w:rPr>
          <w:color w:val="4C4D4F"/>
          <w:spacing w:val="-17"/>
          <w:w w:val="115"/>
          <w:sz w:val="18"/>
        </w:rPr>
        <w:t> </w:t>
      </w:r>
      <w:r>
        <w:rPr>
          <w:color w:val="4C4D4F"/>
          <w:w w:val="115"/>
          <w:sz w:val="18"/>
        </w:rPr>
        <w:t>L.</w:t>
      </w:r>
      <w:r>
        <w:rPr>
          <w:color w:val="4C4D4F"/>
          <w:spacing w:val="-16"/>
          <w:w w:val="115"/>
          <w:sz w:val="18"/>
        </w:rPr>
        <w:t> </w:t>
      </w:r>
      <w:r>
        <w:rPr>
          <w:color w:val="4C4D4F"/>
          <w:w w:val="115"/>
          <w:sz w:val="18"/>
        </w:rPr>
        <w:t>Stitzer</w:t>
      </w:r>
      <w:r>
        <w:rPr>
          <w:color w:val="4C4D4F"/>
          <w:spacing w:val="-17"/>
          <w:w w:val="115"/>
          <w:sz w:val="18"/>
        </w:rPr>
        <w:t> </w:t>
      </w:r>
      <w:r>
        <w:rPr>
          <w:color w:val="4C4D4F"/>
          <w:spacing w:val="-3"/>
          <w:w w:val="115"/>
          <w:sz w:val="18"/>
        </w:rPr>
        <w:t>(Eds.), </w:t>
      </w:r>
      <w:r>
        <w:rPr>
          <w:rFonts w:ascii="Arial" w:hAnsi="Arial"/>
          <w:i/>
          <w:color w:val="4C4D4F"/>
          <w:w w:val="110"/>
          <w:sz w:val="18"/>
        </w:rPr>
        <w:t>The</w:t>
      </w:r>
      <w:r>
        <w:rPr>
          <w:rFonts w:ascii="Arial" w:hAnsi="Arial"/>
          <w:i/>
          <w:color w:val="4C4D4F"/>
          <w:spacing w:val="-27"/>
          <w:w w:val="110"/>
          <w:sz w:val="18"/>
        </w:rPr>
        <w:t> </w:t>
      </w:r>
      <w:r>
        <w:rPr>
          <w:rFonts w:ascii="Arial" w:hAnsi="Arial"/>
          <w:i/>
          <w:color w:val="4C4D4F"/>
          <w:w w:val="110"/>
          <w:sz w:val="18"/>
        </w:rPr>
        <w:t>treatment</w:t>
      </w:r>
      <w:r>
        <w:rPr>
          <w:rFonts w:ascii="Arial" w:hAnsi="Arial"/>
          <w:i/>
          <w:color w:val="4C4D4F"/>
          <w:spacing w:val="-27"/>
          <w:w w:val="110"/>
          <w:sz w:val="18"/>
        </w:rPr>
        <w:t> </w:t>
      </w:r>
      <w:r>
        <w:rPr>
          <w:rFonts w:ascii="Arial" w:hAnsi="Arial"/>
          <w:i/>
          <w:color w:val="4C4D4F"/>
          <w:w w:val="110"/>
          <w:sz w:val="18"/>
        </w:rPr>
        <w:t>of</w:t>
      </w:r>
      <w:r>
        <w:rPr>
          <w:rFonts w:ascii="Arial" w:hAnsi="Arial"/>
          <w:i/>
          <w:color w:val="4C4D4F"/>
          <w:spacing w:val="-26"/>
          <w:w w:val="110"/>
          <w:sz w:val="18"/>
        </w:rPr>
        <w:t> </w:t>
      </w:r>
      <w:r>
        <w:rPr>
          <w:rFonts w:ascii="Arial" w:hAnsi="Arial"/>
          <w:i/>
          <w:color w:val="4C4D4F"/>
          <w:w w:val="110"/>
          <w:sz w:val="18"/>
        </w:rPr>
        <w:t>opioid</w:t>
      </w:r>
      <w:r>
        <w:rPr>
          <w:rFonts w:ascii="Arial" w:hAnsi="Arial"/>
          <w:i/>
          <w:color w:val="4C4D4F"/>
          <w:spacing w:val="-27"/>
          <w:w w:val="110"/>
          <w:sz w:val="18"/>
        </w:rPr>
        <w:t> </w:t>
      </w:r>
      <w:r>
        <w:rPr>
          <w:rFonts w:ascii="Arial" w:hAnsi="Arial"/>
          <w:i/>
          <w:color w:val="4C4D4F"/>
          <w:w w:val="110"/>
          <w:sz w:val="18"/>
        </w:rPr>
        <w:t>dependence</w:t>
      </w:r>
      <w:r>
        <w:rPr>
          <w:rFonts w:ascii="Arial" w:hAnsi="Arial"/>
          <w:i/>
          <w:color w:val="4C4D4F"/>
          <w:spacing w:val="-26"/>
          <w:w w:val="110"/>
          <w:sz w:val="18"/>
        </w:rPr>
        <w:t> </w:t>
      </w:r>
      <w:r>
        <w:rPr>
          <w:color w:val="4C4D4F"/>
          <w:w w:val="110"/>
          <w:sz w:val="18"/>
        </w:rPr>
        <w:t>(pp.</w:t>
      </w:r>
      <w:r>
        <w:rPr>
          <w:color w:val="4C4D4F"/>
          <w:spacing w:val="-27"/>
          <w:w w:val="110"/>
          <w:sz w:val="18"/>
        </w:rPr>
        <w:t> </w:t>
      </w:r>
      <w:r>
        <w:rPr>
          <w:color w:val="4C4D4F"/>
          <w:w w:val="110"/>
          <w:sz w:val="18"/>
        </w:rPr>
        <w:t>59–76). </w:t>
      </w:r>
      <w:r>
        <w:rPr>
          <w:color w:val="4C4D4F"/>
          <w:w w:val="115"/>
          <w:sz w:val="18"/>
        </w:rPr>
        <w:t>Baltimore,</w:t>
      </w:r>
      <w:r>
        <w:rPr>
          <w:color w:val="4C4D4F"/>
          <w:spacing w:val="-21"/>
          <w:w w:val="115"/>
          <w:sz w:val="18"/>
        </w:rPr>
        <w:t> </w:t>
      </w:r>
      <w:r>
        <w:rPr>
          <w:color w:val="4C4D4F"/>
          <w:w w:val="115"/>
          <w:sz w:val="18"/>
        </w:rPr>
        <w:t>MD:</w:t>
      </w:r>
      <w:r>
        <w:rPr>
          <w:color w:val="4C4D4F"/>
          <w:spacing w:val="-21"/>
          <w:w w:val="115"/>
          <w:sz w:val="18"/>
        </w:rPr>
        <w:t> </w:t>
      </w:r>
      <w:r>
        <w:rPr>
          <w:color w:val="4C4D4F"/>
          <w:w w:val="115"/>
          <w:sz w:val="18"/>
        </w:rPr>
        <w:t>John</w:t>
      </w:r>
      <w:r>
        <w:rPr>
          <w:color w:val="4C4D4F"/>
          <w:spacing w:val="-20"/>
          <w:w w:val="115"/>
          <w:sz w:val="18"/>
        </w:rPr>
        <w:t> </w:t>
      </w:r>
      <w:r>
        <w:rPr>
          <w:color w:val="4C4D4F"/>
          <w:w w:val="115"/>
          <w:sz w:val="18"/>
        </w:rPr>
        <w:t>Hopkins</w:t>
      </w:r>
      <w:r>
        <w:rPr>
          <w:color w:val="4C4D4F"/>
          <w:spacing w:val="-21"/>
          <w:w w:val="115"/>
          <w:sz w:val="18"/>
        </w:rPr>
        <w:t> </w:t>
      </w:r>
      <w:r>
        <w:rPr>
          <w:color w:val="4C4D4F"/>
          <w:w w:val="115"/>
          <w:sz w:val="18"/>
        </w:rPr>
        <w:t>University</w:t>
      </w:r>
      <w:r>
        <w:rPr>
          <w:color w:val="4C4D4F"/>
          <w:spacing w:val="-21"/>
          <w:w w:val="115"/>
          <w:sz w:val="18"/>
        </w:rPr>
        <w:t> </w:t>
      </w:r>
      <w:r>
        <w:rPr>
          <w:color w:val="4C4D4F"/>
          <w:w w:val="115"/>
          <w:sz w:val="18"/>
        </w:rPr>
        <w:t>Press.</w:t>
      </w:r>
    </w:p>
    <w:p>
      <w:pPr>
        <w:pStyle w:val="ListParagraph"/>
        <w:numPr>
          <w:ilvl w:val="0"/>
          <w:numId w:val="51"/>
        </w:numPr>
        <w:tabs>
          <w:tab w:pos="500" w:val="left" w:leader="none"/>
        </w:tabs>
        <w:spacing w:line="247" w:lineRule="auto" w:before="74" w:after="0"/>
        <w:ind w:left="500" w:right="275" w:hanging="360"/>
        <w:jc w:val="left"/>
        <w:rPr>
          <w:color w:val="4C4D4F"/>
          <w:sz w:val="18"/>
        </w:rPr>
      </w:pPr>
      <w:r>
        <w:rPr>
          <w:color w:val="4C4D4F"/>
          <w:w w:val="110"/>
          <w:sz w:val="18"/>
        </w:rPr>
        <w:t>Payte, </w:t>
      </w:r>
      <w:r>
        <w:rPr>
          <w:color w:val="4C4D4F"/>
          <w:w w:val="135"/>
          <w:sz w:val="18"/>
        </w:rPr>
        <w:t>J. </w:t>
      </w:r>
      <w:r>
        <w:rPr>
          <w:color w:val="4C4D4F"/>
          <w:spacing w:val="-7"/>
          <w:w w:val="110"/>
          <w:sz w:val="18"/>
        </w:rPr>
        <w:t>T., </w:t>
      </w:r>
      <w:r>
        <w:rPr>
          <w:color w:val="4C4D4F"/>
          <w:w w:val="110"/>
          <w:sz w:val="18"/>
        </w:rPr>
        <w:t>&amp; Zweben, </w:t>
      </w:r>
      <w:r>
        <w:rPr>
          <w:color w:val="4C4D4F"/>
          <w:w w:val="135"/>
          <w:sz w:val="18"/>
        </w:rPr>
        <w:t>J. </w:t>
      </w:r>
      <w:r>
        <w:rPr>
          <w:color w:val="4C4D4F"/>
          <w:w w:val="110"/>
          <w:sz w:val="18"/>
        </w:rPr>
        <w:t>E. (1998). Opioid maintenance therapies. In A. </w:t>
      </w:r>
      <w:r>
        <w:rPr>
          <w:color w:val="4C4D4F"/>
          <w:spacing w:val="-7"/>
          <w:w w:val="110"/>
          <w:sz w:val="18"/>
        </w:rPr>
        <w:t>W. </w:t>
      </w:r>
      <w:r>
        <w:rPr>
          <w:color w:val="4C4D4F"/>
          <w:w w:val="110"/>
          <w:sz w:val="18"/>
        </w:rPr>
        <w:t>Graham, </w:t>
      </w:r>
      <w:r>
        <w:rPr>
          <w:color w:val="4C4D4F"/>
          <w:spacing w:val="-10"/>
          <w:w w:val="110"/>
          <w:sz w:val="18"/>
        </w:rPr>
        <w:t>T. </w:t>
      </w:r>
      <w:r>
        <w:rPr>
          <w:color w:val="4C4D4F"/>
          <w:w w:val="110"/>
          <w:sz w:val="18"/>
        </w:rPr>
        <w:t>K. </w:t>
      </w:r>
      <w:r>
        <w:rPr>
          <w:color w:val="4C4D4F"/>
          <w:spacing w:val="-3"/>
          <w:w w:val="110"/>
          <w:sz w:val="18"/>
        </w:rPr>
        <w:t>Schultz, </w:t>
      </w:r>
      <w:r>
        <w:rPr>
          <w:color w:val="4C4D4F"/>
          <w:w w:val="110"/>
          <w:sz w:val="18"/>
        </w:rPr>
        <w:t>&amp;</w:t>
      </w:r>
      <w:r>
        <w:rPr>
          <w:color w:val="4C4D4F"/>
          <w:spacing w:val="-29"/>
          <w:w w:val="110"/>
          <w:sz w:val="18"/>
        </w:rPr>
        <w:t> </w:t>
      </w:r>
      <w:r>
        <w:rPr>
          <w:color w:val="4C4D4F"/>
          <w:w w:val="110"/>
          <w:sz w:val="18"/>
        </w:rPr>
        <w:t>B.</w:t>
      </w:r>
      <w:r>
        <w:rPr>
          <w:color w:val="4C4D4F"/>
          <w:spacing w:val="-28"/>
          <w:w w:val="110"/>
          <w:sz w:val="18"/>
        </w:rPr>
        <w:t> </w:t>
      </w:r>
      <w:r>
        <w:rPr>
          <w:color w:val="4C4D4F"/>
          <w:w w:val="110"/>
          <w:sz w:val="18"/>
        </w:rPr>
        <w:t>B.</w:t>
      </w:r>
      <w:r>
        <w:rPr>
          <w:color w:val="4C4D4F"/>
          <w:spacing w:val="-28"/>
          <w:w w:val="110"/>
          <w:sz w:val="18"/>
        </w:rPr>
        <w:t> </w:t>
      </w:r>
      <w:r>
        <w:rPr>
          <w:color w:val="4C4D4F"/>
          <w:w w:val="110"/>
          <w:sz w:val="18"/>
        </w:rPr>
        <w:t>Wilford</w:t>
      </w:r>
      <w:r>
        <w:rPr>
          <w:color w:val="4C4D4F"/>
          <w:spacing w:val="-28"/>
          <w:w w:val="110"/>
          <w:sz w:val="18"/>
        </w:rPr>
        <w:t> </w:t>
      </w:r>
      <w:r>
        <w:rPr>
          <w:color w:val="4C4D4F"/>
          <w:w w:val="110"/>
          <w:sz w:val="18"/>
        </w:rPr>
        <w:t>(Eds.),</w:t>
      </w:r>
      <w:r>
        <w:rPr>
          <w:color w:val="4C4D4F"/>
          <w:spacing w:val="-28"/>
          <w:w w:val="110"/>
          <w:sz w:val="18"/>
        </w:rPr>
        <w:t> </w:t>
      </w:r>
      <w:r>
        <w:rPr>
          <w:rFonts w:ascii="Arial" w:hAnsi="Arial"/>
          <w:i/>
          <w:color w:val="4C4D4F"/>
          <w:w w:val="110"/>
          <w:sz w:val="18"/>
        </w:rPr>
        <w:t>Principles</w:t>
      </w:r>
      <w:r>
        <w:rPr>
          <w:rFonts w:ascii="Arial" w:hAnsi="Arial"/>
          <w:i/>
          <w:color w:val="4C4D4F"/>
          <w:spacing w:val="-28"/>
          <w:w w:val="110"/>
          <w:sz w:val="18"/>
        </w:rPr>
        <w:t> </w:t>
      </w:r>
      <w:r>
        <w:rPr>
          <w:rFonts w:ascii="Arial" w:hAnsi="Arial"/>
          <w:i/>
          <w:color w:val="4C4D4F"/>
          <w:w w:val="110"/>
          <w:sz w:val="18"/>
        </w:rPr>
        <w:t>of</w:t>
      </w:r>
      <w:r>
        <w:rPr>
          <w:rFonts w:ascii="Arial" w:hAnsi="Arial"/>
          <w:i/>
          <w:color w:val="4C4D4F"/>
          <w:spacing w:val="-29"/>
          <w:w w:val="110"/>
          <w:sz w:val="18"/>
        </w:rPr>
        <w:t> </w:t>
      </w:r>
      <w:r>
        <w:rPr>
          <w:rFonts w:ascii="Arial" w:hAnsi="Arial"/>
          <w:i/>
          <w:color w:val="4C4D4F"/>
          <w:w w:val="110"/>
          <w:sz w:val="18"/>
        </w:rPr>
        <w:t>addiction</w:t>
      </w:r>
      <w:r>
        <w:rPr>
          <w:rFonts w:ascii="Arial" w:hAnsi="Arial"/>
          <w:i/>
          <w:color w:val="4C4D4F"/>
          <w:spacing w:val="-28"/>
          <w:w w:val="110"/>
          <w:sz w:val="18"/>
        </w:rPr>
        <w:t> </w:t>
      </w:r>
      <w:r>
        <w:rPr>
          <w:rFonts w:ascii="Arial" w:hAnsi="Arial"/>
          <w:i/>
          <w:color w:val="4C4D4F"/>
          <w:w w:val="110"/>
          <w:sz w:val="18"/>
        </w:rPr>
        <w:t>medicine </w:t>
      </w:r>
      <w:r>
        <w:rPr>
          <w:color w:val="4C4D4F"/>
          <w:w w:val="110"/>
          <w:sz w:val="18"/>
        </w:rPr>
        <w:t>(pp. 557–570). Chevy Chase, MD: American Society</w:t>
      </w:r>
      <w:r>
        <w:rPr>
          <w:color w:val="4C4D4F"/>
          <w:spacing w:val="-19"/>
          <w:w w:val="110"/>
          <w:sz w:val="18"/>
        </w:rPr>
        <w:t> </w:t>
      </w:r>
      <w:r>
        <w:rPr>
          <w:color w:val="4C4D4F"/>
          <w:w w:val="110"/>
          <w:sz w:val="18"/>
        </w:rPr>
        <w:t>of Addiction</w:t>
      </w:r>
      <w:r>
        <w:rPr>
          <w:color w:val="4C4D4F"/>
          <w:spacing w:val="-5"/>
          <w:w w:val="110"/>
          <w:sz w:val="18"/>
        </w:rPr>
        <w:t> </w:t>
      </w:r>
      <w:r>
        <w:rPr>
          <w:color w:val="4C4D4F"/>
          <w:w w:val="110"/>
          <w:sz w:val="18"/>
        </w:rPr>
        <w:t>Medicine.</w:t>
      </w:r>
    </w:p>
    <w:p>
      <w:pPr>
        <w:pStyle w:val="ListParagraph"/>
        <w:numPr>
          <w:ilvl w:val="0"/>
          <w:numId w:val="51"/>
        </w:numPr>
        <w:tabs>
          <w:tab w:pos="500" w:val="left" w:leader="none"/>
        </w:tabs>
        <w:spacing w:line="247" w:lineRule="auto" w:before="76" w:after="0"/>
        <w:ind w:left="500" w:right="739" w:hanging="360"/>
        <w:jc w:val="left"/>
        <w:rPr>
          <w:color w:val="4C4D4F"/>
          <w:sz w:val="18"/>
        </w:rPr>
      </w:pPr>
      <w:r>
        <w:rPr>
          <w:color w:val="4C4D4F"/>
          <w:w w:val="110"/>
          <w:sz w:val="18"/>
        </w:rPr>
        <w:t>Eap, C. B., Buclin, </w:t>
      </w:r>
      <w:r>
        <w:rPr>
          <w:color w:val="4C4D4F"/>
          <w:spacing w:val="-7"/>
          <w:w w:val="110"/>
          <w:sz w:val="18"/>
        </w:rPr>
        <w:t>T., </w:t>
      </w:r>
      <w:r>
        <w:rPr>
          <w:color w:val="4C4D4F"/>
          <w:w w:val="110"/>
          <w:sz w:val="18"/>
        </w:rPr>
        <w:t>&amp; Baumann, </w:t>
      </w:r>
      <w:r>
        <w:rPr>
          <w:color w:val="4C4D4F"/>
          <w:spacing w:val="-17"/>
          <w:w w:val="110"/>
          <w:sz w:val="18"/>
        </w:rPr>
        <w:t>P. </w:t>
      </w:r>
      <w:r>
        <w:rPr>
          <w:color w:val="4C4D4F"/>
          <w:w w:val="110"/>
          <w:sz w:val="18"/>
        </w:rPr>
        <w:t>(2002). Interindividual variability of the clinical pharmacokinetics of methadone:  Implications for the treatment of opioid dependence. </w:t>
      </w:r>
      <w:r>
        <w:rPr>
          <w:rFonts w:ascii="Arial" w:hAnsi="Arial"/>
          <w:i/>
          <w:color w:val="4C4D4F"/>
          <w:spacing w:val="-3"/>
          <w:w w:val="110"/>
          <w:sz w:val="18"/>
        </w:rPr>
        <w:t>Clinical </w:t>
      </w:r>
      <w:r>
        <w:rPr>
          <w:rFonts w:ascii="Arial" w:hAnsi="Arial"/>
          <w:i/>
          <w:color w:val="4C4D4F"/>
          <w:w w:val="110"/>
          <w:sz w:val="18"/>
        </w:rPr>
        <w:t>Pharmacokinetics, 41</w:t>
      </w:r>
      <w:r>
        <w:rPr>
          <w:color w:val="4C4D4F"/>
          <w:w w:val="110"/>
          <w:sz w:val="18"/>
        </w:rPr>
        <w:t>(14),</w:t>
      </w:r>
      <w:r>
        <w:rPr>
          <w:color w:val="4C4D4F"/>
          <w:spacing w:val="-30"/>
          <w:w w:val="110"/>
          <w:sz w:val="18"/>
        </w:rPr>
        <w:t> </w:t>
      </w:r>
      <w:r>
        <w:rPr>
          <w:color w:val="4C4D4F"/>
          <w:w w:val="110"/>
          <w:sz w:val="18"/>
        </w:rPr>
        <w:t>1153–1193.</w:t>
      </w:r>
    </w:p>
    <w:p>
      <w:pPr>
        <w:spacing w:after="0" w:line="247" w:lineRule="auto"/>
        <w:jc w:val="left"/>
        <w:rPr>
          <w:sz w:val="18"/>
        </w:rPr>
        <w:sectPr>
          <w:type w:val="continuous"/>
          <w:pgSz w:w="12240" w:h="15840"/>
          <w:pgMar w:top="540" w:bottom="280" w:left="940" w:right="920"/>
          <w:cols w:num="2" w:equalWidth="0">
            <w:col w:w="5017" w:space="203"/>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10"/>
          <w:sz w:val="18"/>
        </w:rPr>
        <w:t>Mallinckrodt Pharmaceuticals. (2017). Label:</w:t>
      </w:r>
      <w:r>
        <w:rPr>
          <w:color w:val="4C4D4F"/>
          <w:spacing w:val="24"/>
          <w:w w:val="110"/>
          <w:sz w:val="18"/>
        </w:rPr>
        <w:t> </w:t>
      </w:r>
      <w:r>
        <w:rPr>
          <w:color w:val="4C4D4F"/>
          <w:w w:val="110"/>
          <w:sz w:val="18"/>
        </w:rPr>
        <w:t>Methadose</w:t>
      </w:r>
    </w:p>
    <w:p>
      <w:pPr>
        <w:pStyle w:val="ListParagraph"/>
        <w:numPr>
          <w:ilvl w:val="1"/>
          <w:numId w:val="51"/>
        </w:numPr>
        <w:tabs>
          <w:tab w:pos="610" w:val="left" w:leader="none"/>
        </w:tabs>
        <w:spacing w:line="247" w:lineRule="auto" w:before="7" w:after="0"/>
        <w:ind w:left="500" w:right="305" w:firstLine="0"/>
        <w:jc w:val="left"/>
        <w:rPr>
          <w:sz w:val="18"/>
        </w:rPr>
      </w:pPr>
      <w:r>
        <w:rPr>
          <w:color w:val="4C4D4F"/>
          <w:w w:val="110"/>
          <w:sz w:val="18"/>
        </w:rPr>
        <w:t>methadone hydrochloride concentrate; Methadose </w:t>
      </w:r>
      <w:r>
        <w:rPr>
          <w:color w:val="4C4D4F"/>
          <w:w w:val="115"/>
          <w:sz w:val="18"/>
        </w:rPr>
        <w:t>sugar-free-</w:t>
      </w:r>
      <w:r>
        <w:rPr>
          <w:color w:val="4C4D4F"/>
          <w:spacing w:val="-34"/>
          <w:w w:val="115"/>
          <w:sz w:val="18"/>
        </w:rPr>
        <w:t> </w:t>
      </w:r>
      <w:r>
        <w:rPr>
          <w:color w:val="4C4D4F"/>
          <w:w w:val="115"/>
          <w:sz w:val="18"/>
        </w:rPr>
        <w:t>methadone</w:t>
      </w:r>
      <w:r>
        <w:rPr>
          <w:color w:val="4C4D4F"/>
          <w:spacing w:val="-33"/>
          <w:w w:val="115"/>
          <w:sz w:val="18"/>
        </w:rPr>
        <w:t> </w:t>
      </w:r>
      <w:r>
        <w:rPr>
          <w:color w:val="4C4D4F"/>
          <w:w w:val="115"/>
          <w:sz w:val="18"/>
        </w:rPr>
        <w:t>hydrochloride</w:t>
      </w:r>
      <w:r>
        <w:rPr>
          <w:color w:val="4C4D4F"/>
          <w:spacing w:val="-33"/>
          <w:w w:val="115"/>
          <w:sz w:val="18"/>
        </w:rPr>
        <w:t> </w:t>
      </w:r>
      <w:r>
        <w:rPr>
          <w:color w:val="4C4D4F"/>
          <w:w w:val="115"/>
          <w:sz w:val="18"/>
        </w:rPr>
        <w:t>concentrate. Retrieved</w:t>
      </w:r>
      <w:r>
        <w:rPr>
          <w:color w:val="4C4D4F"/>
          <w:spacing w:val="-13"/>
          <w:w w:val="115"/>
          <w:sz w:val="18"/>
        </w:rPr>
        <w:t> </w:t>
      </w:r>
      <w:r>
        <w:rPr>
          <w:color w:val="4C4D4F"/>
          <w:w w:val="115"/>
          <w:sz w:val="18"/>
        </w:rPr>
        <w:t>January</w:t>
      </w:r>
      <w:r>
        <w:rPr>
          <w:color w:val="4C4D4F"/>
          <w:spacing w:val="-12"/>
          <w:w w:val="115"/>
          <w:sz w:val="18"/>
        </w:rPr>
        <w:t> </w:t>
      </w:r>
      <w:r>
        <w:rPr>
          <w:color w:val="4C4D4F"/>
          <w:w w:val="115"/>
          <w:sz w:val="18"/>
        </w:rPr>
        <w:t>9,</w:t>
      </w:r>
      <w:r>
        <w:rPr>
          <w:color w:val="4C4D4F"/>
          <w:spacing w:val="-12"/>
          <w:w w:val="115"/>
          <w:sz w:val="18"/>
        </w:rPr>
        <w:t> </w:t>
      </w:r>
      <w:r>
        <w:rPr>
          <w:color w:val="4C4D4F"/>
          <w:w w:val="115"/>
          <w:sz w:val="18"/>
        </w:rPr>
        <w:t>2018,</w:t>
      </w:r>
      <w:r>
        <w:rPr>
          <w:color w:val="4C4D4F"/>
          <w:spacing w:val="-13"/>
          <w:w w:val="115"/>
          <w:sz w:val="18"/>
        </w:rPr>
        <w:t> </w:t>
      </w:r>
      <w:r>
        <w:rPr>
          <w:color w:val="4C4D4F"/>
          <w:w w:val="115"/>
          <w:sz w:val="18"/>
        </w:rPr>
        <w:t>from</w:t>
      </w:r>
      <w:r>
        <w:rPr>
          <w:color w:val="205E9E"/>
          <w:spacing w:val="-13"/>
          <w:w w:val="115"/>
          <w:sz w:val="18"/>
        </w:rPr>
        <w:t> </w:t>
      </w:r>
      <w:r>
        <w:rPr>
          <w:color w:val="205E9E"/>
          <w:w w:val="115"/>
          <w:sz w:val="18"/>
          <w:u w:val="single" w:color="205E9E"/>
        </w:rPr>
        <w:t>https://dailymed</w:t>
      </w:r>
    </w:p>
    <w:p>
      <w:pPr>
        <w:spacing w:before="3"/>
        <w:ind w:left="500" w:right="0" w:firstLine="0"/>
        <w:jc w:val="left"/>
        <w:rPr>
          <w:sz w:val="18"/>
        </w:rPr>
      </w:pPr>
      <w:r>
        <w:rPr>
          <w:color w:val="205E9E"/>
          <w:w w:val="115"/>
          <w:sz w:val="18"/>
          <w:u w:val="single" w:color="205E9E"/>
        </w:rPr>
        <w:t>.nlm.nih.gov/dailymed/drugInfo.cfm?setid=808a9d0b</w:t>
      </w:r>
    </w:p>
    <w:p>
      <w:pPr>
        <w:spacing w:before="7"/>
        <w:ind w:left="500" w:right="0" w:firstLine="0"/>
        <w:jc w:val="left"/>
        <w:rPr>
          <w:sz w:val="18"/>
        </w:rPr>
      </w:pPr>
      <w:r>
        <w:rPr>
          <w:color w:val="205E9E"/>
          <w:w w:val="110"/>
          <w:sz w:val="18"/>
          <w:u w:val="single" w:color="205E9E"/>
        </w:rPr>
        <w:t>-720b-4034-a862-5122ff514608</w:t>
      </w:r>
    </w:p>
    <w:p>
      <w:pPr>
        <w:pStyle w:val="ListParagraph"/>
        <w:numPr>
          <w:ilvl w:val="0"/>
          <w:numId w:val="51"/>
        </w:numPr>
        <w:tabs>
          <w:tab w:pos="500" w:val="left" w:leader="none"/>
        </w:tabs>
        <w:spacing w:line="247" w:lineRule="auto" w:before="80" w:after="0"/>
        <w:ind w:left="500" w:right="176" w:hanging="360"/>
        <w:jc w:val="left"/>
        <w:rPr>
          <w:color w:val="4C4D4F"/>
          <w:sz w:val="18"/>
        </w:rPr>
      </w:pPr>
      <w:r>
        <w:rPr>
          <w:color w:val="4C4D4F"/>
          <w:w w:val="110"/>
          <w:sz w:val="18"/>
        </w:rPr>
        <w:t>Oda, </w:t>
      </w:r>
      <w:r>
        <w:rPr>
          <w:color w:val="4C4D4F"/>
          <w:spacing w:val="-9"/>
          <w:w w:val="110"/>
          <w:sz w:val="18"/>
        </w:rPr>
        <w:t>Y., </w:t>
      </w:r>
      <w:r>
        <w:rPr>
          <w:color w:val="4C4D4F"/>
          <w:w w:val="110"/>
          <w:sz w:val="18"/>
        </w:rPr>
        <w:t>&amp; Kharasch, E. D. (2001). Metabolism of methadone and levo-alpha-acetylmethadol  (LAAM) by human intestinal cytochrome P450 3A4 (CYP3A4): Potential contribution of intestinal metabolism to presystemic clearance and bioactivation. </w:t>
      </w:r>
      <w:r>
        <w:rPr>
          <w:rFonts w:ascii="Arial" w:hAnsi="Arial"/>
          <w:i/>
          <w:color w:val="4C4D4F"/>
          <w:w w:val="110"/>
          <w:sz w:val="18"/>
        </w:rPr>
        <w:t>Journal of </w:t>
      </w:r>
      <w:r>
        <w:rPr>
          <w:rFonts w:ascii="Arial" w:hAnsi="Arial"/>
          <w:i/>
          <w:color w:val="4C4D4F"/>
          <w:sz w:val="18"/>
        </w:rPr>
        <w:t>Pharmacology and Experimental Therapeutics, </w:t>
      </w:r>
      <w:r>
        <w:rPr>
          <w:rFonts w:ascii="Arial" w:hAnsi="Arial"/>
          <w:i/>
          <w:color w:val="4C4D4F"/>
          <w:spacing w:val="-3"/>
          <w:sz w:val="18"/>
        </w:rPr>
        <w:t>298</w:t>
      </w:r>
      <w:r>
        <w:rPr>
          <w:color w:val="4C4D4F"/>
          <w:spacing w:val="-3"/>
          <w:sz w:val="18"/>
        </w:rPr>
        <w:t>(3), </w:t>
      </w:r>
      <w:r>
        <w:rPr>
          <w:color w:val="4C4D4F"/>
          <w:w w:val="110"/>
          <w:sz w:val="18"/>
        </w:rPr>
        <w:t>1021–1032.</w:t>
      </w:r>
    </w:p>
    <w:p>
      <w:pPr>
        <w:pStyle w:val="ListParagraph"/>
        <w:numPr>
          <w:ilvl w:val="0"/>
          <w:numId w:val="51"/>
        </w:numPr>
        <w:tabs>
          <w:tab w:pos="500" w:val="left" w:leader="none"/>
        </w:tabs>
        <w:spacing w:line="247" w:lineRule="auto" w:before="76" w:after="0"/>
        <w:ind w:left="500" w:right="619" w:hanging="360"/>
        <w:jc w:val="left"/>
        <w:rPr>
          <w:color w:val="4C4D4F"/>
          <w:sz w:val="18"/>
        </w:rPr>
      </w:pPr>
      <w:r>
        <w:rPr>
          <w:color w:val="4C4D4F"/>
          <w:w w:val="110"/>
          <w:sz w:val="18"/>
        </w:rPr>
        <w:t>Eap, C. B., Buclin, </w:t>
      </w:r>
      <w:r>
        <w:rPr>
          <w:color w:val="4C4D4F"/>
          <w:spacing w:val="-7"/>
          <w:w w:val="110"/>
          <w:sz w:val="18"/>
        </w:rPr>
        <w:t>T., </w:t>
      </w:r>
      <w:r>
        <w:rPr>
          <w:color w:val="4C4D4F"/>
          <w:w w:val="110"/>
          <w:sz w:val="18"/>
        </w:rPr>
        <w:t>&amp; Baumann, </w:t>
      </w:r>
      <w:r>
        <w:rPr>
          <w:color w:val="4C4D4F"/>
          <w:spacing w:val="-17"/>
          <w:w w:val="110"/>
          <w:sz w:val="18"/>
        </w:rPr>
        <w:t>P. </w:t>
      </w:r>
      <w:r>
        <w:rPr>
          <w:color w:val="4C4D4F"/>
          <w:w w:val="110"/>
          <w:sz w:val="18"/>
        </w:rPr>
        <w:t>(2002). Interindividual variability of the clinical pharmacokinetics of methadone:  Implications for the treatment of opioid dependence. </w:t>
      </w:r>
      <w:r>
        <w:rPr>
          <w:rFonts w:ascii="Arial" w:hAnsi="Arial"/>
          <w:i/>
          <w:color w:val="4C4D4F"/>
          <w:spacing w:val="-3"/>
          <w:w w:val="110"/>
          <w:sz w:val="18"/>
        </w:rPr>
        <w:t>Clinical </w:t>
      </w:r>
      <w:r>
        <w:rPr>
          <w:rFonts w:ascii="Arial" w:hAnsi="Arial"/>
          <w:i/>
          <w:color w:val="4C4D4F"/>
          <w:w w:val="110"/>
          <w:sz w:val="18"/>
        </w:rPr>
        <w:t>Pharmacokinetics, 41</w:t>
      </w:r>
      <w:r>
        <w:rPr>
          <w:color w:val="4C4D4F"/>
          <w:w w:val="110"/>
          <w:sz w:val="18"/>
        </w:rPr>
        <w:t>(14),</w:t>
      </w:r>
      <w:r>
        <w:rPr>
          <w:color w:val="4C4D4F"/>
          <w:spacing w:val="-30"/>
          <w:w w:val="110"/>
          <w:sz w:val="18"/>
        </w:rPr>
        <w:t> </w:t>
      </w:r>
      <w:r>
        <w:rPr>
          <w:color w:val="4C4D4F"/>
          <w:w w:val="110"/>
          <w:sz w:val="18"/>
        </w:rPr>
        <w:t>1153–1193.</w:t>
      </w:r>
    </w:p>
    <w:p>
      <w:pPr>
        <w:pStyle w:val="ListParagraph"/>
        <w:numPr>
          <w:ilvl w:val="0"/>
          <w:numId w:val="51"/>
        </w:numPr>
        <w:tabs>
          <w:tab w:pos="500" w:val="left" w:leader="none"/>
        </w:tabs>
        <w:spacing w:line="247" w:lineRule="auto" w:before="73" w:after="0"/>
        <w:ind w:left="500" w:right="619" w:hanging="360"/>
        <w:jc w:val="left"/>
        <w:rPr>
          <w:color w:val="4C4D4F"/>
          <w:sz w:val="18"/>
        </w:rPr>
      </w:pPr>
      <w:r>
        <w:rPr>
          <w:color w:val="4C4D4F"/>
          <w:w w:val="110"/>
          <w:sz w:val="18"/>
        </w:rPr>
        <w:t>Eap, C. B., Buclin, </w:t>
      </w:r>
      <w:r>
        <w:rPr>
          <w:color w:val="4C4D4F"/>
          <w:spacing w:val="-7"/>
          <w:w w:val="110"/>
          <w:sz w:val="18"/>
        </w:rPr>
        <w:t>T., </w:t>
      </w:r>
      <w:r>
        <w:rPr>
          <w:color w:val="4C4D4F"/>
          <w:w w:val="110"/>
          <w:sz w:val="18"/>
        </w:rPr>
        <w:t>&amp; Baumann, </w:t>
      </w:r>
      <w:r>
        <w:rPr>
          <w:color w:val="4C4D4F"/>
          <w:spacing w:val="-17"/>
          <w:w w:val="110"/>
          <w:sz w:val="18"/>
        </w:rPr>
        <w:t>P. </w:t>
      </w:r>
      <w:r>
        <w:rPr>
          <w:color w:val="4C4D4F"/>
          <w:w w:val="110"/>
          <w:sz w:val="18"/>
        </w:rPr>
        <w:t>(2002). Interindividual variability of the clinical pharmacokinetics of methadone:  Implications for the treatment of opioid dependence. </w:t>
      </w:r>
      <w:r>
        <w:rPr>
          <w:rFonts w:ascii="Arial" w:hAnsi="Arial"/>
          <w:i/>
          <w:color w:val="4C4D4F"/>
          <w:spacing w:val="-3"/>
          <w:w w:val="110"/>
          <w:sz w:val="18"/>
        </w:rPr>
        <w:t>Clinical </w:t>
      </w:r>
      <w:r>
        <w:rPr>
          <w:rFonts w:ascii="Arial" w:hAnsi="Arial"/>
          <w:i/>
          <w:color w:val="4C4D4F"/>
          <w:w w:val="110"/>
          <w:sz w:val="18"/>
        </w:rPr>
        <w:t>Pharmacokinetics, 41</w:t>
      </w:r>
      <w:r>
        <w:rPr>
          <w:color w:val="4C4D4F"/>
          <w:w w:val="110"/>
          <w:sz w:val="18"/>
        </w:rPr>
        <w:t>(14),</w:t>
      </w:r>
      <w:r>
        <w:rPr>
          <w:color w:val="4C4D4F"/>
          <w:spacing w:val="-30"/>
          <w:w w:val="110"/>
          <w:sz w:val="18"/>
        </w:rPr>
        <w:t> </w:t>
      </w:r>
      <w:r>
        <w:rPr>
          <w:color w:val="4C4D4F"/>
          <w:w w:val="110"/>
          <w:sz w:val="18"/>
        </w:rPr>
        <w:t>1153–1193.</w:t>
      </w:r>
    </w:p>
    <w:p>
      <w:pPr>
        <w:pStyle w:val="ListParagraph"/>
        <w:numPr>
          <w:ilvl w:val="0"/>
          <w:numId w:val="51"/>
        </w:numPr>
        <w:tabs>
          <w:tab w:pos="500" w:val="left" w:leader="none"/>
        </w:tabs>
        <w:spacing w:line="247" w:lineRule="auto" w:before="73" w:after="0"/>
        <w:ind w:left="500" w:right="339" w:hanging="360"/>
        <w:jc w:val="left"/>
        <w:rPr>
          <w:color w:val="4C4D4F"/>
          <w:sz w:val="18"/>
        </w:rPr>
      </w:pPr>
      <w:r>
        <w:rPr>
          <w:color w:val="4C4D4F"/>
          <w:w w:val="110"/>
          <w:sz w:val="18"/>
        </w:rPr>
        <w:t>American</w:t>
      </w:r>
      <w:r>
        <w:rPr>
          <w:color w:val="4C4D4F"/>
          <w:spacing w:val="-29"/>
          <w:w w:val="110"/>
          <w:sz w:val="18"/>
        </w:rPr>
        <w:t> </w:t>
      </w:r>
      <w:r>
        <w:rPr>
          <w:color w:val="4C4D4F"/>
          <w:w w:val="110"/>
          <w:sz w:val="18"/>
        </w:rPr>
        <w:t>Psychiatric</w:t>
      </w:r>
      <w:r>
        <w:rPr>
          <w:color w:val="4C4D4F"/>
          <w:spacing w:val="-28"/>
          <w:w w:val="110"/>
          <w:sz w:val="18"/>
        </w:rPr>
        <w:t> </w:t>
      </w:r>
      <w:r>
        <w:rPr>
          <w:color w:val="4C4D4F"/>
          <w:w w:val="110"/>
          <w:sz w:val="18"/>
        </w:rPr>
        <w:t>Association.</w:t>
      </w:r>
      <w:r>
        <w:rPr>
          <w:color w:val="4C4D4F"/>
          <w:spacing w:val="-28"/>
          <w:w w:val="110"/>
          <w:sz w:val="18"/>
        </w:rPr>
        <w:t> </w:t>
      </w:r>
      <w:r>
        <w:rPr>
          <w:color w:val="4C4D4F"/>
          <w:w w:val="110"/>
          <w:sz w:val="18"/>
        </w:rPr>
        <w:t>(2013).</w:t>
      </w:r>
      <w:r>
        <w:rPr>
          <w:color w:val="4C4D4F"/>
          <w:spacing w:val="-29"/>
          <w:w w:val="110"/>
          <w:sz w:val="18"/>
        </w:rPr>
        <w:t> </w:t>
      </w:r>
      <w:r>
        <w:rPr>
          <w:rFonts w:ascii="Arial"/>
          <w:i/>
          <w:color w:val="4C4D4F"/>
          <w:w w:val="110"/>
          <w:sz w:val="18"/>
        </w:rPr>
        <w:t>Diagnostic </w:t>
      </w:r>
      <w:r>
        <w:rPr>
          <w:rFonts w:ascii="Arial"/>
          <w:i/>
          <w:color w:val="4C4D4F"/>
          <w:w w:val="110"/>
          <w:sz w:val="18"/>
        </w:rPr>
        <w:t>and</w:t>
      </w:r>
      <w:r>
        <w:rPr>
          <w:rFonts w:ascii="Arial"/>
          <w:i/>
          <w:color w:val="4C4D4F"/>
          <w:spacing w:val="-37"/>
          <w:w w:val="110"/>
          <w:sz w:val="18"/>
        </w:rPr>
        <w:t> </w:t>
      </w:r>
      <w:r>
        <w:rPr>
          <w:rFonts w:ascii="Arial"/>
          <w:i/>
          <w:color w:val="4C4D4F"/>
          <w:w w:val="110"/>
          <w:sz w:val="18"/>
        </w:rPr>
        <w:t>statistical</w:t>
      </w:r>
      <w:r>
        <w:rPr>
          <w:rFonts w:ascii="Arial"/>
          <w:i/>
          <w:color w:val="4C4D4F"/>
          <w:spacing w:val="-36"/>
          <w:w w:val="110"/>
          <w:sz w:val="18"/>
        </w:rPr>
        <w:t> </w:t>
      </w:r>
      <w:r>
        <w:rPr>
          <w:rFonts w:ascii="Arial"/>
          <w:i/>
          <w:color w:val="4C4D4F"/>
          <w:w w:val="110"/>
          <w:sz w:val="18"/>
        </w:rPr>
        <w:t>manual</w:t>
      </w:r>
      <w:r>
        <w:rPr>
          <w:rFonts w:ascii="Arial"/>
          <w:i/>
          <w:color w:val="4C4D4F"/>
          <w:spacing w:val="-37"/>
          <w:w w:val="110"/>
          <w:sz w:val="18"/>
        </w:rPr>
        <w:t> </w:t>
      </w:r>
      <w:r>
        <w:rPr>
          <w:rFonts w:ascii="Arial"/>
          <w:i/>
          <w:color w:val="4C4D4F"/>
          <w:w w:val="110"/>
          <w:sz w:val="18"/>
        </w:rPr>
        <w:t>of</w:t>
      </w:r>
      <w:r>
        <w:rPr>
          <w:rFonts w:ascii="Arial"/>
          <w:i/>
          <w:color w:val="4C4D4F"/>
          <w:spacing w:val="-36"/>
          <w:w w:val="110"/>
          <w:sz w:val="18"/>
        </w:rPr>
        <w:t> </w:t>
      </w:r>
      <w:r>
        <w:rPr>
          <w:rFonts w:ascii="Arial"/>
          <w:i/>
          <w:color w:val="4C4D4F"/>
          <w:w w:val="110"/>
          <w:sz w:val="18"/>
        </w:rPr>
        <w:t>mental</w:t>
      </w:r>
      <w:r>
        <w:rPr>
          <w:rFonts w:ascii="Arial"/>
          <w:i/>
          <w:color w:val="4C4D4F"/>
          <w:spacing w:val="-37"/>
          <w:w w:val="110"/>
          <w:sz w:val="18"/>
        </w:rPr>
        <w:t> </w:t>
      </w:r>
      <w:r>
        <w:rPr>
          <w:rFonts w:ascii="Arial"/>
          <w:i/>
          <w:color w:val="4C4D4F"/>
          <w:w w:val="110"/>
          <w:sz w:val="18"/>
        </w:rPr>
        <w:t>disorders</w:t>
      </w:r>
      <w:r>
        <w:rPr>
          <w:rFonts w:ascii="Arial"/>
          <w:i/>
          <w:color w:val="4C4D4F"/>
          <w:spacing w:val="-37"/>
          <w:w w:val="110"/>
          <w:sz w:val="18"/>
        </w:rPr>
        <w:t> </w:t>
      </w:r>
      <w:r>
        <w:rPr>
          <w:color w:val="4C4D4F"/>
          <w:w w:val="110"/>
          <w:sz w:val="18"/>
        </w:rPr>
        <w:t>(5th</w:t>
      </w:r>
      <w:r>
        <w:rPr>
          <w:color w:val="4C4D4F"/>
          <w:spacing w:val="-36"/>
          <w:w w:val="110"/>
          <w:sz w:val="18"/>
        </w:rPr>
        <w:t> </w:t>
      </w:r>
      <w:r>
        <w:rPr>
          <w:color w:val="4C4D4F"/>
          <w:w w:val="110"/>
          <w:sz w:val="18"/>
        </w:rPr>
        <w:t>ed.). Arlington, </w:t>
      </w:r>
      <w:r>
        <w:rPr>
          <w:color w:val="4C4D4F"/>
          <w:spacing w:val="-3"/>
          <w:w w:val="110"/>
          <w:sz w:val="18"/>
        </w:rPr>
        <w:t>VA: </w:t>
      </w:r>
      <w:r>
        <w:rPr>
          <w:color w:val="4C4D4F"/>
          <w:w w:val="110"/>
          <w:sz w:val="18"/>
        </w:rPr>
        <w:t>American Psychiatric</w:t>
      </w:r>
      <w:r>
        <w:rPr>
          <w:color w:val="4C4D4F"/>
          <w:spacing w:val="-3"/>
          <w:w w:val="110"/>
          <w:sz w:val="18"/>
        </w:rPr>
        <w:t> </w:t>
      </w:r>
      <w:r>
        <w:rPr>
          <w:color w:val="4C4D4F"/>
          <w:w w:val="110"/>
          <w:sz w:val="18"/>
        </w:rPr>
        <w:t>Publishing.</w:t>
      </w:r>
    </w:p>
    <w:p>
      <w:pPr>
        <w:pStyle w:val="ListParagraph"/>
        <w:numPr>
          <w:ilvl w:val="0"/>
          <w:numId w:val="51"/>
        </w:numPr>
        <w:tabs>
          <w:tab w:pos="500" w:val="left" w:leader="none"/>
        </w:tabs>
        <w:spacing w:line="247" w:lineRule="auto" w:before="73" w:after="0"/>
        <w:ind w:left="500" w:right="439" w:hanging="360"/>
        <w:jc w:val="left"/>
        <w:rPr>
          <w:color w:val="4C4D4F"/>
          <w:sz w:val="18"/>
        </w:rPr>
      </w:pPr>
      <w:r>
        <w:rPr>
          <w:color w:val="4C4D4F"/>
          <w:w w:val="115"/>
          <w:sz w:val="18"/>
        </w:rPr>
        <w:t>Federal</w:t>
      </w:r>
      <w:r>
        <w:rPr>
          <w:color w:val="4C4D4F"/>
          <w:spacing w:val="-21"/>
          <w:w w:val="115"/>
          <w:sz w:val="18"/>
        </w:rPr>
        <w:t> </w:t>
      </w:r>
      <w:r>
        <w:rPr>
          <w:color w:val="4C4D4F"/>
          <w:w w:val="115"/>
          <w:sz w:val="18"/>
        </w:rPr>
        <w:t>opioid</w:t>
      </w:r>
      <w:r>
        <w:rPr>
          <w:color w:val="4C4D4F"/>
          <w:spacing w:val="-21"/>
          <w:w w:val="115"/>
          <w:sz w:val="18"/>
        </w:rPr>
        <w:t> </w:t>
      </w:r>
      <w:r>
        <w:rPr>
          <w:color w:val="4C4D4F"/>
          <w:w w:val="115"/>
          <w:sz w:val="18"/>
        </w:rPr>
        <w:t>treatment</w:t>
      </w:r>
      <w:r>
        <w:rPr>
          <w:color w:val="4C4D4F"/>
          <w:spacing w:val="-21"/>
          <w:w w:val="115"/>
          <w:sz w:val="18"/>
        </w:rPr>
        <w:t> </w:t>
      </w:r>
      <w:r>
        <w:rPr>
          <w:color w:val="4C4D4F"/>
          <w:w w:val="115"/>
          <w:sz w:val="18"/>
        </w:rPr>
        <w:t>standards,</w:t>
      </w:r>
      <w:r>
        <w:rPr>
          <w:color w:val="4C4D4F"/>
          <w:spacing w:val="-20"/>
          <w:w w:val="115"/>
          <w:sz w:val="18"/>
        </w:rPr>
        <w:t> </w:t>
      </w:r>
      <w:r>
        <w:rPr>
          <w:color w:val="4C4D4F"/>
          <w:w w:val="115"/>
          <w:sz w:val="18"/>
        </w:rPr>
        <w:t>42</w:t>
      </w:r>
      <w:r>
        <w:rPr>
          <w:color w:val="4C4D4F"/>
          <w:spacing w:val="-21"/>
          <w:w w:val="115"/>
          <w:sz w:val="18"/>
        </w:rPr>
        <w:t> </w:t>
      </w:r>
      <w:r>
        <w:rPr>
          <w:color w:val="4C4D4F"/>
          <w:w w:val="115"/>
          <w:sz w:val="18"/>
        </w:rPr>
        <w:t>CFR</w:t>
      </w:r>
      <w:r>
        <w:rPr>
          <w:color w:val="4C4D4F"/>
          <w:spacing w:val="-21"/>
          <w:w w:val="115"/>
          <w:sz w:val="18"/>
        </w:rPr>
        <w:t> </w:t>
      </w:r>
      <w:r>
        <w:rPr>
          <w:color w:val="4C4D4F"/>
          <w:w w:val="115"/>
          <w:sz w:val="18"/>
        </w:rPr>
        <w:t>§</w:t>
      </w:r>
      <w:r>
        <w:rPr>
          <w:color w:val="4C4D4F"/>
          <w:spacing w:val="-20"/>
          <w:w w:val="115"/>
          <w:sz w:val="18"/>
        </w:rPr>
        <w:t> </w:t>
      </w:r>
      <w:r>
        <w:rPr>
          <w:color w:val="4C4D4F"/>
          <w:spacing w:val="-4"/>
          <w:w w:val="115"/>
          <w:sz w:val="18"/>
        </w:rPr>
        <w:t>8.12 </w:t>
      </w:r>
      <w:r>
        <w:rPr>
          <w:color w:val="4C4D4F"/>
          <w:w w:val="115"/>
          <w:sz w:val="18"/>
        </w:rPr>
        <w:t>(2015).</w:t>
      </w:r>
    </w:p>
    <w:p>
      <w:pPr>
        <w:pStyle w:val="ListParagraph"/>
        <w:numPr>
          <w:ilvl w:val="0"/>
          <w:numId w:val="51"/>
        </w:numPr>
        <w:tabs>
          <w:tab w:pos="500" w:val="left" w:leader="none"/>
        </w:tabs>
        <w:spacing w:line="247" w:lineRule="auto" w:before="74" w:after="0"/>
        <w:ind w:left="500" w:right="435" w:hanging="360"/>
        <w:jc w:val="left"/>
        <w:rPr>
          <w:color w:val="4C4D4F"/>
          <w:sz w:val="18"/>
        </w:rPr>
      </w:pPr>
      <w:r>
        <w:rPr>
          <w:color w:val="4C4D4F"/>
          <w:w w:val="115"/>
          <w:sz w:val="18"/>
        </w:rPr>
        <w:t>Chou,</w:t>
      </w:r>
      <w:r>
        <w:rPr>
          <w:color w:val="4C4D4F"/>
          <w:spacing w:val="-21"/>
          <w:w w:val="115"/>
          <w:sz w:val="18"/>
        </w:rPr>
        <w:t> </w:t>
      </w:r>
      <w:r>
        <w:rPr>
          <w:color w:val="4C4D4F"/>
          <w:w w:val="115"/>
          <w:sz w:val="18"/>
        </w:rPr>
        <w:t>R.,</w:t>
      </w:r>
      <w:r>
        <w:rPr>
          <w:color w:val="4C4D4F"/>
          <w:spacing w:val="-21"/>
          <w:w w:val="115"/>
          <w:sz w:val="18"/>
        </w:rPr>
        <w:t> </w:t>
      </w:r>
      <w:r>
        <w:rPr>
          <w:color w:val="4C4D4F"/>
          <w:w w:val="115"/>
          <w:sz w:val="18"/>
        </w:rPr>
        <w:t>Cruciani,</w:t>
      </w:r>
      <w:r>
        <w:rPr>
          <w:color w:val="4C4D4F"/>
          <w:spacing w:val="-21"/>
          <w:w w:val="115"/>
          <w:sz w:val="18"/>
        </w:rPr>
        <w:t> </w:t>
      </w:r>
      <w:r>
        <w:rPr>
          <w:color w:val="4C4D4F"/>
          <w:w w:val="115"/>
          <w:sz w:val="18"/>
        </w:rPr>
        <w:t>R.</w:t>
      </w:r>
      <w:r>
        <w:rPr>
          <w:color w:val="4C4D4F"/>
          <w:spacing w:val="-21"/>
          <w:w w:val="115"/>
          <w:sz w:val="18"/>
        </w:rPr>
        <w:t> </w:t>
      </w:r>
      <w:r>
        <w:rPr>
          <w:color w:val="4C4D4F"/>
          <w:w w:val="115"/>
          <w:sz w:val="18"/>
        </w:rPr>
        <w:t>A.,</w:t>
      </w:r>
      <w:r>
        <w:rPr>
          <w:color w:val="4C4D4F"/>
          <w:spacing w:val="-21"/>
          <w:w w:val="115"/>
          <w:sz w:val="18"/>
        </w:rPr>
        <w:t> </w:t>
      </w:r>
      <w:r>
        <w:rPr>
          <w:color w:val="4C4D4F"/>
          <w:w w:val="115"/>
          <w:sz w:val="18"/>
        </w:rPr>
        <w:t>Fiellin,</w:t>
      </w:r>
      <w:r>
        <w:rPr>
          <w:color w:val="4C4D4F"/>
          <w:spacing w:val="-21"/>
          <w:w w:val="115"/>
          <w:sz w:val="18"/>
        </w:rPr>
        <w:t> </w:t>
      </w:r>
      <w:r>
        <w:rPr>
          <w:color w:val="4C4D4F"/>
          <w:w w:val="115"/>
          <w:sz w:val="18"/>
        </w:rPr>
        <w:t>D.</w:t>
      </w:r>
      <w:r>
        <w:rPr>
          <w:color w:val="4C4D4F"/>
          <w:spacing w:val="-21"/>
          <w:w w:val="115"/>
          <w:sz w:val="18"/>
        </w:rPr>
        <w:t> </w:t>
      </w:r>
      <w:r>
        <w:rPr>
          <w:color w:val="4C4D4F"/>
          <w:w w:val="115"/>
          <w:sz w:val="18"/>
        </w:rPr>
        <w:t>A.,</w:t>
      </w:r>
      <w:r>
        <w:rPr>
          <w:color w:val="4C4D4F"/>
          <w:spacing w:val="-21"/>
          <w:w w:val="115"/>
          <w:sz w:val="18"/>
        </w:rPr>
        <w:t> </w:t>
      </w:r>
      <w:r>
        <w:rPr>
          <w:color w:val="4C4D4F"/>
          <w:w w:val="115"/>
          <w:sz w:val="18"/>
        </w:rPr>
        <w:t>Compton, </w:t>
      </w:r>
      <w:r>
        <w:rPr>
          <w:color w:val="4C4D4F"/>
          <w:spacing w:val="-11"/>
          <w:w w:val="115"/>
          <w:sz w:val="18"/>
        </w:rPr>
        <w:t>P.,</w:t>
      </w:r>
      <w:r>
        <w:rPr>
          <w:color w:val="4C4D4F"/>
          <w:spacing w:val="-22"/>
          <w:w w:val="115"/>
          <w:sz w:val="18"/>
        </w:rPr>
        <w:t> </w:t>
      </w:r>
      <w:r>
        <w:rPr>
          <w:color w:val="4C4D4F"/>
          <w:spacing w:val="-3"/>
          <w:w w:val="115"/>
          <w:sz w:val="18"/>
        </w:rPr>
        <w:t>Farrar,</w:t>
      </w:r>
      <w:r>
        <w:rPr>
          <w:color w:val="4C4D4F"/>
          <w:spacing w:val="-22"/>
          <w:w w:val="115"/>
          <w:sz w:val="18"/>
        </w:rPr>
        <w:t> </w:t>
      </w:r>
      <w:r>
        <w:rPr>
          <w:color w:val="4C4D4F"/>
          <w:w w:val="135"/>
          <w:sz w:val="18"/>
        </w:rPr>
        <w:t>J.</w:t>
      </w:r>
      <w:r>
        <w:rPr>
          <w:color w:val="4C4D4F"/>
          <w:spacing w:val="-32"/>
          <w:w w:val="135"/>
          <w:sz w:val="18"/>
        </w:rPr>
        <w:t> </w:t>
      </w:r>
      <w:r>
        <w:rPr>
          <w:color w:val="4C4D4F"/>
          <w:spacing w:val="-7"/>
          <w:w w:val="115"/>
          <w:sz w:val="18"/>
        </w:rPr>
        <w:t>T.,</w:t>
      </w:r>
      <w:r>
        <w:rPr>
          <w:color w:val="4C4D4F"/>
          <w:spacing w:val="-22"/>
          <w:w w:val="115"/>
          <w:sz w:val="18"/>
        </w:rPr>
        <w:t> </w:t>
      </w:r>
      <w:r>
        <w:rPr>
          <w:color w:val="4C4D4F"/>
          <w:w w:val="115"/>
          <w:sz w:val="18"/>
        </w:rPr>
        <w:t>Haigney,</w:t>
      </w:r>
      <w:r>
        <w:rPr>
          <w:color w:val="4C4D4F"/>
          <w:spacing w:val="-21"/>
          <w:w w:val="115"/>
          <w:sz w:val="18"/>
        </w:rPr>
        <w:t> </w:t>
      </w:r>
      <w:r>
        <w:rPr>
          <w:color w:val="4C4D4F"/>
          <w:w w:val="115"/>
          <w:sz w:val="18"/>
        </w:rPr>
        <w:t>M.</w:t>
      </w:r>
      <w:r>
        <w:rPr>
          <w:color w:val="4C4D4F"/>
          <w:spacing w:val="-22"/>
          <w:w w:val="115"/>
          <w:sz w:val="18"/>
        </w:rPr>
        <w:t> </w:t>
      </w:r>
      <w:r>
        <w:rPr>
          <w:color w:val="4C4D4F"/>
          <w:w w:val="115"/>
          <w:sz w:val="18"/>
        </w:rPr>
        <w:t>C.,</w:t>
      </w:r>
      <w:r>
        <w:rPr>
          <w:color w:val="4C4D4F"/>
          <w:spacing w:val="-22"/>
          <w:w w:val="115"/>
          <w:sz w:val="18"/>
        </w:rPr>
        <w:t> </w:t>
      </w:r>
      <w:r>
        <w:rPr>
          <w:color w:val="4C4D4F"/>
          <w:w w:val="115"/>
          <w:sz w:val="18"/>
        </w:rPr>
        <w:t>…</w:t>
      </w:r>
      <w:r>
        <w:rPr>
          <w:color w:val="4C4D4F"/>
          <w:spacing w:val="-22"/>
          <w:w w:val="115"/>
          <w:sz w:val="18"/>
        </w:rPr>
        <w:t> </w:t>
      </w:r>
      <w:r>
        <w:rPr>
          <w:color w:val="4C4D4F"/>
          <w:spacing w:val="-3"/>
          <w:w w:val="115"/>
          <w:sz w:val="18"/>
        </w:rPr>
        <w:t>Zeltzer,</w:t>
      </w:r>
      <w:r>
        <w:rPr>
          <w:color w:val="4C4D4F"/>
          <w:spacing w:val="-22"/>
          <w:w w:val="115"/>
          <w:sz w:val="18"/>
        </w:rPr>
        <w:t> </w:t>
      </w:r>
      <w:r>
        <w:rPr>
          <w:color w:val="4C4D4F"/>
          <w:w w:val="115"/>
          <w:sz w:val="18"/>
        </w:rPr>
        <w:t>L.</w:t>
      </w:r>
      <w:r>
        <w:rPr>
          <w:color w:val="4C4D4F"/>
          <w:spacing w:val="-21"/>
          <w:w w:val="115"/>
          <w:sz w:val="18"/>
        </w:rPr>
        <w:t> </w:t>
      </w:r>
      <w:r>
        <w:rPr>
          <w:color w:val="4C4D4F"/>
          <w:spacing w:val="-3"/>
          <w:w w:val="115"/>
          <w:sz w:val="18"/>
        </w:rPr>
        <w:t>(2014).</w:t>
      </w:r>
    </w:p>
    <w:p>
      <w:pPr>
        <w:spacing w:line="247" w:lineRule="auto" w:before="2"/>
        <w:ind w:left="500" w:right="222" w:firstLine="0"/>
        <w:jc w:val="left"/>
        <w:rPr>
          <w:sz w:val="18"/>
        </w:rPr>
      </w:pPr>
      <w:r>
        <w:rPr>
          <w:color w:val="4C4D4F"/>
          <w:w w:val="110"/>
          <w:sz w:val="18"/>
        </w:rPr>
        <w:t>Methadone safety: A clinical practice guideline from the American Pain Society and College on Problems of Drug Dependence, in collaboration with the Heart Rhythm Society. </w:t>
      </w:r>
      <w:r>
        <w:rPr>
          <w:rFonts w:ascii="Arial" w:hAnsi="Arial"/>
          <w:i/>
          <w:color w:val="4C4D4F"/>
          <w:w w:val="110"/>
          <w:sz w:val="18"/>
        </w:rPr>
        <w:t>Journal of Pain, 15</w:t>
      </w:r>
      <w:r>
        <w:rPr>
          <w:color w:val="4C4D4F"/>
          <w:w w:val="110"/>
          <w:sz w:val="18"/>
        </w:rPr>
        <w:t>(4), 321–337.</w:t>
      </w:r>
    </w:p>
    <w:p>
      <w:pPr>
        <w:pStyle w:val="ListParagraph"/>
        <w:numPr>
          <w:ilvl w:val="0"/>
          <w:numId w:val="51"/>
        </w:numPr>
        <w:tabs>
          <w:tab w:pos="500" w:val="left" w:leader="none"/>
        </w:tabs>
        <w:spacing w:line="247" w:lineRule="auto" w:before="74" w:after="0"/>
        <w:ind w:left="500" w:right="42" w:hanging="360"/>
        <w:jc w:val="left"/>
        <w:rPr>
          <w:color w:val="4C4D4F"/>
          <w:sz w:val="18"/>
        </w:rPr>
      </w:pPr>
      <w:r>
        <w:rPr>
          <w:color w:val="4C4D4F"/>
          <w:spacing w:val="-3"/>
          <w:w w:val="115"/>
          <w:sz w:val="18"/>
        </w:rPr>
        <w:t>Baxter,</w:t>
      </w:r>
      <w:r>
        <w:rPr>
          <w:color w:val="4C4D4F"/>
          <w:spacing w:val="-16"/>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spacing w:val="-5"/>
          <w:w w:val="115"/>
          <w:sz w:val="18"/>
        </w:rPr>
        <w:t>Sr.,</w:t>
      </w:r>
      <w:r>
        <w:rPr>
          <w:color w:val="4C4D4F"/>
          <w:spacing w:val="-16"/>
          <w:w w:val="115"/>
          <w:sz w:val="18"/>
        </w:rPr>
        <w:t> </w:t>
      </w:r>
      <w:r>
        <w:rPr>
          <w:color w:val="4C4D4F"/>
          <w:w w:val="115"/>
          <w:sz w:val="18"/>
        </w:rPr>
        <w:t>Campbell,</w:t>
      </w:r>
      <w:r>
        <w:rPr>
          <w:color w:val="4C4D4F"/>
          <w:spacing w:val="-15"/>
          <w:w w:val="115"/>
          <w:sz w:val="18"/>
        </w:rPr>
        <w:t> </w:t>
      </w:r>
      <w:r>
        <w:rPr>
          <w:color w:val="4C4D4F"/>
          <w:w w:val="115"/>
          <w:sz w:val="18"/>
        </w:rPr>
        <w:t>A.,</w:t>
      </w:r>
      <w:r>
        <w:rPr>
          <w:color w:val="4C4D4F"/>
          <w:spacing w:val="-16"/>
          <w:w w:val="115"/>
          <w:sz w:val="18"/>
        </w:rPr>
        <w:t> </w:t>
      </w:r>
      <w:r>
        <w:rPr>
          <w:color w:val="4C4D4F"/>
          <w:w w:val="115"/>
          <w:sz w:val="18"/>
        </w:rPr>
        <w:t>Deshields,</w:t>
      </w:r>
      <w:r>
        <w:rPr>
          <w:color w:val="4C4D4F"/>
          <w:spacing w:val="-16"/>
          <w:w w:val="115"/>
          <w:sz w:val="18"/>
        </w:rPr>
        <w:t> </w:t>
      </w:r>
      <w:r>
        <w:rPr>
          <w:color w:val="4C4D4F"/>
          <w:w w:val="115"/>
          <w:sz w:val="18"/>
        </w:rPr>
        <w:t>M.,</w:t>
      </w:r>
      <w:r>
        <w:rPr>
          <w:color w:val="4C4D4F"/>
          <w:spacing w:val="-16"/>
          <w:w w:val="115"/>
          <w:sz w:val="18"/>
        </w:rPr>
        <w:t> </w:t>
      </w:r>
      <w:r>
        <w:rPr>
          <w:color w:val="4C4D4F"/>
          <w:w w:val="115"/>
          <w:sz w:val="18"/>
        </w:rPr>
        <w:t>Levounis, </w:t>
      </w:r>
      <w:r>
        <w:rPr>
          <w:color w:val="4C4D4F"/>
          <w:spacing w:val="-11"/>
          <w:w w:val="115"/>
          <w:sz w:val="18"/>
        </w:rPr>
        <w:t>P.,</w:t>
      </w:r>
      <w:r>
        <w:rPr>
          <w:color w:val="4C4D4F"/>
          <w:spacing w:val="-22"/>
          <w:w w:val="115"/>
          <w:sz w:val="18"/>
        </w:rPr>
        <w:t> </w:t>
      </w:r>
      <w:r>
        <w:rPr>
          <w:color w:val="4C4D4F"/>
          <w:w w:val="115"/>
          <w:sz w:val="18"/>
        </w:rPr>
        <w:t>Martin,</w:t>
      </w:r>
      <w:r>
        <w:rPr>
          <w:color w:val="4C4D4F"/>
          <w:spacing w:val="-22"/>
          <w:w w:val="115"/>
          <w:sz w:val="18"/>
        </w:rPr>
        <w:t> </w:t>
      </w:r>
      <w:r>
        <w:rPr>
          <w:color w:val="4C4D4F"/>
          <w:w w:val="135"/>
          <w:sz w:val="18"/>
        </w:rPr>
        <w:t>J.</w:t>
      </w:r>
      <w:r>
        <w:rPr>
          <w:color w:val="4C4D4F"/>
          <w:spacing w:val="-32"/>
          <w:w w:val="135"/>
          <w:sz w:val="18"/>
        </w:rPr>
        <w:t> </w:t>
      </w:r>
      <w:r>
        <w:rPr>
          <w:color w:val="4C4D4F"/>
          <w:w w:val="115"/>
          <w:sz w:val="18"/>
        </w:rPr>
        <w:t>A.,</w:t>
      </w:r>
      <w:r>
        <w:rPr>
          <w:color w:val="4C4D4F"/>
          <w:spacing w:val="-22"/>
          <w:w w:val="115"/>
          <w:sz w:val="18"/>
        </w:rPr>
        <w:t> </w:t>
      </w:r>
      <w:r>
        <w:rPr>
          <w:color w:val="4C4D4F"/>
          <w:w w:val="115"/>
          <w:sz w:val="18"/>
        </w:rPr>
        <w:t>McNicholas,</w:t>
      </w:r>
      <w:r>
        <w:rPr>
          <w:color w:val="4C4D4F"/>
          <w:spacing w:val="-22"/>
          <w:w w:val="115"/>
          <w:sz w:val="18"/>
        </w:rPr>
        <w:t> </w:t>
      </w:r>
      <w:r>
        <w:rPr>
          <w:color w:val="4C4D4F"/>
          <w:w w:val="115"/>
          <w:sz w:val="18"/>
        </w:rPr>
        <w:t>L.,</w:t>
      </w:r>
      <w:r>
        <w:rPr>
          <w:color w:val="4C4D4F"/>
          <w:spacing w:val="-22"/>
          <w:w w:val="115"/>
          <w:sz w:val="18"/>
        </w:rPr>
        <w:t> </w:t>
      </w:r>
      <w:r>
        <w:rPr>
          <w:color w:val="4C4D4F"/>
          <w:w w:val="115"/>
          <w:sz w:val="18"/>
        </w:rPr>
        <w:t>…</w:t>
      </w:r>
      <w:r>
        <w:rPr>
          <w:color w:val="4C4D4F"/>
          <w:spacing w:val="-22"/>
          <w:w w:val="115"/>
          <w:sz w:val="18"/>
        </w:rPr>
        <w:t> </w:t>
      </w:r>
      <w:r>
        <w:rPr>
          <w:color w:val="4C4D4F"/>
          <w:w w:val="115"/>
          <w:sz w:val="18"/>
        </w:rPr>
        <w:t>Wilford,</w:t>
      </w:r>
      <w:r>
        <w:rPr>
          <w:color w:val="4C4D4F"/>
          <w:spacing w:val="-22"/>
          <w:w w:val="115"/>
          <w:sz w:val="18"/>
        </w:rPr>
        <w:t> </w:t>
      </w:r>
      <w:r>
        <w:rPr>
          <w:color w:val="4C4D4F"/>
          <w:w w:val="115"/>
          <w:sz w:val="18"/>
        </w:rPr>
        <w:t>B.</w:t>
      </w:r>
      <w:r>
        <w:rPr>
          <w:color w:val="4C4D4F"/>
          <w:spacing w:val="-21"/>
          <w:w w:val="115"/>
          <w:sz w:val="18"/>
        </w:rPr>
        <w:t> </w:t>
      </w:r>
      <w:r>
        <w:rPr>
          <w:color w:val="4C4D4F"/>
          <w:w w:val="115"/>
          <w:sz w:val="18"/>
        </w:rPr>
        <w:t>B.</w:t>
      </w:r>
      <w:r>
        <w:rPr>
          <w:color w:val="4C4D4F"/>
          <w:spacing w:val="-22"/>
          <w:w w:val="115"/>
          <w:sz w:val="18"/>
        </w:rPr>
        <w:t> </w:t>
      </w:r>
      <w:r>
        <w:rPr>
          <w:color w:val="4C4D4F"/>
          <w:spacing w:val="-3"/>
          <w:w w:val="115"/>
          <w:sz w:val="18"/>
        </w:rPr>
        <w:t>(2013). </w:t>
      </w:r>
      <w:r>
        <w:rPr>
          <w:color w:val="4C4D4F"/>
          <w:w w:val="115"/>
          <w:sz w:val="18"/>
        </w:rPr>
        <w:t>Safe methadone induction and stabilization: Report of an</w:t>
      </w:r>
      <w:r>
        <w:rPr>
          <w:color w:val="4C4D4F"/>
          <w:spacing w:val="-34"/>
          <w:w w:val="115"/>
          <w:sz w:val="18"/>
        </w:rPr>
        <w:t> </w:t>
      </w:r>
      <w:r>
        <w:rPr>
          <w:color w:val="4C4D4F"/>
          <w:w w:val="115"/>
          <w:sz w:val="18"/>
        </w:rPr>
        <w:t>expert</w:t>
      </w:r>
      <w:r>
        <w:rPr>
          <w:color w:val="4C4D4F"/>
          <w:spacing w:val="-34"/>
          <w:w w:val="115"/>
          <w:sz w:val="18"/>
        </w:rPr>
        <w:t> </w:t>
      </w:r>
      <w:r>
        <w:rPr>
          <w:color w:val="4C4D4F"/>
          <w:w w:val="115"/>
          <w:sz w:val="18"/>
        </w:rPr>
        <w:t>panel.</w:t>
      </w:r>
      <w:r>
        <w:rPr>
          <w:color w:val="4C4D4F"/>
          <w:spacing w:val="-34"/>
          <w:w w:val="115"/>
          <w:sz w:val="18"/>
        </w:rPr>
        <w:t> </w:t>
      </w:r>
      <w:r>
        <w:rPr>
          <w:rFonts w:ascii="Arial" w:hAnsi="Arial"/>
          <w:i/>
          <w:color w:val="4C4D4F"/>
          <w:w w:val="115"/>
          <w:sz w:val="18"/>
        </w:rPr>
        <w:t>Journal</w:t>
      </w:r>
      <w:r>
        <w:rPr>
          <w:rFonts w:ascii="Arial" w:hAnsi="Arial"/>
          <w:i/>
          <w:color w:val="4C4D4F"/>
          <w:spacing w:val="-34"/>
          <w:w w:val="115"/>
          <w:sz w:val="18"/>
        </w:rPr>
        <w:t> </w:t>
      </w:r>
      <w:r>
        <w:rPr>
          <w:rFonts w:ascii="Arial" w:hAnsi="Arial"/>
          <w:i/>
          <w:color w:val="4C4D4F"/>
          <w:w w:val="115"/>
          <w:sz w:val="18"/>
        </w:rPr>
        <w:t>of</w:t>
      </w:r>
      <w:r>
        <w:rPr>
          <w:rFonts w:ascii="Arial" w:hAnsi="Arial"/>
          <w:i/>
          <w:color w:val="4C4D4F"/>
          <w:spacing w:val="-33"/>
          <w:w w:val="115"/>
          <w:sz w:val="18"/>
        </w:rPr>
        <w:t> </w:t>
      </w:r>
      <w:r>
        <w:rPr>
          <w:rFonts w:ascii="Arial" w:hAnsi="Arial"/>
          <w:i/>
          <w:color w:val="4C4D4F"/>
          <w:w w:val="115"/>
          <w:sz w:val="18"/>
        </w:rPr>
        <w:t>Addiction</w:t>
      </w:r>
      <w:r>
        <w:rPr>
          <w:rFonts w:ascii="Arial" w:hAnsi="Arial"/>
          <w:i/>
          <w:color w:val="4C4D4F"/>
          <w:spacing w:val="-34"/>
          <w:w w:val="115"/>
          <w:sz w:val="18"/>
        </w:rPr>
        <w:t> </w:t>
      </w:r>
      <w:r>
        <w:rPr>
          <w:rFonts w:ascii="Arial" w:hAnsi="Arial"/>
          <w:i/>
          <w:color w:val="4C4D4F"/>
          <w:w w:val="115"/>
          <w:sz w:val="18"/>
        </w:rPr>
        <w:t>Medicine,</w:t>
      </w:r>
      <w:r>
        <w:rPr>
          <w:rFonts w:ascii="Arial" w:hAnsi="Arial"/>
          <w:i/>
          <w:color w:val="4C4D4F"/>
          <w:spacing w:val="-34"/>
          <w:w w:val="115"/>
          <w:sz w:val="18"/>
        </w:rPr>
        <w:t> </w:t>
      </w:r>
      <w:r>
        <w:rPr>
          <w:rFonts w:ascii="Arial" w:hAnsi="Arial"/>
          <w:i/>
          <w:color w:val="4C4D4F"/>
          <w:w w:val="115"/>
          <w:sz w:val="18"/>
        </w:rPr>
        <w:t>7</w:t>
      </w:r>
      <w:r>
        <w:rPr>
          <w:color w:val="4C4D4F"/>
          <w:w w:val="115"/>
          <w:sz w:val="18"/>
        </w:rPr>
        <w:t>(6), 377–386.</w:t>
      </w:r>
    </w:p>
    <w:p>
      <w:pPr>
        <w:pStyle w:val="ListParagraph"/>
        <w:numPr>
          <w:ilvl w:val="0"/>
          <w:numId w:val="51"/>
        </w:numPr>
        <w:tabs>
          <w:tab w:pos="500" w:val="left" w:leader="none"/>
        </w:tabs>
        <w:spacing w:line="247" w:lineRule="auto" w:before="76" w:after="0"/>
        <w:ind w:left="500" w:right="52" w:hanging="360"/>
        <w:jc w:val="left"/>
        <w:rPr>
          <w:color w:val="4C4D4F"/>
          <w:sz w:val="18"/>
        </w:rPr>
      </w:pPr>
      <w:r>
        <w:rPr>
          <w:color w:val="4C4D4F"/>
          <w:w w:val="115"/>
          <w:sz w:val="18"/>
        </w:rPr>
        <w:t>Food and Drug Administration. (2016, March). FDA Drug</w:t>
      </w:r>
      <w:r>
        <w:rPr>
          <w:color w:val="4C4D4F"/>
          <w:spacing w:val="-30"/>
          <w:w w:val="115"/>
          <w:sz w:val="18"/>
        </w:rPr>
        <w:t> </w:t>
      </w:r>
      <w:r>
        <w:rPr>
          <w:color w:val="4C4D4F"/>
          <w:w w:val="115"/>
          <w:sz w:val="18"/>
        </w:rPr>
        <w:t>Safety</w:t>
      </w:r>
      <w:r>
        <w:rPr>
          <w:color w:val="4C4D4F"/>
          <w:spacing w:val="-29"/>
          <w:w w:val="115"/>
          <w:sz w:val="18"/>
        </w:rPr>
        <w:t> </w:t>
      </w:r>
      <w:r>
        <w:rPr>
          <w:color w:val="4C4D4F"/>
          <w:w w:val="115"/>
          <w:sz w:val="18"/>
        </w:rPr>
        <w:t>Communications,</w:t>
      </w:r>
      <w:r>
        <w:rPr>
          <w:color w:val="4C4D4F"/>
          <w:spacing w:val="-29"/>
          <w:w w:val="115"/>
          <w:sz w:val="18"/>
        </w:rPr>
        <w:t> </w:t>
      </w:r>
      <w:r>
        <w:rPr>
          <w:color w:val="4C4D4F"/>
          <w:w w:val="115"/>
          <w:sz w:val="18"/>
        </w:rPr>
        <w:t>FDA</w:t>
      </w:r>
      <w:r>
        <w:rPr>
          <w:color w:val="4C4D4F"/>
          <w:spacing w:val="-29"/>
          <w:w w:val="115"/>
          <w:sz w:val="18"/>
        </w:rPr>
        <w:t> </w:t>
      </w:r>
      <w:r>
        <w:rPr>
          <w:color w:val="4C4D4F"/>
          <w:w w:val="115"/>
          <w:sz w:val="18"/>
        </w:rPr>
        <w:t>urges</w:t>
      </w:r>
      <w:r>
        <w:rPr>
          <w:color w:val="4C4D4F"/>
          <w:spacing w:val="-29"/>
          <w:w w:val="115"/>
          <w:sz w:val="18"/>
        </w:rPr>
        <w:t> </w:t>
      </w:r>
      <w:r>
        <w:rPr>
          <w:color w:val="4C4D4F"/>
          <w:w w:val="115"/>
          <w:sz w:val="18"/>
        </w:rPr>
        <w:t>caution</w:t>
      </w:r>
      <w:r>
        <w:rPr>
          <w:color w:val="4C4D4F"/>
          <w:spacing w:val="-29"/>
          <w:w w:val="115"/>
          <w:sz w:val="18"/>
        </w:rPr>
        <w:t> </w:t>
      </w:r>
      <w:r>
        <w:rPr>
          <w:color w:val="4C4D4F"/>
          <w:spacing w:val="-4"/>
          <w:w w:val="115"/>
          <w:sz w:val="18"/>
        </w:rPr>
        <w:t>about </w:t>
      </w:r>
      <w:r>
        <w:rPr>
          <w:color w:val="4C4D4F"/>
          <w:w w:val="115"/>
          <w:sz w:val="18"/>
        </w:rPr>
        <w:t>withholding</w:t>
      </w:r>
      <w:r>
        <w:rPr>
          <w:color w:val="4C4D4F"/>
          <w:spacing w:val="-29"/>
          <w:w w:val="115"/>
          <w:sz w:val="18"/>
        </w:rPr>
        <w:t> </w:t>
      </w:r>
      <w:r>
        <w:rPr>
          <w:color w:val="4C4D4F"/>
          <w:w w:val="115"/>
          <w:sz w:val="18"/>
        </w:rPr>
        <w:t>opioid</w:t>
      </w:r>
      <w:r>
        <w:rPr>
          <w:color w:val="4C4D4F"/>
          <w:spacing w:val="-29"/>
          <w:w w:val="115"/>
          <w:sz w:val="18"/>
        </w:rPr>
        <w:t> </w:t>
      </w:r>
      <w:r>
        <w:rPr>
          <w:color w:val="4C4D4F"/>
          <w:w w:val="115"/>
          <w:sz w:val="18"/>
        </w:rPr>
        <w:t>addiction</w:t>
      </w:r>
      <w:r>
        <w:rPr>
          <w:color w:val="4C4D4F"/>
          <w:spacing w:val="-29"/>
          <w:w w:val="115"/>
          <w:sz w:val="18"/>
        </w:rPr>
        <w:t> </w:t>
      </w:r>
      <w:r>
        <w:rPr>
          <w:color w:val="4C4D4F"/>
          <w:w w:val="115"/>
          <w:sz w:val="18"/>
        </w:rPr>
        <w:t>medications</w:t>
      </w:r>
      <w:r>
        <w:rPr>
          <w:color w:val="4C4D4F"/>
          <w:spacing w:val="-28"/>
          <w:w w:val="115"/>
          <w:sz w:val="18"/>
        </w:rPr>
        <w:t> </w:t>
      </w:r>
      <w:r>
        <w:rPr>
          <w:color w:val="4C4D4F"/>
          <w:w w:val="115"/>
          <w:sz w:val="18"/>
        </w:rPr>
        <w:t>from</w:t>
      </w:r>
      <w:r>
        <w:rPr>
          <w:color w:val="4C4D4F"/>
          <w:spacing w:val="-29"/>
          <w:w w:val="115"/>
          <w:sz w:val="18"/>
        </w:rPr>
        <w:t> </w:t>
      </w:r>
      <w:r>
        <w:rPr>
          <w:color w:val="4C4D4F"/>
          <w:w w:val="115"/>
          <w:sz w:val="18"/>
        </w:rPr>
        <w:t>patients taking benzodiazepines or CNS depressant: Careful medication management can reduce risks. Retrieved January</w:t>
      </w:r>
      <w:r>
        <w:rPr>
          <w:color w:val="4C4D4F"/>
          <w:spacing w:val="-20"/>
          <w:w w:val="115"/>
          <w:sz w:val="18"/>
        </w:rPr>
        <w:t> </w:t>
      </w:r>
      <w:r>
        <w:rPr>
          <w:color w:val="4C4D4F"/>
          <w:w w:val="115"/>
          <w:sz w:val="18"/>
        </w:rPr>
        <w:t>3,</w:t>
      </w:r>
      <w:r>
        <w:rPr>
          <w:color w:val="4C4D4F"/>
          <w:spacing w:val="-19"/>
          <w:w w:val="115"/>
          <w:sz w:val="18"/>
        </w:rPr>
        <w:t> </w:t>
      </w:r>
      <w:r>
        <w:rPr>
          <w:color w:val="4C4D4F"/>
          <w:w w:val="115"/>
          <w:sz w:val="18"/>
        </w:rPr>
        <w:t>2018,</w:t>
      </w:r>
      <w:r>
        <w:rPr>
          <w:color w:val="4C4D4F"/>
          <w:spacing w:val="-19"/>
          <w:w w:val="115"/>
          <w:sz w:val="18"/>
        </w:rPr>
        <w:t> </w:t>
      </w:r>
      <w:r>
        <w:rPr>
          <w:color w:val="4C4D4F"/>
          <w:w w:val="115"/>
          <w:sz w:val="18"/>
        </w:rPr>
        <w:t>from</w:t>
      </w:r>
      <w:r>
        <w:rPr>
          <w:color w:val="205E9E"/>
          <w:spacing w:val="-20"/>
          <w:w w:val="115"/>
          <w:sz w:val="18"/>
        </w:rPr>
        <w:t> </w:t>
      </w:r>
      <w:hyperlink r:id="rId94">
        <w:r>
          <w:rPr>
            <w:color w:val="205E9E"/>
            <w:w w:val="115"/>
            <w:sz w:val="18"/>
            <w:u w:val="single" w:color="205E9E"/>
          </w:rPr>
          <w:t>www.fda.gov/downloads/Drugs</w:t>
        </w:r>
      </w:hyperlink>
    </w:p>
    <w:p>
      <w:pPr>
        <w:spacing w:before="6"/>
        <w:ind w:left="500" w:right="0" w:firstLine="0"/>
        <w:jc w:val="left"/>
        <w:rPr>
          <w:sz w:val="18"/>
        </w:rPr>
      </w:pPr>
      <w:r>
        <w:rPr>
          <w:color w:val="205E9E"/>
          <w:w w:val="115"/>
          <w:sz w:val="18"/>
          <w:u w:val="single" w:color="205E9E"/>
        </w:rPr>
        <w:t>/DrugSafety/UCM576377.pdf</w:t>
      </w:r>
    </w:p>
    <w:p>
      <w:pPr>
        <w:pStyle w:val="ListParagraph"/>
        <w:numPr>
          <w:ilvl w:val="0"/>
          <w:numId w:val="51"/>
        </w:numPr>
        <w:tabs>
          <w:tab w:pos="500" w:val="left" w:leader="none"/>
        </w:tabs>
        <w:spacing w:line="247" w:lineRule="auto" w:before="79" w:after="0"/>
        <w:ind w:left="500" w:right="146" w:hanging="360"/>
        <w:jc w:val="left"/>
        <w:rPr>
          <w:color w:val="4C4D4F"/>
          <w:sz w:val="18"/>
        </w:rPr>
      </w:pPr>
      <w:r>
        <w:rPr>
          <w:color w:val="4C4D4F"/>
          <w:w w:val="110"/>
          <w:sz w:val="18"/>
        </w:rPr>
        <w:t>Lintzeris, N., &amp; Nielsen, S. (2010). Benzodiazepines, methadone and buprenorphine: Interactions and clinical</w:t>
      </w:r>
      <w:r>
        <w:rPr>
          <w:color w:val="4C4D4F"/>
          <w:spacing w:val="-31"/>
          <w:w w:val="110"/>
          <w:sz w:val="18"/>
        </w:rPr>
        <w:t> </w:t>
      </w:r>
      <w:r>
        <w:rPr>
          <w:color w:val="4C4D4F"/>
          <w:w w:val="110"/>
          <w:sz w:val="18"/>
        </w:rPr>
        <w:t>management.</w:t>
      </w:r>
      <w:r>
        <w:rPr>
          <w:color w:val="4C4D4F"/>
          <w:spacing w:val="-30"/>
          <w:w w:val="110"/>
          <w:sz w:val="18"/>
        </w:rPr>
        <w:t> </w:t>
      </w:r>
      <w:r>
        <w:rPr>
          <w:rFonts w:ascii="Arial" w:hAnsi="Arial"/>
          <w:i/>
          <w:color w:val="4C4D4F"/>
          <w:w w:val="110"/>
          <w:sz w:val="18"/>
        </w:rPr>
        <w:t>American</w:t>
      </w:r>
      <w:r>
        <w:rPr>
          <w:rFonts w:ascii="Arial" w:hAnsi="Arial"/>
          <w:i/>
          <w:color w:val="4C4D4F"/>
          <w:spacing w:val="-30"/>
          <w:w w:val="110"/>
          <w:sz w:val="18"/>
        </w:rPr>
        <w:t> </w:t>
      </w:r>
      <w:r>
        <w:rPr>
          <w:rFonts w:ascii="Arial" w:hAnsi="Arial"/>
          <w:i/>
          <w:color w:val="4C4D4F"/>
          <w:w w:val="110"/>
          <w:sz w:val="18"/>
        </w:rPr>
        <w:t>Journal</w:t>
      </w:r>
      <w:r>
        <w:rPr>
          <w:rFonts w:ascii="Arial" w:hAnsi="Arial"/>
          <w:i/>
          <w:color w:val="4C4D4F"/>
          <w:spacing w:val="-30"/>
          <w:w w:val="110"/>
          <w:sz w:val="18"/>
        </w:rPr>
        <w:t> </w:t>
      </w:r>
      <w:r>
        <w:rPr>
          <w:rFonts w:ascii="Arial" w:hAnsi="Arial"/>
          <w:i/>
          <w:color w:val="4C4D4F"/>
          <w:w w:val="110"/>
          <w:sz w:val="18"/>
        </w:rPr>
        <w:t>on</w:t>
      </w:r>
      <w:r>
        <w:rPr>
          <w:rFonts w:ascii="Arial" w:hAnsi="Arial"/>
          <w:i/>
          <w:color w:val="4C4D4F"/>
          <w:spacing w:val="-30"/>
          <w:w w:val="110"/>
          <w:sz w:val="18"/>
        </w:rPr>
        <w:t> </w:t>
      </w:r>
      <w:r>
        <w:rPr>
          <w:rFonts w:ascii="Arial" w:hAnsi="Arial"/>
          <w:i/>
          <w:color w:val="4C4D4F"/>
          <w:w w:val="110"/>
          <w:sz w:val="18"/>
        </w:rPr>
        <w:t>Addictions, </w:t>
      </w:r>
      <w:r>
        <w:rPr>
          <w:rFonts w:ascii="Arial" w:hAnsi="Arial"/>
          <w:i/>
          <w:color w:val="4C4D4F"/>
          <w:w w:val="110"/>
          <w:sz w:val="18"/>
        </w:rPr>
        <w:t>19</w:t>
      </w:r>
      <w:r>
        <w:rPr>
          <w:color w:val="4C4D4F"/>
          <w:w w:val="110"/>
          <w:sz w:val="18"/>
        </w:rPr>
        <w:t>(1),</w:t>
      </w:r>
      <w:r>
        <w:rPr>
          <w:color w:val="4C4D4F"/>
          <w:spacing w:val="-6"/>
          <w:w w:val="110"/>
          <w:sz w:val="18"/>
        </w:rPr>
        <w:t> </w:t>
      </w:r>
      <w:r>
        <w:rPr>
          <w:color w:val="4C4D4F"/>
          <w:w w:val="110"/>
          <w:sz w:val="18"/>
        </w:rPr>
        <w:t>59–72.</w:t>
      </w:r>
    </w:p>
    <w:p>
      <w:pPr>
        <w:pStyle w:val="ListParagraph"/>
        <w:numPr>
          <w:ilvl w:val="0"/>
          <w:numId w:val="51"/>
        </w:numPr>
        <w:tabs>
          <w:tab w:pos="500" w:val="left" w:leader="none"/>
        </w:tabs>
        <w:spacing w:line="247" w:lineRule="auto" w:before="73" w:after="0"/>
        <w:ind w:left="500" w:right="38" w:hanging="360"/>
        <w:jc w:val="left"/>
        <w:rPr>
          <w:color w:val="4C4D4F"/>
          <w:sz w:val="18"/>
        </w:rPr>
      </w:pPr>
      <w:r>
        <w:rPr>
          <w:color w:val="4C4D4F"/>
          <w:w w:val="115"/>
          <w:sz w:val="18"/>
        </w:rPr>
        <w:t>Bart,</w:t>
      </w:r>
      <w:r>
        <w:rPr>
          <w:color w:val="4C4D4F"/>
          <w:spacing w:val="-22"/>
          <w:w w:val="115"/>
          <w:sz w:val="18"/>
        </w:rPr>
        <w:t> </w:t>
      </w:r>
      <w:r>
        <w:rPr>
          <w:color w:val="4C4D4F"/>
          <w:w w:val="115"/>
          <w:sz w:val="18"/>
        </w:rPr>
        <w:t>G.,</w:t>
      </w:r>
      <w:r>
        <w:rPr>
          <w:color w:val="4C4D4F"/>
          <w:spacing w:val="-21"/>
          <w:w w:val="115"/>
          <w:sz w:val="18"/>
        </w:rPr>
        <w:t> </w:t>
      </w:r>
      <w:r>
        <w:rPr>
          <w:color w:val="4C4D4F"/>
          <w:w w:val="115"/>
          <w:sz w:val="18"/>
        </w:rPr>
        <w:t>Wyman,</w:t>
      </w:r>
      <w:r>
        <w:rPr>
          <w:color w:val="4C4D4F"/>
          <w:spacing w:val="-21"/>
          <w:w w:val="115"/>
          <w:sz w:val="18"/>
        </w:rPr>
        <w:t> </w:t>
      </w:r>
      <w:r>
        <w:rPr>
          <w:color w:val="4C4D4F"/>
          <w:w w:val="115"/>
          <w:sz w:val="18"/>
        </w:rPr>
        <w:t>Z.,</w:t>
      </w:r>
      <w:r>
        <w:rPr>
          <w:color w:val="4C4D4F"/>
          <w:spacing w:val="-21"/>
          <w:w w:val="115"/>
          <w:sz w:val="18"/>
        </w:rPr>
        <w:t> </w:t>
      </w:r>
      <w:r>
        <w:rPr>
          <w:color w:val="4C4D4F"/>
          <w:w w:val="115"/>
          <w:sz w:val="18"/>
        </w:rPr>
        <w:t>Wang,</w:t>
      </w:r>
      <w:r>
        <w:rPr>
          <w:color w:val="4C4D4F"/>
          <w:spacing w:val="-21"/>
          <w:w w:val="115"/>
          <w:sz w:val="18"/>
        </w:rPr>
        <w:t> </w:t>
      </w:r>
      <w:r>
        <w:rPr>
          <w:color w:val="4C4D4F"/>
          <w:w w:val="115"/>
          <w:sz w:val="18"/>
        </w:rPr>
        <w:t>Q.,</w:t>
      </w:r>
      <w:r>
        <w:rPr>
          <w:color w:val="4C4D4F"/>
          <w:spacing w:val="-21"/>
          <w:w w:val="115"/>
          <w:sz w:val="18"/>
        </w:rPr>
        <w:t> </w:t>
      </w:r>
      <w:r>
        <w:rPr>
          <w:color w:val="4C4D4F"/>
          <w:w w:val="115"/>
          <w:sz w:val="18"/>
        </w:rPr>
        <w:t>Hodges,</w:t>
      </w:r>
      <w:r>
        <w:rPr>
          <w:color w:val="4C4D4F"/>
          <w:spacing w:val="-21"/>
          <w:w w:val="115"/>
          <w:sz w:val="18"/>
        </w:rPr>
        <w:t> </w:t>
      </w:r>
      <w:r>
        <w:rPr>
          <w:color w:val="4C4D4F"/>
          <w:w w:val="135"/>
          <w:sz w:val="18"/>
        </w:rPr>
        <w:t>J.</w:t>
      </w:r>
      <w:r>
        <w:rPr>
          <w:color w:val="4C4D4F"/>
          <w:spacing w:val="-31"/>
          <w:w w:val="135"/>
          <w:sz w:val="18"/>
        </w:rPr>
        <w:t> </w:t>
      </w:r>
      <w:r>
        <w:rPr>
          <w:color w:val="4C4D4F"/>
          <w:w w:val="115"/>
          <w:sz w:val="18"/>
        </w:rPr>
        <w:t>S.,</w:t>
      </w:r>
      <w:r>
        <w:rPr>
          <w:color w:val="4C4D4F"/>
          <w:spacing w:val="-21"/>
          <w:w w:val="115"/>
          <w:sz w:val="18"/>
        </w:rPr>
        <w:t> </w:t>
      </w:r>
      <w:r>
        <w:rPr>
          <w:color w:val="4C4D4F"/>
          <w:w w:val="115"/>
          <w:sz w:val="18"/>
        </w:rPr>
        <w:t>Karim,</w:t>
      </w:r>
      <w:r>
        <w:rPr>
          <w:color w:val="4C4D4F"/>
          <w:spacing w:val="-21"/>
          <w:w w:val="115"/>
          <w:sz w:val="18"/>
        </w:rPr>
        <w:t> </w:t>
      </w:r>
      <w:r>
        <w:rPr>
          <w:color w:val="4C4D4F"/>
          <w:w w:val="115"/>
          <w:sz w:val="18"/>
        </w:rPr>
        <w:t>R., &amp;</w:t>
      </w:r>
      <w:r>
        <w:rPr>
          <w:color w:val="4C4D4F"/>
          <w:spacing w:val="-19"/>
          <w:w w:val="115"/>
          <w:sz w:val="18"/>
        </w:rPr>
        <w:t> </w:t>
      </w:r>
      <w:r>
        <w:rPr>
          <w:color w:val="4C4D4F"/>
          <w:w w:val="115"/>
          <w:sz w:val="18"/>
        </w:rPr>
        <w:t>Bart,</w:t>
      </w:r>
      <w:r>
        <w:rPr>
          <w:color w:val="4C4D4F"/>
          <w:spacing w:val="-19"/>
          <w:w w:val="115"/>
          <w:sz w:val="18"/>
        </w:rPr>
        <w:t> </w:t>
      </w:r>
      <w:r>
        <w:rPr>
          <w:color w:val="4C4D4F"/>
          <w:w w:val="115"/>
          <w:sz w:val="18"/>
        </w:rPr>
        <w:t>B.</w:t>
      </w:r>
      <w:r>
        <w:rPr>
          <w:color w:val="4C4D4F"/>
          <w:spacing w:val="-19"/>
          <w:w w:val="115"/>
          <w:sz w:val="18"/>
        </w:rPr>
        <w:t> </w:t>
      </w:r>
      <w:r>
        <w:rPr>
          <w:color w:val="4C4D4F"/>
          <w:w w:val="115"/>
          <w:sz w:val="18"/>
        </w:rPr>
        <w:t>A.</w:t>
      </w:r>
      <w:r>
        <w:rPr>
          <w:color w:val="4C4D4F"/>
          <w:spacing w:val="-19"/>
          <w:w w:val="115"/>
          <w:sz w:val="18"/>
        </w:rPr>
        <w:t> </w:t>
      </w:r>
      <w:r>
        <w:rPr>
          <w:color w:val="4C4D4F"/>
          <w:w w:val="115"/>
          <w:sz w:val="18"/>
        </w:rPr>
        <w:t>(2017).</w:t>
      </w:r>
      <w:r>
        <w:rPr>
          <w:color w:val="4C4D4F"/>
          <w:spacing w:val="-19"/>
          <w:w w:val="115"/>
          <w:sz w:val="18"/>
        </w:rPr>
        <w:t> </w:t>
      </w:r>
      <w:r>
        <w:rPr>
          <w:color w:val="4C4D4F"/>
          <w:w w:val="115"/>
          <w:sz w:val="18"/>
        </w:rPr>
        <w:t>Methadone</w:t>
      </w:r>
      <w:r>
        <w:rPr>
          <w:color w:val="4C4D4F"/>
          <w:spacing w:val="-19"/>
          <w:w w:val="115"/>
          <w:sz w:val="18"/>
        </w:rPr>
        <w:t> </w:t>
      </w:r>
      <w:r>
        <w:rPr>
          <w:color w:val="4C4D4F"/>
          <w:w w:val="115"/>
          <w:sz w:val="18"/>
        </w:rPr>
        <w:t>and</w:t>
      </w:r>
      <w:r>
        <w:rPr>
          <w:color w:val="4C4D4F"/>
          <w:spacing w:val="-19"/>
          <w:w w:val="115"/>
          <w:sz w:val="18"/>
        </w:rPr>
        <w:t> </w:t>
      </w:r>
      <w:r>
        <w:rPr>
          <w:color w:val="4C4D4F"/>
          <w:w w:val="115"/>
          <w:sz w:val="18"/>
        </w:rPr>
        <w:t>the</w:t>
      </w:r>
      <w:r>
        <w:rPr>
          <w:color w:val="4C4D4F"/>
          <w:spacing w:val="-19"/>
          <w:w w:val="115"/>
          <w:sz w:val="18"/>
        </w:rPr>
        <w:t> </w:t>
      </w:r>
      <w:r>
        <w:rPr>
          <w:color w:val="4C4D4F"/>
          <w:spacing w:val="-7"/>
          <w:w w:val="115"/>
          <w:sz w:val="18"/>
        </w:rPr>
        <w:t>QTc</w:t>
      </w:r>
      <w:r>
        <w:rPr>
          <w:color w:val="4C4D4F"/>
          <w:spacing w:val="-18"/>
          <w:w w:val="115"/>
          <w:sz w:val="18"/>
        </w:rPr>
        <w:t> </w:t>
      </w:r>
      <w:r>
        <w:rPr>
          <w:color w:val="4C4D4F"/>
          <w:w w:val="115"/>
          <w:sz w:val="18"/>
        </w:rPr>
        <w:t>interval: Paucity</w:t>
      </w:r>
      <w:r>
        <w:rPr>
          <w:color w:val="4C4D4F"/>
          <w:spacing w:val="-24"/>
          <w:w w:val="115"/>
          <w:sz w:val="18"/>
        </w:rPr>
        <w:t> </w:t>
      </w:r>
      <w:r>
        <w:rPr>
          <w:color w:val="4C4D4F"/>
          <w:w w:val="115"/>
          <w:sz w:val="18"/>
        </w:rPr>
        <w:t>of</w:t>
      </w:r>
      <w:r>
        <w:rPr>
          <w:color w:val="4C4D4F"/>
          <w:spacing w:val="-23"/>
          <w:w w:val="115"/>
          <w:sz w:val="18"/>
        </w:rPr>
        <w:t> </w:t>
      </w:r>
      <w:r>
        <w:rPr>
          <w:color w:val="4C4D4F"/>
          <w:w w:val="115"/>
          <w:sz w:val="18"/>
        </w:rPr>
        <w:t>clinically</w:t>
      </w:r>
      <w:r>
        <w:rPr>
          <w:color w:val="4C4D4F"/>
          <w:spacing w:val="-23"/>
          <w:w w:val="115"/>
          <w:sz w:val="18"/>
        </w:rPr>
        <w:t> </w:t>
      </w:r>
      <w:r>
        <w:rPr>
          <w:color w:val="4C4D4F"/>
          <w:w w:val="115"/>
          <w:sz w:val="18"/>
        </w:rPr>
        <w:t>signiﬁcant</w:t>
      </w:r>
      <w:r>
        <w:rPr>
          <w:color w:val="4C4D4F"/>
          <w:spacing w:val="-23"/>
          <w:w w:val="115"/>
          <w:sz w:val="18"/>
        </w:rPr>
        <w:t> </w:t>
      </w:r>
      <w:r>
        <w:rPr>
          <w:color w:val="4C4D4F"/>
          <w:w w:val="115"/>
          <w:sz w:val="18"/>
        </w:rPr>
        <w:t>factors</w:t>
      </w:r>
      <w:r>
        <w:rPr>
          <w:color w:val="4C4D4F"/>
          <w:spacing w:val="-23"/>
          <w:w w:val="115"/>
          <w:sz w:val="18"/>
        </w:rPr>
        <w:t> </w:t>
      </w:r>
      <w:r>
        <w:rPr>
          <w:color w:val="4C4D4F"/>
          <w:w w:val="115"/>
          <w:sz w:val="18"/>
        </w:rPr>
        <w:t>in</w:t>
      </w:r>
      <w:r>
        <w:rPr>
          <w:color w:val="4C4D4F"/>
          <w:spacing w:val="-23"/>
          <w:w w:val="115"/>
          <w:sz w:val="18"/>
        </w:rPr>
        <w:t> </w:t>
      </w:r>
      <w:r>
        <w:rPr>
          <w:color w:val="4C4D4F"/>
          <w:w w:val="115"/>
          <w:sz w:val="18"/>
        </w:rPr>
        <w:t>a</w:t>
      </w:r>
      <w:r>
        <w:rPr>
          <w:color w:val="4C4D4F"/>
          <w:spacing w:val="-23"/>
          <w:w w:val="115"/>
          <w:sz w:val="18"/>
        </w:rPr>
        <w:t> </w:t>
      </w:r>
      <w:r>
        <w:rPr>
          <w:color w:val="4C4D4F"/>
          <w:w w:val="115"/>
          <w:sz w:val="18"/>
        </w:rPr>
        <w:t>retrospective </w:t>
      </w:r>
      <w:r>
        <w:rPr>
          <w:color w:val="4C4D4F"/>
          <w:w w:val="110"/>
          <w:sz w:val="18"/>
        </w:rPr>
        <w:t>cohort.</w:t>
      </w:r>
      <w:r>
        <w:rPr>
          <w:color w:val="4C4D4F"/>
          <w:spacing w:val="-29"/>
          <w:w w:val="110"/>
          <w:sz w:val="18"/>
        </w:rPr>
        <w:t> </w:t>
      </w:r>
      <w:r>
        <w:rPr>
          <w:rFonts w:ascii="Arial" w:hAnsi="Arial"/>
          <w:i/>
          <w:color w:val="4C4D4F"/>
          <w:w w:val="110"/>
          <w:sz w:val="18"/>
        </w:rPr>
        <w:t>Journal</w:t>
      </w:r>
      <w:r>
        <w:rPr>
          <w:rFonts w:ascii="Arial" w:hAnsi="Arial"/>
          <w:i/>
          <w:color w:val="4C4D4F"/>
          <w:spacing w:val="-28"/>
          <w:w w:val="110"/>
          <w:sz w:val="18"/>
        </w:rPr>
        <w:t> </w:t>
      </w:r>
      <w:r>
        <w:rPr>
          <w:rFonts w:ascii="Arial" w:hAnsi="Arial"/>
          <w:i/>
          <w:color w:val="4C4D4F"/>
          <w:w w:val="110"/>
          <w:sz w:val="18"/>
        </w:rPr>
        <w:t>of</w:t>
      </w:r>
      <w:r>
        <w:rPr>
          <w:rFonts w:ascii="Arial" w:hAnsi="Arial"/>
          <w:i/>
          <w:color w:val="4C4D4F"/>
          <w:spacing w:val="-29"/>
          <w:w w:val="110"/>
          <w:sz w:val="18"/>
        </w:rPr>
        <w:t> </w:t>
      </w:r>
      <w:r>
        <w:rPr>
          <w:rFonts w:ascii="Arial" w:hAnsi="Arial"/>
          <w:i/>
          <w:color w:val="4C4D4F"/>
          <w:w w:val="110"/>
          <w:sz w:val="18"/>
        </w:rPr>
        <w:t>Addiction</w:t>
      </w:r>
      <w:r>
        <w:rPr>
          <w:rFonts w:ascii="Arial" w:hAnsi="Arial"/>
          <w:i/>
          <w:color w:val="4C4D4F"/>
          <w:spacing w:val="-28"/>
          <w:w w:val="110"/>
          <w:sz w:val="18"/>
        </w:rPr>
        <w:t> </w:t>
      </w:r>
      <w:r>
        <w:rPr>
          <w:rFonts w:ascii="Arial" w:hAnsi="Arial"/>
          <w:i/>
          <w:color w:val="4C4D4F"/>
          <w:w w:val="110"/>
          <w:sz w:val="18"/>
        </w:rPr>
        <w:t>Medicine,</w:t>
      </w:r>
      <w:r>
        <w:rPr>
          <w:rFonts w:ascii="Arial" w:hAnsi="Arial"/>
          <w:i/>
          <w:color w:val="4C4D4F"/>
          <w:spacing w:val="-29"/>
          <w:w w:val="110"/>
          <w:sz w:val="18"/>
        </w:rPr>
        <w:t> </w:t>
      </w:r>
      <w:r>
        <w:rPr>
          <w:rFonts w:ascii="Arial" w:hAnsi="Arial"/>
          <w:i/>
          <w:color w:val="4C4D4F"/>
          <w:w w:val="110"/>
          <w:sz w:val="18"/>
        </w:rPr>
        <w:t>11</w:t>
      </w:r>
      <w:r>
        <w:rPr>
          <w:color w:val="4C4D4F"/>
          <w:w w:val="110"/>
          <w:sz w:val="18"/>
        </w:rPr>
        <w:t>(6),</w:t>
      </w:r>
      <w:r>
        <w:rPr>
          <w:color w:val="4C4D4F"/>
          <w:spacing w:val="-28"/>
          <w:w w:val="110"/>
          <w:sz w:val="18"/>
        </w:rPr>
        <w:t> </w:t>
      </w:r>
      <w:r>
        <w:rPr>
          <w:color w:val="4C4D4F"/>
          <w:w w:val="110"/>
          <w:sz w:val="18"/>
        </w:rPr>
        <w:t>489–493.</w:t>
      </w:r>
    </w:p>
    <w:p>
      <w:pPr>
        <w:pStyle w:val="ListParagraph"/>
        <w:numPr>
          <w:ilvl w:val="0"/>
          <w:numId w:val="51"/>
        </w:numPr>
        <w:tabs>
          <w:tab w:pos="500" w:val="left" w:leader="none"/>
        </w:tabs>
        <w:spacing w:line="247" w:lineRule="auto" w:before="100" w:after="0"/>
        <w:ind w:left="500" w:right="554" w:hanging="360"/>
        <w:jc w:val="left"/>
        <w:rPr>
          <w:color w:val="4C4D4F"/>
          <w:sz w:val="18"/>
        </w:rPr>
      </w:pPr>
      <w:r>
        <w:rPr>
          <w:color w:val="4C4D4F"/>
          <w:w w:val="108"/>
          <w:sz w:val="18"/>
        </w:rPr>
        <w:br w:type="column"/>
      </w:r>
      <w:r>
        <w:rPr>
          <w:color w:val="4C4D4F"/>
          <w:w w:val="115"/>
          <w:sz w:val="18"/>
        </w:rPr>
        <w:t>Chou,</w:t>
      </w:r>
      <w:r>
        <w:rPr>
          <w:color w:val="4C4D4F"/>
          <w:spacing w:val="-21"/>
          <w:w w:val="115"/>
          <w:sz w:val="18"/>
        </w:rPr>
        <w:t> </w:t>
      </w:r>
      <w:r>
        <w:rPr>
          <w:color w:val="4C4D4F"/>
          <w:w w:val="115"/>
          <w:sz w:val="18"/>
        </w:rPr>
        <w:t>R.,</w:t>
      </w:r>
      <w:r>
        <w:rPr>
          <w:color w:val="4C4D4F"/>
          <w:spacing w:val="-21"/>
          <w:w w:val="115"/>
          <w:sz w:val="18"/>
        </w:rPr>
        <w:t> </w:t>
      </w:r>
      <w:r>
        <w:rPr>
          <w:color w:val="4C4D4F"/>
          <w:w w:val="115"/>
          <w:sz w:val="18"/>
        </w:rPr>
        <w:t>Cruciani,</w:t>
      </w:r>
      <w:r>
        <w:rPr>
          <w:color w:val="4C4D4F"/>
          <w:spacing w:val="-21"/>
          <w:w w:val="115"/>
          <w:sz w:val="18"/>
        </w:rPr>
        <w:t> </w:t>
      </w:r>
      <w:r>
        <w:rPr>
          <w:color w:val="4C4D4F"/>
          <w:w w:val="115"/>
          <w:sz w:val="18"/>
        </w:rPr>
        <w:t>R.</w:t>
      </w:r>
      <w:r>
        <w:rPr>
          <w:color w:val="4C4D4F"/>
          <w:spacing w:val="-21"/>
          <w:w w:val="115"/>
          <w:sz w:val="18"/>
        </w:rPr>
        <w:t> </w:t>
      </w:r>
      <w:r>
        <w:rPr>
          <w:color w:val="4C4D4F"/>
          <w:w w:val="115"/>
          <w:sz w:val="18"/>
        </w:rPr>
        <w:t>A.,</w:t>
      </w:r>
      <w:r>
        <w:rPr>
          <w:color w:val="4C4D4F"/>
          <w:spacing w:val="-21"/>
          <w:w w:val="115"/>
          <w:sz w:val="18"/>
        </w:rPr>
        <w:t> </w:t>
      </w:r>
      <w:r>
        <w:rPr>
          <w:color w:val="4C4D4F"/>
          <w:w w:val="115"/>
          <w:sz w:val="18"/>
        </w:rPr>
        <w:t>Fiellin,</w:t>
      </w:r>
      <w:r>
        <w:rPr>
          <w:color w:val="4C4D4F"/>
          <w:spacing w:val="-21"/>
          <w:w w:val="115"/>
          <w:sz w:val="18"/>
        </w:rPr>
        <w:t> </w:t>
      </w:r>
      <w:r>
        <w:rPr>
          <w:color w:val="4C4D4F"/>
          <w:w w:val="115"/>
          <w:sz w:val="18"/>
        </w:rPr>
        <w:t>D.</w:t>
      </w:r>
      <w:r>
        <w:rPr>
          <w:color w:val="4C4D4F"/>
          <w:spacing w:val="-21"/>
          <w:w w:val="115"/>
          <w:sz w:val="18"/>
        </w:rPr>
        <w:t> </w:t>
      </w:r>
      <w:r>
        <w:rPr>
          <w:color w:val="4C4D4F"/>
          <w:w w:val="115"/>
          <w:sz w:val="18"/>
        </w:rPr>
        <w:t>A.,</w:t>
      </w:r>
      <w:r>
        <w:rPr>
          <w:color w:val="4C4D4F"/>
          <w:spacing w:val="-21"/>
          <w:w w:val="115"/>
          <w:sz w:val="18"/>
        </w:rPr>
        <w:t> </w:t>
      </w:r>
      <w:r>
        <w:rPr>
          <w:color w:val="4C4D4F"/>
          <w:w w:val="115"/>
          <w:sz w:val="18"/>
        </w:rPr>
        <w:t>Compton, </w:t>
      </w:r>
      <w:r>
        <w:rPr>
          <w:color w:val="4C4D4F"/>
          <w:spacing w:val="-11"/>
          <w:w w:val="115"/>
          <w:sz w:val="18"/>
        </w:rPr>
        <w:t>P.,</w:t>
      </w:r>
      <w:r>
        <w:rPr>
          <w:color w:val="4C4D4F"/>
          <w:spacing w:val="-22"/>
          <w:w w:val="115"/>
          <w:sz w:val="18"/>
        </w:rPr>
        <w:t> </w:t>
      </w:r>
      <w:r>
        <w:rPr>
          <w:color w:val="4C4D4F"/>
          <w:spacing w:val="-3"/>
          <w:w w:val="115"/>
          <w:sz w:val="18"/>
        </w:rPr>
        <w:t>Farrar,</w:t>
      </w:r>
      <w:r>
        <w:rPr>
          <w:color w:val="4C4D4F"/>
          <w:spacing w:val="-22"/>
          <w:w w:val="115"/>
          <w:sz w:val="18"/>
        </w:rPr>
        <w:t> </w:t>
      </w:r>
      <w:r>
        <w:rPr>
          <w:color w:val="4C4D4F"/>
          <w:w w:val="135"/>
          <w:sz w:val="18"/>
        </w:rPr>
        <w:t>J.</w:t>
      </w:r>
      <w:r>
        <w:rPr>
          <w:color w:val="4C4D4F"/>
          <w:spacing w:val="-32"/>
          <w:w w:val="135"/>
          <w:sz w:val="18"/>
        </w:rPr>
        <w:t> </w:t>
      </w:r>
      <w:r>
        <w:rPr>
          <w:color w:val="4C4D4F"/>
          <w:spacing w:val="-7"/>
          <w:w w:val="115"/>
          <w:sz w:val="18"/>
        </w:rPr>
        <w:t>T.,</w:t>
      </w:r>
      <w:r>
        <w:rPr>
          <w:color w:val="4C4D4F"/>
          <w:spacing w:val="-22"/>
          <w:w w:val="115"/>
          <w:sz w:val="18"/>
        </w:rPr>
        <w:t> </w:t>
      </w:r>
      <w:r>
        <w:rPr>
          <w:color w:val="4C4D4F"/>
          <w:w w:val="115"/>
          <w:sz w:val="18"/>
        </w:rPr>
        <w:t>Haigney,</w:t>
      </w:r>
      <w:r>
        <w:rPr>
          <w:color w:val="4C4D4F"/>
          <w:spacing w:val="-21"/>
          <w:w w:val="115"/>
          <w:sz w:val="18"/>
        </w:rPr>
        <w:t> </w:t>
      </w:r>
      <w:r>
        <w:rPr>
          <w:color w:val="4C4D4F"/>
          <w:w w:val="115"/>
          <w:sz w:val="18"/>
        </w:rPr>
        <w:t>M.</w:t>
      </w:r>
      <w:r>
        <w:rPr>
          <w:color w:val="4C4D4F"/>
          <w:spacing w:val="-22"/>
          <w:w w:val="115"/>
          <w:sz w:val="18"/>
        </w:rPr>
        <w:t> </w:t>
      </w:r>
      <w:r>
        <w:rPr>
          <w:color w:val="4C4D4F"/>
          <w:w w:val="115"/>
          <w:sz w:val="18"/>
        </w:rPr>
        <w:t>C.,</w:t>
      </w:r>
      <w:r>
        <w:rPr>
          <w:color w:val="4C4D4F"/>
          <w:spacing w:val="-22"/>
          <w:w w:val="115"/>
          <w:sz w:val="18"/>
        </w:rPr>
        <w:t> </w:t>
      </w:r>
      <w:r>
        <w:rPr>
          <w:color w:val="4C4D4F"/>
          <w:w w:val="115"/>
          <w:sz w:val="18"/>
        </w:rPr>
        <w:t>…</w:t>
      </w:r>
      <w:r>
        <w:rPr>
          <w:color w:val="4C4D4F"/>
          <w:spacing w:val="-22"/>
          <w:w w:val="115"/>
          <w:sz w:val="18"/>
        </w:rPr>
        <w:t> </w:t>
      </w:r>
      <w:r>
        <w:rPr>
          <w:color w:val="4C4D4F"/>
          <w:spacing w:val="-3"/>
          <w:w w:val="115"/>
          <w:sz w:val="18"/>
        </w:rPr>
        <w:t>Zeltzer,</w:t>
      </w:r>
      <w:r>
        <w:rPr>
          <w:color w:val="4C4D4F"/>
          <w:spacing w:val="-21"/>
          <w:w w:val="115"/>
          <w:sz w:val="18"/>
        </w:rPr>
        <w:t> </w:t>
      </w:r>
      <w:r>
        <w:rPr>
          <w:color w:val="4C4D4F"/>
          <w:w w:val="115"/>
          <w:sz w:val="18"/>
        </w:rPr>
        <w:t>L.</w:t>
      </w:r>
      <w:r>
        <w:rPr>
          <w:color w:val="4C4D4F"/>
          <w:spacing w:val="-22"/>
          <w:w w:val="115"/>
          <w:sz w:val="18"/>
        </w:rPr>
        <w:t> </w:t>
      </w:r>
      <w:r>
        <w:rPr>
          <w:color w:val="4C4D4F"/>
          <w:spacing w:val="-3"/>
          <w:w w:val="115"/>
          <w:sz w:val="18"/>
        </w:rPr>
        <w:t>(2014).</w:t>
      </w:r>
    </w:p>
    <w:p>
      <w:pPr>
        <w:spacing w:line="247" w:lineRule="auto" w:before="2"/>
        <w:ind w:left="500" w:right="342" w:firstLine="0"/>
        <w:jc w:val="left"/>
        <w:rPr>
          <w:sz w:val="18"/>
        </w:rPr>
      </w:pPr>
      <w:r>
        <w:rPr>
          <w:color w:val="4C4D4F"/>
          <w:w w:val="110"/>
          <w:sz w:val="18"/>
        </w:rPr>
        <w:t>Methadone safety: A clinical practice guideline from the American Pain Society and College on Problems of Drug Dependence, in collaboration with the Heart Rhythm Society. </w:t>
      </w:r>
      <w:r>
        <w:rPr>
          <w:rFonts w:ascii="Arial" w:hAnsi="Arial"/>
          <w:i/>
          <w:color w:val="4C4D4F"/>
          <w:w w:val="110"/>
          <w:sz w:val="18"/>
        </w:rPr>
        <w:t>Journal of Pain, 15</w:t>
      </w:r>
      <w:r>
        <w:rPr>
          <w:color w:val="4C4D4F"/>
          <w:w w:val="110"/>
          <w:sz w:val="18"/>
        </w:rPr>
        <w:t>(4), 321–337.</w:t>
      </w:r>
    </w:p>
    <w:p>
      <w:pPr>
        <w:pStyle w:val="ListParagraph"/>
        <w:numPr>
          <w:ilvl w:val="0"/>
          <w:numId w:val="51"/>
        </w:numPr>
        <w:tabs>
          <w:tab w:pos="500" w:val="left" w:leader="none"/>
        </w:tabs>
        <w:spacing w:line="247" w:lineRule="auto" w:before="74" w:after="0"/>
        <w:ind w:left="500" w:right="235" w:hanging="360"/>
        <w:jc w:val="left"/>
        <w:rPr>
          <w:color w:val="4C4D4F"/>
          <w:sz w:val="18"/>
        </w:rPr>
      </w:pPr>
      <w:r>
        <w:rPr>
          <w:color w:val="4C4D4F"/>
          <w:spacing w:val="-3"/>
          <w:w w:val="115"/>
          <w:sz w:val="18"/>
        </w:rPr>
        <w:t>Bednar, </w:t>
      </w:r>
      <w:r>
        <w:rPr>
          <w:color w:val="4C4D4F"/>
          <w:w w:val="115"/>
          <w:sz w:val="18"/>
        </w:rPr>
        <w:t>M. M., Harrigan, E. </w:t>
      </w:r>
      <w:r>
        <w:rPr>
          <w:color w:val="4C4D4F"/>
          <w:spacing w:val="-11"/>
          <w:w w:val="115"/>
          <w:sz w:val="18"/>
        </w:rPr>
        <w:t>P., </w:t>
      </w:r>
      <w:r>
        <w:rPr>
          <w:color w:val="4C4D4F"/>
          <w:w w:val="115"/>
          <w:sz w:val="18"/>
        </w:rPr>
        <w:t>&amp; Ruskin, </w:t>
      </w:r>
      <w:r>
        <w:rPr>
          <w:color w:val="4C4D4F"/>
          <w:w w:val="135"/>
          <w:sz w:val="18"/>
        </w:rPr>
        <w:t>J. </w:t>
      </w:r>
      <w:r>
        <w:rPr>
          <w:color w:val="4C4D4F"/>
          <w:w w:val="115"/>
          <w:sz w:val="18"/>
        </w:rPr>
        <w:t>N. (2002). </w:t>
      </w:r>
      <w:r>
        <w:rPr>
          <w:color w:val="4C4D4F"/>
          <w:spacing w:val="-3"/>
          <w:w w:val="110"/>
          <w:sz w:val="18"/>
        </w:rPr>
        <w:t>Torsades </w:t>
      </w:r>
      <w:r>
        <w:rPr>
          <w:color w:val="4C4D4F"/>
          <w:w w:val="110"/>
          <w:sz w:val="18"/>
        </w:rPr>
        <w:t>de pointes associated with nonantiarrhythmic </w:t>
      </w:r>
      <w:r>
        <w:rPr>
          <w:color w:val="4C4D4F"/>
          <w:w w:val="115"/>
          <w:sz w:val="18"/>
        </w:rPr>
        <w:t>drugs</w:t>
      </w:r>
      <w:r>
        <w:rPr>
          <w:color w:val="4C4D4F"/>
          <w:spacing w:val="-31"/>
          <w:w w:val="115"/>
          <w:sz w:val="18"/>
        </w:rPr>
        <w:t> </w:t>
      </w:r>
      <w:r>
        <w:rPr>
          <w:color w:val="4C4D4F"/>
          <w:w w:val="115"/>
          <w:sz w:val="18"/>
        </w:rPr>
        <w:t>and</w:t>
      </w:r>
      <w:r>
        <w:rPr>
          <w:color w:val="4C4D4F"/>
          <w:spacing w:val="-30"/>
          <w:w w:val="115"/>
          <w:sz w:val="18"/>
        </w:rPr>
        <w:t> </w:t>
      </w:r>
      <w:r>
        <w:rPr>
          <w:color w:val="4C4D4F"/>
          <w:w w:val="115"/>
          <w:sz w:val="18"/>
        </w:rPr>
        <w:t>observations</w:t>
      </w:r>
      <w:r>
        <w:rPr>
          <w:color w:val="4C4D4F"/>
          <w:spacing w:val="-30"/>
          <w:w w:val="115"/>
          <w:sz w:val="18"/>
        </w:rPr>
        <w:t> </w:t>
      </w:r>
      <w:r>
        <w:rPr>
          <w:color w:val="4C4D4F"/>
          <w:w w:val="115"/>
          <w:sz w:val="18"/>
        </w:rPr>
        <w:t>on</w:t>
      </w:r>
      <w:r>
        <w:rPr>
          <w:color w:val="4C4D4F"/>
          <w:spacing w:val="-30"/>
          <w:w w:val="115"/>
          <w:sz w:val="18"/>
        </w:rPr>
        <w:t> </w:t>
      </w:r>
      <w:r>
        <w:rPr>
          <w:color w:val="4C4D4F"/>
          <w:w w:val="115"/>
          <w:sz w:val="18"/>
        </w:rPr>
        <w:t>gender</w:t>
      </w:r>
      <w:r>
        <w:rPr>
          <w:color w:val="4C4D4F"/>
          <w:spacing w:val="-30"/>
          <w:w w:val="115"/>
          <w:sz w:val="18"/>
        </w:rPr>
        <w:t> </w:t>
      </w:r>
      <w:r>
        <w:rPr>
          <w:color w:val="4C4D4F"/>
          <w:w w:val="115"/>
          <w:sz w:val="18"/>
        </w:rPr>
        <w:t>and</w:t>
      </w:r>
      <w:r>
        <w:rPr>
          <w:color w:val="4C4D4F"/>
          <w:spacing w:val="-30"/>
          <w:w w:val="115"/>
          <w:sz w:val="18"/>
        </w:rPr>
        <w:t> </w:t>
      </w:r>
      <w:r>
        <w:rPr>
          <w:color w:val="4C4D4F"/>
          <w:spacing w:val="-5"/>
          <w:w w:val="115"/>
          <w:sz w:val="18"/>
        </w:rPr>
        <w:t>QTc.</w:t>
      </w:r>
      <w:r>
        <w:rPr>
          <w:color w:val="4C4D4F"/>
          <w:spacing w:val="-31"/>
          <w:w w:val="115"/>
          <w:sz w:val="18"/>
        </w:rPr>
        <w:t> </w:t>
      </w:r>
      <w:r>
        <w:rPr>
          <w:rFonts w:ascii="Arial" w:hAnsi="Arial"/>
          <w:i/>
          <w:color w:val="4C4D4F"/>
          <w:w w:val="115"/>
          <w:sz w:val="18"/>
        </w:rPr>
        <w:t>American </w:t>
      </w:r>
      <w:r>
        <w:rPr>
          <w:rFonts w:ascii="Arial" w:hAnsi="Arial"/>
          <w:i/>
          <w:color w:val="4C4D4F"/>
          <w:w w:val="115"/>
          <w:sz w:val="18"/>
        </w:rPr>
        <w:t>Journal</w:t>
      </w:r>
      <w:r>
        <w:rPr>
          <w:rFonts w:ascii="Arial" w:hAnsi="Arial"/>
          <w:i/>
          <w:color w:val="4C4D4F"/>
          <w:spacing w:val="-21"/>
          <w:w w:val="115"/>
          <w:sz w:val="18"/>
        </w:rPr>
        <w:t> </w:t>
      </w:r>
      <w:r>
        <w:rPr>
          <w:rFonts w:ascii="Arial" w:hAnsi="Arial"/>
          <w:i/>
          <w:color w:val="4C4D4F"/>
          <w:w w:val="115"/>
          <w:sz w:val="18"/>
        </w:rPr>
        <w:t>of</w:t>
      </w:r>
      <w:r>
        <w:rPr>
          <w:rFonts w:ascii="Arial" w:hAnsi="Arial"/>
          <w:i/>
          <w:color w:val="4C4D4F"/>
          <w:spacing w:val="-20"/>
          <w:w w:val="115"/>
          <w:sz w:val="18"/>
        </w:rPr>
        <w:t> </w:t>
      </w:r>
      <w:r>
        <w:rPr>
          <w:rFonts w:ascii="Arial" w:hAnsi="Arial"/>
          <w:i/>
          <w:color w:val="4C4D4F"/>
          <w:w w:val="115"/>
          <w:sz w:val="18"/>
        </w:rPr>
        <w:t>Cardiology,</w:t>
      </w:r>
      <w:r>
        <w:rPr>
          <w:rFonts w:ascii="Arial" w:hAnsi="Arial"/>
          <w:i/>
          <w:color w:val="4C4D4F"/>
          <w:spacing w:val="-20"/>
          <w:w w:val="115"/>
          <w:sz w:val="18"/>
        </w:rPr>
        <w:t> </w:t>
      </w:r>
      <w:r>
        <w:rPr>
          <w:rFonts w:ascii="Arial" w:hAnsi="Arial"/>
          <w:i/>
          <w:color w:val="4C4D4F"/>
          <w:w w:val="115"/>
          <w:sz w:val="18"/>
        </w:rPr>
        <w:t>89</w:t>
      </w:r>
      <w:r>
        <w:rPr>
          <w:color w:val="4C4D4F"/>
          <w:w w:val="115"/>
          <w:sz w:val="18"/>
        </w:rPr>
        <w:t>(11),</w:t>
      </w:r>
      <w:r>
        <w:rPr>
          <w:color w:val="4C4D4F"/>
          <w:spacing w:val="-21"/>
          <w:w w:val="115"/>
          <w:sz w:val="18"/>
        </w:rPr>
        <w:t> </w:t>
      </w:r>
      <w:r>
        <w:rPr>
          <w:color w:val="4C4D4F"/>
          <w:w w:val="115"/>
          <w:sz w:val="18"/>
        </w:rPr>
        <w:t>1316–1319.</w:t>
      </w:r>
    </w:p>
    <w:p>
      <w:pPr>
        <w:pStyle w:val="ListParagraph"/>
        <w:numPr>
          <w:ilvl w:val="0"/>
          <w:numId w:val="51"/>
        </w:numPr>
        <w:tabs>
          <w:tab w:pos="500" w:val="left" w:leader="none"/>
        </w:tabs>
        <w:spacing w:line="247" w:lineRule="auto" w:before="73" w:after="0"/>
        <w:ind w:left="500" w:right="279" w:hanging="360"/>
        <w:jc w:val="left"/>
        <w:rPr>
          <w:color w:val="4C4D4F"/>
          <w:sz w:val="18"/>
        </w:rPr>
      </w:pPr>
      <w:r>
        <w:rPr>
          <w:color w:val="4C4D4F"/>
          <w:w w:val="110"/>
          <w:sz w:val="18"/>
        </w:rPr>
        <w:t>Al-Khatib, S. M., LaPointe, N. M. A., </w:t>
      </w:r>
      <w:r>
        <w:rPr>
          <w:color w:val="4C4D4F"/>
          <w:spacing w:val="-3"/>
          <w:w w:val="110"/>
          <w:sz w:val="18"/>
        </w:rPr>
        <w:t>Kramer, </w:t>
      </w:r>
      <w:r>
        <w:rPr>
          <w:color w:val="4C4D4F"/>
          <w:w w:val="135"/>
          <w:sz w:val="18"/>
        </w:rPr>
        <w:t>J. </w:t>
      </w:r>
      <w:r>
        <w:rPr>
          <w:color w:val="4C4D4F"/>
          <w:w w:val="110"/>
          <w:sz w:val="18"/>
        </w:rPr>
        <w:t>M., &amp; Califf, R. M. (2003). What clinicians should know</w:t>
      </w:r>
      <w:r>
        <w:rPr>
          <w:color w:val="4C4D4F"/>
          <w:spacing w:val="-35"/>
          <w:w w:val="110"/>
          <w:sz w:val="18"/>
        </w:rPr>
        <w:t> </w:t>
      </w:r>
      <w:r>
        <w:rPr>
          <w:color w:val="4C4D4F"/>
          <w:spacing w:val="-4"/>
          <w:w w:val="110"/>
          <w:sz w:val="18"/>
        </w:rPr>
        <w:t>about </w:t>
      </w:r>
      <w:r>
        <w:rPr>
          <w:color w:val="4C4D4F"/>
          <w:w w:val="110"/>
          <w:sz w:val="18"/>
        </w:rPr>
        <w:t>the</w:t>
      </w:r>
      <w:r>
        <w:rPr>
          <w:color w:val="4C4D4F"/>
          <w:spacing w:val="-10"/>
          <w:w w:val="110"/>
          <w:sz w:val="18"/>
        </w:rPr>
        <w:t> </w:t>
      </w:r>
      <w:r>
        <w:rPr>
          <w:color w:val="4C4D4F"/>
          <w:w w:val="110"/>
          <w:sz w:val="18"/>
        </w:rPr>
        <w:t>QT</w:t>
      </w:r>
      <w:r>
        <w:rPr>
          <w:color w:val="4C4D4F"/>
          <w:spacing w:val="-9"/>
          <w:w w:val="110"/>
          <w:sz w:val="18"/>
        </w:rPr>
        <w:t> </w:t>
      </w:r>
      <w:r>
        <w:rPr>
          <w:color w:val="4C4D4F"/>
          <w:w w:val="110"/>
          <w:sz w:val="18"/>
        </w:rPr>
        <w:t>interval.</w:t>
      </w:r>
      <w:r>
        <w:rPr>
          <w:color w:val="4C4D4F"/>
          <w:spacing w:val="-10"/>
          <w:w w:val="110"/>
          <w:sz w:val="18"/>
        </w:rPr>
        <w:t> </w:t>
      </w:r>
      <w:r>
        <w:rPr>
          <w:rFonts w:ascii="Arial" w:hAnsi="Arial"/>
          <w:i/>
          <w:color w:val="4C4D4F"/>
          <w:w w:val="110"/>
          <w:sz w:val="18"/>
        </w:rPr>
        <w:t>JAMA,</w:t>
      </w:r>
      <w:r>
        <w:rPr>
          <w:rFonts w:ascii="Arial" w:hAnsi="Arial"/>
          <w:i/>
          <w:color w:val="4C4D4F"/>
          <w:spacing w:val="-9"/>
          <w:w w:val="110"/>
          <w:sz w:val="18"/>
        </w:rPr>
        <w:t> </w:t>
      </w:r>
      <w:r>
        <w:rPr>
          <w:rFonts w:ascii="Arial" w:hAnsi="Arial"/>
          <w:i/>
          <w:color w:val="4C4D4F"/>
          <w:w w:val="110"/>
          <w:sz w:val="18"/>
        </w:rPr>
        <w:t>289</w:t>
      </w:r>
      <w:r>
        <w:rPr>
          <w:color w:val="4C4D4F"/>
          <w:w w:val="110"/>
          <w:sz w:val="18"/>
        </w:rPr>
        <w:t>(16),</w:t>
      </w:r>
      <w:r>
        <w:rPr>
          <w:color w:val="4C4D4F"/>
          <w:spacing w:val="-9"/>
          <w:w w:val="110"/>
          <w:sz w:val="18"/>
        </w:rPr>
        <w:t> </w:t>
      </w:r>
      <w:r>
        <w:rPr>
          <w:color w:val="4C4D4F"/>
          <w:w w:val="110"/>
          <w:sz w:val="18"/>
        </w:rPr>
        <w:t>2120–2127.</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5"/>
          <w:sz w:val="18"/>
        </w:rPr>
        <w:t>Martin,</w:t>
      </w:r>
      <w:r>
        <w:rPr>
          <w:color w:val="4C4D4F"/>
          <w:spacing w:val="-15"/>
          <w:w w:val="115"/>
          <w:sz w:val="18"/>
        </w:rPr>
        <w:t> </w:t>
      </w:r>
      <w:r>
        <w:rPr>
          <w:color w:val="4C4D4F"/>
          <w:w w:val="135"/>
          <w:sz w:val="18"/>
        </w:rPr>
        <w:t>J.</w:t>
      </w:r>
      <w:r>
        <w:rPr>
          <w:color w:val="4C4D4F"/>
          <w:spacing w:val="-24"/>
          <w:w w:val="135"/>
          <w:sz w:val="18"/>
        </w:rPr>
        <w:t> </w:t>
      </w:r>
      <w:r>
        <w:rPr>
          <w:color w:val="4C4D4F"/>
          <w:w w:val="115"/>
          <w:sz w:val="18"/>
        </w:rPr>
        <w:t>A.,</w:t>
      </w:r>
      <w:r>
        <w:rPr>
          <w:color w:val="4C4D4F"/>
          <w:spacing w:val="-15"/>
          <w:w w:val="115"/>
          <w:sz w:val="18"/>
        </w:rPr>
        <w:t> </w:t>
      </w:r>
      <w:r>
        <w:rPr>
          <w:color w:val="4C4D4F"/>
          <w:w w:val="115"/>
          <w:sz w:val="18"/>
        </w:rPr>
        <w:t>Campbell,</w:t>
      </w:r>
      <w:r>
        <w:rPr>
          <w:color w:val="4C4D4F"/>
          <w:spacing w:val="-14"/>
          <w:w w:val="115"/>
          <w:sz w:val="18"/>
        </w:rPr>
        <w:t> </w:t>
      </w:r>
      <w:r>
        <w:rPr>
          <w:color w:val="4C4D4F"/>
          <w:w w:val="115"/>
          <w:sz w:val="18"/>
        </w:rPr>
        <w:t>A.,</w:t>
      </w:r>
      <w:r>
        <w:rPr>
          <w:color w:val="4C4D4F"/>
          <w:spacing w:val="-15"/>
          <w:w w:val="115"/>
          <w:sz w:val="18"/>
        </w:rPr>
        <w:t> </w:t>
      </w:r>
      <w:r>
        <w:rPr>
          <w:color w:val="4C4D4F"/>
          <w:w w:val="115"/>
          <w:sz w:val="18"/>
        </w:rPr>
        <w:t>Killip,</w:t>
      </w:r>
      <w:r>
        <w:rPr>
          <w:color w:val="4C4D4F"/>
          <w:spacing w:val="-14"/>
          <w:w w:val="115"/>
          <w:sz w:val="18"/>
        </w:rPr>
        <w:t> </w:t>
      </w:r>
      <w:r>
        <w:rPr>
          <w:color w:val="4C4D4F"/>
          <w:spacing w:val="-7"/>
          <w:w w:val="115"/>
          <w:sz w:val="18"/>
        </w:rPr>
        <w:t>T.,</w:t>
      </w:r>
      <w:r>
        <w:rPr>
          <w:color w:val="4C4D4F"/>
          <w:spacing w:val="-15"/>
          <w:w w:val="115"/>
          <w:sz w:val="18"/>
        </w:rPr>
        <w:t> </w:t>
      </w:r>
      <w:r>
        <w:rPr>
          <w:color w:val="4C4D4F"/>
          <w:w w:val="115"/>
          <w:sz w:val="18"/>
        </w:rPr>
        <w:t>Kotz,</w:t>
      </w:r>
      <w:r>
        <w:rPr>
          <w:color w:val="4C4D4F"/>
          <w:spacing w:val="-14"/>
          <w:w w:val="115"/>
          <w:sz w:val="18"/>
        </w:rPr>
        <w:t> </w:t>
      </w:r>
      <w:r>
        <w:rPr>
          <w:color w:val="4C4D4F"/>
          <w:w w:val="115"/>
          <w:sz w:val="18"/>
        </w:rPr>
        <w:t>M.,</w:t>
      </w:r>
      <w:r>
        <w:rPr>
          <w:color w:val="4C4D4F"/>
          <w:spacing w:val="-15"/>
          <w:w w:val="115"/>
          <w:sz w:val="18"/>
        </w:rPr>
        <w:t> </w:t>
      </w:r>
      <w:r>
        <w:rPr>
          <w:color w:val="4C4D4F"/>
          <w:w w:val="115"/>
          <w:sz w:val="18"/>
        </w:rPr>
        <w:t>Krantz,</w:t>
      </w:r>
    </w:p>
    <w:p>
      <w:pPr>
        <w:spacing w:line="247" w:lineRule="auto" w:before="7"/>
        <w:ind w:left="500" w:right="239" w:firstLine="0"/>
        <w:jc w:val="left"/>
        <w:rPr>
          <w:sz w:val="18"/>
        </w:rPr>
      </w:pPr>
      <w:r>
        <w:rPr>
          <w:color w:val="4C4D4F"/>
          <w:w w:val="115"/>
          <w:sz w:val="18"/>
        </w:rPr>
        <w:t>M.</w:t>
      </w:r>
      <w:r>
        <w:rPr>
          <w:color w:val="4C4D4F"/>
          <w:spacing w:val="-23"/>
          <w:w w:val="115"/>
          <w:sz w:val="18"/>
        </w:rPr>
        <w:t> </w:t>
      </w:r>
      <w:r>
        <w:rPr>
          <w:color w:val="4C4D4F"/>
          <w:w w:val="120"/>
          <w:sz w:val="18"/>
        </w:rPr>
        <w:t>J.,</w:t>
      </w:r>
      <w:r>
        <w:rPr>
          <w:color w:val="4C4D4F"/>
          <w:spacing w:val="-26"/>
          <w:w w:val="120"/>
          <w:sz w:val="18"/>
        </w:rPr>
        <w:t> </w:t>
      </w:r>
      <w:r>
        <w:rPr>
          <w:color w:val="4C4D4F"/>
          <w:w w:val="115"/>
          <w:sz w:val="18"/>
        </w:rPr>
        <w:t>Kreek,</w:t>
      </w:r>
      <w:r>
        <w:rPr>
          <w:color w:val="4C4D4F"/>
          <w:spacing w:val="-23"/>
          <w:w w:val="115"/>
          <w:sz w:val="18"/>
        </w:rPr>
        <w:t> </w:t>
      </w:r>
      <w:r>
        <w:rPr>
          <w:color w:val="4C4D4F"/>
          <w:w w:val="115"/>
          <w:sz w:val="18"/>
        </w:rPr>
        <w:t>M.</w:t>
      </w:r>
      <w:r>
        <w:rPr>
          <w:color w:val="4C4D4F"/>
          <w:spacing w:val="-22"/>
          <w:w w:val="115"/>
          <w:sz w:val="18"/>
        </w:rPr>
        <w:t> </w:t>
      </w:r>
      <w:r>
        <w:rPr>
          <w:color w:val="4C4D4F"/>
          <w:w w:val="120"/>
          <w:sz w:val="18"/>
        </w:rPr>
        <w:t>J.,</w:t>
      </w:r>
      <w:r>
        <w:rPr>
          <w:color w:val="4C4D4F"/>
          <w:spacing w:val="-26"/>
          <w:w w:val="120"/>
          <w:sz w:val="18"/>
        </w:rPr>
        <w:t> </w:t>
      </w:r>
      <w:r>
        <w:rPr>
          <w:color w:val="4C4D4F"/>
          <w:w w:val="115"/>
          <w:sz w:val="18"/>
        </w:rPr>
        <w:t>…</w:t>
      </w:r>
      <w:r>
        <w:rPr>
          <w:color w:val="4C4D4F"/>
          <w:spacing w:val="-23"/>
          <w:w w:val="115"/>
          <w:sz w:val="18"/>
        </w:rPr>
        <w:t> </w:t>
      </w:r>
      <w:r>
        <w:rPr>
          <w:color w:val="4C4D4F"/>
          <w:w w:val="115"/>
          <w:sz w:val="18"/>
        </w:rPr>
        <w:t>Wilford,</w:t>
      </w:r>
      <w:r>
        <w:rPr>
          <w:color w:val="4C4D4F"/>
          <w:spacing w:val="-23"/>
          <w:w w:val="115"/>
          <w:sz w:val="18"/>
        </w:rPr>
        <w:t> </w:t>
      </w:r>
      <w:r>
        <w:rPr>
          <w:color w:val="4C4D4F"/>
          <w:w w:val="115"/>
          <w:sz w:val="18"/>
        </w:rPr>
        <w:t>B.</w:t>
      </w:r>
      <w:r>
        <w:rPr>
          <w:color w:val="4C4D4F"/>
          <w:spacing w:val="-22"/>
          <w:w w:val="115"/>
          <w:sz w:val="18"/>
        </w:rPr>
        <w:t> </w:t>
      </w:r>
      <w:r>
        <w:rPr>
          <w:color w:val="4C4D4F"/>
          <w:w w:val="115"/>
          <w:sz w:val="18"/>
        </w:rPr>
        <w:t>B.</w:t>
      </w:r>
      <w:r>
        <w:rPr>
          <w:color w:val="4C4D4F"/>
          <w:spacing w:val="-23"/>
          <w:w w:val="115"/>
          <w:sz w:val="18"/>
        </w:rPr>
        <w:t> </w:t>
      </w:r>
      <w:r>
        <w:rPr>
          <w:color w:val="4C4D4F"/>
          <w:w w:val="115"/>
          <w:sz w:val="18"/>
        </w:rPr>
        <w:t>(2011).</w:t>
      </w:r>
      <w:r>
        <w:rPr>
          <w:color w:val="4C4D4F"/>
          <w:spacing w:val="-23"/>
          <w:w w:val="115"/>
          <w:sz w:val="18"/>
        </w:rPr>
        <w:t> </w:t>
      </w:r>
      <w:r>
        <w:rPr>
          <w:color w:val="4C4D4F"/>
          <w:w w:val="115"/>
          <w:sz w:val="18"/>
        </w:rPr>
        <w:t>QT</w:t>
      </w:r>
      <w:r>
        <w:rPr>
          <w:color w:val="4C4D4F"/>
          <w:spacing w:val="-23"/>
          <w:w w:val="115"/>
          <w:sz w:val="18"/>
        </w:rPr>
        <w:t> </w:t>
      </w:r>
      <w:r>
        <w:rPr>
          <w:color w:val="4C4D4F"/>
          <w:w w:val="115"/>
          <w:sz w:val="18"/>
        </w:rPr>
        <w:t>interval screening in methadone maintenance treatment: Report of a SAMHSA expert panel. </w:t>
      </w:r>
      <w:r>
        <w:rPr>
          <w:rFonts w:ascii="Arial" w:hAnsi="Arial"/>
          <w:i/>
          <w:color w:val="4C4D4F"/>
          <w:w w:val="115"/>
          <w:sz w:val="18"/>
        </w:rPr>
        <w:t>Journal of </w:t>
      </w:r>
      <w:r>
        <w:rPr>
          <w:rFonts w:ascii="Arial" w:hAnsi="Arial"/>
          <w:i/>
          <w:color w:val="4C4D4F"/>
          <w:w w:val="115"/>
          <w:sz w:val="18"/>
        </w:rPr>
        <w:t>Addictive</w:t>
      </w:r>
      <w:r>
        <w:rPr>
          <w:rFonts w:ascii="Arial" w:hAnsi="Arial"/>
          <w:i/>
          <w:color w:val="4C4D4F"/>
          <w:spacing w:val="-17"/>
          <w:w w:val="115"/>
          <w:sz w:val="18"/>
        </w:rPr>
        <w:t> </w:t>
      </w:r>
      <w:r>
        <w:rPr>
          <w:rFonts w:ascii="Arial" w:hAnsi="Arial"/>
          <w:i/>
          <w:color w:val="4C4D4F"/>
          <w:w w:val="115"/>
          <w:sz w:val="18"/>
        </w:rPr>
        <w:t>Diseases,</w:t>
      </w:r>
      <w:r>
        <w:rPr>
          <w:rFonts w:ascii="Arial" w:hAnsi="Arial"/>
          <w:i/>
          <w:color w:val="4C4D4F"/>
          <w:spacing w:val="-17"/>
          <w:w w:val="115"/>
          <w:sz w:val="18"/>
        </w:rPr>
        <w:t> </w:t>
      </w:r>
      <w:r>
        <w:rPr>
          <w:rFonts w:ascii="Arial" w:hAnsi="Arial"/>
          <w:i/>
          <w:color w:val="4C4D4F"/>
          <w:w w:val="115"/>
          <w:sz w:val="18"/>
        </w:rPr>
        <w:t>30</w:t>
      </w:r>
      <w:r>
        <w:rPr>
          <w:color w:val="4C4D4F"/>
          <w:w w:val="115"/>
          <w:sz w:val="18"/>
        </w:rPr>
        <w:t>(4),</w:t>
      </w:r>
      <w:r>
        <w:rPr>
          <w:color w:val="4C4D4F"/>
          <w:spacing w:val="-17"/>
          <w:w w:val="115"/>
          <w:sz w:val="18"/>
        </w:rPr>
        <w:t> </w:t>
      </w:r>
      <w:r>
        <w:rPr>
          <w:color w:val="4C4D4F"/>
          <w:w w:val="115"/>
          <w:sz w:val="18"/>
        </w:rPr>
        <w:t>283–306.</w:t>
      </w:r>
    </w:p>
    <w:p>
      <w:pPr>
        <w:pStyle w:val="ListParagraph"/>
        <w:numPr>
          <w:ilvl w:val="0"/>
          <w:numId w:val="51"/>
        </w:numPr>
        <w:tabs>
          <w:tab w:pos="500" w:val="left" w:leader="none"/>
        </w:tabs>
        <w:spacing w:line="247" w:lineRule="auto" w:before="73" w:after="0"/>
        <w:ind w:left="500" w:right="412" w:hanging="360"/>
        <w:jc w:val="left"/>
        <w:rPr>
          <w:color w:val="4C4D4F"/>
          <w:sz w:val="18"/>
        </w:rPr>
      </w:pPr>
      <w:r>
        <w:rPr>
          <w:color w:val="4C4D4F"/>
          <w:w w:val="110"/>
          <w:sz w:val="18"/>
        </w:rPr>
        <w:t>Bazett, H. C. (1997). An analysis of the </w:t>
      </w:r>
      <w:r>
        <w:rPr>
          <w:color w:val="4C4D4F"/>
          <w:spacing w:val="-3"/>
          <w:w w:val="110"/>
          <w:sz w:val="18"/>
        </w:rPr>
        <w:t>time-relations </w:t>
      </w:r>
      <w:r>
        <w:rPr>
          <w:color w:val="4C4D4F"/>
          <w:w w:val="110"/>
          <w:sz w:val="18"/>
        </w:rPr>
        <w:t>of electrocardiograms. </w:t>
      </w:r>
      <w:r>
        <w:rPr>
          <w:rFonts w:ascii="Arial" w:hAnsi="Arial"/>
          <w:i/>
          <w:color w:val="4C4D4F"/>
          <w:w w:val="110"/>
          <w:sz w:val="18"/>
        </w:rPr>
        <w:t>Annals of Noninvasive </w:t>
      </w:r>
      <w:r>
        <w:rPr>
          <w:rFonts w:ascii="Arial" w:hAnsi="Arial"/>
          <w:i/>
          <w:color w:val="4C4D4F"/>
          <w:w w:val="110"/>
          <w:sz w:val="18"/>
        </w:rPr>
        <w:t>Electrocardiology, 2</w:t>
      </w:r>
      <w:r>
        <w:rPr>
          <w:color w:val="4C4D4F"/>
          <w:w w:val="110"/>
          <w:sz w:val="18"/>
        </w:rPr>
        <w:t>(2),</w:t>
      </w:r>
      <w:r>
        <w:rPr>
          <w:color w:val="4C4D4F"/>
          <w:spacing w:val="-19"/>
          <w:w w:val="110"/>
          <w:sz w:val="18"/>
        </w:rPr>
        <w:t> </w:t>
      </w:r>
      <w:r>
        <w:rPr>
          <w:color w:val="4C4D4F"/>
          <w:w w:val="110"/>
          <w:sz w:val="18"/>
        </w:rPr>
        <w:t>177–194.</w:t>
      </w:r>
    </w:p>
    <w:p>
      <w:pPr>
        <w:pStyle w:val="ListParagraph"/>
        <w:numPr>
          <w:ilvl w:val="0"/>
          <w:numId w:val="51"/>
        </w:numPr>
        <w:tabs>
          <w:tab w:pos="500" w:val="left" w:leader="none"/>
        </w:tabs>
        <w:spacing w:line="240" w:lineRule="auto" w:before="71" w:after="0"/>
        <w:ind w:left="500" w:right="0" w:hanging="360"/>
        <w:jc w:val="left"/>
        <w:rPr>
          <w:color w:val="4C4D4F"/>
          <w:sz w:val="18"/>
        </w:rPr>
      </w:pPr>
      <w:r>
        <w:rPr>
          <w:color w:val="4C4D4F"/>
          <w:w w:val="115"/>
          <w:sz w:val="18"/>
        </w:rPr>
        <w:t>Martin,</w:t>
      </w:r>
      <w:r>
        <w:rPr>
          <w:color w:val="4C4D4F"/>
          <w:spacing w:val="-15"/>
          <w:w w:val="115"/>
          <w:sz w:val="18"/>
        </w:rPr>
        <w:t> </w:t>
      </w:r>
      <w:r>
        <w:rPr>
          <w:color w:val="4C4D4F"/>
          <w:w w:val="135"/>
          <w:sz w:val="18"/>
        </w:rPr>
        <w:t>J.</w:t>
      </w:r>
      <w:r>
        <w:rPr>
          <w:color w:val="4C4D4F"/>
          <w:spacing w:val="-24"/>
          <w:w w:val="135"/>
          <w:sz w:val="18"/>
        </w:rPr>
        <w:t> </w:t>
      </w:r>
      <w:r>
        <w:rPr>
          <w:color w:val="4C4D4F"/>
          <w:w w:val="115"/>
          <w:sz w:val="18"/>
        </w:rPr>
        <w:t>A.,</w:t>
      </w:r>
      <w:r>
        <w:rPr>
          <w:color w:val="4C4D4F"/>
          <w:spacing w:val="-15"/>
          <w:w w:val="115"/>
          <w:sz w:val="18"/>
        </w:rPr>
        <w:t> </w:t>
      </w:r>
      <w:r>
        <w:rPr>
          <w:color w:val="4C4D4F"/>
          <w:w w:val="115"/>
          <w:sz w:val="18"/>
        </w:rPr>
        <w:t>Campbell,</w:t>
      </w:r>
      <w:r>
        <w:rPr>
          <w:color w:val="4C4D4F"/>
          <w:spacing w:val="-14"/>
          <w:w w:val="115"/>
          <w:sz w:val="18"/>
        </w:rPr>
        <w:t> </w:t>
      </w:r>
      <w:r>
        <w:rPr>
          <w:color w:val="4C4D4F"/>
          <w:w w:val="115"/>
          <w:sz w:val="18"/>
        </w:rPr>
        <w:t>A.,</w:t>
      </w:r>
      <w:r>
        <w:rPr>
          <w:color w:val="4C4D4F"/>
          <w:spacing w:val="-15"/>
          <w:w w:val="115"/>
          <w:sz w:val="18"/>
        </w:rPr>
        <w:t> </w:t>
      </w:r>
      <w:r>
        <w:rPr>
          <w:color w:val="4C4D4F"/>
          <w:w w:val="115"/>
          <w:sz w:val="18"/>
        </w:rPr>
        <w:t>Killip,</w:t>
      </w:r>
      <w:r>
        <w:rPr>
          <w:color w:val="4C4D4F"/>
          <w:spacing w:val="-14"/>
          <w:w w:val="115"/>
          <w:sz w:val="18"/>
        </w:rPr>
        <w:t> </w:t>
      </w:r>
      <w:r>
        <w:rPr>
          <w:color w:val="4C4D4F"/>
          <w:spacing w:val="-7"/>
          <w:w w:val="115"/>
          <w:sz w:val="18"/>
        </w:rPr>
        <w:t>T.,</w:t>
      </w:r>
      <w:r>
        <w:rPr>
          <w:color w:val="4C4D4F"/>
          <w:spacing w:val="-15"/>
          <w:w w:val="115"/>
          <w:sz w:val="18"/>
        </w:rPr>
        <w:t> </w:t>
      </w:r>
      <w:r>
        <w:rPr>
          <w:color w:val="4C4D4F"/>
          <w:w w:val="115"/>
          <w:sz w:val="18"/>
        </w:rPr>
        <w:t>Kotz,</w:t>
      </w:r>
      <w:r>
        <w:rPr>
          <w:color w:val="4C4D4F"/>
          <w:spacing w:val="-14"/>
          <w:w w:val="115"/>
          <w:sz w:val="18"/>
        </w:rPr>
        <w:t> </w:t>
      </w:r>
      <w:r>
        <w:rPr>
          <w:color w:val="4C4D4F"/>
          <w:w w:val="115"/>
          <w:sz w:val="18"/>
        </w:rPr>
        <w:t>M.,</w:t>
      </w:r>
      <w:r>
        <w:rPr>
          <w:color w:val="4C4D4F"/>
          <w:spacing w:val="-15"/>
          <w:w w:val="115"/>
          <w:sz w:val="18"/>
        </w:rPr>
        <w:t> </w:t>
      </w:r>
      <w:r>
        <w:rPr>
          <w:color w:val="4C4D4F"/>
          <w:w w:val="115"/>
          <w:sz w:val="18"/>
        </w:rPr>
        <w:t>Krantz,</w:t>
      </w:r>
    </w:p>
    <w:p>
      <w:pPr>
        <w:spacing w:line="247" w:lineRule="auto" w:before="8"/>
        <w:ind w:left="500" w:right="239" w:firstLine="0"/>
        <w:jc w:val="left"/>
        <w:rPr>
          <w:sz w:val="18"/>
        </w:rPr>
      </w:pPr>
      <w:r>
        <w:rPr>
          <w:color w:val="4C4D4F"/>
          <w:w w:val="115"/>
          <w:sz w:val="18"/>
        </w:rPr>
        <w:t>M.</w:t>
      </w:r>
      <w:r>
        <w:rPr>
          <w:color w:val="4C4D4F"/>
          <w:spacing w:val="-23"/>
          <w:w w:val="115"/>
          <w:sz w:val="18"/>
        </w:rPr>
        <w:t> </w:t>
      </w:r>
      <w:r>
        <w:rPr>
          <w:color w:val="4C4D4F"/>
          <w:w w:val="120"/>
          <w:sz w:val="18"/>
        </w:rPr>
        <w:t>J.,</w:t>
      </w:r>
      <w:r>
        <w:rPr>
          <w:color w:val="4C4D4F"/>
          <w:spacing w:val="-26"/>
          <w:w w:val="120"/>
          <w:sz w:val="18"/>
        </w:rPr>
        <w:t> </w:t>
      </w:r>
      <w:r>
        <w:rPr>
          <w:color w:val="4C4D4F"/>
          <w:w w:val="115"/>
          <w:sz w:val="18"/>
        </w:rPr>
        <w:t>Kreek,</w:t>
      </w:r>
      <w:r>
        <w:rPr>
          <w:color w:val="4C4D4F"/>
          <w:spacing w:val="-23"/>
          <w:w w:val="115"/>
          <w:sz w:val="18"/>
        </w:rPr>
        <w:t> </w:t>
      </w:r>
      <w:r>
        <w:rPr>
          <w:color w:val="4C4D4F"/>
          <w:w w:val="115"/>
          <w:sz w:val="18"/>
        </w:rPr>
        <w:t>M.</w:t>
      </w:r>
      <w:r>
        <w:rPr>
          <w:color w:val="4C4D4F"/>
          <w:spacing w:val="-22"/>
          <w:w w:val="115"/>
          <w:sz w:val="18"/>
        </w:rPr>
        <w:t> </w:t>
      </w:r>
      <w:r>
        <w:rPr>
          <w:color w:val="4C4D4F"/>
          <w:w w:val="120"/>
          <w:sz w:val="18"/>
        </w:rPr>
        <w:t>J.,</w:t>
      </w:r>
      <w:r>
        <w:rPr>
          <w:color w:val="4C4D4F"/>
          <w:spacing w:val="-26"/>
          <w:w w:val="120"/>
          <w:sz w:val="18"/>
        </w:rPr>
        <w:t> </w:t>
      </w:r>
      <w:r>
        <w:rPr>
          <w:color w:val="4C4D4F"/>
          <w:w w:val="115"/>
          <w:sz w:val="18"/>
        </w:rPr>
        <w:t>…</w:t>
      </w:r>
      <w:r>
        <w:rPr>
          <w:color w:val="4C4D4F"/>
          <w:spacing w:val="-23"/>
          <w:w w:val="115"/>
          <w:sz w:val="18"/>
        </w:rPr>
        <w:t> </w:t>
      </w:r>
      <w:r>
        <w:rPr>
          <w:color w:val="4C4D4F"/>
          <w:w w:val="115"/>
          <w:sz w:val="18"/>
        </w:rPr>
        <w:t>Wilford,</w:t>
      </w:r>
      <w:r>
        <w:rPr>
          <w:color w:val="4C4D4F"/>
          <w:spacing w:val="-23"/>
          <w:w w:val="115"/>
          <w:sz w:val="18"/>
        </w:rPr>
        <w:t> </w:t>
      </w:r>
      <w:r>
        <w:rPr>
          <w:color w:val="4C4D4F"/>
          <w:w w:val="115"/>
          <w:sz w:val="18"/>
        </w:rPr>
        <w:t>B.</w:t>
      </w:r>
      <w:r>
        <w:rPr>
          <w:color w:val="4C4D4F"/>
          <w:spacing w:val="-22"/>
          <w:w w:val="115"/>
          <w:sz w:val="18"/>
        </w:rPr>
        <w:t> </w:t>
      </w:r>
      <w:r>
        <w:rPr>
          <w:color w:val="4C4D4F"/>
          <w:w w:val="115"/>
          <w:sz w:val="18"/>
        </w:rPr>
        <w:t>B.</w:t>
      </w:r>
      <w:r>
        <w:rPr>
          <w:color w:val="4C4D4F"/>
          <w:spacing w:val="-23"/>
          <w:w w:val="115"/>
          <w:sz w:val="18"/>
        </w:rPr>
        <w:t> </w:t>
      </w:r>
      <w:r>
        <w:rPr>
          <w:color w:val="4C4D4F"/>
          <w:w w:val="115"/>
          <w:sz w:val="18"/>
        </w:rPr>
        <w:t>(2011).</w:t>
      </w:r>
      <w:r>
        <w:rPr>
          <w:color w:val="4C4D4F"/>
          <w:spacing w:val="-23"/>
          <w:w w:val="115"/>
          <w:sz w:val="18"/>
        </w:rPr>
        <w:t> </w:t>
      </w:r>
      <w:r>
        <w:rPr>
          <w:color w:val="4C4D4F"/>
          <w:w w:val="115"/>
          <w:sz w:val="18"/>
        </w:rPr>
        <w:t>QT</w:t>
      </w:r>
      <w:r>
        <w:rPr>
          <w:color w:val="4C4D4F"/>
          <w:spacing w:val="-23"/>
          <w:w w:val="115"/>
          <w:sz w:val="18"/>
        </w:rPr>
        <w:t> </w:t>
      </w:r>
      <w:r>
        <w:rPr>
          <w:color w:val="4C4D4F"/>
          <w:w w:val="115"/>
          <w:sz w:val="18"/>
        </w:rPr>
        <w:t>interval screening in methadone maintenance treatment: Report of a SAMHSA expert panel. </w:t>
      </w:r>
      <w:r>
        <w:rPr>
          <w:rFonts w:ascii="Arial" w:hAnsi="Arial"/>
          <w:i/>
          <w:color w:val="4C4D4F"/>
          <w:w w:val="115"/>
          <w:sz w:val="18"/>
        </w:rPr>
        <w:t>Journal of </w:t>
      </w:r>
      <w:r>
        <w:rPr>
          <w:rFonts w:ascii="Arial" w:hAnsi="Arial"/>
          <w:i/>
          <w:color w:val="4C4D4F"/>
          <w:w w:val="115"/>
          <w:sz w:val="18"/>
        </w:rPr>
        <w:t>Addictive</w:t>
      </w:r>
      <w:r>
        <w:rPr>
          <w:rFonts w:ascii="Arial" w:hAnsi="Arial"/>
          <w:i/>
          <w:color w:val="4C4D4F"/>
          <w:spacing w:val="-17"/>
          <w:w w:val="115"/>
          <w:sz w:val="18"/>
        </w:rPr>
        <w:t> </w:t>
      </w:r>
      <w:r>
        <w:rPr>
          <w:rFonts w:ascii="Arial" w:hAnsi="Arial"/>
          <w:i/>
          <w:color w:val="4C4D4F"/>
          <w:w w:val="115"/>
          <w:sz w:val="18"/>
        </w:rPr>
        <w:t>Diseases,</w:t>
      </w:r>
      <w:r>
        <w:rPr>
          <w:rFonts w:ascii="Arial" w:hAnsi="Arial"/>
          <w:i/>
          <w:color w:val="4C4D4F"/>
          <w:spacing w:val="-17"/>
          <w:w w:val="115"/>
          <w:sz w:val="18"/>
        </w:rPr>
        <w:t> </w:t>
      </w:r>
      <w:r>
        <w:rPr>
          <w:rFonts w:ascii="Arial" w:hAnsi="Arial"/>
          <w:i/>
          <w:color w:val="4C4D4F"/>
          <w:w w:val="115"/>
          <w:sz w:val="18"/>
        </w:rPr>
        <w:t>30</w:t>
      </w:r>
      <w:r>
        <w:rPr>
          <w:color w:val="4C4D4F"/>
          <w:w w:val="115"/>
          <w:sz w:val="18"/>
        </w:rPr>
        <w:t>(4),</w:t>
      </w:r>
      <w:r>
        <w:rPr>
          <w:color w:val="4C4D4F"/>
          <w:spacing w:val="-17"/>
          <w:w w:val="115"/>
          <w:sz w:val="18"/>
        </w:rPr>
        <w:t> </w:t>
      </w:r>
      <w:r>
        <w:rPr>
          <w:color w:val="4C4D4F"/>
          <w:w w:val="115"/>
          <w:sz w:val="18"/>
        </w:rPr>
        <w:t>283–306.</w:t>
      </w:r>
    </w:p>
    <w:p>
      <w:pPr>
        <w:pStyle w:val="ListParagraph"/>
        <w:numPr>
          <w:ilvl w:val="0"/>
          <w:numId w:val="51"/>
        </w:numPr>
        <w:tabs>
          <w:tab w:pos="500" w:val="left" w:leader="none"/>
        </w:tabs>
        <w:spacing w:line="247" w:lineRule="auto" w:before="73" w:after="0"/>
        <w:ind w:left="500" w:right="171" w:hanging="360"/>
        <w:jc w:val="left"/>
        <w:rPr>
          <w:color w:val="4C4D4F"/>
          <w:sz w:val="18"/>
        </w:rPr>
      </w:pPr>
      <w:r>
        <w:rPr>
          <w:color w:val="4C4D4F"/>
          <w:w w:val="115"/>
          <w:sz w:val="18"/>
        </w:rPr>
        <w:t>Mallinckrodt Pharmaceuticals. (2015). Methadose™ dispersible tablets, 40 mg (Methadone hydrochloride tablets</w:t>
      </w:r>
      <w:r>
        <w:rPr>
          <w:color w:val="4C4D4F"/>
          <w:spacing w:val="-31"/>
          <w:w w:val="115"/>
          <w:sz w:val="18"/>
        </w:rPr>
        <w:t> </w:t>
      </w:r>
      <w:r>
        <w:rPr>
          <w:color w:val="4C4D4F"/>
          <w:w w:val="115"/>
          <w:sz w:val="18"/>
        </w:rPr>
        <w:t>for</w:t>
      </w:r>
      <w:r>
        <w:rPr>
          <w:color w:val="4C4D4F"/>
          <w:spacing w:val="-30"/>
          <w:w w:val="115"/>
          <w:sz w:val="18"/>
        </w:rPr>
        <w:t> </w:t>
      </w:r>
      <w:r>
        <w:rPr>
          <w:color w:val="4C4D4F"/>
          <w:w w:val="115"/>
          <w:sz w:val="18"/>
        </w:rPr>
        <w:t>oral</w:t>
      </w:r>
      <w:r>
        <w:rPr>
          <w:color w:val="4C4D4F"/>
          <w:spacing w:val="-30"/>
          <w:w w:val="115"/>
          <w:sz w:val="18"/>
        </w:rPr>
        <w:t> </w:t>
      </w:r>
      <w:r>
        <w:rPr>
          <w:color w:val="4C4D4F"/>
          <w:w w:val="115"/>
          <w:sz w:val="18"/>
        </w:rPr>
        <w:t>suspension</w:t>
      </w:r>
      <w:r>
        <w:rPr>
          <w:color w:val="4C4D4F"/>
          <w:spacing w:val="-30"/>
          <w:w w:val="115"/>
          <w:sz w:val="18"/>
        </w:rPr>
        <w:t> </w:t>
      </w:r>
      <w:r>
        <w:rPr>
          <w:color w:val="4C4D4F"/>
          <w:w w:val="115"/>
          <w:sz w:val="18"/>
        </w:rPr>
        <w:t>USP),</w:t>
      </w:r>
      <w:r>
        <w:rPr>
          <w:color w:val="4C4D4F"/>
          <w:spacing w:val="-30"/>
          <w:w w:val="115"/>
          <w:sz w:val="18"/>
        </w:rPr>
        <w:t> </w:t>
      </w:r>
      <w:r>
        <w:rPr>
          <w:color w:val="4C4D4F"/>
          <w:w w:val="115"/>
          <w:sz w:val="18"/>
        </w:rPr>
        <w:t>CII</w:t>
      </w:r>
      <w:r>
        <w:rPr>
          <w:color w:val="4C4D4F"/>
          <w:spacing w:val="-30"/>
          <w:w w:val="115"/>
          <w:sz w:val="18"/>
        </w:rPr>
        <w:t> </w:t>
      </w:r>
      <w:r>
        <w:rPr>
          <w:color w:val="4C4D4F"/>
          <w:w w:val="115"/>
          <w:sz w:val="18"/>
        </w:rPr>
        <w:t>-</w:t>
      </w:r>
      <w:r>
        <w:rPr>
          <w:color w:val="4C4D4F"/>
          <w:spacing w:val="-30"/>
          <w:w w:val="115"/>
          <w:sz w:val="18"/>
        </w:rPr>
        <w:t> </w:t>
      </w:r>
      <w:r>
        <w:rPr>
          <w:color w:val="4C4D4F"/>
          <w:w w:val="115"/>
          <w:sz w:val="18"/>
        </w:rPr>
        <w:t>Generic</w:t>
      </w:r>
      <w:r>
        <w:rPr>
          <w:color w:val="4C4D4F"/>
          <w:spacing w:val="-31"/>
          <w:w w:val="115"/>
          <w:sz w:val="18"/>
        </w:rPr>
        <w:t> </w:t>
      </w:r>
      <w:r>
        <w:rPr>
          <w:color w:val="4C4D4F"/>
          <w:spacing w:val="-3"/>
          <w:w w:val="115"/>
          <w:sz w:val="18"/>
        </w:rPr>
        <w:t>products. </w:t>
      </w:r>
      <w:r>
        <w:rPr>
          <w:color w:val="4C4D4F"/>
          <w:w w:val="115"/>
          <w:sz w:val="18"/>
        </w:rPr>
        <w:t>Retrieved</w:t>
      </w:r>
      <w:r>
        <w:rPr>
          <w:color w:val="4C4D4F"/>
          <w:spacing w:val="-31"/>
          <w:w w:val="115"/>
          <w:sz w:val="18"/>
        </w:rPr>
        <w:t> </w:t>
      </w:r>
      <w:r>
        <w:rPr>
          <w:color w:val="4C4D4F"/>
          <w:w w:val="115"/>
          <w:sz w:val="18"/>
        </w:rPr>
        <w:t>October</w:t>
      </w:r>
      <w:r>
        <w:rPr>
          <w:color w:val="4C4D4F"/>
          <w:spacing w:val="-31"/>
          <w:w w:val="115"/>
          <w:sz w:val="18"/>
        </w:rPr>
        <w:t> </w:t>
      </w:r>
      <w:r>
        <w:rPr>
          <w:color w:val="4C4D4F"/>
          <w:w w:val="115"/>
          <w:sz w:val="18"/>
        </w:rPr>
        <w:t>16,</w:t>
      </w:r>
      <w:r>
        <w:rPr>
          <w:color w:val="4C4D4F"/>
          <w:spacing w:val="-30"/>
          <w:w w:val="115"/>
          <w:sz w:val="18"/>
        </w:rPr>
        <w:t> </w:t>
      </w:r>
      <w:r>
        <w:rPr>
          <w:color w:val="4C4D4F"/>
          <w:w w:val="115"/>
          <w:sz w:val="18"/>
        </w:rPr>
        <w:t>2017,</w:t>
      </w:r>
      <w:r>
        <w:rPr>
          <w:color w:val="4C4D4F"/>
          <w:spacing w:val="-31"/>
          <w:w w:val="115"/>
          <w:sz w:val="18"/>
        </w:rPr>
        <w:t> </w:t>
      </w:r>
      <w:r>
        <w:rPr>
          <w:color w:val="4C4D4F"/>
          <w:w w:val="115"/>
          <w:sz w:val="18"/>
        </w:rPr>
        <w:t>from</w:t>
      </w:r>
      <w:r>
        <w:rPr>
          <w:color w:val="205E9E"/>
          <w:spacing w:val="-31"/>
          <w:w w:val="115"/>
          <w:sz w:val="18"/>
        </w:rPr>
        <w:t> </w:t>
      </w:r>
      <w:r>
        <w:rPr>
          <w:color w:val="205E9E"/>
          <w:w w:val="115"/>
          <w:sz w:val="18"/>
          <w:u w:val="single" w:color="205E9E"/>
        </w:rPr>
        <w:t>https://dailymed.nlm</w:t>
      </w:r>
    </w:p>
    <w:p>
      <w:pPr>
        <w:spacing w:before="4"/>
        <w:ind w:left="500" w:right="0" w:firstLine="0"/>
        <w:jc w:val="left"/>
        <w:rPr>
          <w:sz w:val="18"/>
        </w:rPr>
      </w:pPr>
      <w:r>
        <w:rPr>
          <w:color w:val="205E9E"/>
          <w:w w:val="115"/>
          <w:sz w:val="18"/>
          <w:u w:val="single" w:color="205E9E"/>
        </w:rPr>
        <w:t>.nih.gov/dailymed/archives/fdaDrugInfo.cfm?archiveid</w:t>
      </w:r>
    </w:p>
    <w:p>
      <w:pPr>
        <w:spacing w:before="7"/>
        <w:ind w:left="500" w:right="0" w:firstLine="0"/>
        <w:jc w:val="left"/>
        <w:rPr>
          <w:sz w:val="18"/>
        </w:rPr>
      </w:pPr>
      <w:r>
        <w:rPr>
          <w:color w:val="205E9E"/>
          <w:w w:val="110"/>
          <w:sz w:val="18"/>
          <w:u w:val="single" w:color="205E9E"/>
        </w:rPr>
        <w:t>=8731</w:t>
      </w:r>
    </w:p>
    <w:p>
      <w:pPr>
        <w:pStyle w:val="ListParagraph"/>
        <w:numPr>
          <w:ilvl w:val="0"/>
          <w:numId w:val="51"/>
        </w:numPr>
        <w:tabs>
          <w:tab w:pos="500" w:val="left" w:leader="none"/>
        </w:tabs>
        <w:spacing w:line="247" w:lineRule="auto" w:before="79" w:after="0"/>
        <w:ind w:left="500" w:right="554" w:hanging="360"/>
        <w:jc w:val="left"/>
        <w:rPr>
          <w:color w:val="4C4D4F"/>
          <w:sz w:val="18"/>
        </w:rPr>
      </w:pPr>
      <w:r>
        <w:rPr>
          <w:color w:val="4C4D4F"/>
          <w:w w:val="115"/>
          <w:sz w:val="18"/>
        </w:rPr>
        <w:t>Chou,</w:t>
      </w:r>
      <w:r>
        <w:rPr>
          <w:color w:val="4C4D4F"/>
          <w:spacing w:val="-21"/>
          <w:w w:val="115"/>
          <w:sz w:val="18"/>
        </w:rPr>
        <w:t> </w:t>
      </w:r>
      <w:r>
        <w:rPr>
          <w:color w:val="4C4D4F"/>
          <w:w w:val="115"/>
          <w:sz w:val="18"/>
        </w:rPr>
        <w:t>R.,</w:t>
      </w:r>
      <w:r>
        <w:rPr>
          <w:color w:val="4C4D4F"/>
          <w:spacing w:val="-21"/>
          <w:w w:val="115"/>
          <w:sz w:val="18"/>
        </w:rPr>
        <w:t> </w:t>
      </w:r>
      <w:r>
        <w:rPr>
          <w:color w:val="4C4D4F"/>
          <w:w w:val="115"/>
          <w:sz w:val="18"/>
        </w:rPr>
        <w:t>Cruciani,</w:t>
      </w:r>
      <w:r>
        <w:rPr>
          <w:color w:val="4C4D4F"/>
          <w:spacing w:val="-21"/>
          <w:w w:val="115"/>
          <w:sz w:val="18"/>
        </w:rPr>
        <w:t> </w:t>
      </w:r>
      <w:r>
        <w:rPr>
          <w:color w:val="4C4D4F"/>
          <w:w w:val="115"/>
          <w:sz w:val="18"/>
        </w:rPr>
        <w:t>R.</w:t>
      </w:r>
      <w:r>
        <w:rPr>
          <w:color w:val="4C4D4F"/>
          <w:spacing w:val="-21"/>
          <w:w w:val="115"/>
          <w:sz w:val="18"/>
        </w:rPr>
        <w:t> </w:t>
      </w:r>
      <w:r>
        <w:rPr>
          <w:color w:val="4C4D4F"/>
          <w:w w:val="115"/>
          <w:sz w:val="18"/>
        </w:rPr>
        <w:t>A.,</w:t>
      </w:r>
      <w:r>
        <w:rPr>
          <w:color w:val="4C4D4F"/>
          <w:spacing w:val="-21"/>
          <w:w w:val="115"/>
          <w:sz w:val="18"/>
        </w:rPr>
        <w:t> </w:t>
      </w:r>
      <w:r>
        <w:rPr>
          <w:color w:val="4C4D4F"/>
          <w:w w:val="115"/>
          <w:sz w:val="18"/>
        </w:rPr>
        <w:t>Fiellin,</w:t>
      </w:r>
      <w:r>
        <w:rPr>
          <w:color w:val="4C4D4F"/>
          <w:spacing w:val="-21"/>
          <w:w w:val="115"/>
          <w:sz w:val="18"/>
        </w:rPr>
        <w:t> </w:t>
      </w:r>
      <w:r>
        <w:rPr>
          <w:color w:val="4C4D4F"/>
          <w:w w:val="115"/>
          <w:sz w:val="18"/>
        </w:rPr>
        <w:t>D.</w:t>
      </w:r>
      <w:r>
        <w:rPr>
          <w:color w:val="4C4D4F"/>
          <w:spacing w:val="-21"/>
          <w:w w:val="115"/>
          <w:sz w:val="18"/>
        </w:rPr>
        <w:t> </w:t>
      </w:r>
      <w:r>
        <w:rPr>
          <w:color w:val="4C4D4F"/>
          <w:w w:val="115"/>
          <w:sz w:val="18"/>
        </w:rPr>
        <w:t>A.,</w:t>
      </w:r>
      <w:r>
        <w:rPr>
          <w:color w:val="4C4D4F"/>
          <w:spacing w:val="-21"/>
          <w:w w:val="115"/>
          <w:sz w:val="18"/>
        </w:rPr>
        <w:t> </w:t>
      </w:r>
      <w:r>
        <w:rPr>
          <w:color w:val="4C4D4F"/>
          <w:w w:val="115"/>
          <w:sz w:val="18"/>
        </w:rPr>
        <w:t>Compton, </w:t>
      </w:r>
      <w:r>
        <w:rPr>
          <w:color w:val="4C4D4F"/>
          <w:spacing w:val="-11"/>
          <w:w w:val="115"/>
          <w:sz w:val="18"/>
        </w:rPr>
        <w:t>P.,</w:t>
      </w:r>
      <w:r>
        <w:rPr>
          <w:color w:val="4C4D4F"/>
          <w:spacing w:val="-22"/>
          <w:w w:val="115"/>
          <w:sz w:val="18"/>
        </w:rPr>
        <w:t> </w:t>
      </w:r>
      <w:r>
        <w:rPr>
          <w:color w:val="4C4D4F"/>
          <w:spacing w:val="-3"/>
          <w:w w:val="115"/>
          <w:sz w:val="18"/>
        </w:rPr>
        <w:t>Farrar,</w:t>
      </w:r>
      <w:r>
        <w:rPr>
          <w:color w:val="4C4D4F"/>
          <w:spacing w:val="-22"/>
          <w:w w:val="115"/>
          <w:sz w:val="18"/>
        </w:rPr>
        <w:t> </w:t>
      </w:r>
      <w:r>
        <w:rPr>
          <w:color w:val="4C4D4F"/>
          <w:w w:val="135"/>
          <w:sz w:val="18"/>
        </w:rPr>
        <w:t>J.</w:t>
      </w:r>
      <w:r>
        <w:rPr>
          <w:color w:val="4C4D4F"/>
          <w:spacing w:val="-32"/>
          <w:w w:val="135"/>
          <w:sz w:val="18"/>
        </w:rPr>
        <w:t> </w:t>
      </w:r>
      <w:r>
        <w:rPr>
          <w:color w:val="4C4D4F"/>
          <w:spacing w:val="-7"/>
          <w:w w:val="115"/>
          <w:sz w:val="18"/>
        </w:rPr>
        <w:t>T.,</w:t>
      </w:r>
      <w:r>
        <w:rPr>
          <w:color w:val="4C4D4F"/>
          <w:spacing w:val="-22"/>
          <w:w w:val="115"/>
          <w:sz w:val="18"/>
        </w:rPr>
        <w:t> </w:t>
      </w:r>
      <w:r>
        <w:rPr>
          <w:color w:val="4C4D4F"/>
          <w:w w:val="115"/>
          <w:sz w:val="18"/>
        </w:rPr>
        <w:t>Haigney,</w:t>
      </w:r>
      <w:r>
        <w:rPr>
          <w:color w:val="4C4D4F"/>
          <w:spacing w:val="-21"/>
          <w:w w:val="115"/>
          <w:sz w:val="18"/>
        </w:rPr>
        <w:t> </w:t>
      </w:r>
      <w:r>
        <w:rPr>
          <w:color w:val="4C4D4F"/>
          <w:w w:val="115"/>
          <w:sz w:val="18"/>
        </w:rPr>
        <w:t>M.</w:t>
      </w:r>
      <w:r>
        <w:rPr>
          <w:color w:val="4C4D4F"/>
          <w:spacing w:val="-22"/>
          <w:w w:val="115"/>
          <w:sz w:val="18"/>
        </w:rPr>
        <w:t> </w:t>
      </w:r>
      <w:r>
        <w:rPr>
          <w:color w:val="4C4D4F"/>
          <w:w w:val="115"/>
          <w:sz w:val="18"/>
        </w:rPr>
        <w:t>C.,</w:t>
      </w:r>
      <w:r>
        <w:rPr>
          <w:color w:val="4C4D4F"/>
          <w:spacing w:val="-22"/>
          <w:w w:val="115"/>
          <w:sz w:val="18"/>
        </w:rPr>
        <w:t> </w:t>
      </w:r>
      <w:r>
        <w:rPr>
          <w:color w:val="4C4D4F"/>
          <w:w w:val="115"/>
          <w:sz w:val="18"/>
        </w:rPr>
        <w:t>…</w:t>
      </w:r>
      <w:r>
        <w:rPr>
          <w:color w:val="4C4D4F"/>
          <w:spacing w:val="-22"/>
          <w:w w:val="115"/>
          <w:sz w:val="18"/>
        </w:rPr>
        <w:t> </w:t>
      </w:r>
      <w:r>
        <w:rPr>
          <w:color w:val="4C4D4F"/>
          <w:spacing w:val="-3"/>
          <w:w w:val="115"/>
          <w:sz w:val="18"/>
        </w:rPr>
        <w:t>Zeltzer,</w:t>
      </w:r>
      <w:r>
        <w:rPr>
          <w:color w:val="4C4D4F"/>
          <w:spacing w:val="-21"/>
          <w:w w:val="115"/>
          <w:sz w:val="18"/>
        </w:rPr>
        <w:t> </w:t>
      </w:r>
      <w:r>
        <w:rPr>
          <w:color w:val="4C4D4F"/>
          <w:w w:val="115"/>
          <w:sz w:val="18"/>
        </w:rPr>
        <w:t>L.</w:t>
      </w:r>
      <w:r>
        <w:rPr>
          <w:color w:val="4C4D4F"/>
          <w:spacing w:val="-22"/>
          <w:w w:val="115"/>
          <w:sz w:val="18"/>
        </w:rPr>
        <w:t> </w:t>
      </w:r>
      <w:r>
        <w:rPr>
          <w:color w:val="4C4D4F"/>
          <w:spacing w:val="-3"/>
          <w:w w:val="115"/>
          <w:sz w:val="18"/>
        </w:rPr>
        <w:t>(2014).</w:t>
      </w:r>
    </w:p>
    <w:p>
      <w:pPr>
        <w:spacing w:line="247" w:lineRule="auto" w:before="2"/>
        <w:ind w:left="500" w:right="342" w:firstLine="0"/>
        <w:jc w:val="left"/>
        <w:rPr>
          <w:sz w:val="18"/>
        </w:rPr>
      </w:pPr>
      <w:r>
        <w:rPr>
          <w:color w:val="4C4D4F"/>
          <w:w w:val="110"/>
          <w:sz w:val="18"/>
        </w:rPr>
        <w:t>Methadone safety: A clinical practice guideline from the American Pain Society and College on Problems of Drug Dependence, in collaboration with the Heart Rhythm Society. </w:t>
      </w:r>
      <w:r>
        <w:rPr>
          <w:rFonts w:ascii="Arial" w:hAnsi="Arial"/>
          <w:i/>
          <w:color w:val="4C4D4F"/>
          <w:w w:val="110"/>
          <w:sz w:val="18"/>
        </w:rPr>
        <w:t>Journal of Pain, 15</w:t>
      </w:r>
      <w:r>
        <w:rPr>
          <w:color w:val="4C4D4F"/>
          <w:w w:val="110"/>
          <w:sz w:val="18"/>
        </w:rPr>
        <w:t>(4), 321–337.</w:t>
      </w:r>
    </w:p>
    <w:p>
      <w:pPr>
        <w:pStyle w:val="ListParagraph"/>
        <w:numPr>
          <w:ilvl w:val="0"/>
          <w:numId w:val="51"/>
        </w:numPr>
        <w:tabs>
          <w:tab w:pos="500" w:val="left" w:leader="none"/>
        </w:tabs>
        <w:spacing w:line="247" w:lineRule="auto" w:before="74" w:after="0"/>
        <w:ind w:left="500" w:right="652" w:hanging="360"/>
        <w:jc w:val="left"/>
        <w:rPr>
          <w:color w:val="4C4D4F"/>
          <w:sz w:val="18"/>
        </w:rPr>
      </w:pPr>
      <w:r>
        <w:rPr>
          <w:color w:val="4C4D4F"/>
          <w:w w:val="115"/>
          <w:sz w:val="18"/>
        </w:rPr>
        <w:t>Krantz, M. </w:t>
      </w:r>
      <w:r>
        <w:rPr>
          <w:color w:val="4C4D4F"/>
          <w:w w:val="125"/>
          <w:sz w:val="18"/>
        </w:rPr>
        <w:t>J., </w:t>
      </w:r>
      <w:r>
        <w:rPr>
          <w:color w:val="4C4D4F"/>
          <w:w w:val="115"/>
          <w:sz w:val="18"/>
        </w:rPr>
        <w:t>Martin, </w:t>
      </w:r>
      <w:r>
        <w:rPr>
          <w:color w:val="4C4D4F"/>
          <w:w w:val="125"/>
          <w:sz w:val="18"/>
        </w:rPr>
        <w:t>J., </w:t>
      </w:r>
      <w:r>
        <w:rPr>
          <w:color w:val="4C4D4F"/>
          <w:w w:val="115"/>
          <w:sz w:val="18"/>
        </w:rPr>
        <w:t>Stimmel, B., Mehta, D., &amp;</w:t>
      </w:r>
      <w:r>
        <w:rPr>
          <w:color w:val="4C4D4F"/>
          <w:spacing w:val="-27"/>
          <w:w w:val="115"/>
          <w:sz w:val="18"/>
        </w:rPr>
        <w:t> </w:t>
      </w:r>
      <w:r>
        <w:rPr>
          <w:color w:val="4C4D4F"/>
          <w:w w:val="115"/>
          <w:sz w:val="18"/>
        </w:rPr>
        <w:t>Haigney,</w:t>
      </w:r>
      <w:r>
        <w:rPr>
          <w:color w:val="4C4D4F"/>
          <w:spacing w:val="-26"/>
          <w:w w:val="115"/>
          <w:sz w:val="18"/>
        </w:rPr>
        <w:t> </w:t>
      </w:r>
      <w:r>
        <w:rPr>
          <w:color w:val="4C4D4F"/>
          <w:w w:val="115"/>
          <w:sz w:val="18"/>
        </w:rPr>
        <w:t>M.</w:t>
      </w:r>
      <w:r>
        <w:rPr>
          <w:color w:val="4C4D4F"/>
          <w:spacing w:val="-26"/>
          <w:w w:val="115"/>
          <w:sz w:val="18"/>
        </w:rPr>
        <w:t> </w:t>
      </w:r>
      <w:r>
        <w:rPr>
          <w:color w:val="4C4D4F"/>
          <w:w w:val="115"/>
          <w:sz w:val="18"/>
        </w:rPr>
        <w:t>C.</w:t>
      </w:r>
      <w:r>
        <w:rPr>
          <w:color w:val="4C4D4F"/>
          <w:spacing w:val="-27"/>
          <w:w w:val="115"/>
          <w:sz w:val="18"/>
        </w:rPr>
        <w:t> </w:t>
      </w:r>
      <w:r>
        <w:rPr>
          <w:color w:val="4C4D4F"/>
          <w:w w:val="115"/>
          <w:sz w:val="18"/>
        </w:rPr>
        <w:t>(2009).</w:t>
      </w:r>
      <w:r>
        <w:rPr>
          <w:color w:val="4C4D4F"/>
          <w:spacing w:val="-26"/>
          <w:w w:val="115"/>
          <w:sz w:val="18"/>
        </w:rPr>
        <w:t> </w:t>
      </w:r>
      <w:r>
        <w:rPr>
          <w:color w:val="4C4D4F"/>
          <w:spacing w:val="-7"/>
          <w:w w:val="115"/>
          <w:sz w:val="18"/>
        </w:rPr>
        <w:t>QTc</w:t>
      </w:r>
      <w:r>
        <w:rPr>
          <w:color w:val="4C4D4F"/>
          <w:spacing w:val="-26"/>
          <w:w w:val="115"/>
          <w:sz w:val="18"/>
        </w:rPr>
        <w:t> </w:t>
      </w:r>
      <w:r>
        <w:rPr>
          <w:color w:val="4C4D4F"/>
          <w:w w:val="115"/>
          <w:sz w:val="18"/>
        </w:rPr>
        <w:t>interval</w:t>
      </w:r>
      <w:r>
        <w:rPr>
          <w:color w:val="4C4D4F"/>
          <w:spacing w:val="-27"/>
          <w:w w:val="115"/>
          <w:sz w:val="18"/>
        </w:rPr>
        <w:t> </w:t>
      </w:r>
      <w:r>
        <w:rPr>
          <w:color w:val="4C4D4F"/>
          <w:w w:val="115"/>
          <w:sz w:val="18"/>
        </w:rPr>
        <w:t>screening</w:t>
      </w:r>
      <w:r>
        <w:rPr>
          <w:color w:val="4C4D4F"/>
          <w:spacing w:val="-26"/>
          <w:w w:val="115"/>
          <w:sz w:val="18"/>
        </w:rPr>
        <w:t> </w:t>
      </w:r>
      <w:r>
        <w:rPr>
          <w:color w:val="4C4D4F"/>
          <w:spacing w:val="-8"/>
          <w:w w:val="115"/>
          <w:sz w:val="18"/>
        </w:rPr>
        <w:t>in</w:t>
      </w:r>
    </w:p>
    <w:p>
      <w:pPr>
        <w:spacing w:line="247" w:lineRule="auto" w:before="1"/>
        <w:ind w:left="500" w:right="253" w:firstLine="0"/>
        <w:jc w:val="left"/>
        <w:rPr>
          <w:sz w:val="18"/>
        </w:rPr>
      </w:pPr>
      <w:r>
        <w:rPr>
          <w:color w:val="4C4D4F"/>
          <w:w w:val="105"/>
          <w:sz w:val="18"/>
        </w:rPr>
        <w:t>methadone treatment. </w:t>
      </w:r>
      <w:r>
        <w:rPr>
          <w:rFonts w:ascii="Arial" w:hAnsi="Arial"/>
          <w:i/>
          <w:color w:val="4C4D4F"/>
          <w:w w:val="105"/>
          <w:sz w:val="18"/>
        </w:rPr>
        <w:t>Annals of Internal Medicine, </w:t>
      </w:r>
      <w:r>
        <w:rPr>
          <w:rFonts w:ascii="Arial" w:hAnsi="Arial"/>
          <w:i/>
          <w:color w:val="4C4D4F"/>
          <w:w w:val="105"/>
          <w:sz w:val="18"/>
        </w:rPr>
        <w:t>150</w:t>
      </w:r>
      <w:r>
        <w:rPr>
          <w:color w:val="4C4D4F"/>
          <w:w w:val="105"/>
          <w:sz w:val="18"/>
        </w:rPr>
        <w:t>(6), 387–395.</w:t>
      </w:r>
    </w:p>
    <w:p>
      <w:pPr>
        <w:pStyle w:val="ListParagraph"/>
        <w:numPr>
          <w:ilvl w:val="0"/>
          <w:numId w:val="51"/>
        </w:numPr>
        <w:tabs>
          <w:tab w:pos="500" w:val="left" w:leader="none"/>
        </w:tabs>
        <w:spacing w:line="247" w:lineRule="auto" w:before="72" w:after="0"/>
        <w:ind w:left="500" w:right="157" w:hanging="360"/>
        <w:jc w:val="left"/>
        <w:rPr>
          <w:color w:val="4C4D4F"/>
          <w:sz w:val="18"/>
        </w:rPr>
      </w:pPr>
      <w:r>
        <w:rPr>
          <w:color w:val="4C4D4F"/>
          <w:w w:val="115"/>
          <w:sz w:val="18"/>
        </w:rPr>
        <w:t>Bart,</w:t>
      </w:r>
      <w:r>
        <w:rPr>
          <w:color w:val="4C4D4F"/>
          <w:spacing w:val="-22"/>
          <w:w w:val="115"/>
          <w:sz w:val="18"/>
        </w:rPr>
        <w:t> </w:t>
      </w:r>
      <w:r>
        <w:rPr>
          <w:color w:val="4C4D4F"/>
          <w:w w:val="115"/>
          <w:sz w:val="18"/>
        </w:rPr>
        <w:t>G.,</w:t>
      </w:r>
      <w:r>
        <w:rPr>
          <w:color w:val="4C4D4F"/>
          <w:spacing w:val="-21"/>
          <w:w w:val="115"/>
          <w:sz w:val="18"/>
        </w:rPr>
        <w:t> </w:t>
      </w:r>
      <w:r>
        <w:rPr>
          <w:color w:val="4C4D4F"/>
          <w:w w:val="115"/>
          <w:sz w:val="18"/>
        </w:rPr>
        <w:t>Wyman,</w:t>
      </w:r>
      <w:r>
        <w:rPr>
          <w:color w:val="4C4D4F"/>
          <w:spacing w:val="-21"/>
          <w:w w:val="115"/>
          <w:sz w:val="18"/>
        </w:rPr>
        <w:t> </w:t>
      </w:r>
      <w:r>
        <w:rPr>
          <w:color w:val="4C4D4F"/>
          <w:w w:val="115"/>
          <w:sz w:val="18"/>
        </w:rPr>
        <w:t>Z.,</w:t>
      </w:r>
      <w:r>
        <w:rPr>
          <w:color w:val="4C4D4F"/>
          <w:spacing w:val="-21"/>
          <w:w w:val="115"/>
          <w:sz w:val="18"/>
        </w:rPr>
        <w:t> </w:t>
      </w:r>
      <w:r>
        <w:rPr>
          <w:color w:val="4C4D4F"/>
          <w:w w:val="115"/>
          <w:sz w:val="18"/>
        </w:rPr>
        <w:t>Wang,</w:t>
      </w:r>
      <w:r>
        <w:rPr>
          <w:color w:val="4C4D4F"/>
          <w:spacing w:val="-21"/>
          <w:w w:val="115"/>
          <w:sz w:val="18"/>
        </w:rPr>
        <w:t> </w:t>
      </w:r>
      <w:r>
        <w:rPr>
          <w:color w:val="4C4D4F"/>
          <w:w w:val="115"/>
          <w:sz w:val="18"/>
        </w:rPr>
        <w:t>Q.,</w:t>
      </w:r>
      <w:r>
        <w:rPr>
          <w:color w:val="4C4D4F"/>
          <w:spacing w:val="-21"/>
          <w:w w:val="115"/>
          <w:sz w:val="18"/>
        </w:rPr>
        <w:t> </w:t>
      </w:r>
      <w:r>
        <w:rPr>
          <w:color w:val="4C4D4F"/>
          <w:w w:val="115"/>
          <w:sz w:val="18"/>
        </w:rPr>
        <w:t>Hodges,</w:t>
      </w:r>
      <w:r>
        <w:rPr>
          <w:color w:val="4C4D4F"/>
          <w:spacing w:val="-21"/>
          <w:w w:val="115"/>
          <w:sz w:val="18"/>
        </w:rPr>
        <w:t> </w:t>
      </w:r>
      <w:r>
        <w:rPr>
          <w:color w:val="4C4D4F"/>
          <w:w w:val="135"/>
          <w:sz w:val="18"/>
        </w:rPr>
        <w:t>J.</w:t>
      </w:r>
      <w:r>
        <w:rPr>
          <w:color w:val="4C4D4F"/>
          <w:spacing w:val="-31"/>
          <w:w w:val="135"/>
          <w:sz w:val="18"/>
        </w:rPr>
        <w:t> </w:t>
      </w:r>
      <w:r>
        <w:rPr>
          <w:color w:val="4C4D4F"/>
          <w:w w:val="115"/>
          <w:sz w:val="18"/>
        </w:rPr>
        <w:t>S.,</w:t>
      </w:r>
      <w:r>
        <w:rPr>
          <w:color w:val="4C4D4F"/>
          <w:spacing w:val="-21"/>
          <w:w w:val="115"/>
          <w:sz w:val="18"/>
        </w:rPr>
        <w:t> </w:t>
      </w:r>
      <w:r>
        <w:rPr>
          <w:color w:val="4C4D4F"/>
          <w:w w:val="115"/>
          <w:sz w:val="18"/>
        </w:rPr>
        <w:t>Karim,</w:t>
      </w:r>
      <w:r>
        <w:rPr>
          <w:color w:val="4C4D4F"/>
          <w:spacing w:val="-21"/>
          <w:w w:val="115"/>
          <w:sz w:val="18"/>
        </w:rPr>
        <w:t> </w:t>
      </w:r>
      <w:r>
        <w:rPr>
          <w:color w:val="4C4D4F"/>
          <w:w w:val="115"/>
          <w:sz w:val="18"/>
        </w:rPr>
        <w:t>R., &amp;</w:t>
      </w:r>
      <w:r>
        <w:rPr>
          <w:color w:val="4C4D4F"/>
          <w:spacing w:val="-19"/>
          <w:w w:val="115"/>
          <w:sz w:val="18"/>
        </w:rPr>
        <w:t> </w:t>
      </w:r>
      <w:r>
        <w:rPr>
          <w:color w:val="4C4D4F"/>
          <w:w w:val="115"/>
          <w:sz w:val="18"/>
        </w:rPr>
        <w:t>Bart,</w:t>
      </w:r>
      <w:r>
        <w:rPr>
          <w:color w:val="4C4D4F"/>
          <w:spacing w:val="-19"/>
          <w:w w:val="115"/>
          <w:sz w:val="18"/>
        </w:rPr>
        <w:t> </w:t>
      </w:r>
      <w:r>
        <w:rPr>
          <w:color w:val="4C4D4F"/>
          <w:w w:val="115"/>
          <w:sz w:val="18"/>
        </w:rPr>
        <w:t>B.</w:t>
      </w:r>
      <w:r>
        <w:rPr>
          <w:color w:val="4C4D4F"/>
          <w:spacing w:val="-19"/>
          <w:w w:val="115"/>
          <w:sz w:val="18"/>
        </w:rPr>
        <w:t> </w:t>
      </w:r>
      <w:r>
        <w:rPr>
          <w:color w:val="4C4D4F"/>
          <w:w w:val="115"/>
          <w:sz w:val="18"/>
        </w:rPr>
        <w:t>A.</w:t>
      </w:r>
      <w:r>
        <w:rPr>
          <w:color w:val="4C4D4F"/>
          <w:spacing w:val="-19"/>
          <w:w w:val="115"/>
          <w:sz w:val="18"/>
        </w:rPr>
        <w:t> </w:t>
      </w:r>
      <w:r>
        <w:rPr>
          <w:color w:val="4C4D4F"/>
          <w:w w:val="115"/>
          <w:sz w:val="18"/>
        </w:rPr>
        <w:t>(2017).</w:t>
      </w:r>
      <w:r>
        <w:rPr>
          <w:color w:val="4C4D4F"/>
          <w:spacing w:val="-19"/>
          <w:w w:val="115"/>
          <w:sz w:val="18"/>
        </w:rPr>
        <w:t> </w:t>
      </w:r>
      <w:r>
        <w:rPr>
          <w:color w:val="4C4D4F"/>
          <w:w w:val="115"/>
          <w:sz w:val="18"/>
        </w:rPr>
        <w:t>Methadone</w:t>
      </w:r>
      <w:r>
        <w:rPr>
          <w:color w:val="4C4D4F"/>
          <w:spacing w:val="-19"/>
          <w:w w:val="115"/>
          <w:sz w:val="18"/>
        </w:rPr>
        <w:t> </w:t>
      </w:r>
      <w:r>
        <w:rPr>
          <w:color w:val="4C4D4F"/>
          <w:w w:val="115"/>
          <w:sz w:val="18"/>
        </w:rPr>
        <w:t>and</w:t>
      </w:r>
      <w:r>
        <w:rPr>
          <w:color w:val="4C4D4F"/>
          <w:spacing w:val="-19"/>
          <w:w w:val="115"/>
          <w:sz w:val="18"/>
        </w:rPr>
        <w:t> </w:t>
      </w:r>
      <w:r>
        <w:rPr>
          <w:color w:val="4C4D4F"/>
          <w:w w:val="115"/>
          <w:sz w:val="18"/>
        </w:rPr>
        <w:t>the</w:t>
      </w:r>
      <w:r>
        <w:rPr>
          <w:color w:val="4C4D4F"/>
          <w:spacing w:val="-19"/>
          <w:w w:val="115"/>
          <w:sz w:val="18"/>
        </w:rPr>
        <w:t> </w:t>
      </w:r>
      <w:r>
        <w:rPr>
          <w:color w:val="4C4D4F"/>
          <w:spacing w:val="-7"/>
          <w:w w:val="115"/>
          <w:sz w:val="18"/>
        </w:rPr>
        <w:t>QTc</w:t>
      </w:r>
      <w:r>
        <w:rPr>
          <w:color w:val="4C4D4F"/>
          <w:spacing w:val="-18"/>
          <w:w w:val="115"/>
          <w:sz w:val="18"/>
        </w:rPr>
        <w:t> </w:t>
      </w:r>
      <w:r>
        <w:rPr>
          <w:color w:val="4C4D4F"/>
          <w:w w:val="115"/>
          <w:sz w:val="18"/>
        </w:rPr>
        <w:t>interval: Paucity</w:t>
      </w:r>
      <w:r>
        <w:rPr>
          <w:color w:val="4C4D4F"/>
          <w:spacing w:val="-24"/>
          <w:w w:val="115"/>
          <w:sz w:val="18"/>
        </w:rPr>
        <w:t> </w:t>
      </w:r>
      <w:r>
        <w:rPr>
          <w:color w:val="4C4D4F"/>
          <w:w w:val="115"/>
          <w:sz w:val="18"/>
        </w:rPr>
        <w:t>of</w:t>
      </w:r>
      <w:r>
        <w:rPr>
          <w:color w:val="4C4D4F"/>
          <w:spacing w:val="-23"/>
          <w:w w:val="115"/>
          <w:sz w:val="18"/>
        </w:rPr>
        <w:t> </w:t>
      </w:r>
      <w:r>
        <w:rPr>
          <w:color w:val="4C4D4F"/>
          <w:w w:val="115"/>
          <w:sz w:val="18"/>
        </w:rPr>
        <w:t>clinically</w:t>
      </w:r>
      <w:r>
        <w:rPr>
          <w:color w:val="4C4D4F"/>
          <w:spacing w:val="-23"/>
          <w:w w:val="115"/>
          <w:sz w:val="18"/>
        </w:rPr>
        <w:t> </w:t>
      </w:r>
      <w:r>
        <w:rPr>
          <w:color w:val="4C4D4F"/>
          <w:w w:val="115"/>
          <w:sz w:val="18"/>
        </w:rPr>
        <w:t>signiﬁcant</w:t>
      </w:r>
      <w:r>
        <w:rPr>
          <w:color w:val="4C4D4F"/>
          <w:spacing w:val="-23"/>
          <w:w w:val="115"/>
          <w:sz w:val="18"/>
        </w:rPr>
        <w:t> </w:t>
      </w:r>
      <w:r>
        <w:rPr>
          <w:color w:val="4C4D4F"/>
          <w:w w:val="115"/>
          <w:sz w:val="18"/>
        </w:rPr>
        <w:t>factors</w:t>
      </w:r>
      <w:r>
        <w:rPr>
          <w:color w:val="4C4D4F"/>
          <w:spacing w:val="-23"/>
          <w:w w:val="115"/>
          <w:sz w:val="18"/>
        </w:rPr>
        <w:t> </w:t>
      </w:r>
      <w:r>
        <w:rPr>
          <w:color w:val="4C4D4F"/>
          <w:w w:val="115"/>
          <w:sz w:val="18"/>
        </w:rPr>
        <w:t>in</w:t>
      </w:r>
      <w:r>
        <w:rPr>
          <w:color w:val="4C4D4F"/>
          <w:spacing w:val="-23"/>
          <w:w w:val="115"/>
          <w:sz w:val="18"/>
        </w:rPr>
        <w:t> </w:t>
      </w:r>
      <w:r>
        <w:rPr>
          <w:color w:val="4C4D4F"/>
          <w:w w:val="115"/>
          <w:sz w:val="18"/>
        </w:rPr>
        <w:t>a</w:t>
      </w:r>
      <w:r>
        <w:rPr>
          <w:color w:val="4C4D4F"/>
          <w:spacing w:val="-23"/>
          <w:w w:val="115"/>
          <w:sz w:val="18"/>
        </w:rPr>
        <w:t> </w:t>
      </w:r>
      <w:r>
        <w:rPr>
          <w:color w:val="4C4D4F"/>
          <w:w w:val="115"/>
          <w:sz w:val="18"/>
        </w:rPr>
        <w:t>retrospective </w:t>
      </w:r>
      <w:r>
        <w:rPr>
          <w:color w:val="4C4D4F"/>
          <w:w w:val="110"/>
          <w:sz w:val="18"/>
        </w:rPr>
        <w:t>cohort.</w:t>
      </w:r>
      <w:r>
        <w:rPr>
          <w:color w:val="4C4D4F"/>
          <w:spacing w:val="-29"/>
          <w:w w:val="110"/>
          <w:sz w:val="18"/>
        </w:rPr>
        <w:t> </w:t>
      </w:r>
      <w:r>
        <w:rPr>
          <w:rFonts w:ascii="Arial" w:hAnsi="Arial"/>
          <w:i/>
          <w:color w:val="4C4D4F"/>
          <w:w w:val="110"/>
          <w:sz w:val="18"/>
        </w:rPr>
        <w:t>Journal</w:t>
      </w:r>
      <w:r>
        <w:rPr>
          <w:rFonts w:ascii="Arial" w:hAnsi="Arial"/>
          <w:i/>
          <w:color w:val="4C4D4F"/>
          <w:spacing w:val="-28"/>
          <w:w w:val="110"/>
          <w:sz w:val="18"/>
        </w:rPr>
        <w:t> </w:t>
      </w:r>
      <w:r>
        <w:rPr>
          <w:rFonts w:ascii="Arial" w:hAnsi="Arial"/>
          <w:i/>
          <w:color w:val="4C4D4F"/>
          <w:w w:val="110"/>
          <w:sz w:val="18"/>
        </w:rPr>
        <w:t>of</w:t>
      </w:r>
      <w:r>
        <w:rPr>
          <w:rFonts w:ascii="Arial" w:hAnsi="Arial"/>
          <w:i/>
          <w:color w:val="4C4D4F"/>
          <w:spacing w:val="-29"/>
          <w:w w:val="110"/>
          <w:sz w:val="18"/>
        </w:rPr>
        <w:t> </w:t>
      </w:r>
      <w:r>
        <w:rPr>
          <w:rFonts w:ascii="Arial" w:hAnsi="Arial"/>
          <w:i/>
          <w:color w:val="4C4D4F"/>
          <w:w w:val="110"/>
          <w:sz w:val="18"/>
        </w:rPr>
        <w:t>Addiction</w:t>
      </w:r>
      <w:r>
        <w:rPr>
          <w:rFonts w:ascii="Arial" w:hAnsi="Arial"/>
          <w:i/>
          <w:color w:val="4C4D4F"/>
          <w:spacing w:val="-28"/>
          <w:w w:val="110"/>
          <w:sz w:val="18"/>
        </w:rPr>
        <w:t> </w:t>
      </w:r>
      <w:r>
        <w:rPr>
          <w:rFonts w:ascii="Arial" w:hAnsi="Arial"/>
          <w:i/>
          <w:color w:val="4C4D4F"/>
          <w:w w:val="110"/>
          <w:sz w:val="18"/>
        </w:rPr>
        <w:t>Medicine,</w:t>
      </w:r>
      <w:r>
        <w:rPr>
          <w:rFonts w:ascii="Arial" w:hAnsi="Arial"/>
          <w:i/>
          <w:color w:val="4C4D4F"/>
          <w:spacing w:val="-29"/>
          <w:w w:val="110"/>
          <w:sz w:val="18"/>
        </w:rPr>
        <w:t> </w:t>
      </w:r>
      <w:r>
        <w:rPr>
          <w:rFonts w:ascii="Arial" w:hAnsi="Arial"/>
          <w:i/>
          <w:color w:val="4C4D4F"/>
          <w:w w:val="110"/>
          <w:sz w:val="18"/>
        </w:rPr>
        <w:t>11</w:t>
      </w:r>
      <w:r>
        <w:rPr>
          <w:color w:val="4C4D4F"/>
          <w:w w:val="110"/>
          <w:sz w:val="18"/>
        </w:rPr>
        <w:t>(6),</w:t>
      </w:r>
      <w:r>
        <w:rPr>
          <w:color w:val="4C4D4F"/>
          <w:spacing w:val="-28"/>
          <w:w w:val="110"/>
          <w:sz w:val="18"/>
        </w:rPr>
        <w:t> </w:t>
      </w:r>
      <w:r>
        <w:rPr>
          <w:color w:val="4C4D4F"/>
          <w:w w:val="110"/>
          <w:sz w:val="18"/>
        </w:rPr>
        <w:t>489–493.</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5"/>
          <w:sz w:val="18"/>
        </w:rPr>
        <w:t>Pani,</w:t>
      </w:r>
      <w:r>
        <w:rPr>
          <w:color w:val="4C4D4F"/>
          <w:spacing w:val="-11"/>
          <w:w w:val="115"/>
          <w:sz w:val="18"/>
        </w:rPr>
        <w:t> </w:t>
      </w:r>
      <w:r>
        <w:rPr>
          <w:color w:val="4C4D4F"/>
          <w:spacing w:val="-17"/>
          <w:w w:val="115"/>
          <w:sz w:val="18"/>
        </w:rPr>
        <w:t>P.</w:t>
      </w:r>
      <w:r>
        <w:rPr>
          <w:color w:val="4C4D4F"/>
          <w:spacing w:val="-11"/>
          <w:w w:val="115"/>
          <w:sz w:val="18"/>
        </w:rPr>
        <w:t> P.,</w:t>
      </w:r>
      <w:r>
        <w:rPr>
          <w:color w:val="4C4D4F"/>
          <w:spacing w:val="-10"/>
          <w:w w:val="115"/>
          <w:sz w:val="18"/>
        </w:rPr>
        <w:t> </w:t>
      </w:r>
      <w:r>
        <w:rPr>
          <w:color w:val="4C4D4F"/>
          <w:spacing w:val="-4"/>
          <w:w w:val="115"/>
          <w:sz w:val="18"/>
        </w:rPr>
        <w:t>Trogu,</w:t>
      </w:r>
      <w:r>
        <w:rPr>
          <w:color w:val="4C4D4F"/>
          <w:spacing w:val="-11"/>
          <w:w w:val="115"/>
          <w:sz w:val="18"/>
        </w:rPr>
        <w:t> </w:t>
      </w:r>
      <w:r>
        <w:rPr>
          <w:color w:val="4C4D4F"/>
          <w:w w:val="115"/>
          <w:sz w:val="18"/>
        </w:rPr>
        <w:t>E.,</w:t>
      </w:r>
      <w:r>
        <w:rPr>
          <w:color w:val="4C4D4F"/>
          <w:spacing w:val="-11"/>
          <w:w w:val="115"/>
          <w:sz w:val="18"/>
        </w:rPr>
        <w:t> </w:t>
      </w:r>
      <w:r>
        <w:rPr>
          <w:color w:val="4C4D4F"/>
          <w:w w:val="115"/>
          <w:sz w:val="18"/>
        </w:rPr>
        <w:t>Maremmani,</w:t>
      </w:r>
      <w:r>
        <w:rPr>
          <w:color w:val="4C4D4F"/>
          <w:spacing w:val="-10"/>
          <w:w w:val="115"/>
          <w:sz w:val="18"/>
        </w:rPr>
        <w:t> </w:t>
      </w:r>
      <w:r>
        <w:rPr>
          <w:color w:val="4C4D4F"/>
          <w:w w:val="115"/>
          <w:sz w:val="18"/>
        </w:rPr>
        <w:t>I.,</w:t>
      </w:r>
      <w:r>
        <w:rPr>
          <w:color w:val="4C4D4F"/>
          <w:spacing w:val="-11"/>
          <w:w w:val="115"/>
          <w:sz w:val="18"/>
        </w:rPr>
        <w:t> </w:t>
      </w:r>
      <w:r>
        <w:rPr>
          <w:color w:val="4C4D4F"/>
          <w:w w:val="115"/>
          <w:sz w:val="18"/>
        </w:rPr>
        <w:t>&amp;</w:t>
      </w:r>
      <w:r>
        <w:rPr>
          <w:color w:val="4C4D4F"/>
          <w:spacing w:val="-10"/>
          <w:w w:val="115"/>
          <w:sz w:val="18"/>
        </w:rPr>
        <w:t> </w:t>
      </w:r>
      <w:r>
        <w:rPr>
          <w:color w:val="4C4D4F"/>
          <w:w w:val="115"/>
          <w:sz w:val="18"/>
        </w:rPr>
        <w:t>Pacini,</w:t>
      </w:r>
      <w:r>
        <w:rPr>
          <w:color w:val="4C4D4F"/>
          <w:spacing w:val="-11"/>
          <w:w w:val="115"/>
          <w:sz w:val="18"/>
        </w:rPr>
        <w:t> </w:t>
      </w:r>
      <w:r>
        <w:rPr>
          <w:color w:val="4C4D4F"/>
          <w:w w:val="115"/>
          <w:sz w:val="18"/>
        </w:rPr>
        <w:t>M.</w:t>
      </w:r>
      <w:r>
        <w:rPr>
          <w:color w:val="4C4D4F"/>
          <w:spacing w:val="-11"/>
          <w:w w:val="115"/>
          <w:sz w:val="18"/>
        </w:rPr>
        <w:t> </w:t>
      </w:r>
      <w:r>
        <w:rPr>
          <w:color w:val="4C4D4F"/>
          <w:w w:val="115"/>
          <w:sz w:val="18"/>
        </w:rPr>
        <w:t>(2013).</w:t>
      </w:r>
    </w:p>
    <w:p>
      <w:pPr>
        <w:spacing w:line="247" w:lineRule="auto" w:before="7"/>
        <w:ind w:left="500" w:right="312" w:firstLine="0"/>
        <w:jc w:val="left"/>
        <w:rPr>
          <w:sz w:val="18"/>
        </w:rPr>
      </w:pPr>
      <w:r>
        <w:rPr>
          <w:color w:val="4C4D4F"/>
          <w:spacing w:val="-7"/>
          <w:w w:val="110"/>
          <w:sz w:val="18"/>
        </w:rPr>
        <w:t>QTc </w:t>
      </w:r>
      <w:r>
        <w:rPr>
          <w:color w:val="4C4D4F"/>
          <w:w w:val="110"/>
          <w:sz w:val="18"/>
        </w:rPr>
        <w:t>interval screening for cardiac risk in methadone treatment</w:t>
      </w:r>
      <w:r>
        <w:rPr>
          <w:color w:val="4C4D4F"/>
          <w:spacing w:val="-21"/>
          <w:w w:val="110"/>
          <w:sz w:val="18"/>
        </w:rPr>
        <w:t> </w:t>
      </w:r>
      <w:r>
        <w:rPr>
          <w:color w:val="4C4D4F"/>
          <w:w w:val="110"/>
          <w:sz w:val="18"/>
        </w:rPr>
        <w:t>of</w:t>
      </w:r>
      <w:r>
        <w:rPr>
          <w:color w:val="4C4D4F"/>
          <w:spacing w:val="-21"/>
          <w:w w:val="110"/>
          <w:sz w:val="18"/>
        </w:rPr>
        <w:t> </w:t>
      </w:r>
      <w:r>
        <w:rPr>
          <w:color w:val="4C4D4F"/>
          <w:w w:val="110"/>
          <w:sz w:val="18"/>
        </w:rPr>
        <w:t>opioid</w:t>
      </w:r>
      <w:r>
        <w:rPr>
          <w:color w:val="4C4D4F"/>
          <w:spacing w:val="-20"/>
          <w:w w:val="110"/>
          <w:sz w:val="18"/>
        </w:rPr>
        <w:t> </w:t>
      </w:r>
      <w:r>
        <w:rPr>
          <w:color w:val="4C4D4F"/>
          <w:w w:val="110"/>
          <w:sz w:val="18"/>
        </w:rPr>
        <w:t>dependence.</w:t>
      </w:r>
      <w:r>
        <w:rPr>
          <w:color w:val="4C4D4F"/>
          <w:spacing w:val="-21"/>
          <w:w w:val="110"/>
          <w:sz w:val="18"/>
        </w:rPr>
        <w:t> </w:t>
      </w:r>
      <w:r>
        <w:rPr>
          <w:rFonts w:ascii="Arial"/>
          <w:i/>
          <w:color w:val="4C4D4F"/>
          <w:w w:val="110"/>
          <w:sz w:val="18"/>
        </w:rPr>
        <w:t>Cochrane</w:t>
      </w:r>
      <w:r>
        <w:rPr>
          <w:rFonts w:ascii="Arial"/>
          <w:i/>
          <w:color w:val="4C4D4F"/>
          <w:spacing w:val="-21"/>
          <w:w w:val="110"/>
          <w:sz w:val="18"/>
        </w:rPr>
        <w:t> </w:t>
      </w:r>
      <w:r>
        <w:rPr>
          <w:rFonts w:ascii="Arial"/>
          <w:i/>
          <w:color w:val="4C4D4F"/>
          <w:spacing w:val="-3"/>
          <w:w w:val="110"/>
          <w:sz w:val="18"/>
        </w:rPr>
        <w:t>Database </w:t>
      </w:r>
      <w:r>
        <w:rPr>
          <w:rFonts w:ascii="Arial"/>
          <w:i/>
          <w:color w:val="4C4D4F"/>
          <w:w w:val="110"/>
          <w:sz w:val="18"/>
        </w:rPr>
        <w:t>of</w:t>
      </w:r>
      <w:r>
        <w:rPr>
          <w:rFonts w:ascii="Arial"/>
          <w:i/>
          <w:color w:val="4C4D4F"/>
          <w:spacing w:val="-19"/>
          <w:w w:val="110"/>
          <w:sz w:val="18"/>
        </w:rPr>
        <w:t> </w:t>
      </w:r>
      <w:r>
        <w:rPr>
          <w:rFonts w:ascii="Arial"/>
          <w:i/>
          <w:color w:val="4C4D4F"/>
          <w:w w:val="110"/>
          <w:sz w:val="18"/>
        </w:rPr>
        <w:t>Systematic</w:t>
      </w:r>
      <w:r>
        <w:rPr>
          <w:rFonts w:ascii="Arial"/>
          <w:i/>
          <w:color w:val="4C4D4F"/>
          <w:spacing w:val="-18"/>
          <w:w w:val="110"/>
          <w:sz w:val="18"/>
        </w:rPr>
        <w:t> </w:t>
      </w:r>
      <w:r>
        <w:rPr>
          <w:rFonts w:ascii="Arial"/>
          <w:i/>
          <w:color w:val="4C4D4F"/>
          <w:w w:val="110"/>
          <w:sz w:val="18"/>
        </w:rPr>
        <w:t>Reviews,</w:t>
      </w:r>
      <w:r>
        <w:rPr>
          <w:rFonts w:ascii="Arial"/>
          <w:i/>
          <w:color w:val="4C4D4F"/>
          <w:spacing w:val="-19"/>
          <w:w w:val="110"/>
          <w:sz w:val="18"/>
        </w:rPr>
        <w:t> </w:t>
      </w:r>
      <w:r>
        <w:rPr>
          <w:rFonts w:ascii="Arial"/>
          <w:i/>
          <w:color w:val="4C4D4F"/>
          <w:w w:val="110"/>
          <w:sz w:val="18"/>
        </w:rPr>
        <w:t>2013</w:t>
      </w:r>
      <w:r>
        <w:rPr>
          <w:color w:val="4C4D4F"/>
          <w:w w:val="110"/>
          <w:sz w:val="18"/>
        </w:rPr>
        <w:t>(6).</w:t>
      </w:r>
      <w:r>
        <w:rPr>
          <w:color w:val="4C4D4F"/>
          <w:spacing w:val="-18"/>
          <w:w w:val="110"/>
          <w:sz w:val="18"/>
        </w:rPr>
        <w:t> </w:t>
      </w:r>
      <w:r>
        <w:rPr>
          <w:color w:val="4C4D4F"/>
          <w:w w:val="110"/>
          <w:sz w:val="18"/>
        </w:rPr>
        <w:t>CD008939.</w:t>
      </w:r>
    </w:p>
    <w:p>
      <w:pPr>
        <w:pStyle w:val="ListParagraph"/>
        <w:numPr>
          <w:ilvl w:val="0"/>
          <w:numId w:val="51"/>
        </w:numPr>
        <w:tabs>
          <w:tab w:pos="501" w:val="left" w:leader="none"/>
        </w:tabs>
        <w:spacing w:line="240" w:lineRule="auto" w:before="72" w:after="0"/>
        <w:ind w:left="500" w:right="0" w:hanging="361"/>
        <w:jc w:val="left"/>
        <w:rPr>
          <w:color w:val="4C4D4F"/>
          <w:sz w:val="18"/>
        </w:rPr>
      </w:pPr>
      <w:r>
        <w:rPr>
          <w:color w:val="4C4D4F"/>
          <w:w w:val="115"/>
          <w:sz w:val="18"/>
        </w:rPr>
        <w:t>Martin,</w:t>
      </w:r>
      <w:r>
        <w:rPr>
          <w:color w:val="4C4D4F"/>
          <w:spacing w:val="-15"/>
          <w:w w:val="115"/>
          <w:sz w:val="18"/>
        </w:rPr>
        <w:t> </w:t>
      </w:r>
      <w:r>
        <w:rPr>
          <w:color w:val="4C4D4F"/>
          <w:w w:val="135"/>
          <w:sz w:val="18"/>
        </w:rPr>
        <w:t>J.</w:t>
      </w:r>
      <w:r>
        <w:rPr>
          <w:color w:val="4C4D4F"/>
          <w:spacing w:val="-24"/>
          <w:w w:val="135"/>
          <w:sz w:val="18"/>
        </w:rPr>
        <w:t> </w:t>
      </w:r>
      <w:r>
        <w:rPr>
          <w:color w:val="4C4D4F"/>
          <w:w w:val="115"/>
          <w:sz w:val="18"/>
        </w:rPr>
        <w:t>A.,</w:t>
      </w:r>
      <w:r>
        <w:rPr>
          <w:color w:val="4C4D4F"/>
          <w:spacing w:val="-15"/>
          <w:w w:val="115"/>
          <w:sz w:val="18"/>
        </w:rPr>
        <w:t> </w:t>
      </w:r>
      <w:r>
        <w:rPr>
          <w:color w:val="4C4D4F"/>
          <w:w w:val="115"/>
          <w:sz w:val="18"/>
        </w:rPr>
        <w:t>Campbell,</w:t>
      </w:r>
      <w:r>
        <w:rPr>
          <w:color w:val="4C4D4F"/>
          <w:spacing w:val="-14"/>
          <w:w w:val="115"/>
          <w:sz w:val="18"/>
        </w:rPr>
        <w:t> </w:t>
      </w:r>
      <w:r>
        <w:rPr>
          <w:color w:val="4C4D4F"/>
          <w:w w:val="115"/>
          <w:sz w:val="18"/>
        </w:rPr>
        <w:t>A.,</w:t>
      </w:r>
      <w:r>
        <w:rPr>
          <w:color w:val="4C4D4F"/>
          <w:spacing w:val="-15"/>
          <w:w w:val="115"/>
          <w:sz w:val="18"/>
        </w:rPr>
        <w:t> </w:t>
      </w:r>
      <w:r>
        <w:rPr>
          <w:color w:val="4C4D4F"/>
          <w:w w:val="115"/>
          <w:sz w:val="18"/>
        </w:rPr>
        <w:t>Killip,</w:t>
      </w:r>
      <w:r>
        <w:rPr>
          <w:color w:val="4C4D4F"/>
          <w:spacing w:val="-14"/>
          <w:w w:val="115"/>
          <w:sz w:val="18"/>
        </w:rPr>
        <w:t> </w:t>
      </w:r>
      <w:r>
        <w:rPr>
          <w:color w:val="4C4D4F"/>
          <w:spacing w:val="-7"/>
          <w:w w:val="115"/>
          <w:sz w:val="18"/>
        </w:rPr>
        <w:t>T.,</w:t>
      </w:r>
      <w:r>
        <w:rPr>
          <w:color w:val="4C4D4F"/>
          <w:spacing w:val="-15"/>
          <w:w w:val="115"/>
          <w:sz w:val="18"/>
        </w:rPr>
        <w:t> </w:t>
      </w:r>
      <w:r>
        <w:rPr>
          <w:color w:val="4C4D4F"/>
          <w:w w:val="115"/>
          <w:sz w:val="18"/>
        </w:rPr>
        <w:t>Kotz,</w:t>
      </w:r>
      <w:r>
        <w:rPr>
          <w:color w:val="4C4D4F"/>
          <w:spacing w:val="-14"/>
          <w:w w:val="115"/>
          <w:sz w:val="18"/>
        </w:rPr>
        <w:t> </w:t>
      </w:r>
      <w:r>
        <w:rPr>
          <w:color w:val="4C4D4F"/>
          <w:w w:val="115"/>
          <w:sz w:val="18"/>
        </w:rPr>
        <w:t>M.,</w:t>
      </w:r>
      <w:r>
        <w:rPr>
          <w:color w:val="4C4D4F"/>
          <w:spacing w:val="-15"/>
          <w:w w:val="115"/>
          <w:sz w:val="18"/>
        </w:rPr>
        <w:t> </w:t>
      </w:r>
      <w:r>
        <w:rPr>
          <w:color w:val="4C4D4F"/>
          <w:w w:val="115"/>
          <w:sz w:val="18"/>
        </w:rPr>
        <w:t>Krantz,</w:t>
      </w:r>
    </w:p>
    <w:p>
      <w:pPr>
        <w:spacing w:line="247" w:lineRule="auto" w:before="7"/>
        <w:ind w:left="500" w:right="239" w:firstLine="0"/>
        <w:jc w:val="left"/>
        <w:rPr>
          <w:sz w:val="18"/>
        </w:rPr>
      </w:pPr>
      <w:r>
        <w:rPr>
          <w:color w:val="4C4D4F"/>
          <w:w w:val="115"/>
          <w:sz w:val="18"/>
        </w:rPr>
        <w:t>M.</w:t>
      </w:r>
      <w:r>
        <w:rPr>
          <w:color w:val="4C4D4F"/>
          <w:spacing w:val="-23"/>
          <w:w w:val="115"/>
          <w:sz w:val="18"/>
        </w:rPr>
        <w:t> </w:t>
      </w:r>
      <w:r>
        <w:rPr>
          <w:color w:val="4C4D4F"/>
          <w:w w:val="120"/>
          <w:sz w:val="18"/>
        </w:rPr>
        <w:t>J.,</w:t>
      </w:r>
      <w:r>
        <w:rPr>
          <w:color w:val="4C4D4F"/>
          <w:spacing w:val="-26"/>
          <w:w w:val="120"/>
          <w:sz w:val="18"/>
        </w:rPr>
        <w:t> </w:t>
      </w:r>
      <w:r>
        <w:rPr>
          <w:color w:val="4C4D4F"/>
          <w:w w:val="115"/>
          <w:sz w:val="18"/>
        </w:rPr>
        <w:t>Kreek,</w:t>
      </w:r>
      <w:r>
        <w:rPr>
          <w:color w:val="4C4D4F"/>
          <w:spacing w:val="-23"/>
          <w:w w:val="115"/>
          <w:sz w:val="18"/>
        </w:rPr>
        <w:t> </w:t>
      </w:r>
      <w:r>
        <w:rPr>
          <w:color w:val="4C4D4F"/>
          <w:w w:val="115"/>
          <w:sz w:val="18"/>
        </w:rPr>
        <w:t>M.</w:t>
      </w:r>
      <w:r>
        <w:rPr>
          <w:color w:val="4C4D4F"/>
          <w:spacing w:val="-22"/>
          <w:w w:val="115"/>
          <w:sz w:val="18"/>
        </w:rPr>
        <w:t> </w:t>
      </w:r>
      <w:r>
        <w:rPr>
          <w:color w:val="4C4D4F"/>
          <w:w w:val="120"/>
          <w:sz w:val="18"/>
        </w:rPr>
        <w:t>J.,</w:t>
      </w:r>
      <w:r>
        <w:rPr>
          <w:color w:val="4C4D4F"/>
          <w:spacing w:val="-26"/>
          <w:w w:val="120"/>
          <w:sz w:val="18"/>
        </w:rPr>
        <w:t> </w:t>
      </w:r>
      <w:r>
        <w:rPr>
          <w:color w:val="4C4D4F"/>
          <w:w w:val="115"/>
          <w:sz w:val="18"/>
        </w:rPr>
        <w:t>…</w:t>
      </w:r>
      <w:r>
        <w:rPr>
          <w:color w:val="4C4D4F"/>
          <w:spacing w:val="-23"/>
          <w:w w:val="115"/>
          <w:sz w:val="18"/>
        </w:rPr>
        <w:t> </w:t>
      </w:r>
      <w:r>
        <w:rPr>
          <w:color w:val="4C4D4F"/>
          <w:w w:val="115"/>
          <w:sz w:val="18"/>
        </w:rPr>
        <w:t>Wilford,</w:t>
      </w:r>
      <w:r>
        <w:rPr>
          <w:color w:val="4C4D4F"/>
          <w:spacing w:val="-23"/>
          <w:w w:val="115"/>
          <w:sz w:val="18"/>
        </w:rPr>
        <w:t> </w:t>
      </w:r>
      <w:r>
        <w:rPr>
          <w:color w:val="4C4D4F"/>
          <w:w w:val="115"/>
          <w:sz w:val="18"/>
        </w:rPr>
        <w:t>B.</w:t>
      </w:r>
      <w:r>
        <w:rPr>
          <w:color w:val="4C4D4F"/>
          <w:spacing w:val="-22"/>
          <w:w w:val="115"/>
          <w:sz w:val="18"/>
        </w:rPr>
        <w:t> </w:t>
      </w:r>
      <w:r>
        <w:rPr>
          <w:color w:val="4C4D4F"/>
          <w:w w:val="115"/>
          <w:sz w:val="18"/>
        </w:rPr>
        <w:t>B.</w:t>
      </w:r>
      <w:r>
        <w:rPr>
          <w:color w:val="4C4D4F"/>
          <w:spacing w:val="-23"/>
          <w:w w:val="115"/>
          <w:sz w:val="18"/>
        </w:rPr>
        <w:t> </w:t>
      </w:r>
      <w:r>
        <w:rPr>
          <w:color w:val="4C4D4F"/>
          <w:w w:val="115"/>
          <w:sz w:val="18"/>
        </w:rPr>
        <w:t>(2011).</w:t>
      </w:r>
      <w:r>
        <w:rPr>
          <w:color w:val="4C4D4F"/>
          <w:spacing w:val="-23"/>
          <w:w w:val="115"/>
          <w:sz w:val="18"/>
        </w:rPr>
        <w:t> </w:t>
      </w:r>
      <w:r>
        <w:rPr>
          <w:color w:val="4C4D4F"/>
          <w:w w:val="115"/>
          <w:sz w:val="18"/>
        </w:rPr>
        <w:t>QT</w:t>
      </w:r>
      <w:r>
        <w:rPr>
          <w:color w:val="4C4D4F"/>
          <w:spacing w:val="-23"/>
          <w:w w:val="115"/>
          <w:sz w:val="18"/>
        </w:rPr>
        <w:t> </w:t>
      </w:r>
      <w:r>
        <w:rPr>
          <w:color w:val="4C4D4F"/>
          <w:w w:val="115"/>
          <w:sz w:val="18"/>
        </w:rPr>
        <w:t>interval screening in methadone maintenance treatment: Report of a SAMHSA expert panel. </w:t>
      </w:r>
      <w:r>
        <w:rPr>
          <w:rFonts w:ascii="Arial" w:hAnsi="Arial"/>
          <w:i/>
          <w:color w:val="4C4D4F"/>
          <w:w w:val="115"/>
          <w:sz w:val="18"/>
        </w:rPr>
        <w:t>Journal of </w:t>
      </w:r>
      <w:r>
        <w:rPr>
          <w:rFonts w:ascii="Arial" w:hAnsi="Arial"/>
          <w:i/>
          <w:color w:val="4C4D4F"/>
          <w:w w:val="115"/>
          <w:sz w:val="18"/>
        </w:rPr>
        <w:t>Addictive</w:t>
      </w:r>
      <w:r>
        <w:rPr>
          <w:rFonts w:ascii="Arial" w:hAnsi="Arial"/>
          <w:i/>
          <w:color w:val="4C4D4F"/>
          <w:spacing w:val="-17"/>
          <w:w w:val="115"/>
          <w:sz w:val="18"/>
        </w:rPr>
        <w:t> </w:t>
      </w:r>
      <w:r>
        <w:rPr>
          <w:rFonts w:ascii="Arial" w:hAnsi="Arial"/>
          <w:i/>
          <w:color w:val="4C4D4F"/>
          <w:w w:val="115"/>
          <w:sz w:val="18"/>
        </w:rPr>
        <w:t>Diseases,</w:t>
      </w:r>
      <w:r>
        <w:rPr>
          <w:rFonts w:ascii="Arial" w:hAnsi="Arial"/>
          <w:i/>
          <w:color w:val="4C4D4F"/>
          <w:spacing w:val="-17"/>
          <w:w w:val="115"/>
          <w:sz w:val="18"/>
        </w:rPr>
        <w:t> </w:t>
      </w:r>
      <w:r>
        <w:rPr>
          <w:rFonts w:ascii="Arial" w:hAnsi="Arial"/>
          <w:i/>
          <w:color w:val="4C4D4F"/>
          <w:w w:val="115"/>
          <w:sz w:val="18"/>
        </w:rPr>
        <w:t>30</w:t>
      </w:r>
      <w:r>
        <w:rPr>
          <w:color w:val="4C4D4F"/>
          <w:w w:val="115"/>
          <w:sz w:val="18"/>
        </w:rPr>
        <w:t>(4),</w:t>
      </w:r>
      <w:r>
        <w:rPr>
          <w:color w:val="4C4D4F"/>
          <w:spacing w:val="-17"/>
          <w:w w:val="115"/>
          <w:sz w:val="18"/>
        </w:rPr>
        <w:t> </w:t>
      </w:r>
      <w:r>
        <w:rPr>
          <w:color w:val="4C4D4F"/>
          <w:w w:val="115"/>
          <w:sz w:val="18"/>
        </w:rPr>
        <w:t>283–306.</w:t>
      </w:r>
    </w:p>
    <w:p>
      <w:pPr>
        <w:spacing w:after="0" w:line="247" w:lineRule="auto"/>
        <w:jc w:val="left"/>
        <w:rPr>
          <w:sz w:val="18"/>
        </w:rPr>
        <w:sectPr>
          <w:type w:val="continuous"/>
          <w:pgSz w:w="12240" w:h="15840"/>
          <w:pgMar w:top="540" w:bottom="280" w:left="940" w:right="920"/>
          <w:cols w:num="2" w:equalWidth="0">
            <w:col w:w="5041" w:space="179"/>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404" w:hanging="360"/>
        <w:jc w:val="left"/>
        <w:rPr>
          <w:color w:val="4C4D4F"/>
          <w:sz w:val="18"/>
        </w:rPr>
      </w:pPr>
      <w:r>
        <w:rPr>
          <w:color w:val="4C4D4F"/>
          <w:w w:val="115"/>
          <w:sz w:val="18"/>
        </w:rPr>
        <w:t>Chou,</w:t>
      </w:r>
      <w:r>
        <w:rPr>
          <w:color w:val="4C4D4F"/>
          <w:spacing w:val="-21"/>
          <w:w w:val="115"/>
          <w:sz w:val="18"/>
        </w:rPr>
        <w:t> </w:t>
      </w:r>
      <w:r>
        <w:rPr>
          <w:color w:val="4C4D4F"/>
          <w:w w:val="115"/>
          <w:sz w:val="18"/>
        </w:rPr>
        <w:t>R.,</w:t>
      </w:r>
      <w:r>
        <w:rPr>
          <w:color w:val="4C4D4F"/>
          <w:spacing w:val="-21"/>
          <w:w w:val="115"/>
          <w:sz w:val="18"/>
        </w:rPr>
        <w:t> </w:t>
      </w:r>
      <w:r>
        <w:rPr>
          <w:color w:val="4C4D4F"/>
          <w:w w:val="115"/>
          <w:sz w:val="18"/>
        </w:rPr>
        <w:t>Cruciani,</w:t>
      </w:r>
      <w:r>
        <w:rPr>
          <w:color w:val="4C4D4F"/>
          <w:spacing w:val="-21"/>
          <w:w w:val="115"/>
          <w:sz w:val="18"/>
        </w:rPr>
        <w:t> </w:t>
      </w:r>
      <w:r>
        <w:rPr>
          <w:color w:val="4C4D4F"/>
          <w:w w:val="115"/>
          <w:sz w:val="18"/>
        </w:rPr>
        <w:t>R.</w:t>
      </w:r>
      <w:r>
        <w:rPr>
          <w:color w:val="4C4D4F"/>
          <w:spacing w:val="-21"/>
          <w:w w:val="115"/>
          <w:sz w:val="18"/>
        </w:rPr>
        <w:t> </w:t>
      </w:r>
      <w:r>
        <w:rPr>
          <w:color w:val="4C4D4F"/>
          <w:w w:val="115"/>
          <w:sz w:val="18"/>
        </w:rPr>
        <w:t>A.,</w:t>
      </w:r>
      <w:r>
        <w:rPr>
          <w:color w:val="4C4D4F"/>
          <w:spacing w:val="-21"/>
          <w:w w:val="115"/>
          <w:sz w:val="18"/>
        </w:rPr>
        <w:t> </w:t>
      </w:r>
      <w:r>
        <w:rPr>
          <w:color w:val="4C4D4F"/>
          <w:w w:val="115"/>
          <w:sz w:val="18"/>
        </w:rPr>
        <w:t>Fiellin,</w:t>
      </w:r>
      <w:r>
        <w:rPr>
          <w:color w:val="4C4D4F"/>
          <w:spacing w:val="-21"/>
          <w:w w:val="115"/>
          <w:sz w:val="18"/>
        </w:rPr>
        <w:t> </w:t>
      </w:r>
      <w:r>
        <w:rPr>
          <w:color w:val="4C4D4F"/>
          <w:w w:val="115"/>
          <w:sz w:val="18"/>
        </w:rPr>
        <w:t>D.</w:t>
      </w:r>
      <w:r>
        <w:rPr>
          <w:color w:val="4C4D4F"/>
          <w:spacing w:val="-21"/>
          <w:w w:val="115"/>
          <w:sz w:val="18"/>
        </w:rPr>
        <w:t> </w:t>
      </w:r>
      <w:r>
        <w:rPr>
          <w:color w:val="4C4D4F"/>
          <w:w w:val="115"/>
          <w:sz w:val="18"/>
        </w:rPr>
        <w:t>A.,</w:t>
      </w:r>
      <w:r>
        <w:rPr>
          <w:color w:val="4C4D4F"/>
          <w:spacing w:val="-21"/>
          <w:w w:val="115"/>
          <w:sz w:val="18"/>
        </w:rPr>
        <w:t> </w:t>
      </w:r>
      <w:r>
        <w:rPr>
          <w:color w:val="4C4D4F"/>
          <w:w w:val="115"/>
          <w:sz w:val="18"/>
        </w:rPr>
        <w:t>Compton, </w:t>
      </w:r>
      <w:r>
        <w:rPr>
          <w:color w:val="4C4D4F"/>
          <w:spacing w:val="-11"/>
          <w:w w:val="115"/>
          <w:sz w:val="18"/>
        </w:rPr>
        <w:t>P.,</w:t>
      </w:r>
      <w:r>
        <w:rPr>
          <w:color w:val="4C4D4F"/>
          <w:spacing w:val="-22"/>
          <w:w w:val="115"/>
          <w:sz w:val="18"/>
        </w:rPr>
        <w:t> </w:t>
      </w:r>
      <w:r>
        <w:rPr>
          <w:color w:val="4C4D4F"/>
          <w:spacing w:val="-3"/>
          <w:w w:val="115"/>
          <w:sz w:val="18"/>
        </w:rPr>
        <w:t>Farrar,</w:t>
      </w:r>
      <w:r>
        <w:rPr>
          <w:color w:val="4C4D4F"/>
          <w:spacing w:val="-22"/>
          <w:w w:val="115"/>
          <w:sz w:val="18"/>
        </w:rPr>
        <w:t> </w:t>
      </w:r>
      <w:r>
        <w:rPr>
          <w:color w:val="4C4D4F"/>
          <w:w w:val="135"/>
          <w:sz w:val="18"/>
        </w:rPr>
        <w:t>J.</w:t>
      </w:r>
      <w:r>
        <w:rPr>
          <w:color w:val="4C4D4F"/>
          <w:spacing w:val="-32"/>
          <w:w w:val="135"/>
          <w:sz w:val="18"/>
        </w:rPr>
        <w:t> </w:t>
      </w:r>
      <w:r>
        <w:rPr>
          <w:color w:val="4C4D4F"/>
          <w:spacing w:val="-7"/>
          <w:w w:val="115"/>
          <w:sz w:val="18"/>
        </w:rPr>
        <w:t>T.,</w:t>
      </w:r>
      <w:r>
        <w:rPr>
          <w:color w:val="4C4D4F"/>
          <w:spacing w:val="-22"/>
          <w:w w:val="115"/>
          <w:sz w:val="18"/>
        </w:rPr>
        <w:t> </w:t>
      </w:r>
      <w:r>
        <w:rPr>
          <w:color w:val="4C4D4F"/>
          <w:w w:val="115"/>
          <w:sz w:val="18"/>
        </w:rPr>
        <w:t>Haigney,</w:t>
      </w:r>
      <w:r>
        <w:rPr>
          <w:color w:val="4C4D4F"/>
          <w:spacing w:val="-22"/>
          <w:w w:val="115"/>
          <w:sz w:val="18"/>
        </w:rPr>
        <w:t> </w:t>
      </w:r>
      <w:r>
        <w:rPr>
          <w:color w:val="4C4D4F"/>
          <w:w w:val="115"/>
          <w:sz w:val="18"/>
        </w:rPr>
        <w:t>M.</w:t>
      </w:r>
      <w:r>
        <w:rPr>
          <w:color w:val="4C4D4F"/>
          <w:spacing w:val="-21"/>
          <w:w w:val="115"/>
          <w:sz w:val="18"/>
        </w:rPr>
        <w:t> </w:t>
      </w:r>
      <w:r>
        <w:rPr>
          <w:color w:val="4C4D4F"/>
          <w:w w:val="115"/>
          <w:sz w:val="18"/>
        </w:rPr>
        <w:t>C.,</w:t>
      </w:r>
      <w:r>
        <w:rPr>
          <w:color w:val="4C4D4F"/>
          <w:spacing w:val="-22"/>
          <w:w w:val="115"/>
          <w:sz w:val="18"/>
        </w:rPr>
        <w:t> </w:t>
      </w:r>
      <w:r>
        <w:rPr>
          <w:color w:val="4C4D4F"/>
          <w:w w:val="115"/>
          <w:sz w:val="18"/>
        </w:rPr>
        <w:t>…</w:t>
      </w:r>
      <w:r>
        <w:rPr>
          <w:color w:val="4C4D4F"/>
          <w:spacing w:val="-22"/>
          <w:w w:val="115"/>
          <w:sz w:val="18"/>
        </w:rPr>
        <w:t> </w:t>
      </w:r>
      <w:r>
        <w:rPr>
          <w:color w:val="4C4D4F"/>
          <w:spacing w:val="-3"/>
          <w:w w:val="115"/>
          <w:sz w:val="18"/>
        </w:rPr>
        <w:t>Zeltzer,</w:t>
      </w:r>
      <w:r>
        <w:rPr>
          <w:color w:val="4C4D4F"/>
          <w:spacing w:val="-22"/>
          <w:w w:val="115"/>
          <w:sz w:val="18"/>
        </w:rPr>
        <w:t> </w:t>
      </w:r>
      <w:r>
        <w:rPr>
          <w:color w:val="4C4D4F"/>
          <w:w w:val="115"/>
          <w:sz w:val="18"/>
        </w:rPr>
        <w:t>L.</w:t>
      </w:r>
      <w:r>
        <w:rPr>
          <w:color w:val="4C4D4F"/>
          <w:spacing w:val="-22"/>
          <w:w w:val="115"/>
          <w:sz w:val="18"/>
        </w:rPr>
        <w:t> </w:t>
      </w:r>
      <w:r>
        <w:rPr>
          <w:color w:val="4C4D4F"/>
          <w:spacing w:val="-3"/>
          <w:w w:val="115"/>
          <w:sz w:val="18"/>
        </w:rPr>
        <w:t>(2014).</w:t>
      </w:r>
    </w:p>
    <w:p>
      <w:pPr>
        <w:spacing w:line="247" w:lineRule="auto" w:before="2"/>
        <w:ind w:left="500" w:right="191" w:firstLine="0"/>
        <w:jc w:val="left"/>
        <w:rPr>
          <w:sz w:val="18"/>
        </w:rPr>
      </w:pPr>
      <w:r>
        <w:rPr>
          <w:color w:val="4C4D4F"/>
          <w:w w:val="110"/>
          <w:sz w:val="18"/>
        </w:rPr>
        <w:t>Methadone safety: A clinical practice guideline from the American Pain Society and College on Problems of Drug Dependence, in collaboration with the Heart Rhythm Society. </w:t>
      </w:r>
      <w:r>
        <w:rPr>
          <w:rFonts w:ascii="Arial" w:hAnsi="Arial"/>
          <w:i/>
          <w:color w:val="4C4D4F"/>
          <w:w w:val="110"/>
          <w:sz w:val="18"/>
        </w:rPr>
        <w:t>Journal of Pain, 15</w:t>
      </w:r>
      <w:r>
        <w:rPr>
          <w:color w:val="4C4D4F"/>
          <w:w w:val="110"/>
          <w:sz w:val="18"/>
        </w:rPr>
        <w:t>(4), 321–337.</w:t>
      </w:r>
    </w:p>
    <w:p>
      <w:pPr>
        <w:pStyle w:val="ListParagraph"/>
        <w:numPr>
          <w:ilvl w:val="0"/>
          <w:numId w:val="51"/>
        </w:numPr>
        <w:tabs>
          <w:tab w:pos="500" w:val="left" w:leader="none"/>
        </w:tabs>
        <w:spacing w:line="247" w:lineRule="auto" w:before="74" w:after="0"/>
        <w:ind w:left="500" w:right="404" w:hanging="360"/>
        <w:jc w:val="left"/>
        <w:rPr>
          <w:color w:val="4C4D4F"/>
          <w:sz w:val="18"/>
        </w:rPr>
      </w:pPr>
      <w:r>
        <w:rPr>
          <w:color w:val="4C4D4F"/>
          <w:w w:val="115"/>
          <w:sz w:val="18"/>
        </w:rPr>
        <w:t>Chou,</w:t>
      </w:r>
      <w:r>
        <w:rPr>
          <w:color w:val="4C4D4F"/>
          <w:spacing w:val="-21"/>
          <w:w w:val="115"/>
          <w:sz w:val="18"/>
        </w:rPr>
        <w:t> </w:t>
      </w:r>
      <w:r>
        <w:rPr>
          <w:color w:val="4C4D4F"/>
          <w:w w:val="115"/>
          <w:sz w:val="18"/>
        </w:rPr>
        <w:t>R.,</w:t>
      </w:r>
      <w:r>
        <w:rPr>
          <w:color w:val="4C4D4F"/>
          <w:spacing w:val="-21"/>
          <w:w w:val="115"/>
          <w:sz w:val="18"/>
        </w:rPr>
        <w:t> </w:t>
      </w:r>
      <w:r>
        <w:rPr>
          <w:color w:val="4C4D4F"/>
          <w:w w:val="115"/>
          <w:sz w:val="18"/>
        </w:rPr>
        <w:t>Cruciani,</w:t>
      </w:r>
      <w:r>
        <w:rPr>
          <w:color w:val="4C4D4F"/>
          <w:spacing w:val="-21"/>
          <w:w w:val="115"/>
          <w:sz w:val="18"/>
        </w:rPr>
        <w:t> </w:t>
      </w:r>
      <w:r>
        <w:rPr>
          <w:color w:val="4C4D4F"/>
          <w:w w:val="115"/>
          <w:sz w:val="18"/>
        </w:rPr>
        <w:t>R.</w:t>
      </w:r>
      <w:r>
        <w:rPr>
          <w:color w:val="4C4D4F"/>
          <w:spacing w:val="-21"/>
          <w:w w:val="115"/>
          <w:sz w:val="18"/>
        </w:rPr>
        <w:t> </w:t>
      </w:r>
      <w:r>
        <w:rPr>
          <w:color w:val="4C4D4F"/>
          <w:w w:val="115"/>
          <w:sz w:val="18"/>
        </w:rPr>
        <w:t>A.,</w:t>
      </w:r>
      <w:r>
        <w:rPr>
          <w:color w:val="4C4D4F"/>
          <w:spacing w:val="-21"/>
          <w:w w:val="115"/>
          <w:sz w:val="18"/>
        </w:rPr>
        <w:t> </w:t>
      </w:r>
      <w:r>
        <w:rPr>
          <w:color w:val="4C4D4F"/>
          <w:w w:val="115"/>
          <w:sz w:val="18"/>
        </w:rPr>
        <w:t>Fiellin,</w:t>
      </w:r>
      <w:r>
        <w:rPr>
          <w:color w:val="4C4D4F"/>
          <w:spacing w:val="-21"/>
          <w:w w:val="115"/>
          <w:sz w:val="18"/>
        </w:rPr>
        <w:t> </w:t>
      </w:r>
      <w:r>
        <w:rPr>
          <w:color w:val="4C4D4F"/>
          <w:w w:val="115"/>
          <w:sz w:val="18"/>
        </w:rPr>
        <w:t>D.</w:t>
      </w:r>
      <w:r>
        <w:rPr>
          <w:color w:val="4C4D4F"/>
          <w:spacing w:val="-21"/>
          <w:w w:val="115"/>
          <w:sz w:val="18"/>
        </w:rPr>
        <w:t> </w:t>
      </w:r>
      <w:r>
        <w:rPr>
          <w:color w:val="4C4D4F"/>
          <w:w w:val="115"/>
          <w:sz w:val="18"/>
        </w:rPr>
        <w:t>A.,</w:t>
      </w:r>
      <w:r>
        <w:rPr>
          <w:color w:val="4C4D4F"/>
          <w:spacing w:val="-21"/>
          <w:w w:val="115"/>
          <w:sz w:val="18"/>
        </w:rPr>
        <w:t> </w:t>
      </w:r>
      <w:r>
        <w:rPr>
          <w:color w:val="4C4D4F"/>
          <w:w w:val="115"/>
          <w:sz w:val="18"/>
        </w:rPr>
        <w:t>Compton, </w:t>
      </w:r>
      <w:r>
        <w:rPr>
          <w:color w:val="4C4D4F"/>
          <w:spacing w:val="-11"/>
          <w:w w:val="115"/>
          <w:sz w:val="18"/>
        </w:rPr>
        <w:t>P.,</w:t>
      </w:r>
      <w:r>
        <w:rPr>
          <w:color w:val="4C4D4F"/>
          <w:spacing w:val="-22"/>
          <w:w w:val="115"/>
          <w:sz w:val="18"/>
        </w:rPr>
        <w:t> </w:t>
      </w:r>
      <w:r>
        <w:rPr>
          <w:color w:val="4C4D4F"/>
          <w:spacing w:val="-3"/>
          <w:w w:val="115"/>
          <w:sz w:val="18"/>
        </w:rPr>
        <w:t>Farrar,</w:t>
      </w:r>
      <w:r>
        <w:rPr>
          <w:color w:val="4C4D4F"/>
          <w:spacing w:val="-22"/>
          <w:w w:val="115"/>
          <w:sz w:val="18"/>
        </w:rPr>
        <w:t> </w:t>
      </w:r>
      <w:r>
        <w:rPr>
          <w:color w:val="4C4D4F"/>
          <w:w w:val="135"/>
          <w:sz w:val="18"/>
        </w:rPr>
        <w:t>J.</w:t>
      </w:r>
      <w:r>
        <w:rPr>
          <w:color w:val="4C4D4F"/>
          <w:spacing w:val="-32"/>
          <w:w w:val="135"/>
          <w:sz w:val="18"/>
        </w:rPr>
        <w:t> </w:t>
      </w:r>
      <w:r>
        <w:rPr>
          <w:color w:val="4C4D4F"/>
          <w:spacing w:val="-7"/>
          <w:w w:val="115"/>
          <w:sz w:val="18"/>
        </w:rPr>
        <w:t>T.,</w:t>
      </w:r>
      <w:r>
        <w:rPr>
          <w:color w:val="4C4D4F"/>
          <w:spacing w:val="-22"/>
          <w:w w:val="115"/>
          <w:sz w:val="18"/>
        </w:rPr>
        <w:t> </w:t>
      </w:r>
      <w:r>
        <w:rPr>
          <w:color w:val="4C4D4F"/>
          <w:w w:val="115"/>
          <w:sz w:val="18"/>
        </w:rPr>
        <w:t>Haigney,</w:t>
      </w:r>
      <w:r>
        <w:rPr>
          <w:color w:val="4C4D4F"/>
          <w:spacing w:val="-22"/>
          <w:w w:val="115"/>
          <w:sz w:val="18"/>
        </w:rPr>
        <w:t> </w:t>
      </w:r>
      <w:r>
        <w:rPr>
          <w:color w:val="4C4D4F"/>
          <w:w w:val="115"/>
          <w:sz w:val="18"/>
        </w:rPr>
        <w:t>M.</w:t>
      </w:r>
      <w:r>
        <w:rPr>
          <w:color w:val="4C4D4F"/>
          <w:spacing w:val="-21"/>
          <w:w w:val="115"/>
          <w:sz w:val="18"/>
        </w:rPr>
        <w:t> </w:t>
      </w:r>
      <w:r>
        <w:rPr>
          <w:color w:val="4C4D4F"/>
          <w:w w:val="115"/>
          <w:sz w:val="18"/>
        </w:rPr>
        <w:t>C.,</w:t>
      </w:r>
      <w:r>
        <w:rPr>
          <w:color w:val="4C4D4F"/>
          <w:spacing w:val="-22"/>
          <w:w w:val="115"/>
          <w:sz w:val="18"/>
        </w:rPr>
        <w:t> </w:t>
      </w:r>
      <w:r>
        <w:rPr>
          <w:color w:val="4C4D4F"/>
          <w:w w:val="115"/>
          <w:sz w:val="18"/>
        </w:rPr>
        <w:t>…</w:t>
      </w:r>
      <w:r>
        <w:rPr>
          <w:color w:val="4C4D4F"/>
          <w:spacing w:val="-22"/>
          <w:w w:val="115"/>
          <w:sz w:val="18"/>
        </w:rPr>
        <w:t> </w:t>
      </w:r>
      <w:r>
        <w:rPr>
          <w:color w:val="4C4D4F"/>
          <w:spacing w:val="-3"/>
          <w:w w:val="115"/>
          <w:sz w:val="18"/>
        </w:rPr>
        <w:t>Zeltzer,</w:t>
      </w:r>
      <w:r>
        <w:rPr>
          <w:color w:val="4C4D4F"/>
          <w:spacing w:val="-22"/>
          <w:w w:val="115"/>
          <w:sz w:val="18"/>
        </w:rPr>
        <w:t> </w:t>
      </w:r>
      <w:r>
        <w:rPr>
          <w:color w:val="4C4D4F"/>
          <w:w w:val="115"/>
          <w:sz w:val="18"/>
        </w:rPr>
        <w:t>L.</w:t>
      </w:r>
      <w:r>
        <w:rPr>
          <w:color w:val="4C4D4F"/>
          <w:spacing w:val="-22"/>
          <w:w w:val="115"/>
          <w:sz w:val="18"/>
        </w:rPr>
        <w:t> </w:t>
      </w:r>
      <w:r>
        <w:rPr>
          <w:color w:val="4C4D4F"/>
          <w:spacing w:val="-3"/>
          <w:w w:val="115"/>
          <w:sz w:val="18"/>
        </w:rPr>
        <w:t>(2014).</w:t>
      </w:r>
    </w:p>
    <w:p>
      <w:pPr>
        <w:spacing w:line="247" w:lineRule="auto" w:before="2"/>
        <w:ind w:left="500" w:right="191" w:firstLine="0"/>
        <w:jc w:val="left"/>
        <w:rPr>
          <w:sz w:val="18"/>
        </w:rPr>
      </w:pPr>
      <w:r>
        <w:rPr>
          <w:color w:val="4C4D4F"/>
          <w:w w:val="110"/>
          <w:sz w:val="18"/>
        </w:rPr>
        <w:t>Methadone safety: A clinical practice guideline from the American Pain Society and College on Problems of Drug Dependence, in collaboration with the Heart Rhythm Society. </w:t>
      </w:r>
      <w:r>
        <w:rPr>
          <w:rFonts w:ascii="Arial" w:hAnsi="Arial"/>
          <w:i/>
          <w:color w:val="4C4D4F"/>
          <w:w w:val="110"/>
          <w:sz w:val="18"/>
        </w:rPr>
        <w:t>Journal of Pain, 15</w:t>
      </w:r>
      <w:r>
        <w:rPr>
          <w:color w:val="4C4D4F"/>
          <w:w w:val="110"/>
          <w:sz w:val="18"/>
        </w:rPr>
        <w:t>(4), 321–337.</w:t>
      </w:r>
    </w:p>
    <w:p>
      <w:pPr>
        <w:pStyle w:val="ListParagraph"/>
        <w:numPr>
          <w:ilvl w:val="0"/>
          <w:numId w:val="51"/>
        </w:numPr>
        <w:tabs>
          <w:tab w:pos="500" w:val="left" w:leader="none"/>
        </w:tabs>
        <w:spacing w:line="247" w:lineRule="auto" w:before="75" w:after="0"/>
        <w:ind w:left="500" w:right="451" w:hanging="360"/>
        <w:jc w:val="left"/>
        <w:rPr>
          <w:color w:val="4C4D4F"/>
          <w:sz w:val="18"/>
        </w:rPr>
      </w:pPr>
      <w:r>
        <w:rPr>
          <w:color w:val="4C4D4F"/>
          <w:w w:val="115"/>
          <w:sz w:val="18"/>
        </w:rPr>
        <w:t>Jones,</w:t>
      </w:r>
      <w:r>
        <w:rPr>
          <w:color w:val="4C4D4F"/>
          <w:spacing w:val="-20"/>
          <w:w w:val="115"/>
          <w:sz w:val="18"/>
        </w:rPr>
        <w:t> </w:t>
      </w:r>
      <w:r>
        <w:rPr>
          <w:color w:val="4C4D4F"/>
          <w:w w:val="115"/>
          <w:sz w:val="18"/>
        </w:rPr>
        <w:t>H.</w:t>
      </w:r>
      <w:r>
        <w:rPr>
          <w:color w:val="4C4D4F"/>
          <w:spacing w:val="-20"/>
          <w:w w:val="115"/>
          <w:sz w:val="18"/>
        </w:rPr>
        <w:t> </w:t>
      </w:r>
      <w:r>
        <w:rPr>
          <w:color w:val="4C4D4F"/>
          <w:w w:val="115"/>
          <w:sz w:val="18"/>
        </w:rPr>
        <w:t>E.,</w:t>
      </w:r>
      <w:r>
        <w:rPr>
          <w:color w:val="4C4D4F"/>
          <w:spacing w:val="-19"/>
          <w:w w:val="115"/>
          <w:sz w:val="18"/>
        </w:rPr>
        <w:t> </w:t>
      </w:r>
      <w:r>
        <w:rPr>
          <w:color w:val="4C4D4F"/>
          <w:spacing w:val="-3"/>
          <w:w w:val="115"/>
          <w:sz w:val="18"/>
        </w:rPr>
        <w:t>Dengler,</w:t>
      </w:r>
      <w:r>
        <w:rPr>
          <w:color w:val="4C4D4F"/>
          <w:spacing w:val="-20"/>
          <w:w w:val="115"/>
          <w:sz w:val="18"/>
        </w:rPr>
        <w:t> </w:t>
      </w:r>
      <w:r>
        <w:rPr>
          <w:color w:val="4C4D4F"/>
          <w:w w:val="115"/>
          <w:sz w:val="18"/>
        </w:rPr>
        <w:t>E.,</w:t>
      </w:r>
      <w:r>
        <w:rPr>
          <w:color w:val="4C4D4F"/>
          <w:spacing w:val="-20"/>
          <w:w w:val="115"/>
          <w:sz w:val="18"/>
        </w:rPr>
        <w:t> </w:t>
      </w:r>
      <w:r>
        <w:rPr>
          <w:color w:val="4C4D4F"/>
          <w:w w:val="115"/>
          <w:sz w:val="18"/>
        </w:rPr>
        <w:t>Garrison,</w:t>
      </w:r>
      <w:r>
        <w:rPr>
          <w:color w:val="4C4D4F"/>
          <w:spacing w:val="-19"/>
          <w:w w:val="115"/>
          <w:sz w:val="18"/>
        </w:rPr>
        <w:t> </w:t>
      </w:r>
      <w:r>
        <w:rPr>
          <w:color w:val="4C4D4F"/>
          <w:w w:val="115"/>
          <w:sz w:val="18"/>
        </w:rPr>
        <w:t>A.,</w:t>
      </w:r>
      <w:r>
        <w:rPr>
          <w:color w:val="4C4D4F"/>
          <w:spacing w:val="-20"/>
          <w:w w:val="115"/>
          <w:sz w:val="18"/>
        </w:rPr>
        <w:t> </w:t>
      </w:r>
      <w:r>
        <w:rPr>
          <w:color w:val="4C4D4F"/>
          <w:w w:val="115"/>
          <w:sz w:val="18"/>
        </w:rPr>
        <w:t>O’Grady,</w:t>
      </w:r>
      <w:r>
        <w:rPr>
          <w:color w:val="4C4D4F"/>
          <w:spacing w:val="-20"/>
          <w:w w:val="115"/>
          <w:sz w:val="18"/>
        </w:rPr>
        <w:t> </w:t>
      </w:r>
      <w:r>
        <w:rPr>
          <w:color w:val="4C4D4F"/>
          <w:spacing w:val="-8"/>
          <w:w w:val="115"/>
          <w:sz w:val="18"/>
        </w:rPr>
        <w:t>K. </w:t>
      </w:r>
      <w:r>
        <w:rPr>
          <w:color w:val="4C4D4F"/>
          <w:w w:val="115"/>
          <w:sz w:val="18"/>
        </w:rPr>
        <w:t>E.,</w:t>
      </w:r>
      <w:r>
        <w:rPr>
          <w:color w:val="4C4D4F"/>
          <w:spacing w:val="-20"/>
          <w:w w:val="115"/>
          <w:sz w:val="18"/>
        </w:rPr>
        <w:t> </w:t>
      </w:r>
      <w:r>
        <w:rPr>
          <w:color w:val="4C4D4F"/>
          <w:w w:val="115"/>
          <w:sz w:val="18"/>
        </w:rPr>
        <w:t>Seashore,</w:t>
      </w:r>
      <w:r>
        <w:rPr>
          <w:color w:val="4C4D4F"/>
          <w:spacing w:val="-20"/>
          <w:w w:val="115"/>
          <w:sz w:val="18"/>
        </w:rPr>
        <w:t> </w:t>
      </w:r>
      <w:r>
        <w:rPr>
          <w:color w:val="4C4D4F"/>
          <w:w w:val="115"/>
          <w:sz w:val="18"/>
        </w:rPr>
        <w:t>C.,</w:t>
      </w:r>
      <w:r>
        <w:rPr>
          <w:color w:val="4C4D4F"/>
          <w:spacing w:val="-20"/>
          <w:w w:val="115"/>
          <w:sz w:val="18"/>
        </w:rPr>
        <w:t> </w:t>
      </w:r>
      <w:r>
        <w:rPr>
          <w:color w:val="4C4D4F"/>
          <w:w w:val="115"/>
          <w:sz w:val="18"/>
        </w:rPr>
        <w:t>Horton,</w:t>
      </w:r>
      <w:r>
        <w:rPr>
          <w:color w:val="4C4D4F"/>
          <w:spacing w:val="-20"/>
          <w:w w:val="115"/>
          <w:sz w:val="18"/>
        </w:rPr>
        <w:t> </w:t>
      </w:r>
      <w:r>
        <w:rPr>
          <w:color w:val="4C4D4F"/>
          <w:w w:val="115"/>
          <w:sz w:val="18"/>
        </w:rPr>
        <w:t>E.,</w:t>
      </w:r>
      <w:r>
        <w:rPr>
          <w:color w:val="4C4D4F"/>
          <w:spacing w:val="-20"/>
          <w:w w:val="115"/>
          <w:sz w:val="18"/>
        </w:rPr>
        <w:t> </w:t>
      </w:r>
      <w:r>
        <w:rPr>
          <w:color w:val="4C4D4F"/>
          <w:w w:val="115"/>
          <w:sz w:val="18"/>
        </w:rPr>
        <w:t>…</w:t>
      </w:r>
      <w:r>
        <w:rPr>
          <w:color w:val="4C4D4F"/>
          <w:spacing w:val="-19"/>
          <w:w w:val="115"/>
          <w:sz w:val="18"/>
        </w:rPr>
        <w:t> </w:t>
      </w:r>
      <w:r>
        <w:rPr>
          <w:color w:val="4C4D4F"/>
          <w:w w:val="115"/>
          <w:sz w:val="18"/>
        </w:rPr>
        <w:t>Thorp,</w:t>
      </w:r>
      <w:r>
        <w:rPr>
          <w:color w:val="4C4D4F"/>
          <w:spacing w:val="-20"/>
          <w:w w:val="115"/>
          <w:sz w:val="18"/>
        </w:rPr>
        <w:t> </w:t>
      </w:r>
      <w:r>
        <w:rPr>
          <w:color w:val="4C4D4F"/>
          <w:w w:val="135"/>
          <w:sz w:val="18"/>
        </w:rPr>
        <w:t>J.</w:t>
      </w:r>
      <w:r>
        <w:rPr>
          <w:color w:val="4C4D4F"/>
          <w:spacing w:val="-30"/>
          <w:w w:val="135"/>
          <w:sz w:val="18"/>
        </w:rPr>
        <w:t> </w:t>
      </w:r>
      <w:r>
        <w:rPr>
          <w:color w:val="4C4D4F"/>
          <w:w w:val="115"/>
          <w:sz w:val="18"/>
        </w:rPr>
        <w:t>(2014).</w:t>
      </w:r>
    </w:p>
    <w:p>
      <w:pPr>
        <w:spacing w:line="247" w:lineRule="auto" w:before="2"/>
        <w:ind w:left="500" w:right="-1" w:firstLine="0"/>
        <w:jc w:val="left"/>
        <w:rPr>
          <w:sz w:val="18"/>
        </w:rPr>
      </w:pPr>
      <w:r>
        <w:rPr>
          <w:color w:val="4C4D4F"/>
          <w:w w:val="110"/>
          <w:sz w:val="18"/>
        </w:rPr>
        <w:t>Neonatal outcomes and their relationship to maternal buprenorphine dose during pregnancy. </w:t>
      </w:r>
      <w:r>
        <w:rPr>
          <w:rFonts w:ascii="Arial" w:hAnsi="Arial"/>
          <w:i/>
          <w:color w:val="4C4D4F"/>
          <w:w w:val="110"/>
          <w:sz w:val="18"/>
        </w:rPr>
        <w:t>Drug and </w:t>
      </w:r>
      <w:r>
        <w:rPr>
          <w:rFonts w:ascii="Arial" w:hAnsi="Arial"/>
          <w:i/>
          <w:color w:val="4C4D4F"/>
          <w:w w:val="110"/>
          <w:sz w:val="18"/>
        </w:rPr>
        <w:t>Alcohol Dependence, 134, </w:t>
      </w:r>
      <w:r>
        <w:rPr>
          <w:color w:val="4C4D4F"/>
          <w:w w:val="110"/>
          <w:sz w:val="18"/>
        </w:rPr>
        <w:t>414–417.</w:t>
      </w:r>
    </w:p>
    <w:p>
      <w:pPr>
        <w:pStyle w:val="ListParagraph"/>
        <w:numPr>
          <w:ilvl w:val="0"/>
          <w:numId w:val="51"/>
        </w:numPr>
        <w:tabs>
          <w:tab w:pos="500" w:val="left" w:leader="none"/>
        </w:tabs>
        <w:spacing w:line="247" w:lineRule="auto" w:before="72" w:after="0"/>
        <w:ind w:left="500" w:right="238" w:hanging="360"/>
        <w:jc w:val="left"/>
        <w:rPr>
          <w:color w:val="4C4D4F"/>
          <w:sz w:val="18"/>
        </w:rPr>
      </w:pPr>
      <w:r>
        <w:rPr>
          <w:color w:val="4C4D4F"/>
          <w:w w:val="115"/>
          <w:sz w:val="18"/>
        </w:rPr>
        <w:t>Cleary,</w:t>
      </w:r>
      <w:r>
        <w:rPr>
          <w:color w:val="4C4D4F"/>
          <w:spacing w:val="-16"/>
          <w:w w:val="115"/>
          <w:sz w:val="18"/>
        </w:rPr>
        <w:t> </w:t>
      </w:r>
      <w:r>
        <w:rPr>
          <w:color w:val="4C4D4F"/>
          <w:w w:val="115"/>
          <w:sz w:val="18"/>
        </w:rPr>
        <w:t>B.</w:t>
      </w:r>
      <w:r>
        <w:rPr>
          <w:color w:val="4C4D4F"/>
          <w:spacing w:val="-15"/>
          <w:w w:val="115"/>
          <w:sz w:val="18"/>
        </w:rPr>
        <w:t> </w:t>
      </w:r>
      <w:r>
        <w:rPr>
          <w:color w:val="4C4D4F"/>
          <w:w w:val="135"/>
          <w:sz w:val="18"/>
        </w:rPr>
        <w:t>J.,</w:t>
      </w:r>
      <w:r>
        <w:rPr>
          <w:color w:val="4C4D4F"/>
          <w:spacing w:val="-25"/>
          <w:w w:val="135"/>
          <w:sz w:val="18"/>
        </w:rPr>
        <w:t> </w:t>
      </w:r>
      <w:r>
        <w:rPr>
          <w:color w:val="4C4D4F"/>
          <w:w w:val="115"/>
          <w:sz w:val="18"/>
        </w:rPr>
        <w:t>Reynolds,</w:t>
      </w:r>
      <w:r>
        <w:rPr>
          <w:color w:val="4C4D4F"/>
          <w:spacing w:val="-16"/>
          <w:w w:val="115"/>
          <w:sz w:val="18"/>
        </w:rPr>
        <w:t> </w:t>
      </w:r>
      <w:r>
        <w:rPr>
          <w:color w:val="4C4D4F"/>
          <w:w w:val="115"/>
          <w:sz w:val="18"/>
        </w:rPr>
        <w:t>K.,</w:t>
      </w:r>
      <w:r>
        <w:rPr>
          <w:color w:val="4C4D4F"/>
          <w:spacing w:val="-15"/>
          <w:w w:val="115"/>
          <w:sz w:val="18"/>
        </w:rPr>
        <w:t> </w:t>
      </w:r>
      <w:r>
        <w:rPr>
          <w:color w:val="4C4D4F"/>
          <w:w w:val="115"/>
          <w:sz w:val="18"/>
        </w:rPr>
        <w:t>Eogan,</w:t>
      </w:r>
      <w:r>
        <w:rPr>
          <w:color w:val="4C4D4F"/>
          <w:spacing w:val="-15"/>
          <w:w w:val="115"/>
          <w:sz w:val="18"/>
        </w:rPr>
        <w:t> </w:t>
      </w:r>
      <w:r>
        <w:rPr>
          <w:color w:val="4C4D4F"/>
          <w:w w:val="115"/>
          <w:sz w:val="18"/>
        </w:rPr>
        <w:t>M.,</w:t>
      </w:r>
      <w:r>
        <w:rPr>
          <w:color w:val="4C4D4F"/>
          <w:spacing w:val="-16"/>
          <w:w w:val="115"/>
          <w:sz w:val="18"/>
        </w:rPr>
        <w:t> </w:t>
      </w:r>
      <w:r>
        <w:rPr>
          <w:color w:val="4C4D4F"/>
          <w:w w:val="115"/>
          <w:sz w:val="18"/>
        </w:rPr>
        <w:t>O’Connell,</w:t>
      </w:r>
      <w:r>
        <w:rPr>
          <w:color w:val="4C4D4F"/>
          <w:spacing w:val="-15"/>
          <w:w w:val="115"/>
          <w:sz w:val="18"/>
        </w:rPr>
        <w:t> </w:t>
      </w:r>
      <w:r>
        <w:rPr>
          <w:color w:val="4C4D4F"/>
          <w:w w:val="115"/>
          <w:sz w:val="18"/>
        </w:rPr>
        <w:t>M. </w:t>
      </w:r>
      <w:r>
        <w:rPr>
          <w:color w:val="4C4D4F"/>
          <w:spacing w:val="-11"/>
          <w:w w:val="115"/>
          <w:sz w:val="18"/>
        </w:rPr>
        <w:t>P.,</w:t>
      </w:r>
      <w:r>
        <w:rPr>
          <w:color w:val="4C4D4F"/>
          <w:spacing w:val="-15"/>
          <w:w w:val="115"/>
          <w:sz w:val="18"/>
        </w:rPr>
        <w:t> </w:t>
      </w:r>
      <w:r>
        <w:rPr>
          <w:color w:val="4C4D4F"/>
          <w:spacing w:val="-3"/>
          <w:w w:val="115"/>
          <w:sz w:val="18"/>
        </w:rPr>
        <w:t>Fahey,</w:t>
      </w:r>
      <w:r>
        <w:rPr>
          <w:color w:val="4C4D4F"/>
          <w:spacing w:val="-15"/>
          <w:w w:val="115"/>
          <w:sz w:val="18"/>
        </w:rPr>
        <w:t> </w:t>
      </w:r>
      <w:r>
        <w:rPr>
          <w:color w:val="4C4D4F"/>
          <w:spacing w:val="-7"/>
          <w:w w:val="115"/>
          <w:sz w:val="18"/>
        </w:rPr>
        <w:t>T.,</w:t>
      </w:r>
      <w:r>
        <w:rPr>
          <w:color w:val="4C4D4F"/>
          <w:spacing w:val="-14"/>
          <w:w w:val="115"/>
          <w:sz w:val="18"/>
        </w:rPr>
        <w:t> </w:t>
      </w:r>
      <w:r>
        <w:rPr>
          <w:color w:val="4C4D4F"/>
          <w:w w:val="115"/>
          <w:sz w:val="18"/>
        </w:rPr>
        <w:t>Gallagher,</w:t>
      </w:r>
      <w:r>
        <w:rPr>
          <w:color w:val="4C4D4F"/>
          <w:spacing w:val="-15"/>
          <w:w w:val="115"/>
          <w:sz w:val="18"/>
        </w:rPr>
        <w:t> </w:t>
      </w:r>
      <w:r>
        <w:rPr>
          <w:color w:val="4C4D4F"/>
          <w:spacing w:val="-17"/>
          <w:w w:val="115"/>
          <w:sz w:val="18"/>
        </w:rPr>
        <w:t>P.</w:t>
      </w:r>
      <w:r>
        <w:rPr>
          <w:color w:val="4C4D4F"/>
          <w:spacing w:val="-14"/>
          <w:w w:val="115"/>
          <w:sz w:val="18"/>
        </w:rPr>
        <w:t> </w:t>
      </w:r>
      <w:r>
        <w:rPr>
          <w:color w:val="4C4D4F"/>
          <w:w w:val="135"/>
          <w:sz w:val="18"/>
        </w:rPr>
        <w:t>J.,</w:t>
      </w:r>
      <w:r>
        <w:rPr>
          <w:color w:val="4C4D4F"/>
          <w:spacing w:val="-25"/>
          <w:w w:val="135"/>
          <w:sz w:val="18"/>
        </w:rPr>
        <w:t> </w:t>
      </w:r>
      <w:r>
        <w:rPr>
          <w:color w:val="4C4D4F"/>
          <w:w w:val="115"/>
          <w:sz w:val="18"/>
        </w:rPr>
        <w:t>…</w:t>
      </w:r>
      <w:r>
        <w:rPr>
          <w:color w:val="4C4D4F"/>
          <w:spacing w:val="-14"/>
          <w:w w:val="115"/>
          <w:sz w:val="18"/>
        </w:rPr>
        <w:t> </w:t>
      </w:r>
      <w:r>
        <w:rPr>
          <w:color w:val="4C4D4F"/>
          <w:w w:val="115"/>
          <w:sz w:val="18"/>
        </w:rPr>
        <w:t>Murphy,</w:t>
      </w:r>
      <w:r>
        <w:rPr>
          <w:color w:val="4C4D4F"/>
          <w:spacing w:val="-15"/>
          <w:w w:val="115"/>
          <w:sz w:val="18"/>
        </w:rPr>
        <w:t> </w:t>
      </w:r>
      <w:r>
        <w:rPr>
          <w:color w:val="4C4D4F"/>
          <w:w w:val="115"/>
          <w:sz w:val="18"/>
        </w:rPr>
        <w:t>D.</w:t>
      </w:r>
      <w:r>
        <w:rPr>
          <w:color w:val="4C4D4F"/>
          <w:spacing w:val="-14"/>
          <w:w w:val="115"/>
          <w:sz w:val="18"/>
        </w:rPr>
        <w:t> </w:t>
      </w:r>
      <w:r>
        <w:rPr>
          <w:color w:val="4C4D4F"/>
          <w:w w:val="135"/>
          <w:sz w:val="18"/>
        </w:rPr>
        <w:t>J.</w:t>
      </w:r>
      <w:r>
        <w:rPr>
          <w:color w:val="4C4D4F"/>
          <w:spacing w:val="-25"/>
          <w:w w:val="135"/>
          <w:sz w:val="18"/>
        </w:rPr>
        <w:t> </w:t>
      </w:r>
      <w:r>
        <w:rPr>
          <w:color w:val="4C4D4F"/>
          <w:w w:val="115"/>
          <w:sz w:val="18"/>
        </w:rPr>
        <w:t>(2014). Methadone</w:t>
      </w:r>
      <w:r>
        <w:rPr>
          <w:color w:val="4C4D4F"/>
          <w:spacing w:val="-16"/>
          <w:w w:val="115"/>
          <w:sz w:val="18"/>
        </w:rPr>
        <w:t> </w:t>
      </w:r>
      <w:r>
        <w:rPr>
          <w:color w:val="4C4D4F"/>
          <w:w w:val="115"/>
          <w:sz w:val="18"/>
        </w:rPr>
        <w:t>dosing</w:t>
      </w:r>
      <w:r>
        <w:rPr>
          <w:color w:val="4C4D4F"/>
          <w:spacing w:val="-15"/>
          <w:w w:val="115"/>
          <w:sz w:val="18"/>
        </w:rPr>
        <w:t> </w:t>
      </w:r>
      <w:r>
        <w:rPr>
          <w:color w:val="4C4D4F"/>
          <w:w w:val="115"/>
          <w:sz w:val="18"/>
        </w:rPr>
        <w:t>and</w:t>
      </w:r>
      <w:r>
        <w:rPr>
          <w:color w:val="4C4D4F"/>
          <w:spacing w:val="-16"/>
          <w:w w:val="115"/>
          <w:sz w:val="18"/>
        </w:rPr>
        <w:t> </w:t>
      </w:r>
      <w:r>
        <w:rPr>
          <w:color w:val="4C4D4F"/>
          <w:w w:val="115"/>
          <w:sz w:val="18"/>
        </w:rPr>
        <w:t>prescribed</w:t>
      </w:r>
      <w:r>
        <w:rPr>
          <w:color w:val="4C4D4F"/>
          <w:spacing w:val="-15"/>
          <w:w w:val="115"/>
          <w:sz w:val="18"/>
        </w:rPr>
        <w:t> </w:t>
      </w:r>
      <w:r>
        <w:rPr>
          <w:color w:val="4C4D4F"/>
          <w:w w:val="115"/>
          <w:sz w:val="18"/>
        </w:rPr>
        <w:t>medication</w:t>
      </w:r>
      <w:r>
        <w:rPr>
          <w:color w:val="4C4D4F"/>
          <w:spacing w:val="-16"/>
          <w:w w:val="115"/>
          <w:sz w:val="18"/>
        </w:rPr>
        <w:t> </w:t>
      </w:r>
      <w:r>
        <w:rPr>
          <w:color w:val="4C4D4F"/>
          <w:w w:val="115"/>
          <w:sz w:val="18"/>
        </w:rPr>
        <w:t>use</w:t>
      </w:r>
      <w:r>
        <w:rPr>
          <w:color w:val="4C4D4F"/>
          <w:spacing w:val="-15"/>
          <w:w w:val="115"/>
          <w:sz w:val="18"/>
        </w:rPr>
        <w:t> </w:t>
      </w:r>
      <w:r>
        <w:rPr>
          <w:color w:val="4C4D4F"/>
          <w:spacing w:val="-9"/>
          <w:w w:val="115"/>
          <w:sz w:val="18"/>
        </w:rPr>
        <w:t>in </w:t>
      </w:r>
      <w:r>
        <w:rPr>
          <w:color w:val="4C4D4F"/>
          <w:w w:val="115"/>
          <w:sz w:val="18"/>
        </w:rPr>
        <w:t>a</w:t>
      </w:r>
      <w:r>
        <w:rPr>
          <w:color w:val="4C4D4F"/>
          <w:spacing w:val="-21"/>
          <w:w w:val="115"/>
          <w:sz w:val="18"/>
        </w:rPr>
        <w:t> </w:t>
      </w:r>
      <w:r>
        <w:rPr>
          <w:color w:val="4C4D4F"/>
          <w:w w:val="115"/>
          <w:sz w:val="18"/>
        </w:rPr>
        <w:t>prospective</w:t>
      </w:r>
      <w:r>
        <w:rPr>
          <w:color w:val="4C4D4F"/>
          <w:spacing w:val="-21"/>
          <w:w w:val="115"/>
          <w:sz w:val="18"/>
        </w:rPr>
        <w:t> </w:t>
      </w:r>
      <w:r>
        <w:rPr>
          <w:color w:val="4C4D4F"/>
          <w:w w:val="115"/>
          <w:sz w:val="18"/>
        </w:rPr>
        <w:t>cohort</w:t>
      </w:r>
      <w:r>
        <w:rPr>
          <w:color w:val="4C4D4F"/>
          <w:spacing w:val="-20"/>
          <w:w w:val="115"/>
          <w:sz w:val="18"/>
        </w:rPr>
        <w:t> </w:t>
      </w:r>
      <w:r>
        <w:rPr>
          <w:color w:val="4C4D4F"/>
          <w:w w:val="115"/>
          <w:sz w:val="18"/>
        </w:rPr>
        <w:t>of</w:t>
      </w:r>
      <w:r>
        <w:rPr>
          <w:color w:val="4C4D4F"/>
          <w:spacing w:val="-21"/>
          <w:w w:val="115"/>
          <w:sz w:val="18"/>
        </w:rPr>
        <w:t> </w:t>
      </w:r>
      <w:r>
        <w:rPr>
          <w:color w:val="4C4D4F"/>
          <w:w w:val="115"/>
          <w:sz w:val="18"/>
        </w:rPr>
        <w:t>opioid-dependent</w:t>
      </w:r>
      <w:r>
        <w:rPr>
          <w:color w:val="4C4D4F"/>
          <w:spacing w:val="-20"/>
          <w:w w:val="115"/>
          <w:sz w:val="18"/>
        </w:rPr>
        <w:t> </w:t>
      </w:r>
      <w:r>
        <w:rPr>
          <w:color w:val="4C4D4F"/>
          <w:w w:val="115"/>
          <w:sz w:val="18"/>
        </w:rPr>
        <w:t>pregnant women. </w:t>
      </w:r>
      <w:r>
        <w:rPr>
          <w:rFonts w:ascii="Arial" w:hAnsi="Arial"/>
          <w:i/>
          <w:color w:val="4C4D4F"/>
          <w:w w:val="115"/>
          <w:sz w:val="18"/>
        </w:rPr>
        <w:t>Addiction, 108</w:t>
      </w:r>
      <w:r>
        <w:rPr>
          <w:color w:val="4C4D4F"/>
          <w:w w:val="115"/>
          <w:sz w:val="18"/>
        </w:rPr>
        <w:t>(4),</w:t>
      </w:r>
      <w:r>
        <w:rPr>
          <w:color w:val="4C4D4F"/>
          <w:spacing w:val="-43"/>
          <w:w w:val="115"/>
          <w:sz w:val="18"/>
        </w:rPr>
        <w:t> </w:t>
      </w:r>
      <w:r>
        <w:rPr>
          <w:color w:val="4C4D4F"/>
          <w:w w:val="115"/>
          <w:sz w:val="18"/>
        </w:rPr>
        <w:t>762–770.</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5"/>
          <w:sz w:val="18"/>
        </w:rPr>
        <w:t>Kaltenbach,</w:t>
      </w:r>
      <w:r>
        <w:rPr>
          <w:color w:val="4C4D4F"/>
          <w:spacing w:val="-17"/>
          <w:w w:val="115"/>
          <w:sz w:val="18"/>
        </w:rPr>
        <w:t> </w:t>
      </w:r>
      <w:r>
        <w:rPr>
          <w:color w:val="4C4D4F"/>
          <w:w w:val="115"/>
          <w:sz w:val="18"/>
        </w:rPr>
        <w:t>K.,</w:t>
      </w:r>
      <w:r>
        <w:rPr>
          <w:color w:val="4C4D4F"/>
          <w:spacing w:val="-17"/>
          <w:w w:val="115"/>
          <w:sz w:val="18"/>
        </w:rPr>
        <w:t> </w:t>
      </w:r>
      <w:r>
        <w:rPr>
          <w:color w:val="4C4D4F"/>
          <w:w w:val="115"/>
          <w:sz w:val="18"/>
        </w:rPr>
        <w:t>Holbrook,</w:t>
      </w:r>
      <w:r>
        <w:rPr>
          <w:color w:val="4C4D4F"/>
          <w:spacing w:val="-16"/>
          <w:w w:val="115"/>
          <w:sz w:val="18"/>
        </w:rPr>
        <w:t> </w:t>
      </w:r>
      <w:r>
        <w:rPr>
          <w:color w:val="4C4D4F"/>
          <w:w w:val="115"/>
          <w:sz w:val="18"/>
        </w:rPr>
        <w:t>A.</w:t>
      </w:r>
      <w:r>
        <w:rPr>
          <w:color w:val="4C4D4F"/>
          <w:spacing w:val="-17"/>
          <w:w w:val="115"/>
          <w:sz w:val="18"/>
        </w:rPr>
        <w:t> </w:t>
      </w:r>
      <w:r>
        <w:rPr>
          <w:color w:val="4C4D4F"/>
          <w:w w:val="115"/>
          <w:sz w:val="18"/>
        </w:rPr>
        <w:t>M.,</w:t>
      </w:r>
      <w:r>
        <w:rPr>
          <w:color w:val="4C4D4F"/>
          <w:spacing w:val="-16"/>
          <w:w w:val="115"/>
          <w:sz w:val="18"/>
        </w:rPr>
        <w:t> </w:t>
      </w:r>
      <w:r>
        <w:rPr>
          <w:color w:val="4C4D4F"/>
          <w:w w:val="115"/>
          <w:sz w:val="18"/>
        </w:rPr>
        <w:t>Coyle,</w:t>
      </w:r>
      <w:r>
        <w:rPr>
          <w:color w:val="4C4D4F"/>
          <w:spacing w:val="-17"/>
          <w:w w:val="115"/>
          <w:sz w:val="18"/>
        </w:rPr>
        <w:t> </w:t>
      </w:r>
      <w:r>
        <w:rPr>
          <w:color w:val="4C4D4F"/>
          <w:w w:val="115"/>
          <w:sz w:val="18"/>
        </w:rPr>
        <w:t>M.</w:t>
      </w:r>
      <w:r>
        <w:rPr>
          <w:color w:val="4C4D4F"/>
          <w:spacing w:val="-16"/>
          <w:w w:val="115"/>
          <w:sz w:val="18"/>
        </w:rPr>
        <w:t> </w:t>
      </w:r>
      <w:r>
        <w:rPr>
          <w:color w:val="4C4D4F"/>
          <w:w w:val="115"/>
          <w:sz w:val="18"/>
        </w:rPr>
        <w:t>G.,</w:t>
      </w:r>
      <w:r>
        <w:rPr>
          <w:color w:val="4C4D4F"/>
          <w:spacing w:val="-17"/>
          <w:w w:val="115"/>
          <w:sz w:val="18"/>
        </w:rPr>
        <w:t> </w:t>
      </w:r>
      <w:r>
        <w:rPr>
          <w:color w:val="4C4D4F"/>
          <w:w w:val="115"/>
          <w:sz w:val="18"/>
        </w:rPr>
        <w:t>Heil,</w:t>
      </w:r>
    </w:p>
    <w:p>
      <w:pPr>
        <w:spacing w:line="247" w:lineRule="auto" w:before="7"/>
        <w:ind w:left="500" w:right="273" w:firstLine="0"/>
        <w:jc w:val="left"/>
        <w:rPr>
          <w:sz w:val="18"/>
        </w:rPr>
      </w:pPr>
      <w:r>
        <w:rPr>
          <w:color w:val="4C4D4F"/>
          <w:w w:val="115"/>
          <w:sz w:val="18"/>
        </w:rPr>
        <w:t>S. H., Salisbury, A. L., Stine, S. M., … Jones, H. E. (2012).</w:t>
      </w:r>
      <w:r>
        <w:rPr>
          <w:color w:val="4C4D4F"/>
          <w:spacing w:val="-36"/>
          <w:w w:val="115"/>
          <w:sz w:val="18"/>
        </w:rPr>
        <w:t> </w:t>
      </w:r>
      <w:r>
        <w:rPr>
          <w:color w:val="4C4D4F"/>
          <w:w w:val="115"/>
          <w:sz w:val="18"/>
        </w:rPr>
        <w:t>Predicting</w:t>
      </w:r>
      <w:r>
        <w:rPr>
          <w:color w:val="4C4D4F"/>
          <w:spacing w:val="-36"/>
          <w:w w:val="115"/>
          <w:sz w:val="18"/>
        </w:rPr>
        <w:t> </w:t>
      </w:r>
      <w:r>
        <w:rPr>
          <w:color w:val="4C4D4F"/>
          <w:w w:val="115"/>
          <w:sz w:val="18"/>
        </w:rPr>
        <w:t>treatment</w:t>
      </w:r>
      <w:r>
        <w:rPr>
          <w:color w:val="4C4D4F"/>
          <w:spacing w:val="-35"/>
          <w:w w:val="115"/>
          <w:sz w:val="18"/>
        </w:rPr>
        <w:t> </w:t>
      </w:r>
      <w:r>
        <w:rPr>
          <w:color w:val="4C4D4F"/>
          <w:w w:val="115"/>
          <w:sz w:val="18"/>
        </w:rPr>
        <w:t>for</w:t>
      </w:r>
      <w:r>
        <w:rPr>
          <w:color w:val="4C4D4F"/>
          <w:spacing w:val="-36"/>
          <w:w w:val="115"/>
          <w:sz w:val="18"/>
        </w:rPr>
        <w:t> </w:t>
      </w:r>
      <w:r>
        <w:rPr>
          <w:color w:val="4C4D4F"/>
          <w:w w:val="115"/>
          <w:sz w:val="18"/>
        </w:rPr>
        <w:t>neonatal</w:t>
      </w:r>
      <w:r>
        <w:rPr>
          <w:color w:val="4C4D4F"/>
          <w:spacing w:val="-35"/>
          <w:w w:val="115"/>
          <w:sz w:val="18"/>
        </w:rPr>
        <w:t> </w:t>
      </w:r>
      <w:r>
        <w:rPr>
          <w:color w:val="4C4D4F"/>
          <w:w w:val="115"/>
          <w:sz w:val="18"/>
        </w:rPr>
        <w:t>abstinence syndrome</w:t>
      </w:r>
      <w:r>
        <w:rPr>
          <w:color w:val="4C4D4F"/>
          <w:spacing w:val="-22"/>
          <w:w w:val="115"/>
          <w:sz w:val="18"/>
        </w:rPr>
        <w:t> </w:t>
      </w:r>
      <w:r>
        <w:rPr>
          <w:color w:val="4C4D4F"/>
          <w:w w:val="115"/>
          <w:sz w:val="18"/>
        </w:rPr>
        <w:t>in</w:t>
      </w:r>
      <w:r>
        <w:rPr>
          <w:color w:val="4C4D4F"/>
          <w:spacing w:val="-21"/>
          <w:w w:val="115"/>
          <w:sz w:val="18"/>
        </w:rPr>
        <w:t> </w:t>
      </w:r>
      <w:r>
        <w:rPr>
          <w:color w:val="4C4D4F"/>
          <w:w w:val="115"/>
          <w:sz w:val="18"/>
        </w:rPr>
        <w:t>infants</w:t>
      </w:r>
      <w:r>
        <w:rPr>
          <w:color w:val="4C4D4F"/>
          <w:spacing w:val="-22"/>
          <w:w w:val="115"/>
          <w:sz w:val="18"/>
        </w:rPr>
        <w:t> </w:t>
      </w:r>
      <w:r>
        <w:rPr>
          <w:color w:val="4C4D4F"/>
          <w:w w:val="115"/>
          <w:sz w:val="18"/>
        </w:rPr>
        <w:t>born</w:t>
      </w:r>
      <w:r>
        <w:rPr>
          <w:color w:val="4C4D4F"/>
          <w:spacing w:val="-21"/>
          <w:w w:val="115"/>
          <w:sz w:val="18"/>
        </w:rPr>
        <w:t> </w:t>
      </w:r>
      <w:r>
        <w:rPr>
          <w:color w:val="4C4D4F"/>
          <w:w w:val="115"/>
          <w:sz w:val="18"/>
        </w:rPr>
        <w:t>to</w:t>
      </w:r>
      <w:r>
        <w:rPr>
          <w:color w:val="4C4D4F"/>
          <w:spacing w:val="-21"/>
          <w:w w:val="115"/>
          <w:sz w:val="18"/>
        </w:rPr>
        <w:t> </w:t>
      </w:r>
      <w:r>
        <w:rPr>
          <w:color w:val="4C4D4F"/>
          <w:w w:val="115"/>
          <w:sz w:val="18"/>
        </w:rPr>
        <w:t>women</w:t>
      </w:r>
      <w:r>
        <w:rPr>
          <w:color w:val="4C4D4F"/>
          <w:spacing w:val="-22"/>
          <w:w w:val="115"/>
          <w:sz w:val="18"/>
        </w:rPr>
        <w:t> </w:t>
      </w:r>
      <w:r>
        <w:rPr>
          <w:color w:val="4C4D4F"/>
          <w:w w:val="115"/>
          <w:sz w:val="18"/>
        </w:rPr>
        <w:t>maintained</w:t>
      </w:r>
      <w:r>
        <w:rPr>
          <w:color w:val="4C4D4F"/>
          <w:spacing w:val="-21"/>
          <w:w w:val="115"/>
          <w:sz w:val="18"/>
        </w:rPr>
        <w:t> </w:t>
      </w:r>
      <w:r>
        <w:rPr>
          <w:color w:val="4C4D4F"/>
          <w:w w:val="115"/>
          <w:sz w:val="18"/>
        </w:rPr>
        <w:t>on opioid</w:t>
      </w:r>
      <w:r>
        <w:rPr>
          <w:color w:val="4C4D4F"/>
          <w:spacing w:val="-35"/>
          <w:w w:val="115"/>
          <w:sz w:val="18"/>
        </w:rPr>
        <w:t> </w:t>
      </w:r>
      <w:r>
        <w:rPr>
          <w:color w:val="4C4D4F"/>
          <w:w w:val="115"/>
          <w:sz w:val="18"/>
        </w:rPr>
        <w:t>agonist</w:t>
      </w:r>
      <w:r>
        <w:rPr>
          <w:color w:val="4C4D4F"/>
          <w:spacing w:val="-34"/>
          <w:w w:val="115"/>
          <w:sz w:val="18"/>
        </w:rPr>
        <w:t> </w:t>
      </w:r>
      <w:r>
        <w:rPr>
          <w:color w:val="4C4D4F"/>
          <w:w w:val="115"/>
          <w:sz w:val="18"/>
        </w:rPr>
        <w:t>medication.</w:t>
      </w:r>
      <w:r>
        <w:rPr>
          <w:color w:val="4C4D4F"/>
          <w:spacing w:val="-35"/>
          <w:w w:val="115"/>
          <w:sz w:val="18"/>
        </w:rPr>
        <w:t> </w:t>
      </w:r>
      <w:r>
        <w:rPr>
          <w:rFonts w:ascii="Arial" w:hAnsi="Arial"/>
          <w:i/>
          <w:color w:val="4C4D4F"/>
          <w:w w:val="115"/>
          <w:sz w:val="18"/>
        </w:rPr>
        <w:t>Addiction,</w:t>
      </w:r>
      <w:r>
        <w:rPr>
          <w:rFonts w:ascii="Arial" w:hAnsi="Arial"/>
          <w:i/>
          <w:color w:val="4C4D4F"/>
          <w:spacing w:val="-34"/>
          <w:w w:val="115"/>
          <w:sz w:val="18"/>
        </w:rPr>
        <w:t> </w:t>
      </w:r>
      <w:r>
        <w:rPr>
          <w:rFonts w:ascii="Arial" w:hAnsi="Arial"/>
          <w:i/>
          <w:color w:val="4C4D4F"/>
          <w:w w:val="115"/>
          <w:sz w:val="18"/>
        </w:rPr>
        <w:t>107</w:t>
      </w:r>
      <w:r>
        <w:rPr>
          <w:color w:val="4C4D4F"/>
          <w:w w:val="115"/>
          <w:sz w:val="18"/>
        </w:rPr>
        <w:t>(Suppl.</w:t>
      </w:r>
      <w:r>
        <w:rPr>
          <w:color w:val="4C4D4F"/>
          <w:spacing w:val="-34"/>
          <w:w w:val="115"/>
          <w:sz w:val="18"/>
        </w:rPr>
        <w:t> </w:t>
      </w:r>
      <w:r>
        <w:rPr>
          <w:color w:val="4C4D4F"/>
          <w:spacing w:val="-5"/>
          <w:w w:val="115"/>
          <w:sz w:val="18"/>
        </w:rPr>
        <w:t>1), </w:t>
      </w:r>
      <w:r>
        <w:rPr>
          <w:color w:val="4C4D4F"/>
          <w:w w:val="115"/>
          <w:sz w:val="18"/>
        </w:rPr>
        <w:t>45–52.</w:t>
      </w:r>
    </w:p>
    <w:p>
      <w:pPr>
        <w:pStyle w:val="ListParagraph"/>
        <w:numPr>
          <w:ilvl w:val="0"/>
          <w:numId w:val="51"/>
        </w:numPr>
        <w:tabs>
          <w:tab w:pos="500" w:val="left" w:leader="none"/>
        </w:tabs>
        <w:spacing w:line="247" w:lineRule="auto" w:before="76" w:after="0"/>
        <w:ind w:left="500" w:right="371" w:hanging="360"/>
        <w:jc w:val="left"/>
        <w:rPr>
          <w:color w:val="4C4D4F"/>
          <w:sz w:val="18"/>
        </w:rPr>
      </w:pPr>
      <w:r>
        <w:rPr>
          <w:color w:val="4C4D4F"/>
          <w:w w:val="110"/>
          <w:sz w:val="18"/>
        </w:rPr>
        <w:t>Food and Drug Administration. (2016, March).</w:t>
      </w:r>
      <w:r>
        <w:rPr>
          <w:color w:val="4C4D4F"/>
          <w:spacing w:val="-26"/>
          <w:w w:val="110"/>
          <w:sz w:val="18"/>
        </w:rPr>
        <w:t> </w:t>
      </w:r>
      <w:r>
        <w:rPr>
          <w:color w:val="4C4D4F"/>
          <w:spacing w:val="-6"/>
          <w:w w:val="110"/>
          <w:sz w:val="18"/>
        </w:rPr>
        <w:t>FDA </w:t>
      </w:r>
      <w:r>
        <w:rPr>
          <w:color w:val="4C4D4F"/>
          <w:w w:val="110"/>
          <w:sz w:val="18"/>
        </w:rPr>
        <w:t>Drug Safety Communication: FDA warns about several safety issues with opioid pain medicines; requires label</w:t>
      </w:r>
      <w:r>
        <w:rPr>
          <w:color w:val="4C4D4F"/>
          <w:spacing w:val="-8"/>
          <w:w w:val="110"/>
          <w:sz w:val="18"/>
        </w:rPr>
        <w:t> </w:t>
      </w:r>
      <w:r>
        <w:rPr>
          <w:color w:val="4C4D4F"/>
          <w:w w:val="110"/>
          <w:sz w:val="18"/>
        </w:rPr>
        <w:t>changes.</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10"/>
          <w:sz w:val="18"/>
        </w:rPr>
        <w:t>McCance-Katz, E. </w:t>
      </w:r>
      <w:r>
        <w:rPr>
          <w:color w:val="4C4D4F"/>
          <w:spacing w:val="-10"/>
          <w:w w:val="110"/>
          <w:sz w:val="18"/>
        </w:rPr>
        <w:t>F., </w:t>
      </w:r>
      <w:r>
        <w:rPr>
          <w:color w:val="4C4D4F"/>
          <w:w w:val="110"/>
          <w:sz w:val="18"/>
        </w:rPr>
        <w:t>Sullivan, L. E., &amp; Nallani, S.</w:t>
      </w:r>
      <w:r>
        <w:rPr>
          <w:color w:val="4C4D4F"/>
          <w:spacing w:val="50"/>
          <w:w w:val="110"/>
          <w:sz w:val="18"/>
        </w:rPr>
        <w:t> </w:t>
      </w:r>
      <w:r>
        <w:rPr>
          <w:color w:val="4C4D4F"/>
          <w:w w:val="110"/>
          <w:sz w:val="18"/>
        </w:rPr>
        <w:t>(2010).</w:t>
      </w:r>
    </w:p>
    <w:p>
      <w:pPr>
        <w:spacing w:line="247" w:lineRule="auto" w:before="7"/>
        <w:ind w:left="500" w:right="-1" w:firstLine="0"/>
        <w:jc w:val="left"/>
        <w:rPr>
          <w:sz w:val="18"/>
        </w:rPr>
      </w:pPr>
      <w:r>
        <w:rPr>
          <w:color w:val="4C4D4F"/>
          <w:w w:val="110"/>
          <w:sz w:val="18"/>
        </w:rPr>
        <w:t>Drug interactions of clinical importance among the opioids, methadone and buprenorphine, and other frequently prescribed medications: A review. </w:t>
      </w:r>
      <w:r>
        <w:rPr>
          <w:rFonts w:ascii="Arial" w:hAnsi="Arial"/>
          <w:i/>
          <w:color w:val="4C4D4F"/>
          <w:w w:val="110"/>
          <w:sz w:val="18"/>
        </w:rPr>
        <w:t>American </w:t>
      </w:r>
      <w:r>
        <w:rPr>
          <w:rFonts w:ascii="Arial" w:hAnsi="Arial"/>
          <w:i/>
          <w:color w:val="4C4D4F"/>
          <w:w w:val="110"/>
          <w:sz w:val="18"/>
        </w:rPr>
        <w:t>Journal on Addictions, 19</w:t>
      </w:r>
      <w:r>
        <w:rPr>
          <w:color w:val="4C4D4F"/>
          <w:w w:val="110"/>
          <w:sz w:val="18"/>
        </w:rPr>
        <w:t>(1), 4–16.</w:t>
      </w:r>
    </w:p>
    <w:p>
      <w:pPr>
        <w:pStyle w:val="ListParagraph"/>
        <w:numPr>
          <w:ilvl w:val="0"/>
          <w:numId w:val="51"/>
        </w:numPr>
        <w:tabs>
          <w:tab w:pos="500" w:val="left" w:leader="none"/>
        </w:tabs>
        <w:spacing w:line="247" w:lineRule="auto" w:before="73" w:after="0"/>
        <w:ind w:left="500" w:right="188" w:hanging="360"/>
        <w:jc w:val="left"/>
        <w:rPr>
          <w:color w:val="4C4D4F"/>
          <w:sz w:val="18"/>
        </w:rPr>
      </w:pPr>
      <w:r>
        <w:rPr>
          <w:color w:val="4C4D4F"/>
          <w:w w:val="120"/>
          <w:sz w:val="18"/>
        </w:rPr>
        <w:t>Martin,</w:t>
      </w:r>
      <w:r>
        <w:rPr>
          <w:color w:val="4C4D4F"/>
          <w:spacing w:val="-30"/>
          <w:w w:val="120"/>
          <w:sz w:val="18"/>
        </w:rPr>
        <w:t> </w:t>
      </w:r>
      <w:r>
        <w:rPr>
          <w:color w:val="4C4D4F"/>
          <w:w w:val="135"/>
          <w:sz w:val="18"/>
        </w:rPr>
        <w:t>J.,</w:t>
      </w:r>
      <w:r>
        <w:rPr>
          <w:color w:val="4C4D4F"/>
          <w:spacing w:val="-38"/>
          <w:w w:val="135"/>
          <w:sz w:val="18"/>
        </w:rPr>
        <w:t> </w:t>
      </w:r>
      <w:r>
        <w:rPr>
          <w:color w:val="4C4D4F"/>
          <w:w w:val="120"/>
          <w:sz w:val="18"/>
        </w:rPr>
        <w:t>Zweben,</w:t>
      </w:r>
      <w:r>
        <w:rPr>
          <w:color w:val="4C4D4F"/>
          <w:spacing w:val="-29"/>
          <w:w w:val="120"/>
          <w:sz w:val="18"/>
        </w:rPr>
        <w:t> </w:t>
      </w:r>
      <w:r>
        <w:rPr>
          <w:color w:val="4C4D4F"/>
          <w:w w:val="135"/>
          <w:sz w:val="18"/>
        </w:rPr>
        <w:t>J.</w:t>
      </w:r>
      <w:r>
        <w:rPr>
          <w:color w:val="4C4D4F"/>
          <w:spacing w:val="-38"/>
          <w:w w:val="135"/>
          <w:sz w:val="18"/>
        </w:rPr>
        <w:t> </w:t>
      </w:r>
      <w:r>
        <w:rPr>
          <w:color w:val="4C4D4F"/>
          <w:w w:val="120"/>
          <w:sz w:val="18"/>
        </w:rPr>
        <w:t>E.,</w:t>
      </w:r>
      <w:r>
        <w:rPr>
          <w:color w:val="4C4D4F"/>
          <w:spacing w:val="-29"/>
          <w:w w:val="120"/>
          <w:sz w:val="18"/>
        </w:rPr>
        <w:t> </w:t>
      </w:r>
      <w:r>
        <w:rPr>
          <w:color w:val="4C4D4F"/>
          <w:w w:val="120"/>
          <w:sz w:val="18"/>
        </w:rPr>
        <w:t>&amp;</w:t>
      </w:r>
      <w:r>
        <w:rPr>
          <w:color w:val="4C4D4F"/>
          <w:spacing w:val="-30"/>
          <w:w w:val="120"/>
          <w:sz w:val="18"/>
        </w:rPr>
        <w:t> </w:t>
      </w:r>
      <w:r>
        <w:rPr>
          <w:color w:val="4C4D4F"/>
          <w:w w:val="120"/>
          <w:sz w:val="18"/>
        </w:rPr>
        <w:t>Payte,</w:t>
      </w:r>
      <w:r>
        <w:rPr>
          <w:color w:val="4C4D4F"/>
          <w:spacing w:val="-30"/>
          <w:w w:val="120"/>
          <w:sz w:val="18"/>
        </w:rPr>
        <w:t> </w:t>
      </w:r>
      <w:r>
        <w:rPr>
          <w:color w:val="4C4D4F"/>
          <w:w w:val="135"/>
          <w:sz w:val="18"/>
        </w:rPr>
        <w:t>J.</w:t>
      </w:r>
      <w:r>
        <w:rPr>
          <w:color w:val="4C4D4F"/>
          <w:spacing w:val="-37"/>
          <w:w w:val="135"/>
          <w:sz w:val="18"/>
        </w:rPr>
        <w:t> </w:t>
      </w:r>
      <w:r>
        <w:rPr>
          <w:color w:val="4C4D4F"/>
          <w:spacing w:val="-10"/>
          <w:w w:val="120"/>
          <w:sz w:val="18"/>
        </w:rPr>
        <w:t>T.</w:t>
      </w:r>
      <w:r>
        <w:rPr>
          <w:color w:val="4C4D4F"/>
          <w:spacing w:val="-30"/>
          <w:w w:val="120"/>
          <w:sz w:val="18"/>
        </w:rPr>
        <w:t> </w:t>
      </w:r>
      <w:r>
        <w:rPr>
          <w:color w:val="4C4D4F"/>
          <w:w w:val="120"/>
          <w:sz w:val="18"/>
        </w:rPr>
        <w:t>(2014).</w:t>
      </w:r>
      <w:r>
        <w:rPr>
          <w:color w:val="4C4D4F"/>
          <w:spacing w:val="-30"/>
          <w:w w:val="120"/>
          <w:sz w:val="18"/>
        </w:rPr>
        <w:t> </w:t>
      </w:r>
      <w:r>
        <w:rPr>
          <w:color w:val="4C4D4F"/>
          <w:spacing w:val="-3"/>
          <w:w w:val="120"/>
          <w:sz w:val="18"/>
        </w:rPr>
        <w:t>Opioid </w:t>
      </w:r>
      <w:r>
        <w:rPr>
          <w:color w:val="4C4D4F"/>
          <w:w w:val="120"/>
          <w:sz w:val="18"/>
        </w:rPr>
        <w:t>maintenance</w:t>
      </w:r>
      <w:r>
        <w:rPr>
          <w:color w:val="4C4D4F"/>
          <w:spacing w:val="-31"/>
          <w:w w:val="120"/>
          <w:sz w:val="18"/>
        </w:rPr>
        <w:t> </w:t>
      </w:r>
      <w:r>
        <w:rPr>
          <w:color w:val="4C4D4F"/>
          <w:w w:val="120"/>
          <w:sz w:val="18"/>
        </w:rPr>
        <w:t>treatment.</w:t>
      </w:r>
      <w:r>
        <w:rPr>
          <w:color w:val="4C4D4F"/>
          <w:spacing w:val="-31"/>
          <w:w w:val="120"/>
          <w:sz w:val="18"/>
        </w:rPr>
        <w:t> </w:t>
      </w:r>
      <w:r>
        <w:rPr>
          <w:color w:val="4C4D4F"/>
          <w:w w:val="120"/>
          <w:sz w:val="18"/>
        </w:rPr>
        <w:t>In</w:t>
      </w:r>
      <w:r>
        <w:rPr>
          <w:color w:val="4C4D4F"/>
          <w:spacing w:val="-31"/>
          <w:w w:val="120"/>
          <w:sz w:val="18"/>
        </w:rPr>
        <w:t> </w:t>
      </w:r>
      <w:r>
        <w:rPr>
          <w:color w:val="4C4D4F"/>
          <w:w w:val="120"/>
          <w:sz w:val="18"/>
        </w:rPr>
        <w:t>R.</w:t>
      </w:r>
      <w:r>
        <w:rPr>
          <w:color w:val="4C4D4F"/>
          <w:spacing w:val="-31"/>
          <w:w w:val="120"/>
          <w:sz w:val="18"/>
        </w:rPr>
        <w:t> </w:t>
      </w:r>
      <w:r>
        <w:rPr>
          <w:color w:val="4C4D4F"/>
          <w:w w:val="120"/>
          <w:sz w:val="18"/>
        </w:rPr>
        <w:t>K.</w:t>
      </w:r>
      <w:r>
        <w:rPr>
          <w:color w:val="4C4D4F"/>
          <w:spacing w:val="-31"/>
          <w:w w:val="120"/>
          <w:sz w:val="18"/>
        </w:rPr>
        <w:t> </w:t>
      </w:r>
      <w:r>
        <w:rPr>
          <w:color w:val="4C4D4F"/>
          <w:w w:val="120"/>
          <w:sz w:val="18"/>
        </w:rPr>
        <w:t>Ries,</w:t>
      </w:r>
      <w:r>
        <w:rPr>
          <w:color w:val="4C4D4F"/>
          <w:spacing w:val="-31"/>
          <w:w w:val="120"/>
          <w:sz w:val="18"/>
        </w:rPr>
        <w:t> </w:t>
      </w:r>
      <w:r>
        <w:rPr>
          <w:color w:val="4C4D4F"/>
          <w:w w:val="120"/>
          <w:sz w:val="18"/>
        </w:rPr>
        <w:t>D.</w:t>
      </w:r>
      <w:r>
        <w:rPr>
          <w:color w:val="4C4D4F"/>
          <w:spacing w:val="-30"/>
          <w:w w:val="120"/>
          <w:sz w:val="18"/>
        </w:rPr>
        <w:t> </w:t>
      </w:r>
      <w:r>
        <w:rPr>
          <w:color w:val="4C4D4F"/>
          <w:w w:val="120"/>
          <w:sz w:val="18"/>
        </w:rPr>
        <w:t>A.</w:t>
      </w:r>
      <w:r>
        <w:rPr>
          <w:color w:val="4C4D4F"/>
          <w:spacing w:val="-31"/>
          <w:w w:val="120"/>
          <w:sz w:val="18"/>
        </w:rPr>
        <w:t> </w:t>
      </w:r>
      <w:r>
        <w:rPr>
          <w:color w:val="4C4D4F"/>
          <w:w w:val="120"/>
          <w:sz w:val="18"/>
        </w:rPr>
        <w:t>Fiellin,</w:t>
      </w:r>
    </w:p>
    <w:p>
      <w:pPr>
        <w:spacing w:line="247" w:lineRule="auto" w:before="0"/>
        <w:ind w:left="500" w:right="476" w:firstLine="0"/>
        <w:jc w:val="left"/>
        <w:rPr>
          <w:sz w:val="18"/>
        </w:rPr>
      </w:pPr>
      <w:r>
        <w:rPr>
          <w:color w:val="4C4D4F"/>
          <w:w w:val="110"/>
          <w:sz w:val="18"/>
        </w:rPr>
        <w:t>S.</w:t>
      </w:r>
      <w:r>
        <w:rPr>
          <w:color w:val="4C4D4F"/>
          <w:spacing w:val="-19"/>
          <w:w w:val="110"/>
          <w:sz w:val="18"/>
        </w:rPr>
        <w:t> </w:t>
      </w:r>
      <w:r>
        <w:rPr>
          <w:color w:val="4C4D4F"/>
          <w:w w:val="110"/>
          <w:sz w:val="18"/>
        </w:rPr>
        <w:t>C.</w:t>
      </w:r>
      <w:r>
        <w:rPr>
          <w:color w:val="4C4D4F"/>
          <w:spacing w:val="-18"/>
          <w:w w:val="110"/>
          <w:sz w:val="18"/>
        </w:rPr>
        <w:t> </w:t>
      </w:r>
      <w:r>
        <w:rPr>
          <w:color w:val="4C4D4F"/>
          <w:spacing w:val="-3"/>
          <w:w w:val="110"/>
          <w:sz w:val="18"/>
        </w:rPr>
        <w:t>Miller,</w:t>
      </w:r>
      <w:r>
        <w:rPr>
          <w:color w:val="4C4D4F"/>
          <w:spacing w:val="-18"/>
          <w:w w:val="110"/>
          <w:sz w:val="18"/>
        </w:rPr>
        <w:t> </w:t>
      </w:r>
      <w:r>
        <w:rPr>
          <w:color w:val="4C4D4F"/>
          <w:w w:val="110"/>
          <w:sz w:val="18"/>
        </w:rPr>
        <w:t>&amp;</w:t>
      </w:r>
      <w:r>
        <w:rPr>
          <w:color w:val="4C4D4F"/>
          <w:spacing w:val="-18"/>
          <w:w w:val="110"/>
          <w:sz w:val="18"/>
        </w:rPr>
        <w:t> </w:t>
      </w:r>
      <w:r>
        <w:rPr>
          <w:color w:val="4C4D4F"/>
          <w:w w:val="110"/>
          <w:sz w:val="18"/>
        </w:rPr>
        <w:t>R.</w:t>
      </w:r>
      <w:r>
        <w:rPr>
          <w:color w:val="4C4D4F"/>
          <w:spacing w:val="-18"/>
          <w:w w:val="110"/>
          <w:sz w:val="18"/>
        </w:rPr>
        <w:t> </w:t>
      </w:r>
      <w:r>
        <w:rPr>
          <w:color w:val="4C4D4F"/>
          <w:w w:val="110"/>
          <w:sz w:val="18"/>
        </w:rPr>
        <w:t>Saitz</w:t>
      </w:r>
      <w:r>
        <w:rPr>
          <w:color w:val="4C4D4F"/>
          <w:spacing w:val="-18"/>
          <w:w w:val="110"/>
          <w:sz w:val="18"/>
        </w:rPr>
        <w:t> </w:t>
      </w:r>
      <w:r>
        <w:rPr>
          <w:color w:val="4C4D4F"/>
          <w:w w:val="110"/>
          <w:sz w:val="18"/>
        </w:rPr>
        <w:t>(Eds.),</w:t>
      </w:r>
      <w:r>
        <w:rPr>
          <w:color w:val="4C4D4F"/>
          <w:spacing w:val="-18"/>
          <w:w w:val="110"/>
          <w:sz w:val="18"/>
        </w:rPr>
        <w:t> </w:t>
      </w:r>
      <w:r>
        <w:rPr>
          <w:rFonts w:ascii="Arial" w:hAnsi="Arial"/>
          <w:i/>
          <w:color w:val="4C4D4F"/>
          <w:w w:val="110"/>
          <w:sz w:val="18"/>
        </w:rPr>
        <w:t>The</w:t>
      </w:r>
      <w:r>
        <w:rPr>
          <w:rFonts w:ascii="Arial" w:hAnsi="Arial"/>
          <w:i/>
          <w:color w:val="4C4D4F"/>
          <w:spacing w:val="-18"/>
          <w:w w:val="110"/>
          <w:sz w:val="18"/>
        </w:rPr>
        <w:t> </w:t>
      </w:r>
      <w:r>
        <w:rPr>
          <w:rFonts w:ascii="Arial" w:hAnsi="Arial"/>
          <w:i/>
          <w:color w:val="4C4D4F"/>
          <w:w w:val="110"/>
          <w:sz w:val="18"/>
        </w:rPr>
        <w:t>ASAM</w:t>
      </w:r>
      <w:r>
        <w:rPr>
          <w:rFonts w:ascii="Arial" w:hAnsi="Arial"/>
          <w:i/>
          <w:color w:val="4C4D4F"/>
          <w:spacing w:val="-18"/>
          <w:w w:val="110"/>
          <w:sz w:val="18"/>
        </w:rPr>
        <w:t> </w:t>
      </w:r>
      <w:r>
        <w:rPr>
          <w:rFonts w:ascii="Arial" w:hAnsi="Arial"/>
          <w:i/>
          <w:color w:val="4C4D4F"/>
          <w:w w:val="110"/>
          <w:sz w:val="18"/>
        </w:rPr>
        <w:t>principles </w:t>
      </w:r>
      <w:r>
        <w:rPr>
          <w:rFonts w:ascii="Arial" w:hAnsi="Arial"/>
          <w:i/>
          <w:color w:val="4C4D4F"/>
          <w:w w:val="110"/>
          <w:sz w:val="18"/>
        </w:rPr>
        <w:t>of addiction medicine </w:t>
      </w:r>
      <w:r>
        <w:rPr>
          <w:color w:val="4C4D4F"/>
          <w:w w:val="110"/>
          <w:sz w:val="18"/>
        </w:rPr>
        <w:t>(5th ed., pp. 759–777). Philadelphia, </w:t>
      </w:r>
      <w:r>
        <w:rPr>
          <w:color w:val="4C4D4F"/>
          <w:spacing w:val="-5"/>
          <w:w w:val="110"/>
          <w:sz w:val="18"/>
        </w:rPr>
        <w:t>PA: </w:t>
      </w:r>
      <w:r>
        <w:rPr>
          <w:color w:val="4C4D4F"/>
          <w:w w:val="110"/>
          <w:sz w:val="18"/>
        </w:rPr>
        <w:t>Wolters Kluwer</w:t>
      </w:r>
      <w:r>
        <w:rPr>
          <w:color w:val="4C4D4F"/>
          <w:spacing w:val="-20"/>
          <w:w w:val="110"/>
          <w:sz w:val="18"/>
        </w:rPr>
        <w:t> </w:t>
      </w:r>
      <w:r>
        <w:rPr>
          <w:color w:val="4C4D4F"/>
          <w:w w:val="110"/>
          <w:sz w:val="18"/>
        </w:rPr>
        <w:t>Health.</w:t>
      </w:r>
    </w:p>
    <w:p>
      <w:pPr>
        <w:pStyle w:val="ListParagraph"/>
        <w:numPr>
          <w:ilvl w:val="0"/>
          <w:numId w:val="51"/>
        </w:numPr>
        <w:tabs>
          <w:tab w:pos="500" w:val="left" w:leader="none"/>
        </w:tabs>
        <w:spacing w:line="247" w:lineRule="auto" w:before="74" w:after="0"/>
        <w:ind w:left="500" w:right="417" w:hanging="360"/>
        <w:jc w:val="left"/>
        <w:rPr>
          <w:i/>
          <w:color w:val="4C4D4F"/>
          <w:sz w:val="18"/>
        </w:rPr>
      </w:pPr>
      <w:r>
        <w:rPr>
          <w:color w:val="4C4D4F"/>
          <w:w w:val="115"/>
          <w:sz w:val="18"/>
        </w:rPr>
        <w:t>Saxon, A. </w:t>
      </w:r>
      <w:r>
        <w:rPr>
          <w:color w:val="4C4D4F"/>
          <w:w w:val="120"/>
          <w:sz w:val="18"/>
        </w:rPr>
        <w:t>J., </w:t>
      </w:r>
      <w:r>
        <w:rPr>
          <w:color w:val="4C4D4F"/>
          <w:w w:val="115"/>
          <w:sz w:val="18"/>
        </w:rPr>
        <w:t>&amp; Miotto, K. (2011). Methadone maintenance.</w:t>
      </w:r>
      <w:r>
        <w:rPr>
          <w:color w:val="4C4D4F"/>
          <w:spacing w:val="-32"/>
          <w:w w:val="115"/>
          <w:sz w:val="18"/>
        </w:rPr>
        <w:t> </w:t>
      </w:r>
      <w:r>
        <w:rPr>
          <w:color w:val="4C4D4F"/>
          <w:w w:val="115"/>
          <w:sz w:val="18"/>
        </w:rPr>
        <w:t>In</w:t>
      </w:r>
      <w:r>
        <w:rPr>
          <w:color w:val="4C4D4F"/>
          <w:spacing w:val="-32"/>
          <w:w w:val="115"/>
          <w:sz w:val="18"/>
        </w:rPr>
        <w:t> </w:t>
      </w:r>
      <w:r>
        <w:rPr>
          <w:color w:val="4C4D4F"/>
          <w:spacing w:val="-17"/>
          <w:w w:val="115"/>
          <w:sz w:val="18"/>
        </w:rPr>
        <w:t>P.</w:t>
      </w:r>
      <w:r>
        <w:rPr>
          <w:color w:val="4C4D4F"/>
          <w:spacing w:val="-32"/>
          <w:w w:val="115"/>
          <w:sz w:val="18"/>
        </w:rPr>
        <w:t> </w:t>
      </w:r>
      <w:r>
        <w:rPr>
          <w:color w:val="4C4D4F"/>
          <w:w w:val="115"/>
          <w:sz w:val="18"/>
        </w:rPr>
        <w:t>Ruiz</w:t>
      </w:r>
      <w:r>
        <w:rPr>
          <w:color w:val="4C4D4F"/>
          <w:spacing w:val="-32"/>
          <w:w w:val="115"/>
          <w:sz w:val="18"/>
        </w:rPr>
        <w:t> </w:t>
      </w:r>
      <w:r>
        <w:rPr>
          <w:color w:val="4C4D4F"/>
          <w:w w:val="115"/>
          <w:sz w:val="18"/>
        </w:rPr>
        <w:t>&amp;</w:t>
      </w:r>
      <w:r>
        <w:rPr>
          <w:color w:val="4C4D4F"/>
          <w:spacing w:val="-31"/>
          <w:w w:val="115"/>
          <w:sz w:val="18"/>
        </w:rPr>
        <w:t> </w:t>
      </w:r>
      <w:r>
        <w:rPr>
          <w:color w:val="4C4D4F"/>
          <w:w w:val="115"/>
          <w:sz w:val="18"/>
        </w:rPr>
        <w:t>E.</w:t>
      </w:r>
      <w:r>
        <w:rPr>
          <w:color w:val="4C4D4F"/>
          <w:spacing w:val="-32"/>
          <w:w w:val="115"/>
          <w:sz w:val="18"/>
        </w:rPr>
        <w:t> </w:t>
      </w:r>
      <w:r>
        <w:rPr>
          <w:color w:val="4C4D4F"/>
          <w:w w:val="115"/>
          <w:sz w:val="18"/>
        </w:rPr>
        <w:t>Strain</w:t>
      </w:r>
      <w:r>
        <w:rPr>
          <w:color w:val="4C4D4F"/>
          <w:spacing w:val="-32"/>
          <w:w w:val="115"/>
          <w:sz w:val="18"/>
        </w:rPr>
        <w:t> </w:t>
      </w:r>
      <w:r>
        <w:rPr>
          <w:color w:val="4C4D4F"/>
          <w:w w:val="115"/>
          <w:sz w:val="18"/>
        </w:rPr>
        <w:t>(Eds.),</w:t>
      </w:r>
      <w:r>
        <w:rPr>
          <w:color w:val="4C4D4F"/>
          <w:spacing w:val="-32"/>
          <w:w w:val="115"/>
          <w:sz w:val="18"/>
        </w:rPr>
        <w:t> </w:t>
      </w:r>
      <w:r>
        <w:rPr>
          <w:rFonts w:ascii="Arial"/>
          <w:i/>
          <w:color w:val="4C4D4F"/>
          <w:w w:val="115"/>
          <w:sz w:val="18"/>
        </w:rPr>
        <w:t>Lowinson</w:t>
      </w:r>
    </w:p>
    <w:p>
      <w:pPr>
        <w:spacing w:line="249" w:lineRule="auto" w:before="0"/>
        <w:ind w:left="500" w:right="38" w:firstLine="0"/>
        <w:jc w:val="left"/>
        <w:rPr>
          <w:sz w:val="18"/>
        </w:rPr>
      </w:pPr>
      <w:r>
        <w:rPr>
          <w:rFonts w:ascii="Arial" w:hAnsi="Arial"/>
          <w:i/>
          <w:color w:val="4C4D4F"/>
          <w:w w:val="105"/>
          <w:sz w:val="18"/>
        </w:rPr>
        <w:t>and</w:t>
      </w:r>
      <w:r>
        <w:rPr>
          <w:rFonts w:ascii="Arial" w:hAnsi="Arial"/>
          <w:i/>
          <w:color w:val="4C4D4F"/>
          <w:spacing w:val="-32"/>
          <w:w w:val="105"/>
          <w:sz w:val="18"/>
        </w:rPr>
        <w:t> </w:t>
      </w:r>
      <w:r>
        <w:rPr>
          <w:rFonts w:ascii="Arial" w:hAnsi="Arial"/>
          <w:i/>
          <w:color w:val="4C4D4F"/>
          <w:spacing w:val="-3"/>
          <w:w w:val="105"/>
          <w:sz w:val="18"/>
        </w:rPr>
        <w:t>Ruiz’s</w:t>
      </w:r>
      <w:r>
        <w:rPr>
          <w:rFonts w:ascii="Arial" w:hAnsi="Arial"/>
          <w:i/>
          <w:color w:val="4C4D4F"/>
          <w:spacing w:val="-32"/>
          <w:w w:val="105"/>
          <w:sz w:val="18"/>
        </w:rPr>
        <w:t> </w:t>
      </w:r>
      <w:r>
        <w:rPr>
          <w:rFonts w:ascii="Arial" w:hAnsi="Arial"/>
          <w:i/>
          <w:color w:val="4C4D4F"/>
          <w:w w:val="105"/>
          <w:sz w:val="18"/>
        </w:rPr>
        <w:t>substance</w:t>
      </w:r>
      <w:r>
        <w:rPr>
          <w:rFonts w:ascii="Arial" w:hAnsi="Arial"/>
          <w:i/>
          <w:color w:val="4C4D4F"/>
          <w:spacing w:val="-32"/>
          <w:w w:val="105"/>
          <w:sz w:val="18"/>
        </w:rPr>
        <w:t> </w:t>
      </w:r>
      <w:r>
        <w:rPr>
          <w:rFonts w:ascii="Arial" w:hAnsi="Arial"/>
          <w:i/>
          <w:color w:val="4C4D4F"/>
          <w:w w:val="105"/>
          <w:sz w:val="18"/>
        </w:rPr>
        <w:t>abuse:</w:t>
      </w:r>
      <w:r>
        <w:rPr>
          <w:rFonts w:ascii="Arial" w:hAnsi="Arial"/>
          <w:i/>
          <w:color w:val="4C4D4F"/>
          <w:spacing w:val="-32"/>
          <w:w w:val="105"/>
          <w:sz w:val="18"/>
        </w:rPr>
        <w:t> </w:t>
      </w:r>
      <w:r>
        <w:rPr>
          <w:rFonts w:ascii="Arial" w:hAnsi="Arial"/>
          <w:i/>
          <w:color w:val="4C4D4F"/>
          <w:w w:val="105"/>
          <w:sz w:val="18"/>
        </w:rPr>
        <w:t>A</w:t>
      </w:r>
      <w:r>
        <w:rPr>
          <w:rFonts w:ascii="Arial" w:hAnsi="Arial"/>
          <w:i/>
          <w:color w:val="4C4D4F"/>
          <w:spacing w:val="-31"/>
          <w:w w:val="105"/>
          <w:sz w:val="18"/>
        </w:rPr>
        <w:t> </w:t>
      </w:r>
      <w:r>
        <w:rPr>
          <w:rFonts w:ascii="Arial" w:hAnsi="Arial"/>
          <w:i/>
          <w:color w:val="4C4D4F"/>
          <w:w w:val="105"/>
          <w:sz w:val="18"/>
        </w:rPr>
        <w:t>comprehensive</w:t>
      </w:r>
      <w:r>
        <w:rPr>
          <w:rFonts w:ascii="Arial" w:hAnsi="Arial"/>
          <w:i/>
          <w:color w:val="4C4D4F"/>
          <w:spacing w:val="-32"/>
          <w:w w:val="105"/>
          <w:sz w:val="18"/>
        </w:rPr>
        <w:t> </w:t>
      </w:r>
      <w:r>
        <w:rPr>
          <w:rFonts w:ascii="Arial" w:hAnsi="Arial"/>
          <w:i/>
          <w:color w:val="4C4D4F"/>
          <w:spacing w:val="-3"/>
          <w:w w:val="105"/>
          <w:sz w:val="18"/>
        </w:rPr>
        <w:t>textbook </w:t>
      </w:r>
      <w:r>
        <w:rPr>
          <w:color w:val="4C4D4F"/>
          <w:w w:val="105"/>
          <w:sz w:val="18"/>
        </w:rPr>
        <w:t>(5th ed., pp. 419–436).  Philadelphia,  </w:t>
      </w:r>
      <w:r>
        <w:rPr>
          <w:color w:val="4C4D4F"/>
          <w:spacing w:val="-5"/>
          <w:w w:val="105"/>
          <w:sz w:val="18"/>
        </w:rPr>
        <w:t>PA:  </w:t>
      </w:r>
      <w:r>
        <w:rPr>
          <w:color w:val="4C4D4F"/>
          <w:w w:val="105"/>
          <w:sz w:val="18"/>
        </w:rPr>
        <w:t>Wolters Kluwer</w:t>
      </w:r>
      <w:r>
        <w:rPr>
          <w:color w:val="4C4D4F"/>
          <w:spacing w:val="-3"/>
          <w:w w:val="105"/>
          <w:sz w:val="18"/>
        </w:rPr>
        <w:t> </w:t>
      </w:r>
      <w:r>
        <w:rPr>
          <w:color w:val="4C4D4F"/>
          <w:w w:val="105"/>
          <w:sz w:val="18"/>
        </w:rPr>
        <w:t>Health.</w:t>
      </w:r>
    </w:p>
    <w:p>
      <w:pPr>
        <w:pStyle w:val="ListParagraph"/>
        <w:numPr>
          <w:ilvl w:val="0"/>
          <w:numId w:val="51"/>
        </w:numPr>
        <w:tabs>
          <w:tab w:pos="500" w:val="left" w:leader="none"/>
        </w:tabs>
        <w:spacing w:line="247" w:lineRule="auto" w:before="71" w:after="0"/>
        <w:ind w:left="500" w:right="91" w:hanging="360"/>
        <w:jc w:val="left"/>
        <w:rPr>
          <w:color w:val="4C4D4F"/>
          <w:sz w:val="18"/>
        </w:rPr>
      </w:pPr>
      <w:r>
        <w:rPr>
          <w:color w:val="4C4D4F"/>
          <w:w w:val="110"/>
          <w:sz w:val="18"/>
        </w:rPr>
        <w:t>McCance-Katz, E. </w:t>
      </w:r>
      <w:r>
        <w:rPr>
          <w:color w:val="4C4D4F"/>
          <w:spacing w:val="-10"/>
          <w:w w:val="110"/>
          <w:sz w:val="18"/>
        </w:rPr>
        <w:t>F., </w:t>
      </w:r>
      <w:r>
        <w:rPr>
          <w:color w:val="4C4D4F"/>
          <w:w w:val="110"/>
          <w:sz w:val="18"/>
        </w:rPr>
        <w:t>Rainey, </w:t>
      </w:r>
      <w:r>
        <w:rPr>
          <w:color w:val="4C4D4F"/>
          <w:spacing w:val="-17"/>
          <w:w w:val="110"/>
          <w:sz w:val="18"/>
        </w:rPr>
        <w:t>P. </w:t>
      </w:r>
      <w:r>
        <w:rPr>
          <w:color w:val="4C4D4F"/>
          <w:w w:val="110"/>
          <w:sz w:val="18"/>
        </w:rPr>
        <w:t>M., Jatlow, </w:t>
      </w:r>
      <w:r>
        <w:rPr>
          <w:color w:val="4C4D4F"/>
          <w:spacing w:val="-11"/>
          <w:w w:val="110"/>
          <w:sz w:val="18"/>
        </w:rPr>
        <w:t>P., </w:t>
      </w:r>
      <w:r>
        <w:rPr>
          <w:color w:val="4C4D4F"/>
          <w:w w:val="110"/>
          <w:sz w:val="18"/>
        </w:rPr>
        <w:t>&amp; Friedland, G. (1998). Methadone effects on zidovudine disposition</w:t>
      </w:r>
      <w:r>
        <w:rPr>
          <w:color w:val="4C4D4F"/>
          <w:spacing w:val="-19"/>
          <w:w w:val="110"/>
          <w:sz w:val="18"/>
        </w:rPr>
        <w:t> </w:t>
      </w:r>
      <w:r>
        <w:rPr>
          <w:color w:val="4C4D4F"/>
          <w:w w:val="110"/>
          <w:sz w:val="18"/>
        </w:rPr>
        <w:t>(AIDS</w:t>
      </w:r>
      <w:r>
        <w:rPr>
          <w:color w:val="4C4D4F"/>
          <w:spacing w:val="-19"/>
          <w:w w:val="110"/>
          <w:sz w:val="18"/>
        </w:rPr>
        <w:t> </w:t>
      </w:r>
      <w:r>
        <w:rPr>
          <w:color w:val="4C4D4F"/>
          <w:w w:val="110"/>
          <w:sz w:val="18"/>
        </w:rPr>
        <w:t>Clinical</w:t>
      </w:r>
      <w:r>
        <w:rPr>
          <w:color w:val="4C4D4F"/>
          <w:spacing w:val="-19"/>
          <w:w w:val="110"/>
          <w:sz w:val="18"/>
        </w:rPr>
        <w:t> </w:t>
      </w:r>
      <w:r>
        <w:rPr>
          <w:color w:val="4C4D4F"/>
          <w:spacing w:val="-3"/>
          <w:w w:val="110"/>
          <w:sz w:val="18"/>
        </w:rPr>
        <w:t>Trials</w:t>
      </w:r>
      <w:r>
        <w:rPr>
          <w:color w:val="4C4D4F"/>
          <w:spacing w:val="-19"/>
          <w:w w:val="110"/>
          <w:sz w:val="18"/>
        </w:rPr>
        <w:t> </w:t>
      </w:r>
      <w:r>
        <w:rPr>
          <w:color w:val="4C4D4F"/>
          <w:w w:val="110"/>
          <w:sz w:val="18"/>
        </w:rPr>
        <w:t>Group</w:t>
      </w:r>
      <w:r>
        <w:rPr>
          <w:color w:val="4C4D4F"/>
          <w:spacing w:val="-18"/>
          <w:w w:val="110"/>
          <w:sz w:val="18"/>
        </w:rPr>
        <w:t> </w:t>
      </w:r>
      <w:r>
        <w:rPr>
          <w:color w:val="4C4D4F"/>
          <w:w w:val="110"/>
          <w:sz w:val="18"/>
        </w:rPr>
        <w:t>262).</w:t>
      </w:r>
      <w:r>
        <w:rPr>
          <w:color w:val="4C4D4F"/>
          <w:spacing w:val="-20"/>
          <w:w w:val="110"/>
          <w:sz w:val="18"/>
        </w:rPr>
        <w:t> </w:t>
      </w:r>
      <w:r>
        <w:rPr>
          <w:rFonts w:ascii="Arial" w:hAnsi="Arial"/>
          <w:i/>
          <w:color w:val="4C4D4F"/>
          <w:w w:val="110"/>
          <w:sz w:val="18"/>
        </w:rPr>
        <w:t>Journal</w:t>
      </w:r>
      <w:r>
        <w:rPr>
          <w:rFonts w:ascii="Arial" w:hAnsi="Arial"/>
          <w:i/>
          <w:color w:val="4C4D4F"/>
          <w:spacing w:val="-19"/>
          <w:w w:val="110"/>
          <w:sz w:val="18"/>
        </w:rPr>
        <w:t> </w:t>
      </w:r>
      <w:r>
        <w:rPr>
          <w:rFonts w:ascii="Arial" w:hAnsi="Arial"/>
          <w:i/>
          <w:color w:val="4C4D4F"/>
          <w:w w:val="110"/>
          <w:sz w:val="18"/>
        </w:rPr>
        <w:t>of </w:t>
      </w:r>
      <w:r>
        <w:rPr>
          <w:rFonts w:ascii="Arial" w:hAnsi="Arial"/>
          <w:i/>
          <w:color w:val="4C4D4F"/>
          <w:w w:val="105"/>
          <w:sz w:val="18"/>
        </w:rPr>
        <w:t>Acquired</w:t>
      </w:r>
      <w:r>
        <w:rPr>
          <w:rFonts w:ascii="Arial" w:hAnsi="Arial"/>
          <w:i/>
          <w:color w:val="4C4D4F"/>
          <w:spacing w:val="-25"/>
          <w:w w:val="105"/>
          <w:sz w:val="18"/>
        </w:rPr>
        <w:t> </w:t>
      </w:r>
      <w:r>
        <w:rPr>
          <w:rFonts w:ascii="Arial" w:hAnsi="Arial"/>
          <w:i/>
          <w:color w:val="4C4D4F"/>
          <w:w w:val="105"/>
          <w:sz w:val="18"/>
        </w:rPr>
        <w:t>Immune</w:t>
      </w:r>
      <w:r>
        <w:rPr>
          <w:rFonts w:ascii="Arial" w:hAnsi="Arial"/>
          <w:i/>
          <w:color w:val="4C4D4F"/>
          <w:spacing w:val="-24"/>
          <w:w w:val="105"/>
          <w:sz w:val="18"/>
        </w:rPr>
        <w:t> </w:t>
      </w:r>
      <w:r>
        <w:rPr>
          <w:rFonts w:ascii="Arial" w:hAnsi="Arial"/>
          <w:i/>
          <w:color w:val="4C4D4F"/>
          <w:w w:val="105"/>
          <w:sz w:val="18"/>
        </w:rPr>
        <w:t>Deﬁciency</w:t>
      </w:r>
      <w:r>
        <w:rPr>
          <w:rFonts w:ascii="Arial" w:hAnsi="Arial"/>
          <w:i/>
          <w:color w:val="4C4D4F"/>
          <w:spacing w:val="-24"/>
          <w:w w:val="105"/>
          <w:sz w:val="18"/>
        </w:rPr>
        <w:t> </w:t>
      </w:r>
      <w:r>
        <w:rPr>
          <w:rFonts w:ascii="Arial" w:hAnsi="Arial"/>
          <w:i/>
          <w:color w:val="4C4D4F"/>
          <w:w w:val="105"/>
          <w:sz w:val="18"/>
        </w:rPr>
        <w:t>Syndromes</w:t>
      </w:r>
      <w:r>
        <w:rPr>
          <w:rFonts w:ascii="Arial" w:hAnsi="Arial"/>
          <w:i/>
          <w:color w:val="4C4D4F"/>
          <w:spacing w:val="-25"/>
          <w:w w:val="105"/>
          <w:sz w:val="18"/>
        </w:rPr>
        <w:t> </w:t>
      </w:r>
      <w:r>
        <w:rPr>
          <w:rFonts w:ascii="Arial" w:hAnsi="Arial"/>
          <w:i/>
          <w:color w:val="4C4D4F"/>
          <w:w w:val="105"/>
          <w:sz w:val="18"/>
        </w:rPr>
        <w:t>and</w:t>
      </w:r>
      <w:r>
        <w:rPr>
          <w:rFonts w:ascii="Arial" w:hAnsi="Arial"/>
          <w:i/>
          <w:color w:val="4C4D4F"/>
          <w:spacing w:val="-24"/>
          <w:w w:val="105"/>
          <w:sz w:val="18"/>
        </w:rPr>
        <w:t> </w:t>
      </w:r>
      <w:r>
        <w:rPr>
          <w:rFonts w:ascii="Arial" w:hAnsi="Arial"/>
          <w:i/>
          <w:color w:val="4C4D4F"/>
          <w:w w:val="105"/>
          <w:sz w:val="18"/>
        </w:rPr>
        <w:t>Human </w:t>
      </w:r>
      <w:r>
        <w:rPr>
          <w:rFonts w:ascii="Arial" w:hAnsi="Arial"/>
          <w:i/>
          <w:color w:val="4C4D4F"/>
          <w:w w:val="110"/>
          <w:sz w:val="18"/>
        </w:rPr>
        <w:t>Retrovirology, 18</w:t>
      </w:r>
      <w:r>
        <w:rPr>
          <w:color w:val="4C4D4F"/>
          <w:w w:val="110"/>
          <w:sz w:val="18"/>
        </w:rPr>
        <w:t>(5),</w:t>
      </w:r>
      <w:r>
        <w:rPr>
          <w:color w:val="4C4D4F"/>
          <w:spacing w:val="-17"/>
          <w:w w:val="110"/>
          <w:sz w:val="18"/>
        </w:rPr>
        <w:t> </w:t>
      </w:r>
      <w:r>
        <w:rPr>
          <w:color w:val="4C4D4F"/>
          <w:w w:val="110"/>
          <w:sz w:val="18"/>
        </w:rPr>
        <w:t>435–443.</w:t>
      </w:r>
    </w:p>
    <w:p>
      <w:pPr>
        <w:pStyle w:val="ListParagraph"/>
        <w:numPr>
          <w:ilvl w:val="0"/>
          <w:numId w:val="51"/>
        </w:numPr>
        <w:tabs>
          <w:tab w:pos="500" w:val="left" w:leader="none"/>
        </w:tabs>
        <w:spacing w:line="249" w:lineRule="auto" w:before="74" w:after="0"/>
        <w:ind w:left="500" w:right="95" w:hanging="360"/>
        <w:jc w:val="left"/>
        <w:rPr>
          <w:color w:val="4C4D4F"/>
          <w:sz w:val="18"/>
        </w:rPr>
      </w:pPr>
      <w:r>
        <w:rPr>
          <w:color w:val="4C4D4F"/>
          <w:spacing w:val="-3"/>
          <w:w w:val="105"/>
          <w:sz w:val="18"/>
        </w:rPr>
        <w:t>World </w:t>
      </w:r>
      <w:r>
        <w:rPr>
          <w:color w:val="4C4D4F"/>
          <w:w w:val="105"/>
          <w:sz w:val="18"/>
        </w:rPr>
        <w:t>Health Organization. (2009). </w:t>
      </w:r>
      <w:r>
        <w:rPr>
          <w:rFonts w:ascii="Arial"/>
          <w:i/>
          <w:color w:val="4C4D4F"/>
          <w:w w:val="105"/>
          <w:sz w:val="18"/>
        </w:rPr>
        <w:t>Guidelines for the </w:t>
      </w:r>
      <w:r>
        <w:rPr>
          <w:rFonts w:ascii="Arial"/>
          <w:i/>
          <w:color w:val="4C4D4F"/>
          <w:w w:val="105"/>
          <w:sz w:val="18"/>
        </w:rPr>
        <w:t>psychosocially</w:t>
      </w:r>
      <w:r>
        <w:rPr>
          <w:rFonts w:ascii="Arial"/>
          <w:i/>
          <w:color w:val="4C4D4F"/>
          <w:spacing w:val="-27"/>
          <w:w w:val="105"/>
          <w:sz w:val="18"/>
        </w:rPr>
        <w:t> </w:t>
      </w:r>
      <w:r>
        <w:rPr>
          <w:rFonts w:ascii="Arial"/>
          <w:i/>
          <w:color w:val="4C4D4F"/>
          <w:w w:val="105"/>
          <w:sz w:val="18"/>
        </w:rPr>
        <w:t>assisted</w:t>
      </w:r>
      <w:r>
        <w:rPr>
          <w:rFonts w:ascii="Arial"/>
          <w:i/>
          <w:color w:val="4C4D4F"/>
          <w:spacing w:val="-27"/>
          <w:w w:val="105"/>
          <w:sz w:val="18"/>
        </w:rPr>
        <w:t> </w:t>
      </w:r>
      <w:r>
        <w:rPr>
          <w:rFonts w:ascii="Arial"/>
          <w:i/>
          <w:color w:val="4C4D4F"/>
          <w:w w:val="105"/>
          <w:sz w:val="18"/>
        </w:rPr>
        <w:t>pharmacological</w:t>
      </w:r>
      <w:r>
        <w:rPr>
          <w:rFonts w:ascii="Arial"/>
          <w:i/>
          <w:color w:val="4C4D4F"/>
          <w:spacing w:val="-27"/>
          <w:w w:val="105"/>
          <w:sz w:val="18"/>
        </w:rPr>
        <w:t> </w:t>
      </w:r>
      <w:r>
        <w:rPr>
          <w:rFonts w:ascii="Arial"/>
          <w:i/>
          <w:color w:val="4C4D4F"/>
          <w:w w:val="105"/>
          <w:sz w:val="18"/>
        </w:rPr>
        <w:t>treatment</w:t>
      </w:r>
      <w:r>
        <w:rPr>
          <w:rFonts w:ascii="Arial"/>
          <w:i/>
          <w:color w:val="4C4D4F"/>
          <w:spacing w:val="-27"/>
          <w:w w:val="105"/>
          <w:sz w:val="18"/>
        </w:rPr>
        <w:t> </w:t>
      </w:r>
      <w:r>
        <w:rPr>
          <w:rFonts w:ascii="Arial"/>
          <w:i/>
          <w:color w:val="4C4D4F"/>
          <w:w w:val="105"/>
          <w:sz w:val="18"/>
        </w:rPr>
        <w:t>of opioid dependence. </w:t>
      </w:r>
      <w:r>
        <w:rPr>
          <w:color w:val="4C4D4F"/>
          <w:w w:val="105"/>
          <w:sz w:val="18"/>
        </w:rPr>
        <w:t>Geneva, Switzerland: WHO</w:t>
      </w:r>
      <w:r>
        <w:rPr>
          <w:color w:val="4C4D4F"/>
          <w:spacing w:val="14"/>
          <w:w w:val="105"/>
          <w:sz w:val="18"/>
        </w:rPr>
        <w:t> </w:t>
      </w:r>
      <w:r>
        <w:rPr>
          <w:color w:val="4C4D4F"/>
          <w:spacing w:val="-4"/>
          <w:w w:val="105"/>
          <w:sz w:val="18"/>
        </w:rPr>
        <w:t>Press.</w:t>
      </w:r>
    </w:p>
    <w:p>
      <w:pPr>
        <w:pStyle w:val="ListParagraph"/>
        <w:numPr>
          <w:ilvl w:val="0"/>
          <w:numId w:val="51"/>
        </w:numPr>
        <w:tabs>
          <w:tab w:pos="500" w:val="left" w:leader="none"/>
        </w:tabs>
        <w:spacing w:line="247" w:lineRule="auto" w:before="100" w:after="0"/>
        <w:ind w:left="500" w:right="332" w:hanging="360"/>
        <w:jc w:val="left"/>
        <w:rPr>
          <w:color w:val="4C4D4F"/>
          <w:sz w:val="18"/>
        </w:rPr>
      </w:pPr>
      <w:r>
        <w:rPr>
          <w:color w:val="4C4D4F"/>
          <w:w w:val="109"/>
          <w:sz w:val="18"/>
        </w:rPr>
        <w:br w:type="column"/>
      </w:r>
      <w:r>
        <w:rPr>
          <w:color w:val="4C4D4F"/>
          <w:w w:val="110"/>
          <w:sz w:val="18"/>
        </w:rPr>
        <w:t>American College of Obstetricians and </w:t>
      </w:r>
      <w:r>
        <w:rPr>
          <w:color w:val="4C4D4F"/>
          <w:spacing w:val="-2"/>
          <w:w w:val="110"/>
          <w:sz w:val="18"/>
        </w:rPr>
        <w:t>Gynecologists </w:t>
      </w:r>
      <w:r>
        <w:rPr>
          <w:color w:val="4C4D4F"/>
          <w:w w:val="110"/>
          <w:sz w:val="18"/>
        </w:rPr>
        <w:t>Committee Opinion. (2017, August). Opioid use and opioid use disorder in pregnancy. Number</w:t>
      </w:r>
      <w:r>
        <w:rPr>
          <w:color w:val="4C4D4F"/>
          <w:spacing w:val="-18"/>
          <w:w w:val="110"/>
          <w:sz w:val="18"/>
        </w:rPr>
        <w:t> </w:t>
      </w:r>
      <w:r>
        <w:rPr>
          <w:color w:val="4C4D4F"/>
          <w:w w:val="110"/>
          <w:sz w:val="18"/>
        </w:rPr>
        <w:t>711.</w:t>
      </w:r>
    </w:p>
    <w:p>
      <w:pPr>
        <w:pStyle w:val="ListParagraph"/>
        <w:numPr>
          <w:ilvl w:val="0"/>
          <w:numId w:val="51"/>
        </w:numPr>
        <w:tabs>
          <w:tab w:pos="500" w:val="left" w:leader="none"/>
        </w:tabs>
        <w:spacing w:line="247" w:lineRule="auto" w:before="75" w:after="0"/>
        <w:ind w:left="500" w:right="329"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8"/>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602" w:hanging="360"/>
        <w:jc w:val="left"/>
        <w:rPr>
          <w:color w:val="4C4D4F"/>
          <w:sz w:val="18"/>
        </w:rPr>
      </w:pPr>
      <w:r>
        <w:rPr>
          <w:color w:val="4C4D4F"/>
          <w:w w:val="110"/>
          <w:sz w:val="18"/>
        </w:rPr>
        <w:t>U.S. Preventive Services </w:t>
      </w:r>
      <w:r>
        <w:rPr>
          <w:color w:val="4C4D4F"/>
          <w:spacing w:val="-5"/>
          <w:w w:val="110"/>
          <w:sz w:val="18"/>
        </w:rPr>
        <w:t>Task </w:t>
      </w:r>
      <w:r>
        <w:rPr>
          <w:color w:val="4C4D4F"/>
          <w:w w:val="110"/>
          <w:sz w:val="18"/>
        </w:rPr>
        <w:t>Force. Archived Final Recommendation Statement on Human Immunodeﬁciency Virus (HIV) Infection:</w:t>
      </w:r>
      <w:r>
        <w:rPr>
          <w:color w:val="4C4D4F"/>
          <w:spacing w:val="-20"/>
          <w:w w:val="110"/>
          <w:sz w:val="18"/>
        </w:rPr>
        <w:t> </w:t>
      </w:r>
      <w:r>
        <w:rPr>
          <w:color w:val="4C4D4F"/>
          <w:spacing w:val="-3"/>
          <w:w w:val="110"/>
          <w:sz w:val="18"/>
        </w:rPr>
        <w:t>Screening. </w:t>
      </w:r>
      <w:r>
        <w:rPr>
          <w:color w:val="4C4D4F"/>
          <w:w w:val="110"/>
          <w:sz w:val="18"/>
        </w:rPr>
        <w:t>December 30, 2013. Retrieved from:</w:t>
      </w:r>
      <w:r>
        <w:rPr>
          <w:color w:val="205E9E"/>
          <w:w w:val="110"/>
          <w:sz w:val="18"/>
        </w:rPr>
        <w:t> </w:t>
      </w:r>
      <w:r>
        <w:rPr>
          <w:color w:val="205E9E"/>
          <w:w w:val="110"/>
          <w:sz w:val="18"/>
          <w:u w:val="single" w:color="205E9E"/>
        </w:rPr>
        <w:t>https:// </w:t>
      </w:r>
      <w:hyperlink r:id="rId95">
        <w:r>
          <w:rPr>
            <w:color w:val="205E9E"/>
            <w:w w:val="110"/>
            <w:sz w:val="18"/>
            <w:u w:val="single" w:color="205E9E"/>
          </w:rPr>
          <w:t>www.uspreventiveservicestaskforce.org/Page/</w:t>
        </w:r>
      </w:hyperlink>
      <w:r>
        <w:rPr>
          <w:color w:val="205E9E"/>
          <w:w w:val="110"/>
          <w:sz w:val="18"/>
          <w:u w:val="single" w:color="205E9E"/>
        </w:rPr>
        <w:t> Document/RecommendationStatementFinal/</w:t>
      </w:r>
    </w:p>
    <w:p>
      <w:pPr>
        <w:spacing w:before="6"/>
        <w:ind w:left="500" w:right="0" w:firstLine="0"/>
        <w:jc w:val="left"/>
        <w:rPr>
          <w:sz w:val="18"/>
        </w:rPr>
      </w:pPr>
      <w:r>
        <w:rPr>
          <w:color w:val="205E9E"/>
          <w:w w:val="110"/>
          <w:sz w:val="18"/>
          <w:u w:val="single" w:color="205E9E"/>
        </w:rPr>
        <w:t>human-immunodeﬁciency-virus-hiv-infection-screening</w:t>
      </w:r>
    </w:p>
    <w:p>
      <w:pPr>
        <w:pStyle w:val="ListParagraph"/>
        <w:numPr>
          <w:ilvl w:val="0"/>
          <w:numId w:val="51"/>
        </w:numPr>
        <w:tabs>
          <w:tab w:pos="500" w:val="left" w:leader="none"/>
        </w:tabs>
        <w:spacing w:line="247" w:lineRule="auto" w:before="79" w:after="0"/>
        <w:ind w:left="500" w:right="471" w:hanging="360"/>
        <w:jc w:val="left"/>
        <w:rPr>
          <w:color w:val="4C4D4F"/>
          <w:sz w:val="18"/>
        </w:rPr>
      </w:pPr>
      <w:r>
        <w:rPr>
          <w:color w:val="4C4D4F"/>
          <w:w w:val="110"/>
          <w:sz w:val="18"/>
        </w:rPr>
        <w:t>Centers</w:t>
      </w:r>
      <w:r>
        <w:rPr>
          <w:color w:val="4C4D4F"/>
          <w:spacing w:val="-9"/>
          <w:w w:val="110"/>
          <w:sz w:val="18"/>
        </w:rPr>
        <w:t> </w:t>
      </w:r>
      <w:r>
        <w:rPr>
          <w:color w:val="4C4D4F"/>
          <w:w w:val="110"/>
          <w:sz w:val="18"/>
        </w:rPr>
        <w:t>for</w:t>
      </w:r>
      <w:r>
        <w:rPr>
          <w:color w:val="4C4D4F"/>
          <w:spacing w:val="-8"/>
          <w:w w:val="110"/>
          <w:sz w:val="18"/>
        </w:rPr>
        <w:t> </w:t>
      </w:r>
      <w:r>
        <w:rPr>
          <w:color w:val="4C4D4F"/>
          <w:w w:val="110"/>
          <w:sz w:val="18"/>
        </w:rPr>
        <w:t>Disease</w:t>
      </w:r>
      <w:r>
        <w:rPr>
          <w:color w:val="4C4D4F"/>
          <w:spacing w:val="-9"/>
          <w:w w:val="110"/>
          <w:sz w:val="18"/>
        </w:rPr>
        <w:t> </w:t>
      </w:r>
      <w:r>
        <w:rPr>
          <w:color w:val="4C4D4F"/>
          <w:w w:val="110"/>
          <w:sz w:val="18"/>
        </w:rPr>
        <w:t>Control</w:t>
      </w:r>
      <w:r>
        <w:rPr>
          <w:color w:val="4C4D4F"/>
          <w:spacing w:val="-8"/>
          <w:w w:val="110"/>
          <w:sz w:val="18"/>
        </w:rPr>
        <w:t> </w:t>
      </w:r>
      <w:r>
        <w:rPr>
          <w:color w:val="4C4D4F"/>
          <w:w w:val="110"/>
          <w:sz w:val="18"/>
        </w:rPr>
        <w:t>and</w:t>
      </w:r>
      <w:r>
        <w:rPr>
          <w:color w:val="4C4D4F"/>
          <w:spacing w:val="-9"/>
          <w:w w:val="110"/>
          <w:sz w:val="18"/>
        </w:rPr>
        <w:t> </w:t>
      </w:r>
      <w:r>
        <w:rPr>
          <w:color w:val="4C4D4F"/>
          <w:w w:val="110"/>
          <w:sz w:val="18"/>
        </w:rPr>
        <w:t>Prevention.</w:t>
      </w:r>
      <w:r>
        <w:rPr>
          <w:color w:val="4C4D4F"/>
          <w:spacing w:val="-8"/>
          <w:w w:val="110"/>
          <w:sz w:val="18"/>
        </w:rPr>
        <w:t> </w:t>
      </w:r>
      <w:r>
        <w:rPr>
          <w:color w:val="4C4D4F"/>
          <w:spacing w:val="-6"/>
          <w:w w:val="110"/>
          <w:sz w:val="18"/>
        </w:rPr>
        <w:t>Testing </w:t>
      </w:r>
      <w:r>
        <w:rPr>
          <w:color w:val="4C4D4F"/>
          <w:w w:val="110"/>
          <w:sz w:val="18"/>
        </w:rPr>
        <w:t>Recommendations for Hepatitis C Virus</w:t>
      </w:r>
      <w:r>
        <w:rPr>
          <w:color w:val="4C4D4F"/>
          <w:spacing w:val="-32"/>
          <w:w w:val="110"/>
          <w:sz w:val="18"/>
        </w:rPr>
        <w:t> </w:t>
      </w:r>
      <w:r>
        <w:rPr>
          <w:color w:val="4C4D4F"/>
          <w:w w:val="110"/>
          <w:sz w:val="18"/>
        </w:rPr>
        <w:t>Infection.</w:t>
      </w:r>
    </w:p>
    <w:p>
      <w:pPr>
        <w:spacing w:line="247" w:lineRule="auto" w:before="2"/>
        <w:ind w:left="500" w:right="0" w:firstLine="0"/>
        <w:jc w:val="left"/>
        <w:rPr>
          <w:sz w:val="18"/>
        </w:rPr>
      </w:pPr>
      <w:r>
        <w:rPr>
          <w:color w:val="4C4D4F"/>
          <w:w w:val="110"/>
          <w:sz w:val="18"/>
        </w:rPr>
        <w:t>October 15, 2015. Retrieved from: </w:t>
      </w:r>
      <w:r>
        <w:rPr>
          <w:color w:val="205E9E"/>
          <w:w w:val="110"/>
          <w:sz w:val="18"/>
          <w:u w:val="single" w:color="205E9E"/>
        </w:rPr>
        <w:t>https://www.cdc.</w:t>
      </w:r>
      <w:r>
        <w:rPr>
          <w:color w:val="205E9E"/>
          <w:w w:val="110"/>
          <w:sz w:val="18"/>
        </w:rPr>
        <w:t> </w:t>
      </w:r>
      <w:r>
        <w:rPr>
          <w:color w:val="205E9E"/>
          <w:w w:val="110"/>
          <w:sz w:val="18"/>
          <w:u w:val="single" w:color="205E9E"/>
        </w:rPr>
        <w:t>gov/hepatitis/hcv/guidelinesc.htm</w:t>
      </w:r>
    </w:p>
    <w:p>
      <w:pPr>
        <w:pStyle w:val="ListParagraph"/>
        <w:numPr>
          <w:ilvl w:val="0"/>
          <w:numId w:val="51"/>
        </w:numPr>
        <w:tabs>
          <w:tab w:pos="500" w:val="left" w:leader="none"/>
        </w:tabs>
        <w:spacing w:line="247" w:lineRule="auto" w:before="74" w:after="0"/>
        <w:ind w:left="500" w:right="498" w:hanging="360"/>
        <w:jc w:val="left"/>
        <w:rPr>
          <w:color w:val="4C4D4F"/>
          <w:sz w:val="18"/>
        </w:rPr>
      </w:pPr>
      <w:r>
        <w:rPr>
          <w:color w:val="4C4D4F"/>
          <w:w w:val="110"/>
          <w:sz w:val="18"/>
        </w:rPr>
        <w:t>Centers</w:t>
      </w:r>
      <w:r>
        <w:rPr>
          <w:color w:val="4C4D4F"/>
          <w:spacing w:val="-14"/>
          <w:w w:val="110"/>
          <w:sz w:val="18"/>
        </w:rPr>
        <w:t> </w:t>
      </w:r>
      <w:r>
        <w:rPr>
          <w:color w:val="4C4D4F"/>
          <w:w w:val="110"/>
          <w:sz w:val="18"/>
        </w:rPr>
        <w:t>for</w:t>
      </w:r>
      <w:r>
        <w:rPr>
          <w:color w:val="4C4D4F"/>
          <w:spacing w:val="-14"/>
          <w:w w:val="110"/>
          <w:sz w:val="18"/>
        </w:rPr>
        <w:t> </w:t>
      </w:r>
      <w:r>
        <w:rPr>
          <w:color w:val="4C4D4F"/>
          <w:w w:val="110"/>
          <w:sz w:val="18"/>
        </w:rPr>
        <w:t>Disease</w:t>
      </w:r>
      <w:r>
        <w:rPr>
          <w:color w:val="4C4D4F"/>
          <w:spacing w:val="-13"/>
          <w:w w:val="110"/>
          <w:sz w:val="18"/>
        </w:rPr>
        <w:t> </w:t>
      </w:r>
      <w:r>
        <w:rPr>
          <w:color w:val="4C4D4F"/>
          <w:w w:val="110"/>
          <w:sz w:val="18"/>
        </w:rPr>
        <w:t>Control</w:t>
      </w:r>
      <w:r>
        <w:rPr>
          <w:color w:val="4C4D4F"/>
          <w:spacing w:val="-14"/>
          <w:w w:val="110"/>
          <w:sz w:val="18"/>
        </w:rPr>
        <w:t> </w:t>
      </w:r>
      <w:r>
        <w:rPr>
          <w:color w:val="4C4D4F"/>
          <w:w w:val="110"/>
          <w:sz w:val="18"/>
        </w:rPr>
        <w:t>and</w:t>
      </w:r>
      <w:r>
        <w:rPr>
          <w:color w:val="4C4D4F"/>
          <w:spacing w:val="-13"/>
          <w:w w:val="110"/>
          <w:sz w:val="18"/>
        </w:rPr>
        <w:t> </w:t>
      </w:r>
      <w:r>
        <w:rPr>
          <w:color w:val="4C4D4F"/>
          <w:w w:val="110"/>
          <w:sz w:val="18"/>
        </w:rPr>
        <w:t>Prevention.</w:t>
      </w:r>
      <w:r>
        <w:rPr>
          <w:color w:val="4C4D4F"/>
          <w:spacing w:val="-14"/>
          <w:w w:val="110"/>
          <w:sz w:val="18"/>
        </w:rPr>
        <w:t> </w:t>
      </w:r>
      <w:r>
        <w:rPr>
          <w:color w:val="4C4D4F"/>
          <w:spacing w:val="-3"/>
          <w:w w:val="110"/>
          <w:sz w:val="18"/>
        </w:rPr>
        <w:t>(2016). </w:t>
      </w:r>
      <w:r>
        <w:rPr>
          <w:color w:val="4C4D4F"/>
          <w:w w:val="115"/>
          <w:sz w:val="18"/>
        </w:rPr>
        <w:t>Viral</w:t>
      </w:r>
      <w:r>
        <w:rPr>
          <w:color w:val="4C4D4F"/>
          <w:spacing w:val="-25"/>
          <w:w w:val="115"/>
          <w:sz w:val="18"/>
        </w:rPr>
        <w:t> </w:t>
      </w:r>
      <w:r>
        <w:rPr>
          <w:color w:val="4C4D4F"/>
          <w:w w:val="115"/>
          <w:sz w:val="18"/>
        </w:rPr>
        <w:t>hepatitis.</w:t>
      </w:r>
      <w:r>
        <w:rPr>
          <w:color w:val="4C4D4F"/>
          <w:spacing w:val="-24"/>
          <w:w w:val="115"/>
          <w:sz w:val="18"/>
        </w:rPr>
        <w:t> </w:t>
      </w:r>
      <w:r>
        <w:rPr>
          <w:color w:val="4C4D4F"/>
          <w:w w:val="115"/>
          <w:sz w:val="18"/>
        </w:rPr>
        <w:t>Retrieved</w:t>
      </w:r>
      <w:r>
        <w:rPr>
          <w:color w:val="4C4D4F"/>
          <w:spacing w:val="-24"/>
          <w:w w:val="115"/>
          <w:sz w:val="18"/>
        </w:rPr>
        <w:t> </w:t>
      </w:r>
      <w:r>
        <w:rPr>
          <w:color w:val="4C4D4F"/>
          <w:w w:val="115"/>
          <w:sz w:val="18"/>
        </w:rPr>
        <w:t>December</w:t>
      </w:r>
      <w:r>
        <w:rPr>
          <w:color w:val="4C4D4F"/>
          <w:spacing w:val="-25"/>
          <w:w w:val="115"/>
          <w:sz w:val="18"/>
        </w:rPr>
        <w:t> </w:t>
      </w:r>
      <w:r>
        <w:rPr>
          <w:color w:val="4C4D4F"/>
          <w:w w:val="115"/>
          <w:sz w:val="18"/>
        </w:rPr>
        <w:t>1,</w:t>
      </w:r>
      <w:r>
        <w:rPr>
          <w:color w:val="4C4D4F"/>
          <w:spacing w:val="-24"/>
          <w:w w:val="115"/>
          <w:sz w:val="18"/>
        </w:rPr>
        <w:t> </w:t>
      </w:r>
      <w:r>
        <w:rPr>
          <w:color w:val="4C4D4F"/>
          <w:w w:val="115"/>
          <w:sz w:val="18"/>
        </w:rPr>
        <w:t>2017,</w:t>
      </w:r>
      <w:r>
        <w:rPr>
          <w:color w:val="4C4D4F"/>
          <w:spacing w:val="-24"/>
          <w:w w:val="115"/>
          <w:sz w:val="18"/>
        </w:rPr>
        <w:t> </w:t>
      </w:r>
      <w:r>
        <w:rPr>
          <w:color w:val="4C4D4F"/>
          <w:w w:val="115"/>
          <w:sz w:val="18"/>
        </w:rPr>
        <w:t>from</w:t>
      </w:r>
      <w:r>
        <w:rPr>
          <w:color w:val="205E9E"/>
          <w:w w:val="115"/>
          <w:sz w:val="18"/>
          <w:u w:val="single" w:color="205E9E"/>
        </w:rPr>
        <w:t> </w:t>
      </w:r>
      <w:hyperlink r:id="rId96">
        <w:r>
          <w:rPr>
            <w:color w:val="205E9E"/>
            <w:w w:val="115"/>
            <w:sz w:val="18"/>
            <w:u w:val="single" w:color="205E9E"/>
          </w:rPr>
          <w:t>www.cdc.gov/hepatitis/hbv/bfaq.htm</w:t>
        </w:r>
      </w:hyperlink>
    </w:p>
    <w:p>
      <w:pPr>
        <w:pStyle w:val="ListParagraph"/>
        <w:numPr>
          <w:ilvl w:val="0"/>
          <w:numId w:val="51"/>
        </w:numPr>
        <w:tabs>
          <w:tab w:pos="500" w:val="left" w:leader="none"/>
        </w:tabs>
        <w:spacing w:line="247" w:lineRule="auto" w:before="75" w:after="0"/>
        <w:ind w:left="500" w:right="161" w:hanging="360"/>
        <w:jc w:val="left"/>
        <w:rPr>
          <w:color w:val="4C4D4F"/>
          <w:sz w:val="18"/>
        </w:rPr>
      </w:pPr>
      <w:r>
        <w:rPr>
          <w:color w:val="4C4D4F"/>
          <w:spacing w:val="-3"/>
          <w:w w:val="115"/>
          <w:sz w:val="18"/>
        </w:rPr>
        <w:t>Baxter,</w:t>
      </w:r>
      <w:r>
        <w:rPr>
          <w:color w:val="4C4D4F"/>
          <w:spacing w:val="-16"/>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spacing w:val="-5"/>
          <w:w w:val="115"/>
          <w:sz w:val="18"/>
        </w:rPr>
        <w:t>Sr.,</w:t>
      </w:r>
      <w:r>
        <w:rPr>
          <w:color w:val="4C4D4F"/>
          <w:spacing w:val="-16"/>
          <w:w w:val="115"/>
          <w:sz w:val="18"/>
        </w:rPr>
        <w:t> </w:t>
      </w:r>
      <w:r>
        <w:rPr>
          <w:color w:val="4C4D4F"/>
          <w:w w:val="115"/>
          <w:sz w:val="18"/>
        </w:rPr>
        <w:t>Campbell,</w:t>
      </w:r>
      <w:r>
        <w:rPr>
          <w:color w:val="4C4D4F"/>
          <w:spacing w:val="-15"/>
          <w:w w:val="115"/>
          <w:sz w:val="18"/>
        </w:rPr>
        <w:t> </w:t>
      </w:r>
      <w:r>
        <w:rPr>
          <w:color w:val="4C4D4F"/>
          <w:w w:val="115"/>
          <w:sz w:val="18"/>
        </w:rPr>
        <w:t>A.,</w:t>
      </w:r>
      <w:r>
        <w:rPr>
          <w:color w:val="4C4D4F"/>
          <w:spacing w:val="-16"/>
          <w:w w:val="115"/>
          <w:sz w:val="18"/>
        </w:rPr>
        <w:t> </w:t>
      </w:r>
      <w:r>
        <w:rPr>
          <w:color w:val="4C4D4F"/>
          <w:w w:val="115"/>
          <w:sz w:val="18"/>
        </w:rPr>
        <w:t>Deshields,</w:t>
      </w:r>
      <w:r>
        <w:rPr>
          <w:color w:val="4C4D4F"/>
          <w:spacing w:val="-16"/>
          <w:w w:val="115"/>
          <w:sz w:val="18"/>
        </w:rPr>
        <w:t> </w:t>
      </w:r>
      <w:r>
        <w:rPr>
          <w:color w:val="4C4D4F"/>
          <w:w w:val="115"/>
          <w:sz w:val="18"/>
        </w:rPr>
        <w:t>M.,</w:t>
      </w:r>
      <w:r>
        <w:rPr>
          <w:color w:val="4C4D4F"/>
          <w:spacing w:val="-16"/>
          <w:w w:val="115"/>
          <w:sz w:val="18"/>
        </w:rPr>
        <w:t> </w:t>
      </w:r>
      <w:r>
        <w:rPr>
          <w:color w:val="4C4D4F"/>
          <w:w w:val="115"/>
          <w:sz w:val="18"/>
        </w:rPr>
        <w:t>Levounis, </w:t>
      </w:r>
      <w:r>
        <w:rPr>
          <w:color w:val="4C4D4F"/>
          <w:spacing w:val="-11"/>
          <w:w w:val="115"/>
          <w:sz w:val="18"/>
        </w:rPr>
        <w:t>P.,</w:t>
      </w:r>
      <w:r>
        <w:rPr>
          <w:color w:val="4C4D4F"/>
          <w:spacing w:val="-22"/>
          <w:w w:val="115"/>
          <w:sz w:val="18"/>
        </w:rPr>
        <w:t> </w:t>
      </w:r>
      <w:r>
        <w:rPr>
          <w:color w:val="4C4D4F"/>
          <w:w w:val="115"/>
          <w:sz w:val="18"/>
        </w:rPr>
        <w:t>Martin,</w:t>
      </w:r>
      <w:r>
        <w:rPr>
          <w:color w:val="4C4D4F"/>
          <w:spacing w:val="-22"/>
          <w:w w:val="115"/>
          <w:sz w:val="18"/>
        </w:rPr>
        <w:t> </w:t>
      </w:r>
      <w:r>
        <w:rPr>
          <w:color w:val="4C4D4F"/>
          <w:w w:val="135"/>
          <w:sz w:val="18"/>
        </w:rPr>
        <w:t>J.</w:t>
      </w:r>
      <w:r>
        <w:rPr>
          <w:color w:val="4C4D4F"/>
          <w:spacing w:val="-32"/>
          <w:w w:val="135"/>
          <w:sz w:val="18"/>
        </w:rPr>
        <w:t> </w:t>
      </w:r>
      <w:r>
        <w:rPr>
          <w:color w:val="4C4D4F"/>
          <w:w w:val="115"/>
          <w:sz w:val="18"/>
        </w:rPr>
        <w:t>A.,</w:t>
      </w:r>
      <w:r>
        <w:rPr>
          <w:color w:val="4C4D4F"/>
          <w:spacing w:val="-22"/>
          <w:w w:val="115"/>
          <w:sz w:val="18"/>
        </w:rPr>
        <w:t> </w:t>
      </w:r>
      <w:r>
        <w:rPr>
          <w:color w:val="4C4D4F"/>
          <w:w w:val="115"/>
          <w:sz w:val="18"/>
        </w:rPr>
        <w:t>McNicholas,</w:t>
      </w:r>
      <w:r>
        <w:rPr>
          <w:color w:val="4C4D4F"/>
          <w:spacing w:val="-22"/>
          <w:w w:val="115"/>
          <w:sz w:val="18"/>
        </w:rPr>
        <w:t> </w:t>
      </w:r>
      <w:r>
        <w:rPr>
          <w:color w:val="4C4D4F"/>
          <w:w w:val="115"/>
          <w:sz w:val="18"/>
        </w:rPr>
        <w:t>L.,</w:t>
      </w:r>
      <w:r>
        <w:rPr>
          <w:color w:val="4C4D4F"/>
          <w:spacing w:val="-22"/>
          <w:w w:val="115"/>
          <w:sz w:val="18"/>
        </w:rPr>
        <w:t> </w:t>
      </w:r>
      <w:r>
        <w:rPr>
          <w:color w:val="4C4D4F"/>
          <w:w w:val="115"/>
          <w:sz w:val="18"/>
        </w:rPr>
        <w:t>…</w:t>
      </w:r>
      <w:r>
        <w:rPr>
          <w:color w:val="4C4D4F"/>
          <w:spacing w:val="-22"/>
          <w:w w:val="115"/>
          <w:sz w:val="18"/>
        </w:rPr>
        <w:t> </w:t>
      </w:r>
      <w:r>
        <w:rPr>
          <w:color w:val="4C4D4F"/>
          <w:w w:val="115"/>
          <w:sz w:val="18"/>
        </w:rPr>
        <w:t>Wilford,</w:t>
      </w:r>
      <w:r>
        <w:rPr>
          <w:color w:val="4C4D4F"/>
          <w:spacing w:val="-21"/>
          <w:w w:val="115"/>
          <w:sz w:val="18"/>
        </w:rPr>
        <w:t> </w:t>
      </w:r>
      <w:r>
        <w:rPr>
          <w:color w:val="4C4D4F"/>
          <w:w w:val="115"/>
          <w:sz w:val="18"/>
        </w:rPr>
        <w:t>B.</w:t>
      </w:r>
      <w:r>
        <w:rPr>
          <w:color w:val="4C4D4F"/>
          <w:spacing w:val="-22"/>
          <w:w w:val="115"/>
          <w:sz w:val="18"/>
        </w:rPr>
        <w:t> </w:t>
      </w:r>
      <w:r>
        <w:rPr>
          <w:color w:val="4C4D4F"/>
          <w:w w:val="115"/>
          <w:sz w:val="18"/>
        </w:rPr>
        <w:t>B.</w:t>
      </w:r>
      <w:r>
        <w:rPr>
          <w:color w:val="4C4D4F"/>
          <w:spacing w:val="-22"/>
          <w:w w:val="115"/>
          <w:sz w:val="18"/>
        </w:rPr>
        <w:t> </w:t>
      </w:r>
      <w:r>
        <w:rPr>
          <w:color w:val="4C4D4F"/>
          <w:spacing w:val="-3"/>
          <w:w w:val="115"/>
          <w:sz w:val="18"/>
        </w:rPr>
        <w:t>(2013). </w:t>
      </w:r>
      <w:r>
        <w:rPr>
          <w:color w:val="4C4D4F"/>
          <w:w w:val="115"/>
          <w:sz w:val="18"/>
        </w:rPr>
        <w:t>Safe methadone induction and stabilization: Report of an</w:t>
      </w:r>
      <w:r>
        <w:rPr>
          <w:color w:val="4C4D4F"/>
          <w:spacing w:val="-34"/>
          <w:w w:val="115"/>
          <w:sz w:val="18"/>
        </w:rPr>
        <w:t> </w:t>
      </w:r>
      <w:r>
        <w:rPr>
          <w:color w:val="4C4D4F"/>
          <w:w w:val="115"/>
          <w:sz w:val="18"/>
        </w:rPr>
        <w:t>expert</w:t>
      </w:r>
      <w:r>
        <w:rPr>
          <w:color w:val="4C4D4F"/>
          <w:spacing w:val="-34"/>
          <w:w w:val="115"/>
          <w:sz w:val="18"/>
        </w:rPr>
        <w:t> </w:t>
      </w:r>
      <w:r>
        <w:rPr>
          <w:color w:val="4C4D4F"/>
          <w:w w:val="115"/>
          <w:sz w:val="18"/>
        </w:rPr>
        <w:t>panel.</w:t>
      </w:r>
      <w:r>
        <w:rPr>
          <w:color w:val="4C4D4F"/>
          <w:spacing w:val="-34"/>
          <w:w w:val="115"/>
          <w:sz w:val="18"/>
        </w:rPr>
        <w:t> </w:t>
      </w:r>
      <w:r>
        <w:rPr>
          <w:rFonts w:ascii="Arial" w:hAnsi="Arial"/>
          <w:i/>
          <w:color w:val="4C4D4F"/>
          <w:w w:val="115"/>
          <w:sz w:val="18"/>
        </w:rPr>
        <w:t>Journal</w:t>
      </w:r>
      <w:r>
        <w:rPr>
          <w:rFonts w:ascii="Arial" w:hAnsi="Arial"/>
          <w:i/>
          <w:color w:val="4C4D4F"/>
          <w:spacing w:val="-34"/>
          <w:w w:val="115"/>
          <w:sz w:val="18"/>
        </w:rPr>
        <w:t> </w:t>
      </w:r>
      <w:r>
        <w:rPr>
          <w:rFonts w:ascii="Arial" w:hAnsi="Arial"/>
          <w:i/>
          <w:color w:val="4C4D4F"/>
          <w:w w:val="115"/>
          <w:sz w:val="18"/>
        </w:rPr>
        <w:t>of</w:t>
      </w:r>
      <w:r>
        <w:rPr>
          <w:rFonts w:ascii="Arial" w:hAnsi="Arial"/>
          <w:i/>
          <w:color w:val="4C4D4F"/>
          <w:spacing w:val="-33"/>
          <w:w w:val="115"/>
          <w:sz w:val="18"/>
        </w:rPr>
        <w:t> </w:t>
      </w:r>
      <w:r>
        <w:rPr>
          <w:rFonts w:ascii="Arial" w:hAnsi="Arial"/>
          <w:i/>
          <w:color w:val="4C4D4F"/>
          <w:w w:val="115"/>
          <w:sz w:val="18"/>
        </w:rPr>
        <w:t>Addiction</w:t>
      </w:r>
      <w:r>
        <w:rPr>
          <w:rFonts w:ascii="Arial" w:hAnsi="Arial"/>
          <w:i/>
          <w:color w:val="4C4D4F"/>
          <w:spacing w:val="-34"/>
          <w:w w:val="115"/>
          <w:sz w:val="18"/>
        </w:rPr>
        <w:t> </w:t>
      </w:r>
      <w:r>
        <w:rPr>
          <w:rFonts w:ascii="Arial" w:hAnsi="Arial"/>
          <w:i/>
          <w:color w:val="4C4D4F"/>
          <w:w w:val="115"/>
          <w:sz w:val="18"/>
        </w:rPr>
        <w:t>Medicine,</w:t>
      </w:r>
      <w:r>
        <w:rPr>
          <w:rFonts w:ascii="Arial" w:hAnsi="Arial"/>
          <w:i/>
          <w:color w:val="4C4D4F"/>
          <w:spacing w:val="-34"/>
          <w:w w:val="115"/>
          <w:sz w:val="18"/>
        </w:rPr>
        <w:t> </w:t>
      </w:r>
      <w:r>
        <w:rPr>
          <w:rFonts w:ascii="Arial" w:hAnsi="Arial"/>
          <w:i/>
          <w:color w:val="4C4D4F"/>
          <w:w w:val="115"/>
          <w:sz w:val="18"/>
        </w:rPr>
        <w:t>7</w:t>
      </w:r>
      <w:r>
        <w:rPr>
          <w:color w:val="4C4D4F"/>
          <w:w w:val="115"/>
          <w:sz w:val="18"/>
        </w:rPr>
        <w:t>(6), 377–386.</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0"/>
          <w:sz w:val="18"/>
        </w:rPr>
        <w:t>McCance-Katz, E. </w:t>
      </w:r>
      <w:r>
        <w:rPr>
          <w:color w:val="4C4D4F"/>
          <w:spacing w:val="-10"/>
          <w:w w:val="110"/>
          <w:sz w:val="18"/>
        </w:rPr>
        <w:t>F., </w:t>
      </w:r>
      <w:r>
        <w:rPr>
          <w:color w:val="4C4D4F"/>
          <w:w w:val="110"/>
          <w:sz w:val="18"/>
        </w:rPr>
        <w:t>Sullivan, L. E., &amp; Nallani, S.</w:t>
      </w:r>
      <w:r>
        <w:rPr>
          <w:color w:val="4C4D4F"/>
          <w:spacing w:val="31"/>
          <w:w w:val="110"/>
          <w:sz w:val="18"/>
        </w:rPr>
        <w:t> </w:t>
      </w:r>
      <w:r>
        <w:rPr>
          <w:color w:val="4C4D4F"/>
          <w:w w:val="110"/>
          <w:sz w:val="18"/>
        </w:rPr>
        <w:t>(2010).</w:t>
      </w:r>
    </w:p>
    <w:p>
      <w:pPr>
        <w:spacing w:line="247" w:lineRule="auto" w:before="7"/>
        <w:ind w:left="500" w:right="149" w:firstLine="0"/>
        <w:jc w:val="left"/>
        <w:rPr>
          <w:sz w:val="18"/>
        </w:rPr>
      </w:pPr>
      <w:r>
        <w:rPr>
          <w:color w:val="4C4D4F"/>
          <w:w w:val="110"/>
          <w:sz w:val="18"/>
        </w:rPr>
        <w:t>Drug interactions of clinical importance among the opioids, methadone and buprenorphine, and other frequently prescribed medications: A review. </w:t>
      </w:r>
      <w:r>
        <w:rPr>
          <w:rFonts w:ascii="Arial" w:hAnsi="Arial"/>
          <w:i/>
          <w:color w:val="4C4D4F"/>
          <w:w w:val="110"/>
          <w:sz w:val="18"/>
        </w:rPr>
        <w:t>American </w:t>
      </w:r>
      <w:r>
        <w:rPr>
          <w:rFonts w:ascii="Arial" w:hAnsi="Arial"/>
          <w:i/>
          <w:color w:val="4C4D4F"/>
          <w:w w:val="110"/>
          <w:sz w:val="18"/>
        </w:rPr>
        <w:t>Journal on Addictions, 19</w:t>
      </w:r>
      <w:r>
        <w:rPr>
          <w:color w:val="4C4D4F"/>
          <w:w w:val="110"/>
          <w:sz w:val="18"/>
        </w:rPr>
        <w:t>(1), 4–16.</w:t>
      </w:r>
    </w:p>
    <w:p>
      <w:pPr>
        <w:pStyle w:val="ListParagraph"/>
        <w:numPr>
          <w:ilvl w:val="0"/>
          <w:numId w:val="51"/>
        </w:numPr>
        <w:tabs>
          <w:tab w:pos="500" w:val="left" w:leader="none"/>
        </w:tabs>
        <w:spacing w:line="247" w:lineRule="auto" w:before="73" w:after="0"/>
        <w:ind w:left="500" w:right="161" w:hanging="360"/>
        <w:jc w:val="left"/>
        <w:rPr>
          <w:color w:val="4C4D4F"/>
          <w:sz w:val="18"/>
        </w:rPr>
      </w:pPr>
      <w:r>
        <w:rPr>
          <w:color w:val="4C4D4F"/>
          <w:spacing w:val="-3"/>
          <w:w w:val="115"/>
          <w:sz w:val="18"/>
        </w:rPr>
        <w:t>Baxter,</w:t>
      </w:r>
      <w:r>
        <w:rPr>
          <w:color w:val="4C4D4F"/>
          <w:spacing w:val="-16"/>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spacing w:val="-5"/>
          <w:w w:val="115"/>
          <w:sz w:val="18"/>
        </w:rPr>
        <w:t>Sr.,</w:t>
      </w:r>
      <w:r>
        <w:rPr>
          <w:color w:val="4C4D4F"/>
          <w:spacing w:val="-16"/>
          <w:w w:val="115"/>
          <w:sz w:val="18"/>
        </w:rPr>
        <w:t> </w:t>
      </w:r>
      <w:r>
        <w:rPr>
          <w:color w:val="4C4D4F"/>
          <w:w w:val="115"/>
          <w:sz w:val="18"/>
        </w:rPr>
        <w:t>Campbell,</w:t>
      </w:r>
      <w:r>
        <w:rPr>
          <w:color w:val="4C4D4F"/>
          <w:spacing w:val="-15"/>
          <w:w w:val="115"/>
          <w:sz w:val="18"/>
        </w:rPr>
        <w:t> </w:t>
      </w:r>
      <w:r>
        <w:rPr>
          <w:color w:val="4C4D4F"/>
          <w:w w:val="115"/>
          <w:sz w:val="18"/>
        </w:rPr>
        <w:t>A.,</w:t>
      </w:r>
      <w:r>
        <w:rPr>
          <w:color w:val="4C4D4F"/>
          <w:spacing w:val="-16"/>
          <w:w w:val="115"/>
          <w:sz w:val="18"/>
        </w:rPr>
        <w:t> </w:t>
      </w:r>
      <w:r>
        <w:rPr>
          <w:color w:val="4C4D4F"/>
          <w:w w:val="115"/>
          <w:sz w:val="18"/>
        </w:rPr>
        <w:t>Deshields,</w:t>
      </w:r>
      <w:r>
        <w:rPr>
          <w:color w:val="4C4D4F"/>
          <w:spacing w:val="-16"/>
          <w:w w:val="115"/>
          <w:sz w:val="18"/>
        </w:rPr>
        <w:t> </w:t>
      </w:r>
      <w:r>
        <w:rPr>
          <w:color w:val="4C4D4F"/>
          <w:w w:val="115"/>
          <w:sz w:val="18"/>
        </w:rPr>
        <w:t>M.,</w:t>
      </w:r>
      <w:r>
        <w:rPr>
          <w:color w:val="4C4D4F"/>
          <w:spacing w:val="-16"/>
          <w:w w:val="115"/>
          <w:sz w:val="18"/>
        </w:rPr>
        <w:t> </w:t>
      </w:r>
      <w:r>
        <w:rPr>
          <w:color w:val="4C4D4F"/>
          <w:w w:val="115"/>
          <w:sz w:val="18"/>
        </w:rPr>
        <w:t>Levounis, </w:t>
      </w:r>
      <w:r>
        <w:rPr>
          <w:color w:val="4C4D4F"/>
          <w:spacing w:val="-11"/>
          <w:w w:val="115"/>
          <w:sz w:val="18"/>
        </w:rPr>
        <w:t>P.,</w:t>
      </w:r>
      <w:r>
        <w:rPr>
          <w:color w:val="4C4D4F"/>
          <w:spacing w:val="-22"/>
          <w:w w:val="115"/>
          <w:sz w:val="18"/>
        </w:rPr>
        <w:t> </w:t>
      </w:r>
      <w:r>
        <w:rPr>
          <w:color w:val="4C4D4F"/>
          <w:w w:val="115"/>
          <w:sz w:val="18"/>
        </w:rPr>
        <w:t>Martin,</w:t>
      </w:r>
      <w:r>
        <w:rPr>
          <w:color w:val="4C4D4F"/>
          <w:spacing w:val="-22"/>
          <w:w w:val="115"/>
          <w:sz w:val="18"/>
        </w:rPr>
        <w:t> </w:t>
      </w:r>
      <w:r>
        <w:rPr>
          <w:color w:val="4C4D4F"/>
          <w:w w:val="135"/>
          <w:sz w:val="18"/>
        </w:rPr>
        <w:t>J.</w:t>
      </w:r>
      <w:r>
        <w:rPr>
          <w:color w:val="4C4D4F"/>
          <w:spacing w:val="-32"/>
          <w:w w:val="135"/>
          <w:sz w:val="18"/>
        </w:rPr>
        <w:t> </w:t>
      </w:r>
      <w:r>
        <w:rPr>
          <w:color w:val="4C4D4F"/>
          <w:w w:val="115"/>
          <w:sz w:val="18"/>
        </w:rPr>
        <w:t>A.,</w:t>
      </w:r>
      <w:r>
        <w:rPr>
          <w:color w:val="4C4D4F"/>
          <w:spacing w:val="-22"/>
          <w:w w:val="115"/>
          <w:sz w:val="18"/>
        </w:rPr>
        <w:t> </w:t>
      </w:r>
      <w:r>
        <w:rPr>
          <w:color w:val="4C4D4F"/>
          <w:w w:val="115"/>
          <w:sz w:val="18"/>
        </w:rPr>
        <w:t>McNicholas,</w:t>
      </w:r>
      <w:r>
        <w:rPr>
          <w:color w:val="4C4D4F"/>
          <w:spacing w:val="-22"/>
          <w:w w:val="115"/>
          <w:sz w:val="18"/>
        </w:rPr>
        <w:t> </w:t>
      </w:r>
      <w:r>
        <w:rPr>
          <w:color w:val="4C4D4F"/>
          <w:w w:val="115"/>
          <w:sz w:val="18"/>
        </w:rPr>
        <w:t>L.,</w:t>
      </w:r>
      <w:r>
        <w:rPr>
          <w:color w:val="4C4D4F"/>
          <w:spacing w:val="-22"/>
          <w:w w:val="115"/>
          <w:sz w:val="18"/>
        </w:rPr>
        <w:t> </w:t>
      </w:r>
      <w:r>
        <w:rPr>
          <w:color w:val="4C4D4F"/>
          <w:w w:val="115"/>
          <w:sz w:val="18"/>
        </w:rPr>
        <w:t>…</w:t>
      </w:r>
      <w:r>
        <w:rPr>
          <w:color w:val="4C4D4F"/>
          <w:spacing w:val="-22"/>
          <w:w w:val="115"/>
          <w:sz w:val="18"/>
        </w:rPr>
        <w:t> </w:t>
      </w:r>
      <w:r>
        <w:rPr>
          <w:color w:val="4C4D4F"/>
          <w:w w:val="115"/>
          <w:sz w:val="18"/>
        </w:rPr>
        <w:t>Wilford,</w:t>
      </w:r>
      <w:r>
        <w:rPr>
          <w:color w:val="4C4D4F"/>
          <w:spacing w:val="-21"/>
          <w:w w:val="115"/>
          <w:sz w:val="18"/>
        </w:rPr>
        <w:t> </w:t>
      </w:r>
      <w:r>
        <w:rPr>
          <w:color w:val="4C4D4F"/>
          <w:w w:val="115"/>
          <w:sz w:val="18"/>
        </w:rPr>
        <w:t>B.</w:t>
      </w:r>
      <w:r>
        <w:rPr>
          <w:color w:val="4C4D4F"/>
          <w:spacing w:val="-22"/>
          <w:w w:val="115"/>
          <w:sz w:val="18"/>
        </w:rPr>
        <w:t> </w:t>
      </w:r>
      <w:r>
        <w:rPr>
          <w:color w:val="4C4D4F"/>
          <w:w w:val="115"/>
          <w:sz w:val="18"/>
        </w:rPr>
        <w:t>B.</w:t>
      </w:r>
      <w:r>
        <w:rPr>
          <w:color w:val="4C4D4F"/>
          <w:spacing w:val="-22"/>
          <w:w w:val="115"/>
          <w:sz w:val="18"/>
        </w:rPr>
        <w:t> </w:t>
      </w:r>
      <w:r>
        <w:rPr>
          <w:color w:val="4C4D4F"/>
          <w:spacing w:val="-3"/>
          <w:w w:val="115"/>
          <w:sz w:val="18"/>
        </w:rPr>
        <w:t>(2013). </w:t>
      </w:r>
      <w:r>
        <w:rPr>
          <w:color w:val="4C4D4F"/>
          <w:w w:val="115"/>
          <w:sz w:val="18"/>
        </w:rPr>
        <w:t>Safe methadone induction and stabilization: Report of an</w:t>
      </w:r>
      <w:r>
        <w:rPr>
          <w:color w:val="4C4D4F"/>
          <w:spacing w:val="-34"/>
          <w:w w:val="115"/>
          <w:sz w:val="18"/>
        </w:rPr>
        <w:t> </w:t>
      </w:r>
      <w:r>
        <w:rPr>
          <w:color w:val="4C4D4F"/>
          <w:w w:val="115"/>
          <w:sz w:val="18"/>
        </w:rPr>
        <w:t>expert</w:t>
      </w:r>
      <w:r>
        <w:rPr>
          <w:color w:val="4C4D4F"/>
          <w:spacing w:val="-34"/>
          <w:w w:val="115"/>
          <w:sz w:val="18"/>
        </w:rPr>
        <w:t> </w:t>
      </w:r>
      <w:r>
        <w:rPr>
          <w:color w:val="4C4D4F"/>
          <w:w w:val="115"/>
          <w:sz w:val="18"/>
        </w:rPr>
        <w:t>panel.</w:t>
      </w:r>
      <w:r>
        <w:rPr>
          <w:color w:val="4C4D4F"/>
          <w:spacing w:val="-34"/>
          <w:w w:val="115"/>
          <w:sz w:val="18"/>
        </w:rPr>
        <w:t> </w:t>
      </w:r>
      <w:r>
        <w:rPr>
          <w:rFonts w:ascii="Arial" w:hAnsi="Arial"/>
          <w:i/>
          <w:color w:val="4C4D4F"/>
          <w:w w:val="115"/>
          <w:sz w:val="18"/>
        </w:rPr>
        <w:t>Journal</w:t>
      </w:r>
      <w:r>
        <w:rPr>
          <w:rFonts w:ascii="Arial" w:hAnsi="Arial"/>
          <w:i/>
          <w:color w:val="4C4D4F"/>
          <w:spacing w:val="-34"/>
          <w:w w:val="115"/>
          <w:sz w:val="18"/>
        </w:rPr>
        <w:t> </w:t>
      </w:r>
      <w:r>
        <w:rPr>
          <w:rFonts w:ascii="Arial" w:hAnsi="Arial"/>
          <w:i/>
          <w:color w:val="4C4D4F"/>
          <w:w w:val="115"/>
          <w:sz w:val="18"/>
        </w:rPr>
        <w:t>of</w:t>
      </w:r>
      <w:r>
        <w:rPr>
          <w:rFonts w:ascii="Arial" w:hAnsi="Arial"/>
          <w:i/>
          <w:color w:val="4C4D4F"/>
          <w:spacing w:val="-33"/>
          <w:w w:val="115"/>
          <w:sz w:val="18"/>
        </w:rPr>
        <w:t> </w:t>
      </w:r>
      <w:r>
        <w:rPr>
          <w:rFonts w:ascii="Arial" w:hAnsi="Arial"/>
          <w:i/>
          <w:color w:val="4C4D4F"/>
          <w:w w:val="115"/>
          <w:sz w:val="18"/>
        </w:rPr>
        <w:t>Addiction</w:t>
      </w:r>
      <w:r>
        <w:rPr>
          <w:rFonts w:ascii="Arial" w:hAnsi="Arial"/>
          <w:i/>
          <w:color w:val="4C4D4F"/>
          <w:spacing w:val="-34"/>
          <w:w w:val="115"/>
          <w:sz w:val="18"/>
        </w:rPr>
        <w:t> </w:t>
      </w:r>
      <w:r>
        <w:rPr>
          <w:rFonts w:ascii="Arial" w:hAnsi="Arial"/>
          <w:i/>
          <w:color w:val="4C4D4F"/>
          <w:w w:val="115"/>
          <w:sz w:val="18"/>
        </w:rPr>
        <w:t>Medicine,</w:t>
      </w:r>
      <w:r>
        <w:rPr>
          <w:rFonts w:ascii="Arial" w:hAnsi="Arial"/>
          <w:i/>
          <w:color w:val="4C4D4F"/>
          <w:spacing w:val="-34"/>
          <w:w w:val="115"/>
          <w:sz w:val="18"/>
        </w:rPr>
        <w:t> </w:t>
      </w:r>
      <w:r>
        <w:rPr>
          <w:rFonts w:ascii="Arial" w:hAnsi="Arial"/>
          <w:i/>
          <w:color w:val="4C4D4F"/>
          <w:w w:val="115"/>
          <w:sz w:val="18"/>
        </w:rPr>
        <w:t>7</w:t>
      </w:r>
      <w:r>
        <w:rPr>
          <w:color w:val="4C4D4F"/>
          <w:w w:val="115"/>
          <w:sz w:val="18"/>
        </w:rPr>
        <w:t>(6), 377–386.</w:t>
      </w:r>
    </w:p>
    <w:p>
      <w:pPr>
        <w:pStyle w:val="ListParagraph"/>
        <w:numPr>
          <w:ilvl w:val="0"/>
          <w:numId w:val="51"/>
        </w:numPr>
        <w:tabs>
          <w:tab w:pos="500" w:val="left" w:leader="none"/>
        </w:tabs>
        <w:spacing w:line="247" w:lineRule="auto" w:before="76" w:after="0"/>
        <w:ind w:left="500" w:right="558" w:hanging="360"/>
        <w:jc w:val="both"/>
        <w:rPr>
          <w:color w:val="4C4D4F"/>
          <w:sz w:val="18"/>
        </w:rPr>
      </w:pPr>
      <w:r>
        <w:rPr>
          <w:color w:val="4C4D4F"/>
          <w:w w:val="110"/>
          <w:sz w:val="18"/>
        </w:rPr>
        <w:t>Jones, H. E. (2004). Practical considerations for </w:t>
      </w:r>
      <w:r>
        <w:rPr>
          <w:color w:val="4C4D4F"/>
          <w:spacing w:val="-6"/>
          <w:w w:val="110"/>
          <w:sz w:val="18"/>
        </w:rPr>
        <w:t>the </w:t>
      </w:r>
      <w:r>
        <w:rPr>
          <w:color w:val="4C4D4F"/>
          <w:w w:val="110"/>
          <w:sz w:val="18"/>
        </w:rPr>
        <w:t>clinical</w:t>
      </w:r>
      <w:r>
        <w:rPr>
          <w:color w:val="4C4D4F"/>
          <w:spacing w:val="-31"/>
          <w:w w:val="110"/>
          <w:sz w:val="18"/>
        </w:rPr>
        <w:t> </w:t>
      </w:r>
      <w:r>
        <w:rPr>
          <w:color w:val="4C4D4F"/>
          <w:w w:val="110"/>
          <w:sz w:val="18"/>
        </w:rPr>
        <w:t>use</w:t>
      </w:r>
      <w:r>
        <w:rPr>
          <w:color w:val="4C4D4F"/>
          <w:spacing w:val="-30"/>
          <w:w w:val="110"/>
          <w:sz w:val="18"/>
        </w:rPr>
        <w:t> </w:t>
      </w:r>
      <w:r>
        <w:rPr>
          <w:color w:val="4C4D4F"/>
          <w:w w:val="110"/>
          <w:sz w:val="18"/>
        </w:rPr>
        <w:t>of</w:t>
      </w:r>
      <w:r>
        <w:rPr>
          <w:color w:val="4C4D4F"/>
          <w:spacing w:val="-31"/>
          <w:w w:val="110"/>
          <w:sz w:val="18"/>
        </w:rPr>
        <w:t> </w:t>
      </w:r>
      <w:r>
        <w:rPr>
          <w:color w:val="4C4D4F"/>
          <w:w w:val="110"/>
          <w:sz w:val="18"/>
        </w:rPr>
        <w:t>buprenorphine.</w:t>
      </w:r>
      <w:r>
        <w:rPr>
          <w:color w:val="4C4D4F"/>
          <w:spacing w:val="-31"/>
          <w:w w:val="110"/>
          <w:sz w:val="18"/>
        </w:rPr>
        <w:t> </w:t>
      </w:r>
      <w:r>
        <w:rPr>
          <w:rFonts w:ascii="Arial" w:hAnsi="Arial"/>
          <w:i/>
          <w:color w:val="4C4D4F"/>
          <w:w w:val="110"/>
          <w:sz w:val="18"/>
        </w:rPr>
        <w:t>Science</w:t>
      </w:r>
      <w:r>
        <w:rPr>
          <w:rFonts w:ascii="Arial" w:hAnsi="Arial"/>
          <w:i/>
          <w:color w:val="4C4D4F"/>
          <w:spacing w:val="-30"/>
          <w:w w:val="110"/>
          <w:sz w:val="18"/>
        </w:rPr>
        <w:t> </w:t>
      </w:r>
      <w:r>
        <w:rPr>
          <w:rFonts w:ascii="Arial" w:hAnsi="Arial"/>
          <w:i/>
          <w:color w:val="4C4D4F"/>
          <w:w w:val="110"/>
          <w:sz w:val="18"/>
        </w:rPr>
        <w:t>and</w:t>
      </w:r>
      <w:r>
        <w:rPr>
          <w:rFonts w:ascii="Arial" w:hAnsi="Arial"/>
          <w:i/>
          <w:color w:val="4C4D4F"/>
          <w:spacing w:val="-30"/>
          <w:w w:val="110"/>
          <w:sz w:val="18"/>
        </w:rPr>
        <w:t> </w:t>
      </w:r>
      <w:r>
        <w:rPr>
          <w:rFonts w:ascii="Arial" w:hAnsi="Arial"/>
          <w:i/>
          <w:color w:val="4C4D4F"/>
          <w:w w:val="110"/>
          <w:sz w:val="18"/>
        </w:rPr>
        <w:t>Practice </w:t>
      </w:r>
      <w:r>
        <w:rPr>
          <w:rFonts w:ascii="Arial" w:hAnsi="Arial"/>
          <w:i/>
          <w:color w:val="4C4D4F"/>
          <w:w w:val="110"/>
          <w:sz w:val="18"/>
        </w:rPr>
        <w:t>Perspectives, 2</w:t>
      </w:r>
      <w:r>
        <w:rPr>
          <w:color w:val="4C4D4F"/>
          <w:w w:val="110"/>
          <w:sz w:val="18"/>
        </w:rPr>
        <w:t>(2),</w:t>
      </w:r>
      <w:r>
        <w:rPr>
          <w:color w:val="4C4D4F"/>
          <w:spacing w:val="-17"/>
          <w:w w:val="110"/>
          <w:sz w:val="18"/>
        </w:rPr>
        <w:t> </w:t>
      </w:r>
      <w:r>
        <w:rPr>
          <w:color w:val="4C4D4F"/>
          <w:w w:val="110"/>
          <w:sz w:val="18"/>
        </w:rPr>
        <w:t>4–20.</w:t>
      </w:r>
    </w:p>
    <w:p>
      <w:pPr>
        <w:pStyle w:val="ListParagraph"/>
        <w:numPr>
          <w:ilvl w:val="0"/>
          <w:numId w:val="51"/>
        </w:numPr>
        <w:tabs>
          <w:tab w:pos="500" w:val="left" w:leader="none"/>
        </w:tabs>
        <w:spacing w:line="247" w:lineRule="auto" w:before="71" w:after="0"/>
        <w:ind w:left="500" w:right="219" w:hanging="360"/>
        <w:jc w:val="left"/>
        <w:rPr>
          <w:color w:val="4C4D4F"/>
          <w:sz w:val="18"/>
        </w:rPr>
      </w:pPr>
      <w:r>
        <w:rPr>
          <w:color w:val="4C4D4F"/>
          <w:w w:val="115"/>
          <w:sz w:val="18"/>
        </w:rPr>
        <w:t>Vocci,</w:t>
      </w:r>
      <w:r>
        <w:rPr>
          <w:color w:val="4C4D4F"/>
          <w:spacing w:val="-17"/>
          <w:w w:val="115"/>
          <w:sz w:val="18"/>
        </w:rPr>
        <w:t> </w:t>
      </w:r>
      <w:r>
        <w:rPr>
          <w:color w:val="4C4D4F"/>
          <w:spacing w:val="-15"/>
          <w:w w:val="115"/>
          <w:sz w:val="18"/>
        </w:rPr>
        <w:t>F.</w:t>
      </w:r>
      <w:r>
        <w:rPr>
          <w:color w:val="4C4D4F"/>
          <w:spacing w:val="-17"/>
          <w:w w:val="115"/>
          <w:sz w:val="18"/>
        </w:rPr>
        <w:t> </w:t>
      </w:r>
      <w:r>
        <w:rPr>
          <w:color w:val="4C4D4F"/>
          <w:w w:val="135"/>
          <w:sz w:val="18"/>
        </w:rPr>
        <w:t>J.,</w:t>
      </w:r>
      <w:r>
        <w:rPr>
          <w:color w:val="4C4D4F"/>
          <w:spacing w:val="-27"/>
          <w:w w:val="135"/>
          <w:sz w:val="18"/>
        </w:rPr>
        <w:t> </w:t>
      </w:r>
      <w:r>
        <w:rPr>
          <w:color w:val="4C4D4F"/>
          <w:w w:val="115"/>
          <w:sz w:val="18"/>
        </w:rPr>
        <w:t>Schwartz,</w:t>
      </w:r>
      <w:r>
        <w:rPr>
          <w:color w:val="4C4D4F"/>
          <w:spacing w:val="-17"/>
          <w:w w:val="115"/>
          <w:sz w:val="18"/>
        </w:rPr>
        <w:t> </w:t>
      </w:r>
      <w:r>
        <w:rPr>
          <w:color w:val="4C4D4F"/>
          <w:w w:val="115"/>
          <w:sz w:val="18"/>
        </w:rPr>
        <w:t>R.</w:t>
      </w:r>
      <w:r>
        <w:rPr>
          <w:color w:val="4C4D4F"/>
          <w:spacing w:val="-17"/>
          <w:w w:val="115"/>
          <w:sz w:val="18"/>
        </w:rPr>
        <w:t> </w:t>
      </w:r>
      <w:r>
        <w:rPr>
          <w:color w:val="4C4D4F"/>
          <w:spacing w:val="-11"/>
          <w:w w:val="115"/>
          <w:sz w:val="18"/>
        </w:rPr>
        <w:t>P.,</w:t>
      </w:r>
      <w:r>
        <w:rPr>
          <w:color w:val="4C4D4F"/>
          <w:spacing w:val="-17"/>
          <w:w w:val="115"/>
          <w:sz w:val="18"/>
        </w:rPr>
        <w:t> </w:t>
      </w:r>
      <w:r>
        <w:rPr>
          <w:color w:val="4C4D4F"/>
          <w:w w:val="115"/>
          <w:sz w:val="18"/>
        </w:rPr>
        <w:t>Wilson,</w:t>
      </w:r>
      <w:r>
        <w:rPr>
          <w:color w:val="4C4D4F"/>
          <w:spacing w:val="-17"/>
          <w:w w:val="115"/>
          <w:sz w:val="18"/>
        </w:rPr>
        <w:t> </w:t>
      </w:r>
      <w:r>
        <w:rPr>
          <w:color w:val="4C4D4F"/>
          <w:w w:val="115"/>
          <w:sz w:val="18"/>
        </w:rPr>
        <w:t>M.</w:t>
      </w:r>
      <w:r>
        <w:rPr>
          <w:color w:val="4C4D4F"/>
          <w:spacing w:val="-17"/>
          <w:w w:val="115"/>
          <w:sz w:val="18"/>
        </w:rPr>
        <w:t> </w:t>
      </w:r>
      <w:r>
        <w:rPr>
          <w:color w:val="4C4D4F"/>
          <w:w w:val="115"/>
          <w:sz w:val="18"/>
        </w:rPr>
        <w:t>E.,</w:t>
      </w:r>
      <w:r>
        <w:rPr>
          <w:color w:val="4C4D4F"/>
          <w:spacing w:val="-17"/>
          <w:w w:val="115"/>
          <w:sz w:val="18"/>
        </w:rPr>
        <w:t> </w:t>
      </w:r>
      <w:r>
        <w:rPr>
          <w:color w:val="4C4D4F"/>
          <w:w w:val="115"/>
          <w:sz w:val="18"/>
        </w:rPr>
        <w:t>Gordon,</w:t>
      </w:r>
      <w:r>
        <w:rPr>
          <w:color w:val="4C4D4F"/>
          <w:spacing w:val="-16"/>
          <w:w w:val="115"/>
          <w:sz w:val="18"/>
        </w:rPr>
        <w:t> </w:t>
      </w:r>
      <w:r>
        <w:rPr>
          <w:color w:val="4C4D4F"/>
          <w:w w:val="115"/>
          <w:sz w:val="18"/>
        </w:rPr>
        <w:t>M. S.,</w:t>
      </w:r>
      <w:r>
        <w:rPr>
          <w:color w:val="4C4D4F"/>
          <w:spacing w:val="-18"/>
          <w:w w:val="115"/>
          <w:sz w:val="18"/>
        </w:rPr>
        <w:t> </w:t>
      </w:r>
      <w:r>
        <w:rPr>
          <w:color w:val="4C4D4F"/>
          <w:w w:val="115"/>
          <w:sz w:val="18"/>
        </w:rPr>
        <w:t>Kinlock,</w:t>
      </w:r>
      <w:r>
        <w:rPr>
          <w:color w:val="4C4D4F"/>
          <w:spacing w:val="-17"/>
          <w:w w:val="115"/>
          <w:sz w:val="18"/>
        </w:rPr>
        <w:t> </w:t>
      </w:r>
      <w:r>
        <w:rPr>
          <w:color w:val="4C4D4F"/>
          <w:spacing w:val="-10"/>
          <w:w w:val="115"/>
          <w:sz w:val="18"/>
        </w:rPr>
        <w:t>T.</w:t>
      </w:r>
      <w:r>
        <w:rPr>
          <w:color w:val="4C4D4F"/>
          <w:spacing w:val="-17"/>
          <w:w w:val="115"/>
          <w:sz w:val="18"/>
        </w:rPr>
        <w:t> </w:t>
      </w:r>
      <w:r>
        <w:rPr>
          <w:color w:val="4C4D4F"/>
          <w:spacing w:val="-5"/>
          <w:w w:val="115"/>
          <w:sz w:val="18"/>
        </w:rPr>
        <w:t>W.,</w:t>
      </w:r>
      <w:r>
        <w:rPr>
          <w:color w:val="4C4D4F"/>
          <w:spacing w:val="-17"/>
          <w:w w:val="115"/>
          <w:sz w:val="18"/>
        </w:rPr>
        <w:t> </w:t>
      </w:r>
      <w:r>
        <w:rPr>
          <w:color w:val="4C4D4F"/>
          <w:w w:val="115"/>
          <w:sz w:val="18"/>
        </w:rPr>
        <w:t>Fitzgerald,</w:t>
      </w:r>
      <w:r>
        <w:rPr>
          <w:color w:val="4C4D4F"/>
          <w:spacing w:val="-18"/>
          <w:w w:val="115"/>
          <w:sz w:val="18"/>
        </w:rPr>
        <w:t> </w:t>
      </w:r>
      <w:r>
        <w:rPr>
          <w:color w:val="4C4D4F"/>
          <w:spacing w:val="-10"/>
          <w:w w:val="115"/>
          <w:sz w:val="18"/>
        </w:rPr>
        <w:t>T.</w:t>
      </w:r>
      <w:r>
        <w:rPr>
          <w:color w:val="4C4D4F"/>
          <w:spacing w:val="-17"/>
          <w:w w:val="115"/>
          <w:sz w:val="18"/>
        </w:rPr>
        <w:t> </w:t>
      </w:r>
      <w:r>
        <w:rPr>
          <w:color w:val="4C4D4F"/>
          <w:spacing w:val="-7"/>
          <w:w w:val="115"/>
          <w:sz w:val="18"/>
        </w:rPr>
        <w:t>T.,</w:t>
      </w:r>
      <w:r>
        <w:rPr>
          <w:color w:val="4C4D4F"/>
          <w:spacing w:val="-17"/>
          <w:w w:val="115"/>
          <w:sz w:val="18"/>
        </w:rPr>
        <w:t> </w:t>
      </w:r>
      <w:r>
        <w:rPr>
          <w:color w:val="4C4D4F"/>
          <w:w w:val="115"/>
          <w:sz w:val="18"/>
        </w:rPr>
        <w:t>…</w:t>
      </w:r>
      <w:r>
        <w:rPr>
          <w:color w:val="4C4D4F"/>
          <w:spacing w:val="-17"/>
          <w:w w:val="115"/>
          <w:sz w:val="18"/>
        </w:rPr>
        <w:t> </w:t>
      </w:r>
      <w:r>
        <w:rPr>
          <w:color w:val="4C4D4F"/>
          <w:w w:val="115"/>
          <w:sz w:val="18"/>
        </w:rPr>
        <w:t>Jaffe,</w:t>
      </w:r>
      <w:r>
        <w:rPr>
          <w:color w:val="4C4D4F"/>
          <w:spacing w:val="-17"/>
          <w:w w:val="115"/>
          <w:sz w:val="18"/>
        </w:rPr>
        <w:t> </w:t>
      </w:r>
      <w:r>
        <w:rPr>
          <w:color w:val="4C4D4F"/>
          <w:w w:val="135"/>
          <w:sz w:val="18"/>
        </w:rPr>
        <w:t>J.</w:t>
      </w:r>
      <w:r>
        <w:rPr>
          <w:color w:val="4C4D4F"/>
          <w:spacing w:val="-28"/>
          <w:w w:val="135"/>
          <w:sz w:val="18"/>
        </w:rPr>
        <w:t> </w:t>
      </w:r>
      <w:r>
        <w:rPr>
          <w:color w:val="4C4D4F"/>
          <w:w w:val="115"/>
          <w:sz w:val="18"/>
        </w:rPr>
        <w:t>H.</w:t>
      </w:r>
      <w:r>
        <w:rPr>
          <w:color w:val="4C4D4F"/>
          <w:spacing w:val="-17"/>
          <w:w w:val="115"/>
          <w:sz w:val="18"/>
        </w:rPr>
        <w:t> </w:t>
      </w:r>
      <w:r>
        <w:rPr>
          <w:color w:val="4C4D4F"/>
          <w:spacing w:val="-3"/>
          <w:w w:val="115"/>
          <w:sz w:val="18"/>
        </w:rPr>
        <w:t>(2015). </w:t>
      </w:r>
      <w:r>
        <w:rPr>
          <w:color w:val="4C4D4F"/>
          <w:w w:val="115"/>
          <w:sz w:val="18"/>
        </w:rPr>
        <w:t>Buprenorphine</w:t>
      </w:r>
      <w:r>
        <w:rPr>
          <w:color w:val="4C4D4F"/>
          <w:spacing w:val="-30"/>
          <w:w w:val="115"/>
          <w:sz w:val="18"/>
        </w:rPr>
        <w:t> </w:t>
      </w:r>
      <w:r>
        <w:rPr>
          <w:color w:val="4C4D4F"/>
          <w:w w:val="115"/>
          <w:sz w:val="18"/>
        </w:rPr>
        <w:t>dose</w:t>
      </w:r>
      <w:r>
        <w:rPr>
          <w:color w:val="4C4D4F"/>
          <w:spacing w:val="-30"/>
          <w:w w:val="115"/>
          <w:sz w:val="18"/>
        </w:rPr>
        <w:t> </w:t>
      </w:r>
      <w:r>
        <w:rPr>
          <w:color w:val="4C4D4F"/>
          <w:w w:val="115"/>
          <w:sz w:val="18"/>
        </w:rPr>
        <w:t>induction</w:t>
      </w:r>
      <w:r>
        <w:rPr>
          <w:color w:val="4C4D4F"/>
          <w:spacing w:val="-30"/>
          <w:w w:val="115"/>
          <w:sz w:val="18"/>
        </w:rPr>
        <w:t> </w:t>
      </w:r>
      <w:r>
        <w:rPr>
          <w:color w:val="4C4D4F"/>
          <w:w w:val="115"/>
          <w:sz w:val="18"/>
        </w:rPr>
        <w:t>in</w:t>
      </w:r>
      <w:r>
        <w:rPr>
          <w:color w:val="4C4D4F"/>
          <w:spacing w:val="-30"/>
          <w:w w:val="115"/>
          <w:sz w:val="18"/>
        </w:rPr>
        <w:t> </w:t>
      </w:r>
      <w:r>
        <w:rPr>
          <w:color w:val="4C4D4F"/>
          <w:w w:val="115"/>
          <w:sz w:val="18"/>
        </w:rPr>
        <w:t>non-opioid-tolerant </w:t>
      </w:r>
      <w:r>
        <w:rPr>
          <w:color w:val="4C4D4F"/>
          <w:w w:val="110"/>
          <w:sz w:val="18"/>
        </w:rPr>
        <w:t>pre-release</w:t>
      </w:r>
      <w:r>
        <w:rPr>
          <w:color w:val="4C4D4F"/>
          <w:spacing w:val="-33"/>
          <w:w w:val="110"/>
          <w:sz w:val="18"/>
        </w:rPr>
        <w:t> </w:t>
      </w:r>
      <w:r>
        <w:rPr>
          <w:color w:val="4C4D4F"/>
          <w:w w:val="110"/>
          <w:sz w:val="18"/>
        </w:rPr>
        <w:t>prisoners.</w:t>
      </w:r>
      <w:r>
        <w:rPr>
          <w:color w:val="4C4D4F"/>
          <w:spacing w:val="-32"/>
          <w:w w:val="110"/>
          <w:sz w:val="18"/>
        </w:rPr>
        <w:t> </w:t>
      </w:r>
      <w:r>
        <w:rPr>
          <w:rFonts w:ascii="Arial" w:hAnsi="Arial"/>
          <w:i/>
          <w:color w:val="4C4D4F"/>
          <w:w w:val="110"/>
          <w:sz w:val="18"/>
        </w:rPr>
        <w:t>Drug</w:t>
      </w:r>
      <w:r>
        <w:rPr>
          <w:rFonts w:ascii="Arial" w:hAnsi="Arial"/>
          <w:i/>
          <w:color w:val="4C4D4F"/>
          <w:spacing w:val="-32"/>
          <w:w w:val="110"/>
          <w:sz w:val="18"/>
        </w:rPr>
        <w:t> </w:t>
      </w:r>
      <w:r>
        <w:rPr>
          <w:rFonts w:ascii="Arial" w:hAnsi="Arial"/>
          <w:i/>
          <w:color w:val="4C4D4F"/>
          <w:w w:val="110"/>
          <w:sz w:val="18"/>
        </w:rPr>
        <w:t>and</w:t>
      </w:r>
      <w:r>
        <w:rPr>
          <w:rFonts w:ascii="Arial" w:hAnsi="Arial"/>
          <w:i/>
          <w:color w:val="4C4D4F"/>
          <w:spacing w:val="-32"/>
          <w:w w:val="110"/>
          <w:sz w:val="18"/>
        </w:rPr>
        <w:t> </w:t>
      </w:r>
      <w:r>
        <w:rPr>
          <w:rFonts w:ascii="Arial" w:hAnsi="Arial"/>
          <w:i/>
          <w:color w:val="4C4D4F"/>
          <w:w w:val="110"/>
          <w:sz w:val="18"/>
        </w:rPr>
        <w:t>Alcohol</w:t>
      </w:r>
      <w:r>
        <w:rPr>
          <w:rFonts w:ascii="Arial" w:hAnsi="Arial"/>
          <w:i/>
          <w:color w:val="4C4D4F"/>
          <w:spacing w:val="-32"/>
          <w:w w:val="110"/>
          <w:sz w:val="18"/>
        </w:rPr>
        <w:t> </w:t>
      </w:r>
      <w:r>
        <w:rPr>
          <w:rFonts w:ascii="Arial" w:hAnsi="Arial"/>
          <w:i/>
          <w:color w:val="4C4D4F"/>
          <w:w w:val="110"/>
          <w:sz w:val="18"/>
        </w:rPr>
        <w:t>Dependence, </w:t>
      </w:r>
      <w:r>
        <w:rPr>
          <w:rFonts w:ascii="Arial" w:hAnsi="Arial"/>
          <w:i/>
          <w:color w:val="4C4D4F"/>
          <w:w w:val="115"/>
          <w:sz w:val="18"/>
        </w:rPr>
        <w:t>156,</w:t>
      </w:r>
      <w:r>
        <w:rPr>
          <w:rFonts w:ascii="Arial" w:hAnsi="Arial"/>
          <w:i/>
          <w:color w:val="4C4D4F"/>
          <w:spacing w:val="-9"/>
          <w:w w:val="115"/>
          <w:sz w:val="18"/>
        </w:rPr>
        <w:t> </w:t>
      </w:r>
      <w:r>
        <w:rPr>
          <w:color w:val="4C4D4F"/>
          <w:w w:val="115"/>
          <w:sz w:val="18"/>
        </w:rPr>
        <w:t>133–138.</w:t>
      </w:r>
    </w:p>
    <w:p>
      <w:pPr>
        <w:pStyle w:val="ListParagraph"/>
        <w:numPr>
          <w:ilvl w:val="0"/>
          <w:numId w:val="51"/>
        </w:numPr>
        <w:tabs>
          <w:tab w:pos="500" w:val="left" w:leader="none"/>
        </w:tabs>
        <w:spacing w:line="247" w:lineRule="auto" w:before="74" w:after="0"/>
        <w:ind w:left="500" w:right="872" w:hanging="360"/>
        <w:jc w:val="left"/>
        <w:rPr>
          <w:color w:val="4C4D4F"/>
          <w:sz w:val="18"/>
        </w:rPr>
      </w:pPr>
      <w:r>
        <w:rPr>
          <w:color w:val="4C4D4F"/>
          <w:w w:val="115"/>
          <w:sz w:val="18"/>
        </w:rPr>
        <w:t>Kinlock,</w:t>
      </w:r>
      <w:r>
        <w:rPr>
          <w:color w:val="4C4D4F"/>
          <w:spacing w:val="-22"/>
          <w:w w:val="115"/>
          <w:sz w:val="18"/>
        </w:rPr>
        <w:t> </w:t>
      </w:r>
      <w:r>
        <w:rPr>
          <w:color w:val="4C4D4F"/>
          <w:spacing w:val="-10"/>
          <w:w w:val="115"/>
          <w:sz w:val="18"/>
        </w:rPr>
        <w:t>T.</w:t>
      </w:r>
      <w:r>
        <w:rPr>
          <w:color w:val="4C4D4F"/>
          <w:spacing w:val="-21"/>
          <w:w w:val="115"/>
          <w:sz w:val="18"/>
        </w:rPr>
        <w:t> </w:t>
      </w:r>
      <w:r>
        <w:rPr>
          <w:color w:val="4C4D4F"/>
          <w:spacing w:val="-5"/>
          <w:w w:val="115"/>
          <w:sz w:val="18"/>
        </w:rPr>
        <w:t>W.,</w:t>
      </w:r>
      <w:r>
        <w:rPr>
          <w:color w:val="4C4D4F"/>
          <w:spacing w:val="-21"/>
          <w:w w:val="115"/>
          <w:sz w:val="18"/>
        </w:rPr>
        <w:t> </w:t>
      </w:r>
      <w:r>
        <w:rPr>
          <w:color w:val="4C4D4F"/>
          <w:w w:val="115"/>
          <w:sz w:val="18"/>
        </w:rPr>
        <w:t>Gordon,</w:t>
      </w:r>
      <w:r>
        <w:rPr>
          <w:color w:val="4C4D4F"/>
          <w:spacing w:val="-22"/>
          <w:w w:val="115"/>
          <w:sz w:val="18"/>
        </w:rPr>
        <w:t> </w:t>
      </w:r>
      <w:r>
        <w:rPr>
          <w:color w:val="4C4D4F"/>
          <w:w w:val="115"/>
          <w:sz w:val="18"/>
        </w:rPr>
        <w:t>M.</w:t>
      </w:r>
      <w:r>
        <w:rPr>
          <w:color w:val="4C4D4F"/>
          <w:spacing w:val="-21"/>
          <w:w w:val="115"/>
          <w:sz w:val="18"/>
        </w:rPr>
        <w:t> </w:t>
      </w:r>
      <w:r>
        <w:rPr>
          <w:color w:val="4C4D4F"/>
          <w:w w:val="115"/>
          <w:sz w:val="18"/>
        </w:rPr>
        <w:t>S.,</w:t>
      </w:r>
      <w:r>
        <w:rPr>
          <w:color w:val="4C4D4F"/>
          <w:spacing w:val="-21"/>
          <w:w w:val="115"/>
          <w:sz w:val="18"/>
        </w:rPr>
        <w:t> </w:t>
      </w:r>
      <w:r>
        <w:rPr>
          <w:color w:val="4C4D4F"/>
          <w:w w:val="115"/>
          <w:sz w:val="18"/>
        </w:rPr>
        <w:t>Schwartz,</w:t>
      </w:r>
      <w:r>
        <w:rPr>
          <w:color w:val="4C4D4F"/>
          <w:spacing w:val="-21"/>
          <w:w w:val="115"/>
          <w:sz w:val="18"/>
        </w:rPr>
        <w:t> </w:t>
      </w:r>
      <w:r>
        <w:rPr>
          <w:color w:val="4C4D4F"/>
          <w:w w:val="115"/>
          <w:sz w:val="18"/>
        </w:rPr>
        <w:t>R.</w:t>
      </w:r>
      <w:r>
        <w:rPr>
          <w:color w:val="4C4D4F"/>
          <w:spacing w:val="-22"/>
          <w:w w:val="115"/>
          <w:sz w:val="18"/>
        </w:rPr>
        <w:t> </w:t>
      </w:r>
      <w:r>
        <w:rPr>
          <w:color w:val="4C4D4F"/>
          <w:spacing w:val="-11"/>
          <w:w w:val="115"/>
          <w:sz w:val="18"/>
        </w:rPr>
        <w:t>P., </w:t>
      </w:r>
      <w:r>
        <w:rPr>
          <w:color w:val="4C4D4F"/>
          <w:w w:val="115"/>
          <w:sz w:val="18"/>
        </w:rPr>
        <w:t>&amp;</w:t>
      </w:r>
      <w:r>
        <w:rPr>
          <w:color w:val="4C4D4F"/>
          <w:spacing w:val="-27"/>
          <w:w w:val="115"/>
          <w:sz w:val="18"/>
        </w:rPr>
        <w:t> </w:t>
      </w:r>
      <w:r>
        <w:rPr>
          <w:color w:val="4C4D4F"/>
          <w:w w:val="115"/>
          <w:sz w:val="18"/>
        </w:rPr>
        <w:t>O’Grady,</w:t>
      </w:r>
      <w:r>
        <w:rPr>
          <w:color w:val="4C4D4F"/>
          <w:spacing w:val="-27"/>
          <w:w w:val="115"/>
          <w:sz w:val="18"/>
        </w:rPr>
        <w:t> </w:t>
      </w:r>
      <w:r>
        <w:rPr>
          <w:color w:val="4C4D4F"/>
          <w:w w:val="115"/>
          <w:sz w:val="18"/>
        </w:rPr>
        <w:t>K.</w:t>
      </w:r>
      <w:r>
        <w:rPr>
          <w:color w:val="4C4D4F"/>
          <w:spacing w:val="-26"/>
          <w:w w:val="115"/>
          <w:sz w:val="18"/>
        </w:rPr>
        <w:t> </w:t>
      </w:r>
      <w:r>
        <w:rPr>
          <w:color w:val="4C4D4F"/>
          <w:w w:val="115"/>
          <w:sz w:val="18"/>
        </w:rPr>
        <w:t>E.</w:t>
      </w:r>
      <w:r>
        <w:rPr>
          <w:color w:val="4C4D4F"/>
          <w:spacing w:val="-27"/>
          <w:w w:val="115"/>
          <w:sz w:val="18"/>
        </w:rPr>
        <w:t> </w:t>
      </w:r>
      <w:r>
        <w:rPr>
          <w:color w:val="4C4D4F"/>
          <w:w w:val="115"/>
          <w:sz w:val="18"/>
        </w:rPr>
        <w:t>(2008).</w:t>
      </w:r>
      <w:r>
        <w:rPr>
          <w:color w:val="4C4D4F"/>
          <w:spacing w:val="-26"/>
          <w:w w:val="115"/>
          <w:sz w:val="18"/>
        </w:rPr>
        <w:t> </w:t>
      </w:r>
      <w:r>
        <w:rPr>
          <w:color w:val="4C4D4F"/>
          <w:w w:val="115"/>
          <w:sz w:val="18"/>
        </w:rPr>
        <w:t>A</w:t>
      </w:r>
      <w:r>
        <w:rPr>
          <w:color w:val="4C4D4F"/>
          <w:spacing w:val="-27"/>
          <w:w w:val="115"/>
          <w:sz w:val="18"/>
        </w:rPr>
        <w:t> </w:t>
      </w:r>
      <w:r>
        <w:rPr>
          <w:color w:val="4C4D4F"/>
          <w:w w:val="115"/>
          <w:sz w:val="18"/>
        </w:rPr>
        <w:t>study</w:t>
      </w:r>
      <w:r>
        <w:rPr>
          <w:color w:val="4C4D4F"/>
          <w:spacing w:val="-26"/>
          <w:w w:val="115"/>
          <w:sz w:val="18"/>
        </w:rPr>
        <w:t> </w:t>
      </w:r>
      <w:r>
        <w:rPr>
          <w:color w:val="4C4D4F"/>
          <w:w w:val="115"/>
          <w:sz w:val="18"/>
        </w:rPr>
        <w:t>of</w:t>
      </w:r>
      <w:r>
        <w:rPr>
          <w:color w:val="4C4D4F"/>
          <w:spacing w:val="-27"/>
          <w:w w:val="115"/>
          <w:sz w:val="18"/>
        </w:rPr>
        <w:t> </w:t>
      </w:r>
      <w:r>
        <w:rPr>
          <w:color w:val="4C4D4F"/>
          <w:w w:val="115"/>
          <w:sz w:val="18"/>
        </w:rPr>
        <w:t>methadone</w:t>
      </w:r>
    </w:p>
    <w:p>
      <w:pPr>
        <w:spacing w:line="247" w:lineRule="auto" w:before="2"/>
        <w:ind w:left="500" w:right="166" w:firstLine="0"/>
        <w:jc w:val="left"/>
        <w:rPr>
          <w:sz w:val="18"/>
        </w:rPr>
      </w:pPr>
      <w:r>
        <w:rPr>
          <w:color w:val="4C4D4F"/>
          <w:w w:val="110"/>
          <w:sz w:val="18"/>
        </w:rPr>
        <w:t>maintenance for male prisoners: 3-month postrelease </w:t>
      </w:r>
      <w:r>
        <w:rPr>
          <w:color w:val="4C4D4F"/>
          <w:w w:val="105"/>
          <w:sz w:val="18"/>
        </w:rPr>
        <w:t>outcomes. </w:t>
      </w:r>
      <w:r>
        <w:rPr>
          <w:rFonts w:ascii="Arial" w:hAnsi="Arial"/>
          <w:i/>
          <w:color w:val="4C4D4F"/>
          <w:w w:val="105"/>
          <w:sz w:val="18"/>
        </w:rPr>
        <w:t>Criminal Justice and Behavior, 35</w:t>
      </w:r>
      <w:r>
        <w:rPr>
          <w:color w:val="4C4D4F"/>
          <w:w w:val="105"/>
          <w:sz w:val="18"/>
        </w:rPr>
        <w:t>(1), </w:t>
      </w:r>
      <w:r>
        <w:rPr>
          <w:color w:val="4C4D4F"/>
          <w:spacing w:val="-3"/>
          <w:w w:val="105"/>
          <w:sz w:val="18"/>
        </w:rPr>
        <w:t>34–47.</w:t>
      </w:r>
    </w:p>
    <w:p>
      <w:pPr>
        <w:pStyle w:val="ListParagraph"/>
        <w:numPr>
          <w:ilvl w:val="0"/>
          <w:numId w:val="51"/>
        </w:numPr>
        <w:tabs>
          <w:tab w:pos="500" w:val="left" w:leader="none"/>
        </w:tabs>
        <w:spacing w:line="247" w:lineRule="auto" w:before="73" w:after="0"/>
        <w:ind w:left="500" w:right="338" w:hanging="360"/>
        <w:jc w:val="left"/>
        <w:rPr>
          <w:color w:val="4C4D4F"/>
          <w:sz w:val="18"/>
        </w:rPr>
      </w:pPr>
      <w:r>
        <w:rPr>
          <w:color w:val="4C4D4F"/>
          <w:w w:val="120"/>
          <w:sz w:val="18"/>
        </w:rPr>
        <w:t>Martin,</w:t>
      </w:r>
      <w:r>
        <w:rPr>
          <w:color w:val="4C4D4F"/>
          <w:spacing w:val="-30"/>
          <w:w w:val="120"/>
          <w:sz w:val="18"/>
        </w:rPr>
        <w:t> </w:t>
      </w:r>
      <w:r>
        <w:rPr>
          <w:color w:val="4C4D4F"/>
          <w:w w:val="135"/>
          <w:sz w:val="18"/>
        </w:rPr>
        <w:t>J.,</w:t>
      </w:r>
      <w:r>
        <w:rPr>
          <w:color w:val="4C4D4F"/>
          <w:spacing w:val="-37"/>
          <w:w w:val="135"/>
          <w:sz w:val="18"/>
        </w:rPr>
        <w:t> </w:t>
      </w:r>
      <w:r>
        <w:rPr>
          <w:color w:val="4C4D4F"/>
          <w:w w:val="120"/>
          <w:sz w:val="18"/>
        </w:rPr>
        <w:t>Zweben,</w:t>
      </w:r>
      <w:r>
        <w:rPr>
          <w:color w:val="4C4D4F"/>
          <w:spacing w:val="-30"/>
          <w:w w:val="120"/>
          <w:sz w:val="18"/>
        </w:rPr>
        <w:t> </w:t>
      </w:r>
      <w:r>
        <w:rPr>
          <w:color w:val="4C4D4F"/>
          <w:w w:val="135"/>
          <w:sz w:val="18"/>
        </w:rPr>
        <w:t>J.</w:t>
      </w:r>
      <w:r>
        <w:rPr>
          <w:color w:val="4C4D4F"/>
          <w:spacing w:val="-37"/>
          <w:w w:val="135"/>
          <w:sz w:val="18"/>
        </w:rPr>
        <w:t> </w:t>
      </w:r>
      <w:r>
        <w:rPr>
          <w:color w:val="4C4D4F"/>
          <w:w w:val="120"/>
          <w:sz w:val="18"/>
        </w:rPr>
        <w:t>E.,</w:t>
      </w:r>
      <w:r>
        <w:rPr>
          <w:color w:val="4C4D4F"/>
          <w:spacing w:val="-30"/>
          <w:w w:val="120"/>
          <w:sz w:val="18"/>
        </w:rPr>
        <w:t> </w:t>
      </w:r>
      <w:r>
        <w:rPr>
          <w:color w:val="4C4D4F"/>
          <w:w w:val="120"/>
          <w:sz w:val="18"/>
        </w:rPr>
        <w:t>&amp;</w:t>
      </w:r>
      <w:r>
        <w:rPr>
          <w:color w:val="4C4D4F"/>
          <w:spacing w:val="-30"/>
          <w:w w:val="120"/>
          <w:sz w:val="18"/>
        </w:rPr>
        <w:t> </w:t>
      </w:r>
      <w:r>
        <w:rPr>
          <w:color w:val="4C4D4F"/>
          <w:w w:val="120"/>
          <w:sz w:val="18"/>
        </w:rPr>
        <w:t>Payte,</w:t>
      </w:r>
      <w:r>
        <w:rPr>
          <w:color w:val="4C4D4F"/>
          <w:spacing w:val="-30"/>
          <w:w w:val="120"/>
          <w:sz w:val="18"/>
        </w:rPr>
        <w:t> </w:t>
      </w:r>
      <w:r>
        <w:rPr>
          <w:color w:val="4C4D4F"/>
          <w:w w:val="135"/>
          <w:sz w:val="18"/>
        </w:rPr>
        <w:t>J.</w:t>
      </w:r>
      <w:r>
        <w:rPr>
          <w:color w:val="4C4D4F"/>
          <w:spacing w:val="-37"/>
          <w:w w:val="135"/>
          <w:sz w:val="18"/>
        </w:rPr>
        <w:t> </w:t>
      </w:r>
      <w:r>
        <w:rPr>
          <w:color w:val="4C4D4F"/>
          <w:spacing w:val="-10"/>
          <w:w w:val="120"/>
          <w:sz w:val="18"/>
        </w:rPr>
        <w:t>T.</w:t>
      </w:r>
      <w:r>
        <w:rPr>
          <w:color w:val="4C4D4F"/>
          <w:spacing w:val="-30"/>
          <w:w w:val="120"/>
          <w:sz w:val="18"/>
        </w:rPr>
        <w:t> </w:t>
      </w:r>
      <w:r>
        <w:rPr>
          <w:color w:val="4C4D4F"/>
          <w:w w:val="120"/>
          <w:sz w:val="18"/>
        </w:rPr>
        <w:t>(2014).</w:t>
      </w:r>
      <w:r>
        <w:rPr>
          <w:color w:val="4C4D4F"/>
          <w:spacing w:val="-29"/>
          <w:w w:val="120"/>
          <w:sz w:val="18"/>
        </w:rPr>
        <w:t> </w:t>
      </w:r>
      <w:r>
        <w:rPr>
          <w:color w:val="4C4D4F"/>
          <w:spacing w:val="-3"/>
          <w:w w:val="120"/>
          <w:sz w:val="18"/>
        </w:rPr>
        <w:t>Opioid </w:t>
      </w:r>
      <w:r>
        <w:rPr>
          <w:color w:val="4C4D4F"/>
          <w:w w:val="120"/>
          <w:sz w:val="18"/>
        </w:rPr>
        <w:t>maintenance</w:t>
      </w:r>
      <w:r>
        <w:rPr>
          <w:color w:val="4C4D4F"/>
          <w:spacing w:val="-31"/>
          <w:w w:val="120"/>
          <w:sz w:val="18"/>
        </w:rPr>
        <w:t> </w:t>
      </w:r>
      <w:r>
        <w:rPr>
          <w:color w:val="4C4D4F"/>
          <w:w w:val="120"/>
          <w:sz w:val="18"/>
        </w:rPr>
        <w:t>treatment.</w:t>
      </w:r>
      <w:r>
        <w:rPr>
          <w:color w:val="4C4D4F"/>
          <w:spacing w:val="-31"/>
          <w:w w:val="120"/>
          <w:sz w:val="18"/>
        </w:rPr>
        <w:t> </w:t>
      </w:r>
      <w:r>
        <w:rPr>
          <w:color w:val="4C4D4F"/>
          <w:w w:val="120"/>
          <w:sz w:val="18"/>
        </w:rPr>
        <w:t>In</w:t>
      </w:r>
      <w:r>
        <w:rPr>
          <w:color w:val="4C4D4F"/>
          <w:spacing w:val="-31"/>
          <w:w w:val="120"/>
          <w:sz w:val="18"/>
        </w:rPr>
        <w:t> </w:t>
      </w:r>
      <w:r>
        <w:rPr>
          <w:color w:val="4C4D4F"/>
          <w:w w:val="120"/>
          <w:sz w:val="18"/>
        </w:rPr>
        <w:t>R.</w:t>
      </w:r>
      <w:r>
        <w:rPr>
          <w:color w:val="4C4D4F"/>
          <w:spacing w:val="-31"/>
          <w:w w:val="120"/>
          <w:sz w:val="18"/>
        </w:rPr>
        <w:t> </w:t>
      </w:r>
      <w:r>
        <w:rPr>
          <w:color w:val="4C4D4F"/>
          <w:w w:val="120"/>
          <w:sz w:val="18"/>
        </w:rPr>
        <w:t>K.</w:t>
      </w:r>
      <w:r>
        <w:rPr>
          <w:color w:val="4C4D4F"/>
          <w:spacing w:val="-31"/>
          <w:w w:val="120"/>
          <w:sz w:val="18"/>
        </w:rPr>
        <w:t> </w:t>
      </w:r>
      <w:r>
        <w:rPr>
          <w:color w:val="4C4D4F"/>
          <w:w w:val="120"/>
          <w:sz w:val="18"/>
        </w:rPr>
        <w:t>Ries,</w:t>
      </w:r>
      <w:r>
        <w:rPr>
          <w:color w:val="4C4D4F"/>
          <w:spacing w:val="-31"/>
          <w:w w:val="120"/>
          <w:sz w:val="18"/>
        </w:rPr>
        <w:t> </w:t>
      </w:r>
      <w:r>
        <w:rPr>
          <w:color w:val="4C4D4F"/>
          <w:w w:val="120"/>
          <w:sz w:val="18"/>
        </w:rPr>
        <w:t>D.</w:t>
      </w:r>
      <w:r>
        <w:rPr>
          <w:color w:val="4C4D4F"/>
          <w:spacing w:val="-30"/>
          <w:w w:val="120"/>
          <w:sz w:val="18"/>
        </w:rPr>
        <w:t> </w:t>
      </w:r>
      <w:r>
        <w:rPr>
          <w:color w:val="4C4D4F"/>
          <w:w w:val="120"/>
          <w:sz w:val="18"/>
        </w:rPr>
        <w:t>A.</w:t>
      </w:r>
      <w:r>
        <w:rPr>
          <w:color w:val="4C4D4F"/>
          <w:spacing w:val="-31"/>
          <w:w w:val="120"/>
          <w:sz w:val="18"/>
        </w:rPr>
        <w:t> </w:t>
      </w:r>
      <w:r>
        <w:rPr>
          <w:color w:val="4C4D4F"/>
          <w:w w:val="120"/>
          <w:sz w:val="18"/>
        </w:rPr>
        <w:t>Fiellin,</w:t>
      </w:r>
    </w:p>
    <w:p>
      <w:pPr>
        <w:spacing w:line="247" w:lineRule="auto" w:before="0"/>
        <w:ind w:left="500" w:right="625" w:firstLine="0"/>
        <w:jc w:val="left"/>
        <w:rPr>
          <w:sz w:val="18"/>
        </w:rPr>
      </w:pPr>
      <w:r>
        <w:rPr>
          <w:color w:val="4C4D4F"/>
          <w:w w:val="110"/>
          <w:sz w:val="18"/>
        </w:rPr>
        <w:t>S.</w:t>
      </w:r>
      <w:r>
        <w:rPr>
          <w:color w:val="4C4D4F"/>
          <w:spacing w:val="-18"/>
          <w:w w:val="110"/>
          <w:sz w:val="18"/>
        </w:rPr>
        <w:t> </w:t>
      </w:r>
      <w:r>
        <w:rPr>
          <w:color w:val="4C4D4F"/>
          <w:w w:val="110"/>
          <w:sz w:val="18"/>
        </w:rPr>
        <w:t>C.</w:t>
      </w:r>
      <w:r>
        <w:rPr>
          <w:color w:val="4C4D4F"/>
          <w:spacing w:val="-18"/>
          <w:w w:val="110"/>
          <w:sz w:val="18"/>
        </w:rPr>
        <w:t> </w:t>
      </w:r>
      <w:r>
        <w:rPr>
          <w:color w:val="4C4D4F"/>
          <w:spacing w:val="-3"/>
          <w:w w:val="110"/>
          <w:sz w:val="18"/>
        </w:rPr>
        <w:t>Miller,</w:t>
      </w:r>
      <w:r>
        <w:rPr>
          <w:color w:val="4C4D4F"/>
          <w:spacing w:val="-18"/>
          <w:w w:val="110"/>
          <w:sz w:val="18"/>
        </w:rPr>
        <w:t> </w:t>
      </w:r>
      <w:r>
        <w:rPr>
          <w:color w:val="4C4D4F"/>
          <w:w w:val="110"/>
          <w:sz w:val="18"/>
        </w:rPr>
        <w:t>&amp;</w:t>
      </w:r>
      <w:r>
        <w:rPr>
          <w:color w:val="4C4D4F"/>
          <w:spacing w:val="-18"/>
          <w:w w:val="110"/>
          <w:sz w:val="18"/>
        </w:rPr>
        <w:t> </w:t>
      </w:r>
      <w:r>
        <w:rPr>
          <w:color w:val="4C4D4F"/>
          <w:w w:val="110"/>
          <w:sz w:val="18"/>
        </w:rPr>
        <w:t>R.</w:t>
      </w:r>
      <w:r>
        <w:rPr>
          <w:color w:val="4C4D4F"/>
          <w:spacing w:val="-18"/>
          <w:w w:val="110"/>
          <w:sz w:val="18"/>
        </w:rPr>
        <w:t> </w:t>
      </w:r>
      <w:r>
        <w:rPr>
          <w:color w:val="4C4D4F"/>
          <w:w w:val="110"/>
          <w:sz w:val="18"/>
        </w:rPr>
        <w:t>Saitz</w:t>
      </w:r>
      <w:r>
        <w:rPr>
          <w:color w:val="4C4D4F"/>
          <w:spacing w:val="-18"/>
          <w:w w:val="110"/>
          <w:sz w:val="18"/>
        </w:rPr>
        <w:t> </w:t>
      </w:r>
      <w:r>
        <w:rPr>
          <w:color w:val="4C4D4F"/>
          <w:w w:val="110"/>
          <w:sz w:val="18"/>
        </w:rPr>
        <w:t>(Eds.),</w:t>
      </w:r>
      <w:r>
        <w:rPr>
          <w:color w:val="4C4D4F"/>
          <w:spacing w:val="-18"/>
          <w:w w:val="110"/>
          <w:sz w:val="18"/>
        </w:rPr>
        <w:t> </w:t>
      </w:r>
      <w:r>
        <w:rPr>
          <w:rFonts w:ascii="Arial" w:hAnsi="Arial"/>
          <w:i/>
          <w:color w:val="4C4D4F"/>
          <w:w w:val="110"/>
          <w:sz w:val="18"/>
        </w:rPr>
        <w:t>The</w:t>
      </w:r>
      <w:r>
        <w:rPr>
          <w:rFonts w:ascii="Arial" w:hAnsi="Arial"/>
          <w:i/>
          <w:color w:val="4C4D4F"/>
          <w:spacing w:val="-18"/>
          <w:w w:val="110"/>
          <w:sz w:val="18"/>
        </w:rPr>
        <w:t> </w:t>
      </w:r>
      <w:r>
        <w:rPr>
          <w:rFonts w:ascii="Arial" w:hAnsi="Arial"/>
          <w:i/>
          <w:color w:val="4C4D4F"/>
          <w:w w:val="110"/>
          <w:sz w:val="18"/>
        </w:rPr>
        <w:t>ASAM</w:t>
      </w:r>
      <w:r>
        <w:rPr>
          <w:rFonts w:ascii="Arial" w:hAnsi="Arial"/>
          <w:i/>
          <w:color w:val="4C4D4F"/>
          <w:spacing w:val="-18"/>
          <w:w w:val="110"/>
          <w:sz w:val="18"/>
        </w:rPr>
        <w:t> </w:t>
      </w:r>
      <w:r>
        <w:rPr>
          <w:rFonts w:ascii="Arial" w:hAnsi="Arial"/>
          <w:i/>
          <w:color w:val="4C4D4F"/>
          <w:w w:val="110"/>
          <w:sz w:val="18"/>
        </w:rPr>
        <w:t>principles </w:t>
      </w:r>
      <w:r>
        <w:rPr>
          <w:rFonts w:ascii="Arial" w:hAnsi="Arial"/>
          <w:i/>
          <w:color w:val="4C4D4F"/>
          <w:w w:val="110"/>
          <w:sz w:val="18"/>
        </w:rPr>
        <w:t>of addiction medicine </w:t>
      </w:r>
      <w:r>
        <w:rPr>
          <w:color w:val="4C4D4F"/>
          <w:w w:val="110"/>
          <w:sz w:val="18"/>
        </w:rPr>
        <w:t>(5th ed., pp. 759–777). Philadelphia, </w:t>
      </w:r>
      <w:r>
        <w:rPr>
          <w:color w:val="4C4D4F"/>
          <w:spacing w:val="-5"/>
          <w:w w:val="110"/>
          <w:sz w:val="18"/>
        </w:rPr>
        <w:t>PA: </w:t>
      </w:r>
      <w:r>
        <w:rPr>
          <w:color w:val="4C4D4F"/>
          <w:w w:val="110"/>
          <w:sz w:val="18"/>
        </w:rPr>
        <w:t>Wolters</w:t>
      </w:r>
      <w:r>
        <w:rPr>
          <w:color w:val="4C4D4F"/>
          <w:spacing w:val="-12"/>
          <w:w w:val="110"/>
          <w:sz w:val="18"/>
        </w:rPr>
        <w:t> </w:t>
      </w:r>
      <w:r>
        <w:rPr>
          <w:color w:val="4C4D4F"/>
          <w:spacing w:val="-3"/>
          <w:w w:val="110"/>
          <w:sz w:val="18"/>
        </w:rPr>
        <w:t>Kluwer.</w:t>
      </w:r>
    </w:p>
    <w:p>
      <w:pPr>
        <w:spacing w:after="0" w:line="247" w:lineRule="auto"/>
        <w:jc w:val="left"/>
        <w:rPr>
          <w:sz w:val="18"/>
        </w:rPr>
        <w:sectPr>
          <w:type w:val="continuous"/>
          <w:pgSz w:w="12240" w:h="15840"/>
          <w:pgMar w:top="540" w:bottom="280" w:left="940" w:right="920"/>
          <w:cols w:num="2" w:equalWidth="0">
            <w:col w:w="5010" w:space="210"/>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38" w:hanging="360"/>
        <w:jc w:val="left"/>
        <w:rPr>
          <w:color w:val="4C4D4F"/>
          <w:sz w:val="18"/>
        </w:rPr>
      </w:pPr>
      <w:r>
        <w:rPr>
          <w:color w:val="4C4D4F"/>
          <w:spacing w:val="-3"/>
          <w:w w:val="115"/>
          <w:sz w:val="18"/>
        </w:rPr>
        <w:t>Baxter,</w:t>
      </w:r>
      <w:r>
        <w:rPr>
          <w:color w:val="4C4D4F"/>
          <w:spacing w:val="-16"/>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spacing w:val="-5"/>
          <w:w w:val="115"/>
          <w:sz w:val="18"/>
        </w:rPr>
        <w:t>Sr.,</w:t>
      </w:r>
      <w:r>
        <w:rPr>
          <w:color w:val="4C4D4F"/>
          <w:spacing w:val="-16"/>
          <w:w w:val="115"/>
          <w:sz w:val="18"/>
        </w:rPr>
        <w:t> </w:t>
      </w:r>
      <w:r>
        <w:rPr>
          <w:color w:val="4C4D4F"/>
          <w:w w:val="115"/>
          <w:sz w:val="18"/>
        </w:rPr>
        <w:t>Campbell,</w:t>
      </w:r>
      <w:r>
        <w:rPr>
          <w:color w:val="4C4D4F"/>
          <w:spacing w:val="-15"/>
          <w:w w:val="115"/>
          <w:sz w:val="18"/>
        </w:rPr>
        <w:t> </w:t>
      </w:r>
      <w:r>
        <w:rPr>
          <w:color w:val="4C4D4F"/>
          <w:w w:val="115"/>
          <w:sz w:val="18"/>
        </w:rPr>
        <w:t>A.,</w:t>
      </w:r>
      <w:r>
        <w:rPr>
          <w:color w:val="4C4D4F"/>
          <w:spacing w:val="-16"/>
          <w:w w:val="115"/>
          <w:sz w:val="18"/>
        </w:rPr>
        <w:t> </w:t>
      </w:r>
      <w:r>
        <w:rPr>
          <w:color w:val="4C4D4F"/>
          <w:w w:val="115"/>
          <w:sz w:val="18"/>
        </w:rPr>
        <w:t>Deshields,</w:t>
      </w:r>
      <w:r>
        <w:rPr>
          <w:color w:val="4C4D4F"/>
          <w:spacing w:val="-16"/>
          <w:w w:val="115"/>
          <w:sz w:val="18"/>
        </w:rPr>
        <w:t> </w:t>
      </w:r>
      <w:r>
        <w:rPr>
          <w:color w:val="4C4D4F"/>
          <w:w w:val="115"/>
          <w:sz w:val="18"/>
        </w:rPr>
        <w:t>M.,</w:t>
      </w:r>
      <w:r>
        <w:rPr>
          <w:color w:val="4C4D4F"/>
          <w:spacing w:val="-16"/>
          <w:w w:val="115"/>
          <w:sz w:val="18"/>
        </w:rPr>
        <w:t> </w:t>
      </w:r>
      <w:r>
        <w:rPr>
          <w:color w:val="4C4D4F"/>
          <w:w w:val="115"/>
          <w:sz w:val="18"/>
        </w:rPr>
        <w:t>Levounis, </w:t>
      </w:r>
      <w:r>
        <w:rPr>
          <w:color w:val="4C4D4F"/>
          <w:spacing w:val="-11"/>
          <w:w w:val="115"/>
          <w:sz w:val="18"/>
        </w:rPr>
        <w:t>P.,</w:t>
      </w:r>
      <w:r>
        <w:rPr>
          <w:color w:val="4C4D4F"/>
          <w:spacing w:val="-22"/>
          <w:w w:val="115"/>
          <w:sz w:val="18"/>
        </w:rPr>
        <w:t> </w:t>
      </w:r>
      <w:r>
        <w:rPr>
          <w:color w:val="4C4D4F"/>
          <w:w w:val="115"/>
          <w:sz w:val="18"/>
        </w:rPr>
        <w:t>Martin,</w:t>
      </w:r>
      <w:r>
        <w:rPr>
          <w:color w:val="4C4D4F"/>
          <w:spacing w:val="-22"/>
          <w:w w:val="115"/>
          <w:sz w:val="18"/>
        </w:rPr>
        <w:t> </w:t>
      </w:r>
      <w:r>
        <w:rPr>
          <w:color w:val="4C4D4F"/>
          <w:w w:val="135"/>
          <w:sz w:val="18"/>
        </w:rPr>
        <w:t>J.</w:t>
      </w:r>
      <w:r>
        <w:rPr>
          <w:color w:val="4C4D4F"/>
          <w:spacing w:val="-32"/>
          <w:w w:val="135"/>
          <w:sz w:val="18"/>
        </w:rPr>
        <w:t> </w:t>
      </w:r>
      <w:r>
        <w:rPr>
          <w:color w:val="4C4D4F"/>
          <w:w w:val="115"/>
          <w:sz w:val="18"/>
        </w:rPr>
        <w:t>A.,</w:t>
      </w:r>
      <w:r>
        <w:rPr>
          <w:color w:val="4C4D4F"/>
          <w:spacing w:val="-22"/>
          <w:w w:val="115"/>
          <w:sz w:val="18"/>
        </w:rPr>
        <w:t> </w:t>
      </w:r>
      <w:r>
        <w:rPr>
          <w:color w:val="4C4D4F"/>
          <w:w w:val="115"/>
          <w:sz w:val="18"/>
        </w:rPr>
        <w:t>McNicholas,</w:t>
      </w:r>
      <w:r>
        <w:rPr>
          <w:color w:val="4C4D4F"/>
          <w:spacing w:val="-22"/>
          <w:w w:val="115"/>
          <w:sz w:val="18"/>
        </w:rPr>
        <w:t> </w:t>
      </w:r>
      <w:r>
        <w:rPr>
          <w:color w:val="4C4D4F"/>
          <w:w w:val="115"/>
          <w:sz w:val="18"/>
        </w:rPr>
        <w:t>L.,</w:t>
      </w:r>
      <w:r>
        <w:rPr>
          <w:color w:val="4C4D4F"/>
          <w:spacing w:val="-22"/>
          <w:w w:val="115"/>
          <w:sz w:val="18"/>
        </w:rPr>
        <w:t> </w:t>
      </w:r>
      <w:r>
        <w:rPr>
          <w:color w:val="4C4D4F"/>
          <w:w w:val="115"/>
          <w:sz w:val="18"/>
        </w:rPr>
        <w:t>…</w:t>
      </w:r>
      <w:r>
        <w:rPr>
          <w:color w:val="4C4D4F"/>
          <w:spacing w:val="-22"/>
          <w:w w:val="115"/>
          <w:sz w:val="18"/>
        </w:rPr>
        <w:t> </w:t>
      </w:r>
      <w:r>
        <w:rPr>
          <w:color w:val="4C4D4F"/>
          <w:w w:val="115"/>
          <w:sz w:val="18"/>
        </w:rPr>
        <w:t>Wilford,</w:t>
      </w:r>
      <w:r>
        <w:rPr>
          <w:color w:val="4C4D4F"/>
          <w:spacing w:val="-22"/>
          <w:w w:val="115"/>
          <w:sz w:val="18"/>
        </w:rPr>
        <w:t> </w:t>
      </w:r>
      <w:r>
        <w:rPr>
          <w:color w:val="4C4D4F"/>
          <w:w w:val="115"/>
          <w:sz w:val="18"/>
        </w:rPr>
        <w:t>B.</w:t>
      </w:r>
      <w:r>
        <w:rPr>
          <w:color w:val="4C4D4F"/>
          <w:spacing w:val="-22"/>
          <w:w w:val="115"/>
          <w:sz w:val="18"/>
        </w:rPr>
        <w:t> </w:t>
      </w:r>
      <w:r>
        <w:rPr>
          <w:color w:val="4C4D4F"/>
          <w:w w:val="115"/>
          <w:sz w:val="18"/>
        </w:rPr>
        <w:t>B.</w:t>
      </w:r>
      <w:r>
        <w:rPr>
          <w:color w:val="4C4D4F"/>
          <w:spacing w:val="-21"/>
          <w:w w:val="115"/>
          <w:sz w:val="18"/>
        </w:rPr>
        <w:t> </w:t>
      </w:r>
      <w:r>
        <w:rPr>
          <w:color w:val="4C4D4F"/>
          <w:spacing w:val="-3"/>
          <w:w w:val="115"/>
          <w:sz w:val="18"/>
        </w:rPr>
        <w:t>(2013). </w:t>
      </w:r>
      <w:r>
        <w:rPr>
          <w:color w:val="4C4D4F"/>
          <w:w w:val="115"/>
          <w:sz w:val="18"/>
        </w:rPr>
        <w:t>Safe methadone induction and stabilization: Report of an</w:t>
      </w:r>
      <w:r>
        <w:rPr>
          <w:color w:val="4C4D4F"/>
          <w:spacing w:val="-34"/>
          <w:w w:val="115"/>
          <w:sz w:val="18"/>
        </w:rPr>
        <w:t> </w:t>
      </w:r>
      <w:r>
        <w:rPr>
          <w:color w:val="4C4D4F"/>
          <w:w w:val="115"/>
          <w:sz w:val="18"/>
        </w:rPr>
        <w:t>expert</w:t>
      </w:r>
      <w:r>
        <w:rPr>
          <w:color w:val="4C4D4F"/>
          <w:spacing w:val="-34"/>
          <w:w w:val="115"/>
          <w:sz w:val="18"/>
        </w:rPr>
        <w:t> </w:t>
      </w:r>
      <w:r>
        <w:rPr>
          <w:color w:val="4C4D4F"/>
          <w:w w:val="115"/>
          <w:sz w:val="18"/>
        </w:rPr>
        <w:t>panel.</w:t>
      </w:r>
      <w:r>
        <w:rPr>
          <w:color w:val="4C4D4F"/>
          <w:spacing w:val="-34"/>
          <w:w w:val="115"/>
          <w:sz w:val="18"/>
        </w:rPr>
        <w:t> </w:t>
      </w:r>
      <w:r>
        <w:rPr>
          <w:rFonts w:ascii="Arial" w:hAnsi="Arial"/>
          <w:i/>
          <w:color w:val="4C4D4F"/>
          <w:w w:val="115"/>
          <w:sz w:val="18"/>
        </w:rPr>
        <w:t>Journal</w:t>
      </w:r>
      <w:r>
        <w:rPr>
          <w:rFonts w:ascii="Arial" w:hAnsi="Arial"/>
          <w:i/>
          <w:color w:val="4C4D4F"/>
          <w:spacing w:val="-34"/>
          <w:w w:val="115"/>
          <w:sz w:val="18"/>
        </w:rPr>
        <w:t> </w:t>
      </w:r>
      <w:r>
        <w:rPr>
          <w:rFonts w:ascii="Arial" w:hAnsi="Arial"/>
          <w:i/>
          <w:color w:val="4C4D4F"/>
          <w:w w:val="115"/>
          <w:sz w:val="18"/>
        </w:rPr>
        <w:t>of</w:t>
      </w:r>
      <w:r>
        <w:rPr>
          <w:rFonts w:ascii="Arial" w:hAnsi="Arial"/>
          <w:i/>
          <w:color w:val="4C4D4F"/>
          <w:spacing w:val="-33"/>
          <w:w w:val="115"/>
          <w:sz w:val="18"/>
        </w:rPr>
        <w:t> </w:t>
      </w:r>
      <w:r>
        <w:rPr>
          <w:rFonts w:ascii="Arial" w:hAnsi="Arial"/>
          <w:i/>
          <w:color w:val="4C4D4F"/>
          <w:w w:val="115"/>
          <w:sz w:val="18"/>
        </w:rPr>
        <w:t>Addiction</w:t>
      </w:r>
      <w:r>
        <w:rPr>
          <w:rFonts w:ascii="Arial" w:hAnsi="Arial"/>
          <w:i/>
          <w:color w:val="4C4D4F"/>
          <w:spacing w:val="-34"/>
          <w:w w:val="115"/>
          <w:sz w:val="18"/>
        </w:rPr>
        <w:t> </w:t>
      </w:r>
      <w:r>
        <w:rPr>
          <w:rFonts w:ascii="Arial" w:hAnsi="Arial"/>
          <w:i/>
          <w:color w:val="4C4D4F"/>
          <w:w w:val="115"/>
          <w:sz w:val="18"/>
        </w:rPr>
        <w:t>Medicine,</w:t>
      </w:r>
      <w:r>
        <w:rPr>
          <w:rFonts w:ascii="Arial" w:hAnsi="Arial"/>
          <w:i/>
          <w:color w:val="4C4D4F"/>
          <w:spacing w:val="-34"/>
          <w:w w:val="115"/>
          <w:sz w:val="18"/>
        </w:rPr>
        <w:t> </w:t>
      </w:r>
      <w:r>
        <w:rPr>
          <w:rFonts w:ascii="Arial" w:hAnsi="Arial"/>
          <w:i/>
          <w:color w:val="4C4D4F"/>
          <w:w w:val="115"/>
          <w:sz w:val="18"/>
        </w:rPr>
        <w:t>7</w:t>
      </w:r>
      <w:r>
        <w:rPr>
          <w:color w:val="4C4D4F"/>
          <w:w w:val="115"/>
          <w:sz w:val="18"/>
        </w:rPr>
        <w:t>(6), 377–386.</w:t>
      </w:r>
    </w:p>
    <w:p>
      <w:pPr>
        <w:pStyle w:val="ListParagraph"/>
        <w:numPr>
          <w:ilvl w:val="0"/>
          <w:numId w:val="51"/>
        </w:numPr>
        <w:tabs>
          <w:tab w:pos="500" w:val="left" w:leader="none"/>
        </w:tabs>
        <w:spacing w:line="247" w:lineRule="auto" w:before="74" w:after="0"/>
        <w:ind w:left="500" w:right="129" w:hanging="360"/>
        <w:jc w:val="left"/>
        <w:rPr>
          <w:color w:val="4C4D4F"/>
          <w:sz w:val="18"/>
        </w:rPr>
      </w:pPr>
      <w:r>
        <w:rPr>
          <w:color w:val="4C4D4F"/>
          <w:w w:val="110"/>
          <w:sz w:val="18"/>
        </w:rPr>
        <w:t>Center for Substance Abuse </w:t>
      </w:r>
      <w:r>
        <w:rPr>
          <w:color w:val="4C4D4F"/>
          <w:spacing w:val="-3"/>
          <w:w w:val="110"/>
          <w:sz w:val="18"/>
        </w:rPr>
        <w:t>Treatment. </w:t>
      </w:r>
      <w:r>
        <w:rPr>
          <w:color w:val="4C4D4F"/>
          <w:w w:val="110"/>
          <w:sz w:val="18"/>
        </w:rPr>
        <w:t>(1993). </w:t>
      </w:r>
      <w:r>
        <w:rPr>
          <w:rFonts w:ascii="Arial"/>
          <w:i/>
          <w:color w:val="4C4D4F"/>
          <w:w w:val="110"/>
          <w:sz w:val="18"/>
        </w:rPr>
        <w:t>State </w:t>
      </w:r>
      <w:r>
        <w:rPr>
          <w:rFonts w:ascii="Arial"/>
          <w:i/>
          <w:color w:val="4C4D4F"/>
          <w:w w:val="110"/>
          <w:sz w:val="18"/>
        </w:rPr>
        <w:t>methadone</w:t>
      </w:r>
      <w:r>
        <w:rPr>
          <w:rFonts w:ascii="Arial"/>
          <w:i/>
          <w:color w:val="4C4D4F"/>
          <w:spacing w:val="-39"/>
          <w:w w:val="110"/>
          <w:sz w:val="18"/>
        </w:rPr>
        <w:t> </w:t>
      </w:r>
      <w:r>
        <w:rPr>
          <w:rFonts w:ascii="Arial"/>
          <w:i/>
          <w:color w:val="4C4D4F"/>
          <w:w w:val="110"/>
          <w:sz w:val="18"/>
        </w:rPr>
        <w:t>treatment</w:t>
      </w:r>
      <w:r>
        <w:rPr>
          <w:rFonts w:ascii="Arial"/>
          <w:i/>
          <w:color w:val="4C4D4F"/>
          <w:spacing w:val="-38"/>
          <w:w w:val="110"/>
          <w:sz w:val="18"/>
        </w:rPr>
        <w:t> </w:t>
      </w:r>
      <w:r>
        <w:rPr>
          <w:rFonts w:ascii="Arial"/>
          <w:i/>
          <w:color w:val="4C4D4F"/>
          <w:w w:val="110"/>
          <w:sz w:val="18"/>
        </w:rPr>
        <w:t>guidelines.</w:t>
      </w:r>
      <w:r>
        <w:rPr>
          <w:rFonts w:ascii="Arial"/>
          <w:i/>
          <w:color w:val="4C4D4F"/>
          <w:spacing w:val="-38"/>
          <w:w w:val="110"/>
          <w:sz w:val="18"/>
        </w:rPr>
        <w:t> </w:t>
      </w:r>
      <w:r>
        <w:rPr>
          <w:color w:val="4C4D4F"/>
          <w:w w:val="110"/>
          <w:sz w:val="18"/>
        </w:rPr>
        <w:t>HHS</w:t>
      </w:r>
      <w:r>
        <w:rPr>
          <w:color w:val="4C4D4F"/>
          <w:spacing w:val="-38"/>
          <w:w w:val="110"/>
          <w:sz w:val="18"/>
        </w:rPr>
        <w:t> </w:t>
      </w:r>
      <w:r>
        <w:rPr>
          <w:color w:val="4C4D4F"/>
          <w:w w:val="110"/>
          <w:sz w:val="18"/>
        </w:rPr>
        <w:t>Publication</w:t>
      </w:r>
      <w:r>
        <w:rPr>
          <w:color w:val="4C4D4F"/>
          <w:spacing w:val="-38"/>
          <w:w w:val="110"/>
          <w:sz w:val="18"/>
        </w:rPr>
        <w:t> </w:t>
      </w:r>
      <w:r>
        <w:rPr>
          <w:color w:val="4C4D4F"/>
          <w:spacing w:val="-6"/>
          <w:w w:val="110"/>
          <w:sz w:val="18"/>
        </w:rPr>
        <w:t>No. </w:t>
      </w:r>
      <w:r>
        <w:rPr>
          <w:color w:val="4C4D4F"/>
          <w:w w:val="110"/>
          <w:sz w:val="18"/>
        </w:rPr>
        <w:t>(SMA) 93-1991. Rockville, MD: Substance Abuse and Mental Health Services</w:t>
      </w:r>
      <w:r>
        <w:rPr>
          <w:color w:val="4C4D4F"/>
          <w:spacing w:val="-13"/>
          <w:w w:val="110"/>
          <w:sz w:val="18"/>
        </w:rPr>
        <w:t> </w:t>
      </w:r>
      <w:r>
        <w:rPr>
          <w:color w:val="4C4D4F"/>
          <w:w w:val="110"/>
          <w:sz w:val="18"/>
        </w:rPr>
        <w:t>Administration.</w:t>
      </w:r>
    </w:p>
    <w:p>
      <w:pPr>
        <w:pStyle w:val="ListParagraph"/>
        <w:numPr>
          <w:ilvl w:val="0"/>
          <w:numId w:val="51"/>
        </w:numPr>
        <w:tabs>
          <w:tab w:pos="500" w:val="left" w:leader="none"/>
        </w:tabs>
        <w:spacing w:line="247" w:lineRule="auto" w:before="74" w:after="0"/>
        <w:ind w:left="500" w:right="431" w:hanging="360"/>
        <w:jc w:val="left"/>
        <w:rPr>
          <w:color w:val="4C4D4F"/>
          <w:sz w:val="18"/>
        </w:rPr>
      </w:pPr>
      <w:r>
        <w:rPr>
          <w:color w:val="4C4D4F"/>
          <w:w w:val="115"/>
          <w:sz w:val="18"/>
        </w:rPr>
        <w:t>Chou,</w:t>
      </w:r>
      <w:r>
        <w:rPr>
          <w:color w:val="4C4D4F"/>
          <w:spacing w:val="-21"/>
          <w:w w:val="115"/>
          <w:sz w:val="18"/>
        </w:rPr>
        <w:t> </w:t>
      </w:r>
      <w:r>
        <w:rPr>
          <w:color w:val="4C4D4F"/>
          <w:w w:val="115"/>
          <w:sz w:val="18"/>
        </w:rPr>
        <w:t>R.,</w:t>
      </w:r>
      <w:r>
        <w:rPr>
          <w:color w:val="4C4D4F"/>
          <w:spacing w:val="-21"/>
          <w:w w:val="115"/>
          <w:sz w:val="18"/>
        </w:rPr>
        <w:t> </w:t>
      </w:r>
      <w:r>
        <w:rPr>
          <w:color w:val="4C4D4F"/>
          <w:w w:val="115"/>
          <w:sz w:val="18"/>
        </w:rPr>
        <w:t>Cruciani,</w:t>
      </w:r>
      <w:r>
        <w:rPr>
          <w:color w:val="4C4D4F"/>
          <w:spacing w:val="-21"/>
          <w:w w:val="115"/>
          <w:sz w:val="18"/>
        </w:rPr>
        <w:t> </w:t>
      </w:r>
      <w:r>
        <w:rPr>
          <w:color w:val="4C4D4F"/>
          <w:w w:val="115"/>
          <w:sz w:val="18"/>
        </w:rPr>
        <w:t>R.</w:t>
      </w:r>
      <w:r>
        <w:rPr>
          <w:color w:val="4C4D4F"/>
          <w:spacing w:val="-21"/>
          <w:w w:val="115"/>
          <w:sz w:val="18"/>
        </w:rPr>
        <w:t> </w:t>
      </w:r>
      <w:r>
        <w:rPr>
          <w:color w:val="4C4D4F"/>
          <w:w w:val="115"/>
          <w:sz w:val="18"/>
        </w:rPr>
        <w:t>A.,</w:t>
      </w:r>
      <w:r>
        <w:rPr>
          <w:color w:val="4C4D4F"/>
          <w:spacing w:val="-21"/>
          <w:w w:val="115"/>
          <w:sz w:val="18"/>
        </w:rPr>
        <w:t> </w:t>
      </w:r>
      <w:r>
        <w:rPr>
          <w:color w:val="4C4D4F"/>
          <w:w w:val="115"/>
          <w:sz w:val="18"/>
        </w:rPr>
        <w:t>Fiellin,</w:t>
      </w:r>
      <w:r>
        <w:rPr>
          <w:color w:val="4C4D4F"/>
          <w:spacing w:val="-21"/>
          <w:w w:val="115"/>
          <w:sz w:val="18"/>
        </w:rPr>
        <w:t> </w:t>
      </w:r>
      <w:r>
        <w:rPr>
          <w:color w:val="4C4D4F"/>
          <w:w w:val="115"/>
          <w:sz w:val="18"/>
        </w:rPr>
        <w:t>D.</w:t>
      </w:r>
      <w:r>
        <w:rPr>
          <w:color w:val="4C4D4F"/>
          <w:spacing w:val="-21"/>
          <w:w w:val="115"/>
          <w:sz w:val="18"/>
        </w:rPr>
        <w:t> </w:t>
      </w:r>
      <w:r>
        <w:rPr>
          <w:color w:val="4C4D4F"/>
          <w:w w:val="115"/>
          <w:sz w:val="18"/>
        </w:rPr>
        <w:t>A.,</w:t>
      </w:r>
      <w:r>
        <w:rPr>
          <w:color w:val="4C4D4F"/>
          <w:spacing w:val="-21"/>
          <w:w w:val="115"/>
          <w:sz w:val="18"/>
        </w:rPr>
        <w:t> </w:t>
      </w:r>
      <w:r>
        <w:rPr>
          <w:color w:val="4C4D4F"/>
          <w:w w:val="115"/>
          <w:sz w:val="18"/>
        </w:rPr>
        <w:t>Compton, </w:t>
      </w:r>
      <w:r>
        <w:rPr>
          <w:color w:val="4C4D4F"/>
          <w:spacing w:val="-11"/>
          <w:w w:val="115"/>
          <w:sz w:val="18"/>
        </w:rPr>
        <w:t>P.,</w:t>
      </w:r>
      <w:r>
        <w:rPr>
          <w:color w:val="4C4D4F"/>
          <w:spacing w:val="-22"/>
          <w:w w:val="115"/>
          <w:sz w:val="18"/>
        </w:rPr>
        <w:t> </w:t>
      </w:r>
      <w:r>
        <w:rPr>
          <w:color w:val="4C4D4F"/>
          <w:spacing w:val="-3"/>
          <w:w w:val="115"/>
          <w:sz w:val="18"/>
        </w:rPr>
        <w:t>Farrar,</w:t>
      </w:r>
      <w:r>
        <w:rPr>
          <w:color w:val="4C4D4F"/>
          <w:spacing w:val="-22"/>
          <w:w w:val="115"/>
          <w:sz w:val="18"/>
        </w:rPr>
        <w:t> </w:t>
      </w:r>
      <w:r>
        <w:rPr>
          <w:color w:val="4C4D4F"/>
          <w:w w:val="135"/>
          <w:sz w:val="18"/>
        </w:rPr>
        <w:t>J.</w:t>
      </w:r>
      <w:r>
        <w:rPr>
          <w:color w:val="4C4D4F"/>
          <w:spacing w:val="-32"/>
          <w:w w:val="135"/>
          <w:sz w:val="18"/>
        </w:rPr>
        <w:t> </w:t>
      </w:r>
      <w:r>
        <w:rPr>
          <w:color w:val="4C4D4F"/>
          <w:spacing w:val="-7"/>
          <w:w w:val="115"/>
          <w:sz w:val="18"/>
        </w:rPr>
        <w:t>T.,</w:t>
      </w:r>
      <w:r>
        <w:rPr>
          <w:color w:val="4C4D4F"/>
          <w:spacing w:val="-22"/>
          <w:w w:val="115"/>
          <w:sz w:val="18"/>
        </w:rPr>
        <w:t> </w:t>
      </w:r>
      <w:r>
        <w:rPr>
          <w:color w:val="4C4D4F"/>
          <w:w w:val="115"/>
          <w:sz w:val="18"/>
        </w:rPr>
        <w:t>Haigney,</w:t>
      </w:r>
      <w:r>
        <w:rPr>
          <w:color w:val="4C4D4F"/>
          <w:spacing w:val="-22"/>
          <w:w w:val="115"/>
          <w:sz w:val="18"/>
        </w:rPr>
        <w:t> </w:t>
      </w:r>
      <w:r>
        <w:rPr>
          <w:color w:val="4C4D4F"/>
          <w:w w:val="115"/>
          <w:sz w:val="18"/>
        </w:rPr>
        <w:t>M.</w:t>
      </w:r>
      <w:r>
        <w:rPr>
          <w:color w:val="4C4D4F"/>
          <w:spacing w:val="-21"/>
          <w:w w:val="115"/>
          <w:sz w:val="18"/>
        </w:rPr>
        <w:t> </w:t>
      </w:r>
      <w:r>
        <w:rPr>
          <w:color w:val="4C4D4F"/>
          <w:w w:val="115"/>
          <w:sz w:val="18"/>
        </w:rPr>
        <w:t>C.,</w:t>
      </w:r>
      <w:r>
        <w:rPr>
          <w:color w:val="4C4D4F"/>
          <w:spacing w:val="-22"/>
          <w:w w:val="115"/>
          <w:sz w:val="18"/>
        </w:rPr>
        <w:t> </w:t>
      </w:r>
      <w:r>
        <w:rPr>
          <w:color w:val="4C4D4F"/>
          <w:w w:val="115"/>
          <w:sz w:val="18"/>
        </w:rPr>
        <w:t>…</w:t>
      </w:r>
      <w:r>
        <w:rPr>
          <w:color w:val="4C4D4F"/>
          <w:spacing w:val="-22"/>
          <w:w w:val="115"/>
          <w:sz w:val="18"/>
        </w:rPr>
        <w:t> </w:t>
      </w:r>
      <w:r>
        <w:rPr>
          <w:color w:val="4C4D4F"/>
          <w:spacing w:val="-3"/>
          <w:w w:val="115"/>
          <w:sz w:val="18"/>
        </w:rPr>
        <w:t>Zeltzer,</w:t>
      </w:r>
      <w:r>
        <w:rPr>
          <w:color w:val="4C4D4F"/>
          <w:spacing w:val="-22"/>
          <w:w w:val="115"/>
          <w:sz w:val="18"/>
        </w:rPr>
        <w:t> </w:t>
      </w:r>
      <w:r>
        <w:rPr>
          <w:color w:val="4C4D4F"/>
          <w:w w:val="115"/>
          <w:sz w:val="18"/>
        </w:rPr>
        <w:t>L.</w:t>
      </w:r>
      <w:r>
        <w:rPr>
          <w:color w:val="4C4D4F"/>
          <w:spacing w:val="-22"/>
          <w:w w:val="115"/>
          <w:sz w:val="18"/>
        </w:rPr>
        <w:t> </w:t>
      </w:r>
      <w:r>
        <w:rPr>
          <w:color w:val="4C4D4F"/>
          <w:spacing w:val="-3"/>
          <w:w w:val="115"/>
          <w:sz w:val="18"/>
        </w:rPr>
        <w:t>(2014).</w:t>
      </w:r>
    </w:p>
    <w:p>
      <w:pPr>
        <w:spacing w:line="247" w:lineRule="auto" w:before="2"/>
        <w:ind w:left="500" w:right="218" w:firstLine="0"/>
        <w:jc w:val="left"/>
        <w:rPr>
          <w:sz w:val="18"/>
        </w:rPr>
      </w:pPr>
      <w:r>
        <w:rPr>
          <w:color w:val="4C4D4F"/>
          <w:w w:val="110"/>
          <w:sz w:val="18"/>
        </w:rPr>
        <w:t>Methadone safety: A clinical practice guideline from the American Pain Society and College on Problems of Drug Dependence, in collaboration with the Heart Rhythm Society. </w:t>
      </w:r>
      <w:r>
        <w:rPr>
          <w:rFonts w:ascii="Arial" w:hAnsi="Arial"/>
          <w:i/>
          <w:color w:val="4C4D4F"/>
          <w:w w:val="110"/>
          <w:sz w:val="18"/>
        </w:rPr>
        <w:t>Journal of Pain, 15</w:t>
      </w:r>
      <w:r>
        <w:rPr>
          <w:color w:val="4C4D4F"/>
          <w:w w:val="110"/>
          <w:sz w:val="18"/>
        </w:rPr>
        <w:t>(4), 321–337.</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5"/>
          <w:sz w:val="18"/>
        </w:rPr>
        <w:t>Gowing,</w:t>
      </w:r>
      <w:r>
        <w:rPr>
          <w:color w:val="4C4D4F"/>
          <w:spacing w:val="-18"/>
          <w:w w:val="115"/>
          <w:sz w:val="18"/>
        </w:rPr>
        <w:t> </w:t>
      </w:r>
      <w:r>
        <w:rPr>
          <w:color w:val="4C4D4F"/>
          <w:w w:val="115"/>
          <w:sz w:val="18"/>
        </w:rPr>
        <w:t>L.,</w:t>
      </w:r>
      <w:r>
        <w:rPr>
          <w:color w:val="4C4D4F"/>
          <w:spacing w:val="-17"/>
          <w:w w:val="115"/>
          <w:sz w:val="18"/>
        </w:rPr>
        <w:t> </w:t>
      </w:r>
      <w:r>
        <w:rPr>
          <w:color w:val="4C4D4F"/>
          <w:w w:val="115"/>
          <w:sz w:val="18"/>
        </w:rPr>
        <w:t>Ali,</w:t>
      </w:r>
      <w:r>
        <w:rPr>
          <w:color w:val="4C4D4F"/>
          <w:spacing w:val="-18"/>
          <w:w w:val="115"/>
          <w:sz w:val="18"/>
        </w:rPr>
        <w:t> </w:t>
      </w:r>
      <w:r>
        <w:rPr>
          <w:color w:val="4C4D4F"/>
          <w:w w:val="115"/>
          <w:sz w:val="18"/>
        </w:rPr>
        <w:t>R.,</w:t>
      </w:r>
      <w:r>
        <w:rPr>
          <w:color w:val="4C4D4F"/>
          <w:spacing w:val="-17"/>
          <w:w w:val="115"/>
          <w:sz w:val="18"/>
        </w:rPr>
        <w:t> </w:t>
      </w:r>
      <w:r>
        <w:rPr>
          <w:color w:val="4C4D4F"/>
          <w:w w:val="115"/>
          <w:sz w:val="18"/>
        </w:rPr>
        <w:t>Dunlop,</w:t>
      </w:r>
      <w:r>
        <w:rPr>
          <w:color w:val="4C4D4F"/>
          <w:spacing w:val="-17"/>
          <w:w w:val="115"/>
          <w:sz w:val="18"/>
        </w:rPr>
        <w:t> </w:t>
      </w:r>
      <w:r>
        <w:rPr>
          <w:color w:val="4C4D4F"/>
          <w:w w:val="115"/>
          <w:sz w:val="18"/>
        </w:rPr>
        <w:t>A.,</w:t>
      </w:r>
      <w:r>
        <w:rPr>
          <w:color w:val="4C4D4F"/>
          <w:spacing w:val="-18"/>
          <w:w w:val="115"/>
          <w:sz w:val="18"/>
        </w:rPr>
        <w:t> </w:t>
      </w:r>
      <w:r>
        <w:rPr>
          <w:color w:val="4C4D4F"/>
          <w:w w:val="115"/>
          <w:sz w:val="18"/>
        </w:rPr>
        <w:t>Farrell,</w:t>
      </w:r>
      <w:r>
        <w:rPr>
          <w:color w:val="4C4D4F"/>
          <w:spacing w:val="-17"/>
          <w:w w:val="115"/>
          <w:sz w:val="18"/>
        </w:rPr>
        <w:t> </w:t>
      </w:r>
      <w:r>
        <w:rPr>
          <w:color w:val="4C4D4F"/>
          <w:w w:val="115"/>
          <w:sz w:val="18"/>
        </w:rPr>
        <w:t>M.,</w:t>
      </w:r>
      <w:r>
        <w:rPr>
          <w:color w:val="4C4D4F"/>
          <w:spacing w:val="-17"/>
          <w:w w:val="115"/>
          <w:sz w:val="18"/>
        </w:rPr>
        <w:t> </w:t>
      </w:r>
      <w:r>
        <w:rPr>
          <w:color w:val="4C4D4F"/>
          <w:w w:val="115"/>
          <w:sz w:val="18"/>
        </w:rPr>
        <w:t>&amp;</w:t>
      </w:r>
      <w:r>
        <w:rPr>
          <w:color w:val="4C4D4F"/>
          <w:spacing w:val="-18"/>
          <w:w w:val="115"/>
          <w:sz w:val="18"/>
        </w:rPr>
        <w:t> </w:t>
      </w:r>
      <w:r>
        <w:rPr>
          <w:color w:val="4C4D4F"/>
          <w:w w:val="115"/>
          <w:sz w:val="18"/>
        </w:rPr>
        <w:t>Lintzeris,</w:t>
      </w:r>
    </w:p>
    <w:p>
      <w:pPr>
        <w:spacing w:line="247" w:lineRule="auto" w:before="5"/>
        <w:ind w:left="500" w:right="95" w:firstLine="0"/>
        <w:jc w:val="left"/>
        <w:rPr>
          <w:sz w:val="18"/>
        </w:rPr>
      </w:pPr>
      <w:r>
        <w:rPr>
          <w:color w:val="4C4D4F"/>
          <w:w w:val="105"/>
          <w:sz w:val="18"/>
        </w:rPr>
        <w:t>N. (2014). </w:t>
      </w:r>
      <w:r>
        <w:rPr>
          <w:rFonts w:ascii="Arial" w:hAnsi="Arial"/>
          <w:i/>
          <w:color w:val="4C4D4F"/>
          <w:w w:val="105"/>
          <w:sz w:val="18"/>
        </w:rPr>
        <w:t>National guidelines for medication-assisted </w:t>
      </w:r>
      <w:r>
        <w:rPr>
          <w:rFonts w:ascii="Arial" w:hAnsi="Arial"/>
          <w:i/>
          <w:color w:val="4C4D4F"/>
          <w:w w:val="110"/>
          <w:sz w:val="18"/>
        </w:rPr>
        <w:t>treatment of opioid dependence. </w:t>
      </w:r>
      <w:r>
        <w:rPr>
          <w:color w:val="4C4D4F"/>
          <w:w w:val="110"/>
          <w:sz w:val="18"/>
        </w:rPr>
        <w:t>Retrieved January 4, 2018, from</w:t>
      </w:r>
      <w:r>
        <w:rPr>
          <w:color w:val="205E9E"/>
          <w:w w:val="110"/>
          <w:sz w:val="18"/>
        </w:rPr>
        <w:t> </w:t>
      </w:r>
      <w:hyperlink r:id="rId97">
        <w:r>
          <w:rPr>
            <w:color w:val="205E9E"/>
            <w:w w:val="110"/>
            <w:sz w:val="18"/>
            <w:u w:val="single" w:color="205E9E"/>
          </w:rPr>
          <w:t>https://www.health.gov.au/sites/default/</w:t>
        </w:r>
      </w:hyperlink>
      <w:r>
        <w:rPr>
          <w:color w:val="205E9E"/>
          <w:w w:val="110"/>
          <w:sz w:val="18"/>
          <w:u w:val="single" w:color="205E9E"/>
        </w:rPr>
        <w:t> ﬁles/national-guidelines-for-medication-assisted- treatment-of-opioid-dependence.pdf</w:t>
      </w:r>
    </w:p>
    <w:p>
      <w:pPr>
        <w:pStyle w:val="ListParagraph"/>
        <w:numPr>
          <w:ilvl w:val="0"/>
          <w:numId w:val="51"/>
        </w:numPr>
        <w:tabs>
          <w:tab w:pos="500" w:val="left" w:leader="none"/>
        </w:tabs>
        <w:spacing w:line="247" w:lineRule="auto" w:before="76" w:after="0"/>
        <w:ind w:left="500" w:right="41" w:hanging="360"/>
        <w:jc w:val="left"/>
        <w:rPr>
          <w:color w:val="4C4D4F"/>
          <w:sz w:val="18"/>
        </w:rPr>
      </w:pPr>
      <w:r>
        <w:rPr>
          <w:color w:val="4C4D4F"/>
          <w:w w:val="110"/>
          <w:sz w:val="18"/>
        </w:rPr>
        <w:t>Leavitt, S. B., Shinderman, M., Maxwell, S., Eap, C. B.,   &amp; Paris, </w:t>
      </w:r>
      <w:r>
        <w:rPr>
          <w:color w:val="4C4D4F"/>
          <w:spacing w:val="-17"/>
          <w:w w:val="110"/>
          <w:sz w:val="18"/>
        </w:rPr>
        <w:t>P. </w:t>
      </w:r>
      <w:r>
        <w:rPr>
          <w:color w:val="4C4D4F"/>
          <w:w w:val="110"/>
          <w:sz w:val="18"/>
        </w:rPr>
        <w:t>(2000). When “enough” is not enough: New perspectives on optimal methadone maintenance </w:t>
      </w:r>
      <w:r>
        <w:rPr>
          <w:color w:val="4C4D4F"/>
          <w:spacing w:val="-4"/>
          <w:w w:val="110"/>
          <w:sz w:val="18"/>
        </w:rPr>
        <w:t>dose. </w:t>
      </w:r>
      <w:r>
        <w:rPr>
          <w:rFonts w:ascii="Arial" w:hAnsi="Arial"/>
          <w:i/>
          <w:color w:val="4C4D4F"/>
          <w:w w:val="110"/>
          <w:sz w:val="18"/>
        </w:rPr>
        <w:t>Mount</w:t>
      </w:r>
      <w:r>
        <w:rPr>
          <w:rFonts w:ascii="Arial" w:hAnsi="Arial"/>
          <w:i/>
          <w:color w:val="4C4D4F"/>
          <w:spacing w:val="-23"/>
          <w:w w:val="110"/>
          <w:sz w:val="18"/>
        </w:rPr>
        <w:t> </w:t>
      </w:r>
      <w:r>
        <w:rPr>
          <w:rFonts w:ascii="Arial" w:hAnsi="Arial"/>
          <w:i/>
          <w:color w:val="4C4D4F"/>
          <w:w w:val="110"/>
          <w:sz w:val="18"/>
        </w:rPr>
        <w:t>Sinai</w:t>
      </w:r>
      <w:r>
        <w:rPr>
          <w:rFonts w:ascii="Arial" w:hAnsi="Arial"/>
          <w:i/>
          <w:color w:val="4C4D4F"/>
          <w:spacing w:val="-23"/>
          <w:w w:val="110"/>
          <w:sz w:val="18"/>
        </w:rPr>
        <w:t> </w:t>
      </w:r>
      <w:r>
        <w:rPr>
          <w:rFonts w:ascii="Arial" w:hAnsi="Arial"/>
          <w:i/>
          <w:color w:val="4C4D4F"/>
          <w:w w:val="110"/>
          <w:sz w:val="18"/>
        </w:rPr>
        <w:t>Journal</w:t>
      </w:r>
      <w:r>
        <w:rPr>
          <w:rFonts w:ascii="Arial" w:hAnsi="Arial"/>
          <w:i/>
          <w:color w:val="4C4D4F"/>
          <w:spacing w:val="-23"/>
          <w:w w:val="110"/>
          <w:sz w:val="18"/>
        </w:rPr>
        <w:t> </w:t>
      </w:r>
      <w:r>
        <w:rPr>
          <w:rFonts w:ascii="Arial" w:hAnsi="Arial"/>
          <w:i/>
          <w:color w:val="4C4D4F"/>
          <w:w w:val="110"/>
          <w:sz w:val="18"/>
        </w:rPr>
        <w:t>of</w:t>
      </w:r>
      <w:r>
        <w:rPr>
          <w:rFonts w:ascii="Arial" w:hAnsi="Arial"/>
          <w:i/>
          <w:color w:val="4C4D4F"/>
          <w:spacing w:val="-22"/>
          <w:w w:val="110"/>
          <w:sz w:val="18"/>
        </w:rPr>
        <w:t> </w:t>
      </w:r>
      <w:r>
        <w:rPr>
          <w:rFonts w:ascii="Arial" w:hAnsi="Arial"/>
          <w:i/>
          <w:color w:val="4C4D4F"/>
          <w:w w:val="110"/>
          <w:sz w:val="18"/>
        </w:rPr>
        <w:t>Medicine,</w:t>
      </w:r>
      <w:r>
        <w:rPr>
          <w:rFonts w:ascii="Arial" w:hAnsi="Arial"/>
          <w:i/>
          <w:color w:val="4C4D4F"/>
          <w:spacing w:val="-23"/>
          <w:w w:val="110"/>
          <w:sz w:val="18"/>
        </w:rPr>
        <w:t> </w:t>
      </w:r>
      <w:r>
        <w:rPr>
          <w:rFonts w:ascii="Arial" w:hAnsi="Arial"/>
          <w:i/>
          <w:color w:val="4C4D4F"/>
          <w:w w:val="110"/>
          <w:sz w:val="18"/>
        </w:rPr>
        <w:t>67</w:t>
      </w:r>
      <w:r>
        <w:rPr>
          <w:color w:val="4C4D4F"/>
          <w:w w:val="110"/>
          <w:sz w:val="18"/>
        </w:rPr>
        <w:t>(5–6),</w:t>
      </w:r>
      <w:r>
        <w:rPr>
          <w:color w:val="4C4D4F"/>
          <w:spacing w:val="-23"/>
          <w:w w:val="110"/>
          <w:sz w:val="18"/>
        </w:rPr>
        <w:t> </w:t>
      </w:r>
      <w:r>
        <w:rPr>
          <w:color w:val="4C4D4F"/>
          <w:w w:val="110"/>
          <w:sz w:val="18"/>
        </w:rPr>
        <w:t>404–411.</w:t>
      </w:r>
    </w:p>
    <w:p>
      <w:pPr>
        <w:pStyle w:val="ListParagraph"/>
        <w:numPr>
          <w:ilvl w:val="0"/>
          <w:numId w:val="51"/>
        </w:numPr>
        <w:tabs>
          <w:tab w:pos="500" w:val="left" w:leader="none"/>
        </w:tabs>
        <w:spacing w:line="247" w:lineRule="auto" w:before="74" w:after="0"/>
        <w:ind w:left="500" w:right="192" w:hanging="360"/>
        <w:jc w:val="left"/>
        <w:rPr>
          <w:color w:val="4C4D4F"/>
          <w:sz w:val="18"/>
        </w:rPr>
      </w:pPr>
      <w:r>
        <w:rPr>
          <w:color w:val="4C4D4F"/>
          <w:w w:val="115"/>
          <w:sz w:val="18"/>
        </w:rPr>
        <w:t>Payte, </w:t>
      </w:r>
      <w:r>
        <w:rPr>
          <w:color w:val="4C4D4F"/>
          <w:w w:val="135"/>
          <w:sz w:val="18"/>
        </w:rPr>
        <w:t>J. </w:t>
      </w:r>
      <w:r>
        <w:rPr>
          <w:color w:val="4C4D4F"/>
          <w:spacing w:val="-10"/>
          <w:w w:val="115"/>
          <w:sz w:val="18"/>
        </w:rPr>
        <w:t>T. </w:t>
      </w:r>
      <w:r>
        <w:rPr>
          <w:color w:val="4C4D4F"/>
          <w:w w:val="115"/>
          <w:sz w:val="18"/>
        </w:rPr>
        <w:t>(2002). Opioid agonist treatment of addiction.</w:t>
      </w:r>
      <w:r>
        <w:rPr>
          <w:color w:val="4C4D4F"/>
          <w:spacing w:val="-30"/>
          <w:w w:val="115"/>
          <w:sz w:val="18"/>
        </w:rPr>
        <w:t> </w:t>
      </w:r>
      <w:r>
        <w:rPr>
          <w:color w:val="4C4D4F"/>
          <w:w w:val="115"/>
          <w:sz w:val="18"/>
        </w:rPr>
        <w:t>Slide</w:t>
      </w:r>
      <w:r>
        <w:rPr>
          <w:color w:val="4C4D4F"/>
          <w:spacing w:val="-29"/>
          <w:w w:val="115"/>
          <w:sz w:val="18"/>
        </w:rPr>
        <w:t> </w:t>
      </w:r>
      <w:r>
        <w:rPr>
          <w:color w:val="4C4D4F"/>
          <w:w w:val="115"/>
          <w:sz w:val="18"/>
        </w:rPr>
        <w:t>presentation</w:t>
      </w:r>
      <w:r>
        <w:rPr>
          <w:color w:val="4C4D4F"/>
          <w:spacing w:val="-30"/>
          <w:w w:val="115"/>
          <w:sz w:val="18"/>
        </w:rPr>
        <w:t> </w:t>
      </w:r>
      <w:r>
        <w:rPr>
          <w:color w:val="4C4D4F"/>
          <w:w w:val="115"/>
          <w:sz w:val="18"/>
        </w:rPr>
        <w:t>at</w:t>
      </w:r>
      <w:r>
        <w:rPr>
          <w:color w:val="4C4D4F"/>
          <w:spacing w:val="-29"/>
          <w:w w:val="115"/>
          <w:sz w:val="18"/>
        </w:rPr>
        <w:t> </w:t>
      </w:r>
      <w:r>
        <w:rPr>
          <w:color w:val="4C4D4F"/>
          <w:w w:val="115"/>
          <w:sz w:val="18"/>
        </w:rPr>
        <w:t>ASAM</w:t>
      </w:r>
      <w:r>
        <w:rPr>
          <w:color w:val="4C4D4F"/>
          <w:spacing w:val="-29"/>
          <w:w w:val="115"/>
          <w:sz w:val="18"/>
        </w:rPr>
        <w:t> </w:t>
      </w:r>
      <w:r>
        <w:rPr>
          <w:color w:val="4C4D4F"/>
          <w:w w:val="115"/>
          <w:sz w:val="18"/>
        </w:rPr>
        <w:t>Review</w:t>
      </w:r>
      <w:r>
        <w:rPr>
          <w:color w:val="4C4D4F"/>
          <w:spacing w:val="-30"/>
          <w:w w:val="115"/>
          <w:sz w:val="18"/>
        </w:rPr>
        <w:t> </w:t>
      </w:r>
      <w:r>
        <w:rPr>
          <w:color w:val="4C4D4F"/>
          <w:spacing w:val="-3"/>
          <w:w w:val="115"/>
          <w:sz w:val="18"/>
        </w:rPr>
        <w:t>Course </w:t>
      </w:r>
      <w:r>
        <w:rPr>
          <w:color w:val="4C4D4F"/>
          <w:w w:val="115"/>
          <w:sz w:val="18"/>
        </w:rPr>
        <w:t>in Addiction</w:t>
      </w:r>
      <w:r>
        <w:rPr>
          <w:color w:val="4C4D4F"/>
          <w:spacing w:val="-17"/>
          <w:w w:val="115"/>
          <w:sz w:val="18"/>
        </w:rPr>
        <w:t> </w:t>
      </w:r>
      <w:r>
        <w:rPr>
          <w:color w:val="4C4D4F"/>
          <w:w w:val="115"/>
          <w:sz w:val="18"/>
        </w:rPr>
        <w:t>Medicine.</w:t>
      </w:r>
    </w:p>
    <w:p>
      <w:pPr>
        <w:pStyle w:val="ListParagraph"/>
        <w:numPr>
          <w:ilvl w:val="0"/>
          <w:numId w:val="51"/>
        </w:numPr>
        <w:tabs>
          <w:tab w:pos="500" w:val="left" w:leader="none"/>
        </w:tabs>
        <w:spacing w:line="247" w:lineRule="auto" w:before="75" w:after="0"/>
        <w:ind w:left="500" w:right="521" w:hanging="360"/>
        <w:jc w:val="left"/>
        <w:rPr>
          <w:color w:val="4C4D4F"/>
          <w:sz w:val="18"/>
        </w:rPr>
      </w:pPr>
      <w:r>
        <w:rPr>
          <w:color w:val="4C4D4F"/>
          <w:w w:val="110"/>
          <w:sz w:val="18"/>
        </w:rPr>
        <w:t>Leavitt, S. B. (2003). The methadone dose debate continues.</w:t>
      </w:r>
      <w:r>
        <w:rPr>
          <w:color w:val="4C4D4F"/>
          <w:spacing w:val="-33"/>
          <w:w w:val="110"/>
          <w:sz w:val="18"/>
        </w:rPr>
        <w:t> </w:t>
      </w:r>
      <w:r>
        <w:rPr>
          <w:rFonts w:ascii="Arial"/>
          <w:i/>
          <w:color w:val="4C4D4F"/>
          <w:w w:val="110"/>
          <w:sz w:val="18"/>
        </w:rPr>
        <w:t>Addiction</w:t>
      </w:r>
      <w:r>
        <w:rPr>
          <w:rFonts w:ascii="Arial"/>
          <w:i/>
          <w:color w:val="4C4D4F"/>
          <w:spacing w:val="-32"/>
          <w:w w:val="110"/>
          <w:sz w:val="18"/>
        </w:rPr>
        <w:t> </w:t>
      </w:r>
      <w:r>
        <w:rPr>
          <w:rFonts w:ascii="Arial"/>
          <w:i/>
          <w:color w:val="4C4D4F"/>
          <w:spacing w:val="-3"/>
          <w:w w:val="110"/>
          <w:sz w:val="18"/>
        </w:rPr>
        <w:t>Treatment</w:t>
      </w:r>
      <w:r>
        <w:rPr>
          <w:rFonts w:ascii="Arial"/>
          <w:i/>
          <w:color w:val="4C4D4F"/>
          <w:spacing w:val="-32"/>
          <w:w w:val="110"/>
          <w:sz w:val="18"/>
        </w:rPr>
        <w:t> </w:t>
      </w:r>
      <w:r>
        <w:rPr>
          <w:rFonts w:ascii="Arial"/>
          <w:i/>
          <w:color w:val="4C4D4F"/>
          <w:w w:val="110"/>
          <w:sz w:val="18"/>
        </w:rPr>
        <w:t>Forum,</w:t>
      </w:r>
      <w:r>
        <w:rPr>
          <w:rFonts w:ascii="Arial"/>
          <w:i/>
          <w:color w:val="4C4D4F"/>
          <w:spacing w:val="-33"/>
          <w:w w:val="110"/>
          <w:sz w:val="18"/>
        </w:rPr>
        <w:t> </w:t>
      </w:r>
      <w:r>
        <w:rPr>
          <w:rFonts w:ascii="Arial"/>
          <w:i/>
          <w:color w:val="4C4D4F"/>
          <w:w w:val="110"/>
          <w:sz w:val="18"/>
        </w:rPr>
        <w:t>12</w:t>
      </w:r>
      <w:r>
        <w:rPr>
          <w:color w:val="4C4D4F"/>
          <w:w w:val="110"/>
          <w:sz w:val="18"/>
        </w:rPr>
        <w:t>(1),</w:t>
      </w:r>
      <w:r>
        <w:rPr>
          <w:color w:val="4C4D4F"/>
          <w:spacing w:val="-32"/>
          <w:w w:val="110"/>
          <w:sz w:val="18"/>
        </w:rPr>
        <w:t> </w:t>
      </w:r>
      <w:r>
        <w:rPr>
          <w:color w:val="4C4D4F"/>
          <w:spacing w:val="-4"/>
          <w:w w:val="110"/>
          <w:sz w:val="18"/>
        </w:rPr>
        <w:t>1,3.</w:t>
      </w:r>
    </w:p>
    <w:p>
      <w:pPr>
        <w:pStyle w:val="ListParagraph"/>
        <w:numPr>
          <w:ilvl w:val="0"/>
          <w:numId w:val="51"/>
        </w:numPr>
        <w:tabs>
          <w:tab w:pos="500" w:val="left" w:leader="none"/>
        </w:tabs>
        <w:spacing w:line="247" w:lineRule="auto" w:before="72" w:after="0"/>
        <w:ind w:left="500" w:right="206"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7"/>
          <w:w w:val="110"/>
          <w:sz w:val="18"/>
        </w:rPr>
        <w:t> </w:t>
      </w:r>
      <w:r>
        <w:rPr>
          <w:rFonts w:ascii="Arial"/>
          <w:i/>
          <w:color w:val="4C4D4F"/>
          <w:w w:val="110"/>
          <w:sz w:val="18"/>
        </w:rPr>
        <w:t>and</w:t>
      </w:r>
      <w:r>
        <w:rPr>
          <w:rFonts w:ascii="Arial"/>
          <w:i/>
          <w:color w:val="4C4D4F"/>
          <w:spacing w:val="-27"/>
          <w:w w:val="110"/>
          <w:sz w:val="18"/>
        </w:rPr>
        <w:t> </w:t>
      </w:r>
      <w:r>
        <w:rPr>
          <w:rFonts w:ascii="Arial"/>
          <w:i/>
          <w:color w:val="4C4D4F"/>
          <w:w w:val="110"/>
          <w:sz w:val="18"/>
        </w:rPr>
        <w:t>their</w:t>
      </w:r>
      <w:r>
        <w:rPr>
          <w:rFonts w:ascii="Arial"/>
          <w:i/>
          <w:color w:val="4C4D4F"/>
          <w:spacing w:val="-26"/>
          <w:w w:val="110"/>
          <w:sz w:val="18"/>
        </w:rPr>
        <w:t> </w:t>
      </w:r>
      <w:r>
        <w:rPr>
          <w:rFonts w:ascii="Arial"/>
          <w:i/>
          <w:color w:val="4C4D4F"/>
          <w:w w:val="110"/>
          <w:sz w:val="18"/>
        </w:rPr>
        <w:t>infants.</w:t>
      </w:r>
      <w:r>
        <w:rPr>
          <w:rFonts w:ascii="Arial"/>
          <w:i/>
          <w:color w:val="4C4D4F"/>
          <w:spacing w:val="-27"/>
          <w:w w:val="110"/>
          <w:sz w:val="18"/>
        </w:rPr>
        <w:t> </w:t>
      </w:r>
      <w:r>
        <w:rPr>
          <w:color w:val="4C4D4F"/>
          <w:w w:val="110"/>
          <w:sz w:val="18"/>
        </w:rPr>
        <w:t>HHS</w:t>
      </w:r>
      <w:r>
        <w:rPr>
          <w:color w:val="4C4D4F"/>
          <w:spacing w:val="-27"/>
          <w:w w:val="110"/>
          <w:sz w:val="18"/>
        </w:rPr>
        <w:t> </w:t>
      </w:r>
      <w:r>
        <w:rPr>
          <w:color w:val="4C4D4F"/>
          <w:w w:val="110"/>
          <w:sz w:val="18"/>
        </w:rPr>
        <w:t>Publication</w:t>
      </w:r>
      <w:r>
        <w:rPr>
          <w:color w:val="4C4D4F"/>
          <w:spacing w:val="-26"/>
          <w:w w:val="110"/>
          <w:sz w:val="18"/>
        </w:rPr>
        <w:t> </w:t>
      </w:r>
      <w:r>
        <w:rPr>
          <w:color w:val="4C4D4F"/>
          <w:w w:val="110"/>
          <w:sz w:val="18"/>
        </w:rPr>
        <w:t>No.</w:t>
      </w:r>
      <w:r>
        <w:rPr>
          <w:color w:val="4C4D4F"/>
          <w:spacing w:val="-27"/>
          <w:w w:val="110"/>
          <w:sz w:val="18"/>
        </w:rPr>
        <w:t> </w:t>
      </w:r>
      <w:r>
        <w:rPr>
          <w:color w:val="4C4D4F"/>
          <w:spacing w:val="-3"/>
          <w:w w:val="110"/>
          <w:sz w:val="18"/>
        </w:rPr>
        <w:t>(SMA) </w:t>
      </w:r>
      <w:r>
        <w:rPr>
          <w:color w:val="4C4D4F"/>
          <w:w w:val="110"/>
          <w:sz w:val="18"/>
        </w:rPr>
        <w:t>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148" w:hanging="360"/>
        <w:jc w:val="left"/>
        <w:rPr>
          <w:color w:val="4C4D4F"/>
          <w:sz w:val="18"/>
        </w:rPr>
      </w:pPr>
      <w:r>
        <w:rPr>
          <w:color w:val="4C4D4F"/>
          <w:w w:val="110"/>
          <w:sz w:val="18"/>
        </w:rPr>
        <w:t>Benmebarek, M., Devaud, C., Gex-Fabry, M., Powell </w:t>
      </w:r>
      <w:r>
        <w:rPr>
          <w:color w:val="4C4D4F"/>
          <w:spacing w:val="-3"/>
          <w:w w:val="110"/>
          <w:sz w:val="18"/>
        </w:rPr>
        <w:t>Golay, </w:t>
      </w:r>
      <w:r>
        <w:rPr>
          <w:color w:val="4C4D4F"/>
          <w:w w:val="110"/>
          <w:sz w:val="18"/>
        </w:rPr>
        <w:t>K., Brogli, C., Baumann, </w:t>
      </w:r>
      <w:r>
        <w:rPr>
          <w:color w:val="4C4D4F"/>
          <w:spacing w:val="-11"/>
          <w:w w:val="110"/>
          <w:sz w:val="18"/>
        </w:rPr>
        <w:t>P., </w:t>
      </w:r>
      <w:r>
        <w:rPr>
          <w:color w:val="4C4D4F"/>
          <w:w w:val="110"/>
          <w:sz w:val="18"/>
        </w:rPr>
        <w:t>… Eap, C. B. (2004). Effects of grapefruit juice on the pharmacokinetics of the</w:t>
      </w:r>
      <w:r>
        <w:rPr>
          <w:color w:val="4C4D4F"/>
          <w:spacing w:val="-28"/>
          <w:w w:val="110"/>
          <w:sz w:val="18"/>
        </w:rPr>
        <w:t> </w:t>
      </w:r>
      <w:r>
        <w:rPr>
          <w:color w:val="4C4D4F"/>
          <w:w w:val="110"/>
          <w:sz w:val="18"/>
        </w:rPr>
        <w:t>enantiomers</w:t>
      </w:r>
      <w:r>
        <w:rPr>
          <w:color w:val="4C4D4F"/>
          <w:spacing w:val="-28"/>
          <w:w w:val="110"/>
          <w:sz w:val="18"/>
        </w:rPr>
        <w:t> </w:t>
      </w:r>
      <w:r>
        <w:rPr>
          <w:color w:val="4C4D4F"/>
          <w:w w:val="110"/>
          <w:sz w:val="18"/>
        </w:rPr>
        <w:t>of</w:t>
      </w:r>
      <w:r>
        <w:rPr>
          <w:color w:val="4C4D4F"/>
          <w:spacing w:val="-27"/>
          <w:w w:val="110"/>
          <w:sz w:val="18"/>
        </w:rPr>
        <w:t> </w:t>
      </w:r>
      <w:r>
        <w:rPr>
          <w:color w:val="4C4D4F"/>
          <w:w w:val="110"/>
          <w:sz w:val="18"/>
        </w:rPr>
        <w:t>methadone.</w:t>
      </w:r>
      <w:r>
        <w:rPr>
          <w:color w:val="4C4D4F"/>
          <w:spacing w:val="-28"/>
          <w:w w:val="110"/>
          <w:sz w:val="18"/>
        </w:rPr>
        <w:t> </w:t>
      </w:r>
      <w:r>
        <w:rPr>
          <w:rFonts w:ascii="Arial" w:hAnsi="Arial"/>
          <w:i/>
          <w:color w:val="4C4D4F"/>
          <w:w w:val="110"/>
          <w:sz w:val="18"/>
        </w:rPr>
        <w:t>Clinical</w:t>
      </w:r>
      <w:r>
        <w:rPr>
          <w:rFonts w:ascii="Arial" w:hAnsi="Arial"/>
          <w:i/>
          <w:color w:val="4C4D4F"/>
          <w:spacing w:val="-27"/>
          <w:w w:val="110"/>
          <w:sz w:val="18"/>
        </w:rPr>
        <w:t> </w:t>
      </w:r>
      <w:r>
        <w:rPr>
          <w:rFonts w:ascii="Arial" w:hAnsi="Arial"/>
          <w:i/>
          <w:color w:val="4C4D4F"/>
          <w:spacing w:val="-2"/>
          <w:w w:val="110"/>
          <w:sz w:val="18"/>
        </w:rPr>
        <w:t>Pharmacology </w:t>
      </w:r>
      <w:r>
        <w:rPr>
          <w:rFonts w:ascii="Arial" w:hAnsi="Arial"/>
          <w:i/>
          <w:color w:val="4C4D4F"/>
          <w:w w:val="110"/>
          <w:sz w:val="18"/>
        </w:rPr>
        <w:t>and Therapeutics, 76</w:t>
      </w:r>
      <w:r>
        <w:rPr>
          <w:color w:val="4C4D4F"/>
          <w:w w:val="110"/>
          <w:sz w:val="18"/>
        </w:rPr>
        <w:t>(1),</w:t>
      </w:r>
      <w:r>
        <w:rPr>
          <w:color w:val="4C4D4F"/>
          <w:spacing w:val="-29"/>
          <w:w w:val="110"/>
          <w:sz w:val="18"/>
        </w:rPr>
        <w:t> </w:t>
      </w:r>
      <w:r>
        <w:rPr>
          <w:color w:val="4C4D4F"/>
          <w:w w:val="110"/>
          <w:sz w:val="18"/>
        </w:rPr>
        <w:t>55–63.</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20"/>
          <w:sz w:val="18"/>
        </w:rPr>
        <w:t>Drozdick,</w:t>
      </w:r>
      <w:r>
        <w:rPr>
          <w:color w:val="4C4D4F"/>
          <w:spacing w:val="-26"/>
          <w:w w:val="120"/>
          <w:sz w:val="18"/>
        </w:rPr>
        <w:t> </w:t>
      </w:r>
      <w:r>
        <w:rPr>
          <w:color w:val="4C4D4F"/>
          <w:w w:val="120"/>
          <w:sz w:val="18"/>
        </w:rPr>
        <w:t>J.,</w:t>
      </w:r>
      <w:r>
        <w:rPr>
          <w:color w:val="4C4D4F"/>
          <w:spacing w:val="-26"/>
          <w:w w:val="120"/>
          <w:sz w:val="18"/>
        </w:rPr>
        <w:t> </w:t>
      </w:r>
      <w:r>
        <w:rPr>
          <w:color w:val="4C4D4F"/>
          <w:w w:val="120"/>
          <w:sz w:val="18"/>
        </w:rPr>
        <w:t>III,</w:t>
      </w:r>
      <w:r>
        <w:rPr>
          <w:color w:val="4C4D4F"/>
          <w:spacing w:val="-26"/>
          <w:w w:val="120"/>
          <w:sz w:val="18"/>
        </w:rPr>
        <w:t> </w:t>
      </w:r>
      <w:r>
        <w:rPr>
          <w:color w:val="4C4D4F"/>
          <w:w w:val="120"/>
          <w:sz w:val="18"/>
        </w:rPr>
        <w:t>Berghella,</w:t>
      </w:r>
      <w:r>
        <w:rPr>
          <w:color w:val="4C4D4F"/>
          <w:spacing w:val="-26"/>
          <w:w w:val="120"/>
          <w:sz w:val="18"/>
        </w:rPr>
        <w:t> </w:t>
      </w:r>
      <w:r>
        <w:rPr>
          <w:color w:val="4C4D4F"/>
          <w:spacing w:val="-8"/>
          <w:w w:val="120"/>
          <w:sz w:val="18"/>
        </w:rPr>
        <w:t>V.,</w:t>
      </w:r>
      <w:r>
        <w:rPr>
          <w:color w:val="4C4D4F"/>
          <w:spacing w:val="-25"/>
          <w:w w:val="120"/>
          <w:sz w:val="18"/>
        </w:rPr>
        <w:t> </w:t>
      </w:r>
      <w:r>
        <w:rPr>
          <w:color w:val="4C4D4F"/>
          <w:w w:val="120"/>
          <w:sz w:val="18"/>
        </w:rPr>
        <w:t>Hill,</w:t>
      </w:r>
      <w:r>
        <w:rPr>
          <w:color w:val="4C4D4F"/>
          <w:spacing w:val="-26"/>
          <w:w w:val="120"/>
          <w:sz w:val="18"/>
        </w:rPr>
        <w:t> </w:t>
      </w:r>
      <w:r>
        <w:rPr>
          <w:color w:val="4C4D4F"/>
          <w:w w:val="120"/>
          <w:sz w:val="18"/>
        </w:rPr>
        <w:t>M.,</w:t>
      </w:r>
      <w:r>
        <w:rPr>
          <w:color w:val="4C4D4F"/>
          <w:spacing w:val="-26"/>
          <w:w w:val="120"/>
          <w:sz w:val="18"/>
        </w:rPr>
        <w:t> </w:t>
      </w:r>
      <w:r>
        <w:rPr>
          <w:color w:val="4C4D4F"/>
          <w:w w:val="120"/>
          <w:sz w:val="18"/>
        </w:rPr>
        <w:t>&amp;</w:t>
      </w:r>
      <w:r>
        <w:rPr>
          <w:color w:val="4C4D4F"/>
          <w:spacing w:val="-26"/>
          <w:w w:val="120"/>
          <w:sz w:val="18"/>
        </w:rPr>
        <w:t> </w:t>
      </w:r>
      <w:r>
        <w:rPr>
          <w:color w:val="4C4D4F"/>
          <w:w w:val="120"/>
          <w:sz w:val="18"/>
        </w:rPr>
        <w:t>Kaltenbach,</w:t>
      </w:r>
    </w:p>
    <w:p>
      <w:pPr>
        <w:spacing w:line="249" w:lineRule="auto" w:before="7"/>
        <w:ind w:left="500" w:right="218" w:firstLine="0"/>
        <w:jc w:val="left"/>
        <w:rPr>
          <w:sz w:val="18"/>
        </w:rPr>
      </w:pPr>
      <w:r>
        <w:rPr>
          <w:color w:val="4C4D4F"/>
          <w:w w:val="105"/>
          <w:sz w:val="18"/>
        </w:rPr>
        <w:t>K. (2002). Methadone trough levels in </w:t>
      </w:r>
      <w:r>
        <w:rPr>
          <w:color w:val="4C4D4F"/>
          <w:spacing w:val="-4"/>
          <w:w w:val="105"/>
          <w:sz w:val="18"/>
        </w:rPr>
        <w:t>pregnancy. </w:t>
      </w:r>
      <w:r>
        <w:rPr>
          <w:rFonts w:ascii="Arial" w:hAnsi="Arial"/>
          <w:i/>
          <w:color w:val="4C4D4F"/>
          <w:w w:val="105"/>
          <w:sz w:val="18"/>
        </w:rPr>
        <w:t>American</w:t>
      </w:r>
      <w:r>
        <w:rPr>
          <w:rFonts w:ascii="Arial" w:hAnsi="Arial"/>
          <w:i/>
          <w:color w:val="4C4D4F"/>
          <w:spacing w:val="-24"/>
          <w:w w:val="105"/>
          <w:sz w:val="18"/>
        </w:rPr>
        <w:t> </w:t>
      </w:r>
      <w:r>
        <w:rPr>
          <w:rFonts w:ascii="Arial" w:hAnsi="Arial"/>
          <w:i/>
          <w:color w:val="4C4D4F"/>
          <w:w w:val="105"/>
          <w:sz w:val="18"/>
        </w:rPr>
        <w:t>Journal</w:t>
      </w:r>
      <w:r>
        <w:rPr>
          <w:rFonts w:ascii="Arial" w:hAnsi="Arial"/>
          <w:i/>
          <w:color w:val="4C4D4F"/>
          <w:spacing w:val="-23"/>
          <w:w w:val="105"/>
          <w:sz w:val="18"/>
        </w:rPr>
        <w:t> </w:t>
      </w:r>
      <w:r>
        <w:rPr>
          <w:rFonts w:ascii="Arial" w:hAnsi="Arial"/>
          <w:i/>
          <w:color w:val="4C4D4F"/>
          <w:w w:val="105"/>
          <w:sz w:val="18"/>
        </w:rPr>
        <w:t>of</w:t>
      </w:r>
      <w:r>
        <w:rPr>
          <w:rFonts w:ascii="Arial" w:hAnsi="Arial"/>
          <w:i/>
          <w:color w:val="4C4D4F"/>
          <w:spacing w:val="-23"/>
          <w:w w:val="105"/>
          <w:sz w:val="18"/>
        </w:rPr>
        <w:t> </w:t>
      </w:r>
      <w:r>
        <w:rPr>
          <w:rFonts w:ascii="Arial" w:hAnsi="Arial"/>
          <w:i/>
          <w:color w:val="4C4D4F"/>
          <w:w w:val="105"/>
          <w:sz w:val="18"/>
        </w:rPr>
        <w:t>Obstetrics</w:t>
      </w:r>
      <w:r>
        <w:rPr>
          <w:rFonts w:ascii="Arial" w:hAnsi="Arial"/>
          <w:i/>
          <w:color w:val="4C4D4F"/>
          <w:spacing w:val="-23"/>
          <w:w w:val="105"/>
          <w:sz w:val="18"/>
        </w:rPr>
        <w:t> </w:t>
      </w:r>
      <w:r>
        <w:rPr>
          <w:rFonts w:ascii="Arial" w:hAnsi="Arial"/>
          <w:i/>
          <w:color w:val="4C4D4F"/>
          <w:w w:val="105"/>
          <w:sz w:val="18"/>
        </w:rPr>
        <w:t>and</w:t>
      </w:r>
      <w:r>
        <w:rPr>
          <w:rFonts w:ascii="Arial" w:hAnsi="Arial"/>
          <w:i/>
          <w:color w:val="4C4D4F"/>
          <w:spacing w:val="-24"/>
          <w:w w:val="105"/>
          <w:sz w:val="18"/>
        </w:rPr>
        <w:t> </w:t>
      </w:r>
      <w:r>
        <w:rPr>
          <w:rFonts w:ascii="Arial" w:hAnsi="Arial"/>
          <w:i/>
          <w:color w:val="4C4D4F"/>
          <w:w w:val="105"/>
          <w:sz w:val="18"/>
        </w:rPr>
        <w:t>Gynecology, </w:t>
      </w:r>
      <w:r>
        <w:rPr>
          <w:rFonts w:ascii="Arial" w:hAnsi="Arial"/>
          <w:i/>
          <w:color w:val="4C4D4F"/>
          <w:w w:val="105"/>
          <w:sz w:val="18"/>
        </w:rPr>
        <w:t>187</w:t>
      </w:r>
      <w:r>
        <w:rPr>
          <w:color w:val="4C4D4F"/>
          <w:w w:val="105"/>
          <w:sz w:val="18"/>
        </w:rPr>
        <w:t>(5),</w:t>
      </w:r>
      <w:r>
        <w:rPr>
          <w:color w:val="4C4D4F"/>
          <w:spacing w:val="-2"/>
          <w:w w:val="105"/>
          <w:sz w:val="18"/>
        </w:rPr>
        <w:t> </w:t>
      </w:r>
      <w:r>
        <w:rPr>
          <w:color w:val="4C4D4F"/>
          <w:w w:val="105"/>
          <w:sz w:val="18"/>
        </w:rPr>
        <w:t>1184–1188.</w:t>
      </w:r>
    </w:p>
    <w:p>
      <w:pPr>
        <w:pStyle w:val="ListParagraph"/>
        <w:numPr>
          <w:ilvl w:val="0"/>
          <w:numId w:val="51"/>
        </w:numPr>
        <w:tabs>
          <w:tab w:pos="500" w:val="left" w:leader="none"/>
        </w:tabs>
        <w:spacing w:line="247" w:lineRule="auto" w:before="69" w:after="0"/>
        <w:ind w:left="500" w:right="41" w:hanging="360"/>
        <w:jc w:val="left"/>
        <w:rPr>
          <w:color w:val="4C4D4F"/>
          <w:sz w:val="18"/>
        </w:rPr>
      </w:pPr>
      <w:r>
        <w:rPr>
          <w:color w:val="4C4D4F"/>
          <w:w w:val="110"/>
          <w:sz w:val="18"/>
        </w:rPr>
        <w:t>Leavitt, S. B., Shinderman, M., Maxwell, S., Eap, C. B.,   &amp; Paris, </w:t>
      </w:r>
      <w:r>
        <w:rPr>
          <w:color w:val="4C4D4F"/>
          <w:spacing w:val="-17"/>
          <w:w w:val="110"/>
          <w:sz w:val="18"/>
        </w:rPr>
        <w:t>P. </w:t>
      </w:r>
      <w:r>
        <w:rPr>
          <w:color w:val="4C4D4F"/>
          <w:w w:val="110"/>
          <w:sz w:val="18"/>
        </w:rPr>
        <w:t>(2000). When “enough” is not enough: New perspectives on optimal methadone maintenance </w:t>
      </w:r>
      <w:r>
        <w:rPr>
          <w:color w:val="4C4D4F"/>
          <w:spacing w:val="-4"/>
          <w:w w:val="110"/>
          <w:sz w:val="18"/>
        </w:rPr>
        <w:t>dose. </w:t>
      </w:r>
      <w:r>
        <w:rPr>
          <w:rFonts w:ascii="Arial" w:hAnsi="Arial"/>
          <w:i/>
          <w:color w:val="4C4D4F"/>
          <w:w w:val="110"/>
          <w:sz w:val="18"/>
        </w:rPr>
        <w:t>Mount</w:t>
      </w:r>
      <w:r>
        <w:rPr>
          <w:rFonts w:ascii="Arial" w:hAnsi="Arial"/>
          <w:i/>
          <w:color w:val="4C4D4F"/>
          <w:spacing w:val="-23"/>
          <w:w w:val="110"/>
          <w:sz w:val="18"/>
        </w:rPr>
        <w:t> </w:t>
      </w:r>
      <w:r>
        <w:rPr>
          <w:rFonts w:ascii="Arial" w:hAnsi="Arial"/>
          <w:i/>
          <w:color w:val="4C4D4F"/>
          <w:w w:val="110"/>
          <w:sz w:val="18"/>
        </w:rPr>
        <w:t>Sinai</w:t>
      </w:r>
      <w:r>
        <w:rPr>
          <w:rFonts w:ascii="Arial" w:hAnsi="Arial"/>
          <w:i/>
          <w:color w:val="4C4D4F"/>
          <w:spacing w:val="-23"/>
          <w:w w:val="110"/>
          <w:sz w:val="18"/>
        </w:rPr>
        <w:t> </w:t>
      </w:r>
      <w:r>
        <w:rPr>
          <w:rFonts w:ascii="Arial" w:hAnsi="Arial"/>
          <w:i/>
          <w:color w:val="4C4D4F"/>
          <w:w w:val="110"/>
          <w:sz w:val="18"/>
        </w:rPr>
        <w:t>Journal</w:t>
      </w:r>
      <w:r>
        <w:rPr>
          <w:rFonts w:ascii="Arial" w:hAnsi="Arial"/>
          <w:i/>
          <w:color w:val="4C4D4F"/>
          <w:spacing w:val="-23"/>
          <w:w w:val="110"/>
          <w:sz w:val="18"/>
        </w:rPr>
        <w:t> </w:t>
      </w:r>
      <w:r>
        <w:rPr>
          <w:rFonts w:ascii="Arial" w:hAnsi="Arial"/>
          <w:i/>
          <w:color w:val="4C4D4F"/>
          <w:w w:val="110"/>
          <w:sz w:val="18"/>
        </w:rPr>
        <w:t>of</w:t>
      </w:r>
      <w:r>
        <w:rPr>
          <w:rFonts w:ascii="Arial" w:hAnsi="Arial"/>
          <w:i/>
          <w:color w:val="4C4D4F"/>
          <w:spacing w:val="-22"/>
          <w:w w:val="110"/>
          <w:sz w:val="18"/>
        </w:rPr>
        <w:t> </w:t>
      </w:r>
      <w:r>
        <w:rPr>
          <w:rFonts w:ascii="Arial" w:hAnsi="Arial"/>
          <w:i/>
          <w:color w:val="4C4D4F"/>
          <w:w w:val="110"/>
          <w:sz w:val="18"/>
        </w:rPr>
        <w:t>Medicine,</w:t>
      </w:r>
      <w:r>
        <w:rPr>
          <w:rFonts w:ascii="Arial" w:hAnsi="Arial"/>
          <w:i/>
          <w:color w:val="4C4D4F"/>
          <w:spacing w:val="-23"/>
          <w:w w:val="110"/>
          <w:sz w:val="18"/>
        </w:rPr>
        <w:t> </w:t>
      </w:r>
      <w:r>
        <w:rPr>
          <w:rFonts w:ascii="Arial" w:hAnsi="Arial"/>
          <w:i/>
          <w:color w:val="4C4D4F"/>
          <w:w w:val="110"/>
          <w:sz w:val="18"/>
        </w:rPr>
        <w:t>67</w:t>
      </w:r>
      <w:r>
        <w:rPr>
          <w:color w:val="4C4D4F"/>
          <w:w w:val="110"/>
          <w:sz w:val="18"/>
        </w:rPr>
        <w:t>(5–6),</w:t>
      </w:r>
      <w:r>
        <w:rPr>
          <w:color w:val="4C4D4F"/>
          <w:spacing w:val="-23"/>
          <w:w w:val="110"/>
          <w:sz w:val="18"/>
        </w:rPr>
        <w:t> </w:t>
      </w:r>
      <w:r>
        <w:rPr>
          <w:color w:val="4C4D4F"/>
          <w:w w:val="110"/>
          <w:sz w:val="18"/>
        </w:rPr>
        <w:t>404–411.</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5"/>
          <w:sz w:val="18"/>
        </w:rPr>
        <w:t>Hallinan,</w:t>
      </w:r>
      <w:r>
        <w:rPr>
          <w:color w:val="4C4D4F"/>
          <w:spacing w:val="-10"/>
          <w:w w:val="115"/>
          <w:sz w:val="18"/>
        </w:rPr>
        <w:t> </w:t>
      </w:r>
      <w:r>
        <w:rPr>
          <w:color w:val="4C4D4F"/>
          <w:w w:val="115"/>
          <w:sz w:val="18"/>
        </w:rPr>
        <w:t>R.,</w:t>
      </w:r>
      <w:r>
        <w:rPr>
          <w:color w:val="4C4D4F"/>
          <w:spacing w:val="-10"/>
          <w:w w:val="115"/>
          <w:sz w:val="18"/>
        </w:rPr>
        <w:t> </w:t>
      </w:r>
      <w:r>
        <w:rPr>
          <w:color w:val="4C4D4F"/>
          <w:spacing w:val="-4"/>
          <w:w w:val="115"/>
          <w:sz w:val="18"/>
        </w:rPr>
        <w:t>Ray,</w:t>
      </w:r>
      <w:r>
        <w:rPr>
          <w:color w:val="4C4D4F"/>
          <w:spacing w:val="-10"/>
          <w:w w:val="115"/>
          <w:sz w:val="18"/>
        </w:rPr>
        <w:t> </w:t>
      </w:r>
      <w:r>
        <w:rPr>
          <w:color w:val="4C4D4F"/>
          <w:w w:val="125"/>
          <w:sz w:val="18"/>
        </w:rPr>
        <w:t>J.,</w:t>
      </w:r>
      <w:r>
        <w:rPr>
          <w:color w:val="4C4D4F"/>
          <w:spacing w:val="-14"/>
          <w:w w:val="125"/>
          <w:sz w:val="18"/>
        </w:rPr>
        <w:t> </w:t>
      </w:r>
      <w:r>
        <w:rPr>
          <w:color w:val="4C4D4F"/>
          <w:w w:val="115"/>
          <w:sz w:val="18"/>
        </w:rPr>
        <w:t>Byrne,</w:t>
      </w:r>
      <w:r>
        <w:rPr>
          <w:color w:val="4C4D4F"/>
          <w:spacing w:val="-10"/>
          <w:w w:val="115"/>
          <w:sz w:val="18"/>
        </w:rPr>
        <w:t> </w:t>
      </w:r>
      <w:r>
        <w:rPr>
          <w:color w:val="4C4D4F"/>
          <w:w w:val="115"/>
          <w:sz w:val="18"/>
        </w:rPr>
        <w:t>A.,</w:t>
      </w:r>
      <w:r>
        <w:rPr>
          <w:color w:val="4C4D4F"/>
          <w:spacing w:val="-10"/>
          <w:w w:val="115"/>
          <w:sz w:val="18"/>
        </w:rPr>
        <w:t> </w:t>
      </w:r>
      <w:r>
        <w:rPr>
          <w:color w:val="4C4D4F"/>
          <w:w w:val="115"/>
          <w:sz w:val="18"/>
        </w:rPr>
        <w:t>Agho,</w:t>
      </w:r>
      <w:r>
        <w:rPr>
          <w:color w:val="4C4D4F"/>
          <w:spacing w:val="-10"/>
          <w:w w:val="115"/>
          <w:sz w:val="18"/>
        </w:rPr>
        <w:t> </w:t>
      </w:r>
      <w:r>
        <w:rPr>
          <w:color w:val="4C4D4F"/>
          <w:w w:val="115"/>
          <w:sz w:val="18"/>
        </w:rPr>
        <w:t>K.,</w:t>
      </w:r>
      <w:r>
        <w:rPr>
          <w:color w:val="4C4D4F"/>
          <w:spacing w:val="-9"/>
          <w:w w:val="115"/>
          <w:sz w:val="18"/>
        </w:rPr>
        <w:t> </w:t>
      </w:r>
      <w:r>
        <w:rPr>
          <w:color w:val="4C4D4F"/>
          <w:w w:val="115"/>
          <w:sz w:val="18"/>
        </w:rPr>
        <w:t>&amp;</w:t>
      </w:r>
      <w:r>
        <w:rPr>
          <w:color w:val="4C4D4F"/>
          <w:spacing w:val="-10"/>
          <w:w w:val="115"/>
          <w:sz w:val="18"/>
        </w:rPr>
        <w:t> </w:t>
      </w:r>
      <w:r>
        <w:rPr>
          <w:color w:val="4C4D4F"/>
          <w:w w:val="115"/>
          <w:sz w:val="18"/>
        </w:rPr>
        <w:t>Attia,</w:t>
      </w:r>
    </w:p>
    <w:p>
      <w:pPr>
        <w:spacing w:line="247" w:lineRule="auto" w:before="7"/>
        <w:ind w:left="500" w:right="130" w:firstLine="0"/>
        <w:jc w:val="left"/>
        <w:rPr>
          <w:sz w:val="18"/>
        </w:rPr>
      </w:pPr>
      <w:r>
        <w:rPr>
          <w:color w:val="4C4D4F"/>
          <w:w w:val="135"/>
          <w:sz w:val="18"/>
        </w:rPr>
        <w:t>J. </w:t>
      </w:r>
      <w:r>
        <w:rPr>
          <w:color w:val="4C4D4F"/>
          <w:w w:val="110"/>
          <w:sz w:val="18"/>
        </w:rPr>
        <w:t>(2006). Therapeutic thresholds in methadone maintenance treatment: A receiver operating characteristic</w:t>
      </w:r>
      <w:r>
        <w:rPr>
          <w:color w:val="4C4D4F"/>
          <w:spacing w:val="-38"/>
          <w:w w:val="110"/>
          <w:sz w:val="18"/>
        </w:rPr>
        <w:t> </w:t>
      </w:r>
      <w:r>
        <w:rPr>
          <w:color w:val="4C4D4F"/>
          <w:w w:val="110"/>
          <w:sz w:val="18"/>
        </w:rPr>
        <w:t>analysis.</w:t>
      </w:r>
      <w:r>
        <w:rPr>
          <w:color w:val="4C4D4F"/>
          <w:spacing w:val="-37"/>
          <w:w w:val="110"/>
          <w:sz w:val="18"/>
        </w:rPr>
        <w:t> </w:t>
      </w:r>
      <w:r>
        <w:rPr>
          <w:rFonts w:ascii="Arial" w:hAnsi="Arial"/>
          <w:i/>
          <w:color w:val="4C4D4F"/>
          <w:w w:val="110"/>
          <w:sz w:val="18"/>
        </w:rPr>
        <w:t>Drug</w:t>
      </w:r>
      <w:r>
        <w:rPr>
          <w:rFonts w:ascii="Arial" w:hAnsi="Arial"/>
          <w:i/>
          <w:color w:val="4C4D4F"/>
          <w:spacing w:val="-37"/>
          <w:w w:val="110"/>
          <w:sz w:val="18"/>
        </w:rPr>
        <w:t> </w:t>
      </w:r>
      <w:r>
        <w:rPr>
          <w:rFonts w:ascii="Arial" w:hAnsi="Arial"/>
          <w:i/>
          <w:color w:val="4C4D4F"/>
          <w:w w:val="110"/>
          <w:sz w:val="18"/>
        </w:rPr>
        <w:t>and</w:t>
      </w:r>
      <w:r>
        <w:rPr>
          <w:rFonts w:ascii="Arial" w:hAnsi="Arial"/>
          <w:i/>
          <w:color w:val="4C4D4F"/>
          <w:spacing w:val="-37"/>
          <w:w w:val="110"/>
          <w:sz w:val="18"/>
        </w:rPr>
        <w:t> </w:t>
      </w:r>
      <w:r>
        <w:rPr>
          <w:rFonts w:ascii="Arial" w:hAnsi="Arial"/>
          <w:i/>
          <w:color w:val="4C4D4F"/>
          <w:w w:val="110"/>
          <w:sz w:val="18"/>
        </w:rPr>
        <w:t>Alcohol</w:t>
      </w:r>
      <w:r>
        <w:rPr>
          <w:rFonts w:ascii="Arial" w:hAnsi="Arial"/>
          <w:i/>
          <w:color w:val="4C4D4F"/>
          <w:spacing w:val="-38"/>
          <w:w w:val="110"/>
          <w:sz w:val="18"/>
        </w:rPr>
        <w:t> </w:t>
      </w:r>
      <w:r>
        <w:rPr>
          <w:rFonts w:ascii="Arial" w:hAnsi="Arial"/>
          <w:i/>
          <w:color w:val="4C4D4F"/>
          <w:w w:val="110"/>
          <w:sz w:val="18"/>
        </w:rPr>
        <w:t>Dependence, </w:t>
      </w:r>
      <w:r>
        <w:rPr>
          <w:rFonts w:ascii="Arial" w:hAnsi="Arial"/>
          <w:i/>
          <w:color w:val="4C4D4F"/>
          <w:w w:val="110"/>
          <w:sz w:val="18"/>
        </w:rPr>
        <w:t>81,</w:t>
      </w:r>
      <w:r>
        <w:rPr>
          <w:rFonts w:ascii="Arial" w:hAnsi="Arial"/>
          <w:i/>
          <w:color w:val="4C4D4F"/>
          <w:spacing w:val="-6"/>
          <w:w w:val="110"/>
          <w:sz w:val="18"/>
        </w:rPr>
        <w:t> </w:t>
      </w:r>
      <w:r>
        <w:rPr>
          <w:color w:val="4C4D4F"/>
          <w:w w:val="110"/>
          <w:sz w:val="18"/>
        </w:rPr>
        <w:t>129–136.</w:t>
      </w:r>
    </w:p>
    <w:p>
      <w:pPr>
        <w:pStyle w:val="ListParagraph"/>
        <w:numPr>
          <w:ilvl w:val="0"/>
          <w:numId w:val="51"/>
        </w:numPr>
        <w:tabs>
          <w:tab w:pos="500" w:val="left" w:leader="none"/>
        </w:tabs>
        <w:spacing w:line="247" w:lineRule="auto" w:before="100" w:after="0"/>
        <w:ind w:left="500" w:right="595" w:hanging="360"/>
        <w:jc w:val="left"/>
        <w:rPr>
          <w:color w:val="4C4D4F"/>
          <w:sz w:val="18"/>
        </w:rPr>
      </w:pPr>
      <w:r>
        <w:rPr>
          <w:color w:val="4C4D4F"/>
          <w:w w:val="114"/>
          <w:sz w:val="18"/>
        </w:rPr>
        <w:br w:type="column"/>
      </w:r>
      <w:r>
        <w:rPr>
          <w:color w:val="4C4D4F"/>
          <w:w w:val="115"/>
          <w:sz w:val="18"/>
        </w:rPr>
        <w:t>Stine,</w:t>
      </w:r>
      <w:r>
        <w:rPr>
          <w:color w:val="4C4D4F"/>
          <w:spacing w:val="-21"/>
          <w:w w:val="115"/>
          <w:sz w:val="18"/>
        </w:rPr>
        <w:t> </w:t>
      </w:r>
      <w:r>
        <w:rPr>
          <w:color w:val="4C4D4F"/>
          <w:w w:val="115"/>
          <w:sz w:val="18"/>
        </w:rPr>
        <w:t>S.</w:t>
      </w:r>
      <w:r>
        <w:rPr>
          <w:color w:val="4C4D4F"/>
          <w:spacing w:val="-20"/>
          <w:w w:val="115"/>
          <w:sz w:val="18"/>
        </w:rPr>
        <w:t> </w:t>
      </w:r>
      <w:r>
        <w:rPr>
          <w:color w:val="4C4D4F"/>
          <w:w w:val="115"/>
          <w:sz w:val="18"/>
        </w:rPr>
        <w:t>M.,</w:t>
      </w:r>
      <w:r>
        <w:rPr>
          <w:color w:val="4C4D4F"/>
          <w:spacing w:val="-21"/>
          <w:w w:val="115"/>
          <w:sz w:val="18"/>
        </w:rPr>
        <w:t> </w:t>
      </w:r>
      <w:r>
        <w:rPr>
          <w:color w:val="4C4D4F"/>
          <w:w w:val="115"/>
          <w:sz w:val="18"/>
        </w:rPr>
        <w:t>&amp;</w:t>
      </w:r>
      <w:r>
        <w:rPr>
          <w:color w:val="4C4D4F"/>
          <w:spacing w:val="-20"/>
          <w:w w:val="115"/>
          <w:sz w:val="18"/>
        </w:rPr>
        <w:t> </w:t>
      </w:r>
      <w:r>
        <w:rPr>
          <w:color w:val="4C4D4F"/>
          <w:w w:val="115"/>
          <w:sz w:val="18"/>
        </w:rPr>
        <w:t>Kosten,</w:t>
      </w:r>
      <w:r>
        <w:rPr>
          <w:color w:val="4C4D4F"/>
          <w:spacing w:val="-20"/>
          <w:w w:val="115"/>
          <w:sz w:val="18"/>
        </w:rPr>
        <w:t> </w:t>
      </w:r>
      <w:r>
        <w:rPr>
          <w:color w:val="4C4D4F"/>
          <w:spacing w:val="-10"/>
          <w:w w:val="115"/>
          <w:sz w:val="18"/>
        </w:rPr>
        <w:t>T.</w:t>
      </w:r>
      <w:r>
        <w:rPr>
          <w:color w:val="4C4D4F"/>
          <w:spacing w:val="-21"/>
          <w:w w:val="115"/>
          <w:sz w:val="18"/>
        </w:rPr>
        <w:t> </w:t>
      </w:r>
      <w:r>
        <w:rPr>
          <w:color w:val="4C4D4F"/>
          <w:w w:val="115"/>
          <w:sz w:val="18"/>
        </w:rPr>
        <w:t>R.</w:t>
      </w:r>
      <w:r>
        <w:rPr>
          <w:color w:val="4C4D4F"/>
          <w:spacing w:val="-20"/>
          <w:w w:val="115"/>
          <w:sz w:val="18"/>
        </w:rPr>
        <w:t> </w:t>
      </w:r>
      <w:r>
        <w:rPr>
          <w:color w:val="4C4D4F"/>
          <w:w w:val="115"/>
          <w:sz w:val="18"/>
        </w:rPr>
        <w:t>(2014).</w:t>
      </w:r>
      <w:r>
        <w:rPr>
          <w:color w:val="4C4D4F"/>
          <w:spacing w:val="-20"/>
          <w:w w:val="115"/>
          <w:sz w:val="18"/>
        </w:rPr>
        <w:t> </w:t>
      </w:r>
      <w:r>
        <w:rPr>
          <w:color w:val="4C4D4F"/>
          <w:w w:val="115"/>
          <w:sz w:val="18"/>
        </w:rPr>
        <w:t>Pharmacologic interventions</w:t>
      </w:r>
      <w:r>
        <w:rPr>
          <w:color w:val="4C4D4F"/>
          <w:spacing w:val="-24"/>
          <w:w w:val="115"/>
          <w:sz w:val="18"/>
        </w:rPr>
        <w:t> </w:t>
      </w:r>
      <w:r>
        <w:rPr>
          <w:color w:val="4C4D4F"/>
          <w:w w:val="115"/>
          <w:sz w:val="18"/>
        </w:rPr>
        <w:t>for</w:t>
      </w:r>
      <w:r>
        <w:rPr>
          <w:color w:val="4C4D4F"/>
          <w:spacing w:val="-24"/>
          <w:w w:val="115"/>
          <w:sz w:val="18"/>
        </w:rPr>
        <w:t> </w:t>
      </w:r>
      <w:r>
        <w:rPr>
          <w:color w:val="4C4D4F"/>
          <w:w w:val="115"/>
          <w:sz w:val="18"/>
        </w:rPr>
        <w:t>opioid</w:t>
      </w:r>
      <w:r>
        <w:rPr>
          <w:color w:val="4C4D4F"/>
          <w:spacing w:val="-24"/>
          <w:w w:val="115"/>
          <w:sz w:val="18"/>
        </w:rPr>
        <w:t> </w:t>
      </w:r>
      <w:r>
        <w:rPr>
          <w:color w:val="4C4D4F"/>
          <w:w w:val="115"/>
          <w:sz w:val="18"/>
        </w:rPr>
        <w:t>dependence.</w:t>
      </w:r>
      <w:r>
        <w:rPr>
          <w:color w:val="4C4D4F"/>
          <w:spacing w:val="-24"/>
          <w:w w:val="115"/>
          <w:sz w:val="18"/>
        </w:rPr>
        <w:t> </w:t>
      </w:r>
      <w:r>
        <w:rPr>
          <w:color w:val="4C4D4F"/>
          <w:w w:val="115"/>
          <w:sz w:val="18"/>
        </w:rPr>
        <w:t>In</w:t>
      </w:r>
      <w:r>
        <w:rPr>
          <w:color w:val="4C4D4F"/>
          <w:spacing w:val="-24"/>
          <w:w w:val="115"/>
          <w:sz w:val="18"/>
        </w:rPr>
        <w:t> </w:t>
      </w:r>
      <w:r>
        <w:rPr>
          <w:color w:val="4C4D4F"/>
          <w:w w:val="115"/>
          <w:sz w:val="18"/>
        </w:rPr>
        <w:t>R.</w:t>
      </w:r>
      <w:r>
        <w:rPr>
          <w:color w:val="4C4D4F"/>
          <w:spacing w:val="-23"/>
          <w:w w:val="115"/>
          <w:sz w:val="18"/>
        </w:rPr>
        <w:t> </w:t>
      </w:r>
      <w:r>
        <w:rPr>
          <w:color w:val="4C4D4F"/>
          <w:w w:val="115"/>
          <w:sz w:val="18"/>
        </w:rPr>
        <w:t>K.</w:t>
      </w:r>
      <w:r>
        <w:rPr>
          <w:color w:val="4C4D4F"/>
          <w:spacing w:val="-24"/>
          <w:w w:val="115"/>
          <w:sz w:val="18"/>
        </w:rPr>
        <w:t> </w:t>
      </w:r>
      <w:r>
        <w:rPr>
          <w:color w:val="4C4D4F"/>
          <w:spacing w:val="-4"/>
          <w:w w:val="115"/>
          <w:sz w:val="18"/>
        </w:rPr>
        <w:t>Ries,</w:t>
      </w:r>
    </w:p>
    <w:p>
      <w:pPr>
        <w:spacing w:line="247" w:lineRule="auto" w:before="0"/>
        <w:ind w:left="500" w:right="182" w:firstLine="0"/>
        <w:jc w:val="left"/>
        <w:rPr>
          <w:sz w:val="18"/>
        </w:rPr>
      </w:pPr>
      <w:r>
        <w:rPr>
          <w:color w:val="4C4D4F"/>
          <w:w w:val="110"/>
          <w:sz w:val="18"/>
        </w:rPr>
        <w:t>D. A. Fiellin, S. C. </w:t>
      </w:r>
      <w:r>
        <w:rPr>
          <w:color w:val="4C4D4F"/>
          <w:spacing w:val="-3"/>
          <w:w w:val="110"/>
          <w:sz w:val="18"/>
        </w:rPr>
        <w:t>Miller, </w:t>
      </w:r>
      <w:r>
        <w:rPr>
          <w:color w:val="4C4D4F"/>
          <w:w w:val="110"/>
          <w:sz w:val="18"/>
        </w:rPr>
        <w:t>&amp; R. Saitz (Eds.), </w:t>
      </w:r>
      <w:r>
        <w:rPr>
          <w:rFonts w:ascii="Arial" w:hAnsi="Arial"/>
          <w:i/>
          <w:color w:val="4C4D4F"/>
          <w:w w:val="110"/>
          <w:sz w:val="18"/>
        </w:rPr>
        <w:t>The ASAM </w:t>
      </w:r>
      <w:r>
        <w:rPr>
          <w:rFonts w:ascii="Arial" w:hAnsi="Arial"/>
          <w:i/>
          <w:color w:val="4C4D4F"/>
          <w:w w:val="110"/>
          <w:sz w:val="18"/>
        </w:rPr>
        <w:t>principles</w:t>
      </w:r>
      <w:r>
        <w:rPr>
          <w:rFonts w:ascii="Arial" w:hAnsi="Arial"/>
          <w:i/>
          <w:color w:val="4C4D4F"/>
          <w:spacing w:val="-24"/>
          <w:w w:val="110"/>
          <w:sz w:val="18"/>
        </w:rPr>
        <w:t> </w:t>
      </w:r>
      <w:r>
        <w:rPr>
          <w:rFonts w:ascii="Arial" w:hAnsi="Arial"/>
          <w:i/>
          <w:color w:val="4C4D4F"/>
          <w:w w:val="110"/>
          <w:sz w:val="18"/>
        </w:rPr>
        <w:t>of</w:t>
      </w:r>
      <w:r>
        <w:rPr>
          <w:rFonts w:ascii="Arial" w:hAnsi="Arial"/>
          <w:i/>
          <w:color w:val="4C4D4F"/>
          <w:spacing w:val="-24"/>
          <w:w w:val="110"/>
          <w:sz w:val="18"/>
        </w:rPr>
        <w:t> </w:t>
      </w:r>
      <w:r>
        <w:rPr>
          <w:rFonts w:ascii="Arial" w:hAnsi="Arial"/>
          <w:i/>
          <w:color w:val="4C4D4F"/>
          <w:w w:val="110"/>
          <w:sz w:val="18"/>
        </w:rPr>
        <w:t>addiction</w:t>
      </w:r>
      <w:r>
        <w:rPr>
          <w:rFonts w:ascii="Arial" w:hAnsi="Arial"/>
          <w:i/>
          <w:color w:val="4C4D4F"/>
          <w:spacing w:val="-23"/>
          <w:w w:val="110"/>
          <w:sz w:val="18"/>
        </w:rPr>
        <w:t> </w:t>
      </w:r>
      <w:r>
        <w:rPr>
          <w:rFonts w:ascii="Arial" w:hAnsi="Arial"/>
          <w:i/>
          <w:color w:val="4C4D4F"/>
          <w:w w:val="110"/>
          <w:sz w:val="18"/>
        </w:rPr>
        <w:t>medicine</w:t>
      </w:r>
      <w:r>
        <w:rPr>
          <w:rFonts w:ascii="Arial" w:hAnsi="Arial"/>
          <w:i/>
          <w:color w:val="4C4D4F"/>
          <w:spacing w:val="-24"/>
          <w:w w:val="110"/>
          <w:sz w:val="18"/>
        </w:rPr>
        <w:t> </w:t>
      </w:r>
      <w:r>
        <w:rPr>
          <w:color w:val="4C4D4F"/>
          <w:w w:val="110"/>
          <w:sz w:val="18"/>
        </w:rPr>
        <w:t>(5th</w:t>
      </w:r>
      <w:r>
        <w:rPr>
          <w:color w:val="4C4D4F"/>
          <w:spacing w:val="-24"/>
          <w:w w:val="110"/>
          <w:sz w:val="18"/>
        </w:rPr>
        <w:t> </w:t>
      </w:r>
      <w:r>
        <w:rPr>
          <w:color w:val="4C4D4F"/>
          <w:w w:val="110"/>
          <w:sz w:val="18"/>
        </w:rPr>
        <w:t>ed.,</w:t>
      </w:r>
      <w:r>
        <w:rPr>
          <w:color w:val="4C4D4F"/>
          <w:spacing w:val="-23"/>
          <w:w w:val="110"/>
          <w:sz w:val="18"/>
        </w:rPr>
        <w:t> </w:t>
      </w:r>
      <w:r>
        <w:rPr>
          <w:color w:val="4C4D4F"/>
          <w:w w:val="110"/>
          <w:sz w:val="18"/>
        </w:rPr>
        <w:t>pp.</w:t>
      </w:r>
      <w:r>
        <w:rPr>
          <w:color w:val="4C4D4F"/>
          <w:spacing w:val="-24"/>
          <w:w w:val="110"/>
          <w:sz w:val="18"/>
        </w:rPr>
        <w:t> </w:t>
      </w:r>
      <w:r>
        <w:rPr>
          <w:color w:val="4C4D4F"/>
          <w:w w:val="110"/>
          <w:sz w:val="18"/>
        </w:rPr>
        <w:t>745–758). Philadelphia, </w:t>
      </w:r>
      <w:r>
        <w:rPr>
          <w:color w:val="4C4D4F"/>
          <w:spacing w:val="-5"/>
          <w:w w:val="110"/>
          <w:sz w:val="18"/>
        </w:rPr>
        <w:t>PA: </w:t>
      </w:r>
      <w:r>
        <w:rPr>
          <w:color w:val="4C4D4F"/>
          <w:w w:val="110"/>
          <w:sz w:val="18"/>
        </w:rPr>
        <w:t>Wolters</w:t>
      </w:r>
      <w:r>
        <w:rPr>
          <w:color w:val="4C4D4F"/>
          <w:spacing w:val="-12"/>
          <w:w w:val="110"/>
          <w:sz w:val="18"/>
        </w:rPr>
        <w:t> </w:t>
      </w:r>
      <w:r>
        <w:rPr>
          <w:color w:val="4C4D4F"/>
          <w:spacing w:val="-3"/>
          <w:w w:val="110"/>
          <w:sz w:val="18"/>
        </w:rPr>
        <w:t>Kluwer.</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20"/>
          <w:sz w:val="18"/>
        </w:rPr>
        <w:t>Drozdick,</w:t>
      </w:r>
      <w:r>
        <w:rPr>
          <w:color w:val="4C4D4F"/>
          <w:spacing w:val="-24"/>
          <w:w w:val="120"/>
          <w:sz w:val="18"/>
        </w:rPr>
        <w:t> </w:t>
      </w:r>
      <w:r>
        <w:rPr>
          <w:color w:val="4C4D4F"/>
          <w:w w:val="120"/>
          <w:sz w:val="18"/>
        </w:rPr>
        <w:t>J.,</w:t>
      </w:r>
      <w:r>
        <w:rPr>
          <w:color w:val="4C4D4F"/>
          <w:spacing w:val="-24"/>
          <w:w w:val="120"/>
          <w:sz w:val="18"/>
        </w:rPr>
        <w:t> </w:t>
      </w:r>
      <w:r>
        <w:rPr>
          <w:color w:val="4C4D4F"/>
          <w:w w:val="120"/>
          <w:sz w:val="18"/>
        </w:rPr>
        <w:t>III,</w:t>
      </w:r>
      <w:r>
        <w:rPr>
          <w:color w:val="4C4D4F"/>
          <w:spacing w:val="-23"/>
          <w:w w:val="120"/>
          <w:sz w:val="18"/>
        </w:rPr>
        <w:t> </w:t>
      </w:r>
      <w:r>
        <w:rPr>
          <w:color w:val="4C4D4F"/>
          <w:w w:val="120"/>
          <w:sz w:val="18"/>
        </w:rPr>
        <w:t>Berghella,</w:t>
      </w:r>
      <w:r>
        <w:rPr>
          <w:color w:val="4C4D4F"/>
          <w:spacing w:val="-24"/>
          <w:w w:val="120"/>
          <w:sz w:val="18"/>
        </w:rPr>
        <w:t> </w:t>
      </w:r>
      <w:r>
        <w:rPr>
          <w:color w:val="4C4D4F"/>
          <w:spacing w:val="-8"/>
          <w:w w:val="120"/>
          <w:sz w:val="18"/>
        </w:rPr>
        <w:t>V.,</w:t>
      </w:r>
      <w:r>
        <w:rPr>
          <w:color w:val="4C4D4F"/>
          <w:spacing w:val="-23"/>
          <w:w w:val="120"/>
          <w:sz w:val="18"/>
        </w:rPr>
        <w:t> </w:t>
      </w:r>
      <w:r>
        <w:rPr>
          <w:color w:val="4C4D4F"/>
          <w:w w:val="120"/>
          <w:sz w:val="18"/>
        </w:rPr>
        <w:t>Hill,</w:t>
      </w:r>
      <w:r>
        <w:rPr>
          <w:color w:val="4C4D4F"/>
          <w:spacing w:val="-24"/>
          <w:w w:val="120"/>
          <w:sz w:val="18"/>
        </w:rPr>
        <w:t> </w:t>
      </w:r>
      <w:r>
        <w:rPr>
          <w:color w:val="4C4D4F"/>
          <w:w w:val="120"/>
          <w:sz w:val="18"/>
        </w:rPr>
        <w:t>M.,</w:t>
      </w:r>
      <w:r>
        <w:rPr>
          <w:color w:val="4C4D4F"/>
          <w:spacing w:val="-23"/>
          <w:w w:val="120"/>
          <w:sz w:val="18"/>
        </w:rPr>
        <w:t> </w:t>
      </w:r>
      <w:r>
        <w:rPr>
          <w:color w:val="4C4D4F"/>
          <w:w w:val="120"/>
          <w:sz w:val="18"/>
        </w:rPr>
        <w:t>&amp;</w:t>
      </w:r>
      <w:r>
        <w:rPr>
          <w:color w:val="4C4D4F"/>
          <w:spacing w:val="-24"/>
          <w:w w:val="120"/>
          <w:sz w:val="18"/>
        </w:rPr>
        <w:t> </w:t>
      </w:r>
      <w:r>
        <w:rPr>
          <w:color w:val="4C4D4F"/>
          <w:w w:val="120"/>
          <w:sz w:val="18"/>
        </w:rPr>
        <w:t>Kaltenbach,</w:t>
      </w:r>
    </w:p>
    <w:p>
      <w:pPr>
        <w:spacing w:line="249" w:lineRule="auto" w:before="7"/>
        <w:ind w:left="500" w:right="594" w:firstLine="0"/>
        <w:jc w:val="left"/>
        <w:rPr>
          <w:sz w:val="18"/>
        </w:rPr>
      </w:pPr>
      <w:r>
        <w:rPr>
          <w:color w:val="4C4D4F"/>
          <w:w w:val="105"/>
          <w:sz w:val="18"/>
        </w:rPr>
        <w:t>K. (2002). Methadone trough levels in </w:t>
      </w:r>
      <w:r>
        <w:rPr>
          <w:color w:val="4C4D4F"/>
          <w:spacing w:val="-4"/>
          <w:w w:val="105"/>
          <w:sz w:val="18"/>
        </w:rPr>
        <w:t>pregnancy. </w:t>
      </w:r>
      <w:r>
        <w:rPr>
          <w:rFonts w:ascii="Arial" w:hAnsi="Arial"/>
          <w:i/>
          <w:color w:val="4C4D4F"/>
          <w:w w:val="105"/>
          <w:sz w:val="18"/>
        </w:rPr>
        <w:t>American</w:t>
      </w:r>
      <w:r>
        <w:rPr>
          <w:rFonts w:ascii="Arial" w:hAnsi="Arial"/>
          <w:i/>
          <w:color w:val="4C4D4F"/>
          <w:spacing w:val="-24"/>
          <w:w w:val="105"/>
          <w:sz w:val="18"/>
        </w:rPr>
        <w:t> </w:t>
      </w:r>
      <w:r>
        <w:rPr>
          <w:rFonts w:ascii="Arial" w:hAnsi="Arial"/>
          <w:i/>
          <w:color w:val="4C4D4F"/>
          <w:w w:val="105"/>
          <w:sz w:val="18"/>
        </w:rPr>
        <w:t>Journal</w:t>
      </w:r>
      <w:r>
        <w:rPr>
          <w:rFonts w:ascii="Arial" w:hAnsi="Arial"/>
          <w:i/>
          <w:color w:val="4C4D4F"/>
          <w:spacing w:val="-23"/>
          <w:w w:val="105"/>
          <w:sz w:val="18"/>
        </w:rPr>
        <w:t> </w:t>
      </w:r>
      <w:r>
        <w:rPr>
          <w:rFonts w:ascii="Arial" w:hAnsi="Arial"/>
          <w:i/>
          <w:color w:val="4C4D4F"/>
          <w:w w:val="105"/>
          <w:sz w:val="18"/>
        </w:rPr>
        <w:t>of</w:t>
      </w:r>
      <w:r>
        <w:rPr>
          <w:rFonts w:ascii="Arial" w:hAnsi="Arial"/>
          <w:i/>
          <w:color w:val="4C4D4F"/>
          <w:spacing w:val="-23"/>
          <w:w w:val="105"/>
          <w:sz w:val="18"/>
        </w:rPr>
        <w:t> </w:t>
      </w:r>
      <w:r>
        <w:rPr>
          <w:rFonts w:ascii="Arial" w:hAnsi="Arial"/>
          <w:i/>
          <w:color w:val="4C4D4F"/>
          <w:w w:val="105"/>
          <w:sz w:val="18"/>
        </w:rPr>
        <w:t>Obstetrics</w:t>
      </w:r>
      <w:r>
        <w:rPr>
          <w:rFonts w:ascii="Arial" w:hAnsi="Arial"/>
          <w:i/>
          <w:color w:val="4C4D4F"/>
          <w:spacing w:val="-23"/>
          <w:w w:val="105"/>
          <w:sz w:val="18"/>
        </w:rPr>
        <w:t> </w:t>
      </w:r>
      <w:r>
        <w:rPr>
          <w:rFonts w:ascii="Arial" w:hAnsi="Arial"/>
          <w:i/>
          <w:color w:val="4C4D4F"/>
          <w:w w:val="105"/>
          <w:sz w:val="18"/>
        </w:rPr>
        <w:t>and</w:t>
      </w:r>
      <w:r>
        <w:rPr>
          <w:rFonts w:ascii="Arial" w:hAnsi="Arial"/>
          <w:i/>
          <w:color w:val="4C4D4F"/>
          <w:spacing w:val="-24"/>
          <w:w w:val="105"/>
          <w:sz w:val="18"/>
        </w:rPr>
        <w:t> </w:t>
      </w:r>
      <w:r>
        <w:rPr>
          <w:rFonts w:ascii="Arial" w:hAnsi="Arial"/>
          <w:i/>
          <w:color w:val="4C4D4F"/>
          <w:w w:val="105"/>
          <w:sz w:val="18"/>
        </w:rPr>
        <w:t>Gynecology, </w:t>
      </w:r>
      <w:r>
        <w:rPr>
          <w:rFonts w:ascii="Arial" w:hAnsi="Arial"/>
          <w:i/>
          <w:color w:val="4C4D4F"/>
          <w:w w:val="105"/>
          <w:sz w:val="18"/>
        </w:rPr>
        <w:t>187</w:t>
      </w:r>
      <w:r>
        <w:rPr>
          <w:color w:val="4C4D4F"/>
          <w:w w:val="105"/>
          <w:sz w:val="18"/>
        </w:rPr>
        <w:t>(5),</w:t>
      </w:r>
      <w:r>
        <w:rPr>
          <w:color w:val="4C4D4F"/>
          <w:spacing w:val="-2"/>
          <w:w w:val="105"/>
          <w:sz w:val="18"/>
        </w:rPr>
        <w:t> </w:t>
      </w:r>
      <w:r>
        <w:rPr>
          <w:color w:val="4C4D4F"/>
          <w:w w:val="105"/>
          <w:sz w:val="18"/>
        </w:rPr>
        <w:t>1184–1188.</w:t>
      </w:r>
    </w:p>
    <w:p>
      <w:pPr>
        <w:pStyle w:val="ListParagraph"/>
        <w:numPr>
          <w:ilvl w:val="0"/>
          <w:numId w:val="51"/>
        </w:numPr>
        <w:tabs>
          <w:tab w:pos="500" w:val="left" w:leader="none"/>
        </w:tabs>
        <w:spacing w:line="247" w:lineRule="auto" w:before="69" w:after="0"/>
        <w:ind w:left="500" w:right="329"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8"/>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337" w:hanging="360"/>
        <w:jc w:val="left"/>
        <w:rPr>
          <w:color w:val="4C4D4F"/>
          <w:sz w:val="18"/>
        </w:rPr>
      </w:pPr>
      <w:r>
        <w:rPr>
          <w:color w:val="4C4D4F"/>
          <w:w w:val="115"/>
          <w:sz w:val="18"/>
        </w:rPr>
        <w:t>Food</w:t>
      </w:r>
      <w:r>
        <w:rPr>
          <w:color w:val="4C4D4F"/>
          <w:spacing w:val="-34"/>
          <w:w w:val="115"/>
          <w:sz w:val="18"/>
        </w:rPr>
        <w:t> </w:t>
      </w:r>
      <w:r>
        <w:rPr>
          <w:color w:val="4C4D4F"/>
          <w:w w:val="115"/>
          <w:sz w:val="18"/>
        </w:rPr>
        <w:t>and</w:t>
      </w:r>
      <w:r>
        <w:rPr>
          <w:color w:val="4C4D4F"/>
          <w:spacing w:val="-33"/>
          <w:w w:val="115"/>
          <w:sz w:val="18"/>
        </w:rPr>
        <w:t> </w:t>
      </w:r>
      <w:r>
        <w:rPr>
          <w:color w:val="4C4D4F"/>
          <w:w w:val="115"/>
          <w:sz w:val="18"/>
        </w:rPr>
        <w:t>Drug</w:t>
      </w:r>
      <w:r>
        <w:rPr>
          <w:color w:val="4C4D4F"/>
          <w:spacing w:val="-33"/>
          <w:w w:val="115"/>
          <w:sz w:val="18"/>
        </w:rPr>
        <w:t> </w:t>
      </w:r>
      <w:r>
        <w:rPr>
          <w:color w:val="4C4D4F"/>
          <w:w w:val="115"/>
          <w:sz w:val="18"/>
        </w:rPr>
        <w:t>Administration.</w:t>
      </w:r>
      <w:r>
        <w:rPr>
          <w:color w:val="4C4D4F"/>
          <w:spacing w:val="-33"/>
          <w:w w:val="115"/>
          <w:sz w:val="18"/>
        </w:rPr>
        <w:t> </w:t>
      </w:r>
      <w:r>
        <w:rPr>
          <w:color w:val="4C4D4F"/>
          <w:w w:val="115"/>
          <w:sz w:val="18"/>
        </w:rPr>
        <w:t>(2008).</w:t>
      </w:r>
      <w:r>
        <w:rPr>
          <w:color w:val="4C4D4F"/>
          <w:spacing w:val="-33"/>
          <w:w w:val="115"/>
          <w:sz w:val="18"/>
        </w:rPr>
        <w:t> </w:t>
      </w:r>
      <w:r>
        <w:rPr>
          <w:color w:val="4C4D4F"/>
          <w:w w:val="115"/>
          <w:sz w:val="18"/>
        </w:rPr>
        <w:t>Methadose™ oral</w:t>
      </w:r>
      <w:r>
        <w:rPr>
          <w:color w:val="4C4D4F"/>
          <w:spacing w:val="-29"/>
          <w:w w:val="115"/>
          <w:sz w:val="18"/>
        </w:rPr>
        <w:t> </w:t>
      </w:r>
      <w:r>
        <w:rPr>
          <w:color w:val="4C4D4F"/>
          <w:w w:val="115"/>
          <w:sz w:val="18"/>
        </w:rPr>
        <w:t>concentrate.</w:t>
      </w:r>
      <w:r>
        <w:rPr>
          <w:color w:val="4C4D4F"/>
          <w:spacing w:val="-28"/>
          <w:w w:val="115"/>
          <w:sz w:val="18"/>
        </w:rPr>
        <w:t> </w:t>
      </w:r>
      <w:r>
        <w:rPr>
          <w:color w:val="4C4D4F"/>
          <w:w w:val="115"/>
          <w:sz w:val="18"/>
        </w:rPr>
        <w:t>Retrieved</w:t>
      </w:r>
      <w:r>
        <w:rPr>
          <w:color w:val="4C4D4F"/>
          <w:spacing w:val="-28"/>
          <w:w w:val="115"/>
          <w:sz w:val="18"/>
        </w:rPr>
        <w:t> </w:t>
      </w:r>
      <w:r>
        <w:rPr>
          <w:color w:val="4C4D4F"/>
          <w:w w:val="115"/>
          <w:sz w:val="18"/>
        </w:rPr>
        <w:t>October</w:t>
      </w:r>
      <w:r>
        <w:rPr>
          <w:color w:val="4C4D4F"/>
          <w:spacing w:val="-28"/>
          <w:w w:val="115"/>
          <w:sz w:val="18"/>
        </w:rPr>
        <w:t> </w:t>
      </w:r>
      <w:r>
        <w:rPr>
          <w:color w:val="4C4D4F"/>
          <w:w w:val="115"/>
          <w:sz w:val="18"/>
        </w:rPr>
        <w:t>16,</w:t>
      </w:r>
      <w:r>
        <w:rPr>
          <w:color w:val="4C4D4F"/>
          <w:spacing w:val="-28"/>
          <w:w w:val="115"/>
          <w:sz w:val="18"/>
        </w:rPr>
        <w:t> </w:t>
      </w:r>
      <w:r>
        <w:rPr>
          <w:color w:val="4C4D4F"/>
          <w:w w:val="115"/>
          <w:sz w:val="18"/>
        </w:rPr>
        <w:t>2017,</w:t>
      </w:r>
      <w:r>
        <w:rPr>
          <w:color w:val="4C4D4F"/>
          <w:spacing w:val="-28"/>
          <w:w w:val="115"/>
          <w:sz w:val="18"/>
        </w:rPr>
        <w:t> </w:t>
      </w:r>
      <w:r>
        <w:rPr>
          <w:color w:val="4C4D4F"/>
          <w:w w:val="115"/>
          <w:sz w:val="18"/>
        </w:rPr>
        <w:t>from</w:t>
      </w:r>
      <w:r>
        <w:rPr>
          <w:color w:val="205E9E"/>
          <w:w w:val="115"/>
          <w:sz w:val="18"/>
          <w:u w:val="single" w:color="205E9E"/>
        </w:rPr>
        <w:t> </w:t>
      </w:r>
      <w:hyperlink r:id="rId98">
        <w:r>
          <w:rPr>
            <w:color w:val="205E9E"/>
            <w:spacing w:val="-1"/>
            <w:w w:val="115"/>
            <w:sz w:val="18"/>
            <w:u w:val="single" w:color="205E9E"/>
          </w:rPr>
          <w:t>www.accessdata.fda.gov/drugsatfda_docs/label/2008</w:t>
        </w:r>
      </w:hyperlink>
    </w:p>
    <w:p>
      <w:pPr>
        <w:spacing w:before="3"/>
        <w:ind w:left="500" w:right="0" w:firstLine="0"/>
        <w:jc w:val="left"/>
        <w:rPr>
          <w:sz w:val="18"/>
        </w:rPr>
      </w:pPr>
      <w:r>
        <w:rPr>
          <w:color w:val="205E9E"/>
          <w:w w:val="115"/>
          <w:sz w:val="18"/>
          <w:u w:val="single" w:color="205E9E"/>
        </w:rPr>
        <w:t>/017116s021lbl.pdf</w:t>
      </w:r>
    </w:p>
    <w:p>
      <w:pPr>
        <w:pStyle w:val="ListParagraph"/>
        <w:numPr>
          <w:ilvl w:val="0"/>
          <w:numId w:val="51"/>
        </w:numPr>
        <w:tabs>
          <w:tab w:pos="500" w:val="left" w:leader="none"/>
        </w:tabs>
        <w:spacing w:line="247" w:lineRule="auto" w:before="79" w:after="0"/>
        <w:ind w:left="500" w:right="205" w:hanging="360"/>
        <w:jc w:val="left"/>
        <w:rPr>
          <w:color w:val="4C4D4F"/>
          <w:sz w:val="18"/>
        </w:rPr>
      </w:pPr>
      <w:r>
        <w:rPr>
          <w:color w:val="4C4D4F"/>
          <w:w w:val="110"/>
          <w:sz w:val="18"/>
        </w:rPr>
        <w:t>Department of Veterans Affairs &amp; Department of Defense.</w:t>
      </w:r>
      <w:r>
        <w:rPr>
          <w:color w:val="4C4D4F"/>
          <w:spacing w:val="-33"/>
          <w:w w:val="110"/>
          <w:sz w:val="18"/>
        </w:rPr>
        <w:t> </w:t>
      </w:r>
      <w:r>
        <w:rPr>
          <w:color w:val="4C4D4F"/>
          <w:w w:val="110"/>
          <w:sz w:val="18"/>
        </w:rPr>
        <w:t>(2015).</w:t>
      </w:r>
      <w:r>
        <w:rPr>
          <w:color w:val="4C4D4F"/>
          <w:spacing w:val="-33"/>
          <w:w w:val="110"/>
          <w:sz w:val="18"/>
        </w:rPr>
        <w:t> </w:t>
      </w:r>
      <w:r>
        <w:rPr>
          <w:rFonts w:ascii="Arial"/>
          <w:i/>
          <w:color w:val="4C4D4F"/>
          <w:w w:val="110"/>
          <w:sz w:val="18"/>
        </w:rPr>
        <w:t>VA/DoD</w:t>
      </w:r>
      <w:r>
        <w:rPr>
          <w:rFonts w:ascii="Arial"/>
          <w:i/>
          <w:color w:val="4C4D4F"/>
          <w:spacing w:val="-32"/>
          <w:w w:val="110"/>
          <w:sz w:val="18"/>
        </w:rPr>
        <w:t> </w:t>
      </w:r>
      <w:r>
        <w:rPr>
          <w:rFonts w:ascii="Arial"/>
          <w:i/>
          <w:color w:val="4C4D4F"/>
          <w:w w:val="110"/>
          <w:sz w:val="18"/>
        </w:rPr>
        <w:t>clinical</w:t>
      </w:r>
      <w:r>
        <w:rPr>
          <w:rFonts w:ascii="Arial"/>
          <w:i/>
          <w:color w:val="4C4D4F"/>
          <w:spacing w:val="-33"/>
          <w:w w:val="110"/>
          <w:sz w:val="18"/>
        </w:rPr>
        <w:t> </w:t>
      </w:r>
      <w:r>
        <w:rPr>
          <w:rFonts w:ascii="Arial"/>
          <w:i/>
          <w:color w:val="4C4D4F"/>
          <w:w w:val="110"/>
          <w:sz w:val="18"/>
        </w:rPr>
        <w:t>practice</w:t>
      </w:r>
      <w:r>
        <w:rPr>
          <w:rFonts w:ascii="Arial"/>
          <w:i/>
          <w:color w:val="4C4D4F"/>
          <w:spacing w:val="-32"/>
          <w:w w:val="110"/>
          <w:sz w:val="18"/>
        </w:rPr>
        <w:t> </w:t>
      </w:r>
      <w:r>
        <w:rPr>
          <w:rFonts w:ascii="Arial"/>
          <w:i/>
          <w:color w:val="4C4D4F"/>
          <w:w w:val="110"/>
          <w:sz w:val="18"/>
        </w:rPr>
        <w:t>guideline</w:t>
      </w:r>
      <w:r>
        <w:rPr>
          <w:rFonts w:ascii="Arial"/>
          <w:i/>
          <w:color w:val="4C4D4F"/>
          <w:spacing w:val="-33"/>
          <w:w w:val="110"/>
          <w:sz w:val="18"/>
        </w:rPr>
        <w:t> </w:t>
      </w:r>
      <w:r>
        <w:rPr>
          <w:rFonts w:ascii="Arial"/>
          <w:i/>
          <w:color w:val="4C4D4F"/>
          <w:w w:val="110"/>
          <w:sz w:val="18"/>
        </w:rPr>
        <w:t>for </w:t>
      </w:r>
      <w:r>
        <w:rPr>
          <w:rFonts w:ascii="Arial"/>
          <w:i/>
          <w:color w:val="4C4D4F"/>
          <w:w w:val="105"/>
          <w:sz w:val="18"/>
        </w:rPr>
        <w:t>the</w:t>
      </w:r>
      <w:r>
        <w:rPr>
          <w:rFonts w:ascii="Arial"/>
          <w:i/>
          <w:color w:val="4C4D4F"/>
          <w:spacing w:val="-23"/>
          <w:w w:val="105"/>
          <w:sz w:val="18"/>
        </w:rPr>
        <w:t> </w:t>
      </w:r>
      <w:r>
        <w:rPr>
          <w:rFonts w:ascii="Arial"/>
          <w:i/>
          <w:color w:val="4C4D4F"/>
          <w:w w:val="105"/>
          <w:sz w:val="18"/>
        </w:rPr>
        <w:t>management</w:t>
      </w:r>
      <w:r>
        <w:rPr>
          <w:rFonts w:ascii="Arial"/>
          <w:i/>
          <w:color w:val="4C4D4F"/>
          <w:spacing w:val="-23"/>
          <w:w w:val="105"/>
          <w:sz w:val="18"/>
        </w:rPr>
        <w:t> </w:t>
      </w:r>
      <w:r>
        <w:rPr>
          <w:rFonts w:ascii="Arial"/>
          <w:i/>
          <w:color w:val="4C4D4F"/>
          <w:w w:val="105"/>
          <w:sz w:val="18"/>
        </w:rPr>
        <w:t>of</w:t>
      </w:r>
      <w:r>
        <w:rPr>
          <w:rFonts w:ascii="Arial"/>
          <w:i/>
          <w:color w:val="4C4D4F"/>
          <w:spacing w:val="-22"/>
          <w:w w:val="105"/>
          <w:sz w:val="18"/>
        </w:rPr>
        <w:t> </w:t>
      </w:r>
      <w:r>
        <w:rPr>
          <w:rFonts w:ascii="Arial"/>
          <w:i/>
          <w:color w:val="4C4D4F"/>
          <w:w w:val="105"/>
          <w:sz w:val="18"/>
        </w:rPr>
        <w:t>substance</w:t>
      </w:r>
      <w:r>
        <w:rPr>
          <w:rFonts w:ascii="Arial"/>
          <w:i/>
          <w:color w:val="4C4D4F"/>
          <w:spacing w:val="-23"/>
          <w:w w:val="105"/>
          <w:sz w:val="18"/>
        </w:rPr>
        <w:t> </w:t>
      </w:r>
      <w:r>
        <w:rPr>
          <w:rFonts w:ascii="Arial"/>
          <w:i/>
          <w:color w:val="4C4D4F"/>
          <w:w w:val="105"/>
          <w:sz w:val="18"/>
        </w:rPr>
        <w:t>use</w:t>
      </w:r>
      <w:r>
        <w:rPr>
          <w:rFonts w:ascii="Arial"/>
          <w:i/>
          <w:color w:val="4C4D4F"/>
          <w:spacing w:val="-22"/>
          <w:w w:val="105"/>
          <w:sz w:val="18"/>
        </w:rPr>
        <w:t> </w:t>
      </w:r>
      <w:r>
        <w:rPr>
          <w:rFonts w:ascii="Arial"/>
          <w:i/>
          <w:color w:val="4C4D4F"/>
          <w:w w:val="105"/>
          <w:sz w:val="18"/>
        </w:rPr>
        <w:t>disorders.</w:t>
      </w:r>
      <w:r>
        <w:rPr>
          <w:rFonts w:ascii="Arial"/>
          <w:i/>
          <w:color w:val="4C4D4F"/>
          <w:spacing w:val="-23"/>
          <w:w w:val="105"/>
          <w:sz w:val="18"/>
        </w:rPr>
        <w:t> </w:t>
      </w:r>
      <w:r>
        <w:rPr>
          <w:color w:val="4C4D4F"/>
          <w:w w:val="105"/>
          <w:sz w:val="18"/>
        </w:rPr>
        <w:t>Retrieved </w:t>
      </w:r>
      <w:r>
        <w:rPr>
          <w:color w:val="4C4D4F"/>
          <w:w w:val="110"/>
          <w:sz w:val="18"/>
        </w:rPr>
        <w:t>October 16, 2017, from</w:t>
      </w:r>
      <w:r>
        <w:rPr>
          <w:color w:val="205E9E"/>
          <w:spacing w:val="-15"/>
          <w:w w:val="110"/>
          <w:sz w:val="18"/>
        </w:rPr>
        <w:t> </w:t>
      </w:r>
      <w:hyperlink r:id="rId93">
        <w:r>
          <w:rPr>
            <w:color w:val="205E9E"/>
            <w:w w:val="110"/>
            <w:sz w:val="18"/>
            <w:u w:val="single" w:color="205E9E"/>
          </w:rPr>
          <w:t>www.healthquality.va.gov</w:t>
        </w:r>
      </w:hyperlink>
    </w:p>
    <w:p>
      <w:pPr>
        <w:spacing w:before="1"/>
        <w:ind w:left="500" w:right="0" w:firstLine="0"/>
        <w:jc w:val="left"/>
        <w:rPr>
          <w:sz w:val="18"/>
        </w:rPr>
      </w:pPr>
      <w:r>
        <w:rPr>
          <w:color w:val="205E9E"/>
          <w:w w:val="110"/>
          <w:sz w:val="18"/>
          <w:u w:val="single" w:color="205E9E"/>
        </w:rPr>
        <w:t>/guidelines/MH/sud/VADoDSUDCPGRevised22216.pdf</w:t>
      </w:r>
    </w:p>
    <w:p>
      <w:pPr>
        <w:pStyle w:val="ListParagraph"/>
        <w:numPr>
          <w:ilvl w:val="0"/>
          <w:numId w:val="51"/>
        </w:numPr>
        <w:tabs>
          <w:tab w:pos="500" w:val="left" w:leader="none"/>
        </w:tabs>
        <w:spacing w:line="247" w:lineRule="auto" w:before="79" w:after="0"/>
        <w:ind w:left="500" w:right="498" w:hanging="360"/>
        <w:jc w:val="left"/>
        <w:rPr>
          <w:color w:val="4C4D4F"/>
          <w:sz w:val="18"/>
        </w:rPr>
      </w:pPr>
      <w:r>
        <w:rPr>
          <w:color w:val="4C4D4F"/>
          <w:spacing w:val="-3"/>
          <w:w w:val="110"/>
          <w:sz w:val="18"/>
        </w:rPr>
        <w:t>Stitzer, </w:t>
      </w:r>
      <w:r>
        <w:rPr>
          <w:color w:val="4C4D4F"/>
          <w:w w:val="110"/>
          <w:sz w:val="18"/>
        </w:rPr>
        <w:t>M. L., Iguchi, M. </w:t>
      </w:r>
      <w:r>
        <w:rPr>
          <w:color w:val="4C4D4F"/>
          <w:spacing w:val="-9"/>
          <w:w w:val="110"/>
          <w:sz w:val="18"/>
        </w:rPr>
        <w:t>Y., </w:t>
      </w:r>
      <w:r>
        <w:rPr>
          <w:color w:val="4C4D4F"/>
          <w:w w:val="110"/>
          <w:sz w:val="18"/>
        </w:rPr>
        <w:t>&amp; Felch, L. </w:t>
      </w:r>
      <w:r>
        <w:rPr>
          <w:color w:val="4C4D4F"/>
          <w:w w:val="135"/>
          <w:sz w:val="18"/>
        </w:rPr>
        <w:t>J. </w:t>
      </w:r>
      <w:r>
        <w:rPr>
          <w:color w:val="4C4D4F"/>
          <w:w w:val="110"/>
          <w:sz w:val="18"/>
        </w:rPr>
        <w:t>(1992). Contingent take-home incentive: Effects on drug use of methadone maintenance patients. </w:t>
      </w:r>
      <w:r>
        <w:rPr>
          <w:rFonts w:ascii="Arial" w:hAnsi="Arial"/>
          <w:i/>
          <w:color w:val="4C4D4F"/>
          <w:w w:val="110"/>
          <w:sz w:val="18"/>
        </w:rPr>
        <w:t>Journal </w:t>
      </w:r>
      <w:r>
        <w:rPr>
          <w:rFonts w:ascii="Arial" w:hAnsi="Arial"/>
          <w:i/>
          <w:color w:val="4C4D4F"/>
          <w:spacing w:val="-9"/>
          <w:w w:val="110"/>
          <w:sz w:val="18"/>
        </w:rPr>
        <w:t>of </w:t>
      </w:r>
      <w:r>
        <w:rPr>
          <w:rFonts w:ascii="Arial" w:hAnsi="Arial"/>
          <w:i/>
          <w:color w:val="4C4D4F"/>
          <w:w w:val="105"/>
          <w:sz w:val="18"/>
        </w:rPr>
        <w:t>Consulting</w:t>
      </w:r>
      <w:r>
        <w:rPr>
          <w:rFonts w:ascii="Arial" w:hAnsi="Arial"/>
          <w:i/>
          <w:color w:val="4C4D4F"/>
          <w:spacing w:val="-25"/>
          <w:w w:val="105"/>
          <w:sz w:val="18"/>
        </w:rPr>
        <w:t> </w:t>
      </w:r>
      <w:r>
        <w:rPr>
          <w:rFonts w:ascii="Arial" w:hAnsi="Arial"/>
          <w:i/>
          <w:color w:val="4C4D4F"/>
          <w:w w:val="105"/>
          <w:sz w:val="18"/>
        </w:rPr>
        <w:t>and</w:t>
      </w:r>
      <w:r>
        <w:rPr>
          <w:rFonts w:ascii="Arial" w:hAnsi="Arial"/>
          <w:i/>
          <w:color w:val="4C4D4F"/>
          <w:spacing w:val="-24"/>
          <w:w w:val="105"/>
          <w:sz w:val="18"/>
        </w:rPr>
        <w:t> </w:t>
      </w:r>
      <w:r>
        <w:rPr>
          <w:rFonts w:ascii="Arial" w:hAnsi="Arial"/>
          <w:i/>
          <w:color w:val="4C4D4F"/>
          <w:w w:val="105"/>
          <w:sz w:val="18"/>
        </w:rPr>
        <w:t>Clinical</w:t>
      </w:r>
      <w:r>
        <w:rPr>
          <w:rFonts w:ascii="Arial" w:hAnsi="Arial"/>
          <w:i/>
          <w:color w:val="4C4D4F"/>
          <w:spacing w:val="-24"/>
          <w:w w:val="105"/>
          <w:sz w:val="18"/>
        </w:rPr>
        <w:t> </w:t>
      </w:r>
      <w:r>
        <w:rPr>
          <w:rFonts w:ascii="Arial" w:hAnsi="Arial"/>
          <w:i/>
          <w:color w:val="4C4D4F"/>
          <w:w w:val="105"/>
          <w:sz w:val="18"/>
        </w:rPr>
        <w:t>Psychology,</w:t>
      </w:r>
      <w:r>
        <w:rPr>
          <w:rFonts w:ascii="Arial" w:hAnsi="Arial"/>
          <w:i/>
          <w:color w:val="4C4D4F"/>
          <w:spacing w:val="-24"/>
          <w:w w:val="105"/>
          <w:sz w:val="18"/>
        </w:rPr>
        <w:t> </w:t>
      </w:r>
      <w:r>
        <w:rPr>
          <w:rFonts w:ascii="Arial" w:hAnsi="Arial"/>
          <w:i/>
          <w:color w:val="4C4D4F"/>
          <w:w w:val="105"/>
          <w:sz w:val="18"/>
        </w:rPr>
        <w:t>60</w:t>
      </w:r>
      <w:r>
        <w:rPr>
          <w:color w:val="4C4D4F"/>
          <w:w w:val="105"/>
          <w:sz w:val="18"/>
        </w:rPr>
        <w:t>(6),</w:t>
      </w:r>
      <w:r>
        <w:rPr>
          <w:color w:val="4C4D4F"/>
          <w:spacing w:val="-24"/>
          <w:w w:val="105"/>
          <w:sz w:val="18"/>
        </w:rPr>
        <w:t> </w:t>
      </w:r>
      <w:r>
        <w:rPr>
          <w:color w:val="4C4D4F"/>
          <w:w w:val="105"/>
          <w:sz w:val="18"/>
        </w:rPr>
        <w:t>927–934.</w:t>
      </w:r>
    </w:p>
    <w:p>
      <w:pPr>
        <w:pStyle w:val="ListParagraph"/>
        <w:numPr>
          <w:ilvl w:val="0"/>
          <w:numId w:val="51"/>
        </w:numPr>
        <w:tabs>
          <w:tab w:pos="500" w:val="left" w:leader="none"/>
        </w:tabs>
        <w:spacing w:line="247" w:lineRule="auto" w:before="73" w:after="0"/>
        <w:ind w:left="500" w:right="502" w:hanging="360"/>
        <w:jc w:val="left"/>
        <w:rPr>
          <w:color w:val="4C4D4F"/>
          <w:sz w:val="18"/>
        </w:rPr>
      </w:pPr>
      <w:r>
        <w:rPr>
          <w:color w:val="4C4D4F"/>
          <w:w w:val="115"/>
          <w:sz w:val="18"/>
        </w:rPr>
        <w:t>Gwin</w:t>
      </w:r>
      <w:r>
        <w:rPr>
          <w:color w:val="4C4D4F"/>
          <w:spacing w:val="-15"/>
          <w:w w:val="115"/>
          <w:sz w:val="18"/>
        </w:rPr>
        <w:t> </w:t>
      </w:r>
      <w:r>
        <w:rPr>
          <w:color w:val="4C4D4F"/>
          <w:w w:val="115"/>
          <w:sz w:val="18"/>
        </w:rPr>
        <w:t>Mitchell,</w:t>
      </w:r>
      <w:r>
        <w:rPr>
          <w:color w:val="4C4D4F"/>
          <w:spacing w:val="-15"/>
          <w:w w:val="115"/>
          <w:sz w:val="18"/>
        </w:rPr>
        <w:t> </w:t>
      </w:r>
      <w:r>
        <w:rPr>
          <w:color w:val="4C4D4F"/>
          <w:w w:val="115"/>
          <w:sz w:val="18"/>
        </w:rPr>
        <w:t>S.,</w:t>
      </w:r>
      <w:r>
        <w:rPr>
          <w:color w:val="4C4D4F"/>
          <w:spacing w:val="-14"/>
          <w:w w:val="115"/>
          <w:sz w:val="18"/>
        </w:rPr>
        <w:t> </w:t>
      </w:r>
      <w:r>
        <w:rPr>
          <w:color w:val="4C4D4F"/>
          <w:spacing w:val="-3"/>
          <w:w w:val="115"/>
          <w:sz w:val="18"/>
        </w:rPr>
        <w:t>Kelly,</w:t>
      </w:r>
      <w:r>
        <w:rPr>
          <w:color w:val="4C4D4F"/>
          <w:spacing w:val="-15"/>
          <w:w w:val="115"/>
          <w:sz w:val="18"/>
        </w:rPr>
        <w:t> </w:t>
      </w:r>
      <w:r>
        <w:rPr>
          <w:color w:val="4C4D4F"/>
          <w:w w:val="115"/>
          <w:sz w:val="18"/>
        </w:rPr>
        <w:t>S.</w:t>
      </w:r>
      <w:r>
        <w:rPr>
          <w:color w:val="4C4D4F"/>
          <w:spacing w:val="-15"/>
          <w:w w:val="115"/>
          <w:sz w:val="18"/>
        </w:rPr>
        <w:t> </w:t>
      </w:r>
      <w:r>
        <w:rPr>
          <w:color w:val="4C4D4F"/>
          <w:w w:val="115"/>
          <w:sz w:val="18"/>
        </w:rPr>
        <w:t>M.,</w:t>
      </w:r>
      <w:r>
        <w:rPr>
          <w:color w:val="4C4D4F"/>
          <w:spacing w:val="-14"/>
          <w:w w:val="115"/>
          <w:sz w:val="18"/>
        </w:rPr>
        <w:t> </w:t>
      </w:r>
      <w:r>
        <w:rPr>
          <w:color w:val="4C4D4F"/>
          <w:w w:val="115"/>
          <w:sz w:val="18"/>
        </w:rPr>
        <w:t>Brown,</w:t>
      </w:r>
      <w:r>
        <w:rPr>
          <w:color w:val="4C4D4F"/>
          <w:spacing w:val="-15"/>
          <w:w w:val="115"/>
          <w:sz w:val="18"/>
        </w:rPr>
        <w:t> </w:t>
      </w:r>
      <w:r>
        <w:rPr>
          <w:color w:val="4C4D4F"/>
          <w:w w:val="115"/>
          <w:sz w:val="18"/>
        </w:rPr>
        <w:t>B.</w:t>
      </w:r>
      <w:r>
        <w:rPr>
          <w:color w:val="4C4D4F"/>
          <w:spacing w:val="-15"/>
          <w:w w:val="115"/>
          <w:sz w:val="18"/>
        </w:rPr>
        <w:t> </w:t>
      </w:r>
      <w:r>
        <w:rPr>
          <w:color w:val="4C4D4F"/>
          <w:w w:val="115"/>
          <w:sz w:val="18"/>
        </w:rPr>
        <w:t>S.,</w:t>
      </w:r>
      <w:r>
        <w:rPr>
          <w:color w:val="4C4D4F"/>
          <w:spacing w:val="-14"/>
          <w:w w:val="115"/>
          <w:sz w:val="18"/>
        </w:rPr>
        <w:t> </w:t>
      </w:r>
      <w:r>
        <w:rPr>
          <w:color w:val="4C4D4F"/>
          <w:spacing w:val="-3"/>
          <w:w w:val="115"/>
          <w:sz w:val="18"/>
        </w:rPr>
        <w:t>Schacht </w:t>
      </w:r>
      <w:r>
        <w:rPr>
          <w:color w:val="4C4D4F"/>
          <w:w w:val="115"/>
          <w:sz w:val="18"/>
        </w:rPr>
        <w:t>Reisinger,</w:t>
      </w:r>
      <w:r>
        <w:rPr>
          <w:color w:val="4C4D4F"/>
          <w:spacing w:val="-24"/>
          <w:w w:val="115"/>
          <w:sz w:val="18"/>
        </w:rPr>
        <w:t> </w:t>
      </w:r>
      <w:r>
        <w:rPr>
          <w:color w:val="4C4D4F"/>
          <w:w w:val="115"/>
          <w:sz w:val="18"/>
        </w:rPr>
        <w:t>H.,</w:t>
      </w:r>
      <w:r>
        <w:rPr>
          <w:color w:val="4C4D4F"/>
          <w:spacing w:val="-23"/>
          <w:w w:val="115"/>
          <w:sz w:val="18"/>
        </w:rPr>
        <w:t> </w:t>
      </w:r>
      <w:r>
        <w:rPr>
          <w:color w:val="4C4D4F"/>
          <w:w w:val="115"/>
          <w:sz w:val="18"/>
        </w:rPr>
        <w:t>Peterson,</w:t>
      </w:r>
      <w:r>
        <w:rPr>
          <w:color w:val="4C4D4F"/>
          <w:spacing w:val="-23"/>
          <w:w w:val="115"/>
          <w:sz w:val="18"/>
        </w:rPr>
        <w:t> </w:t>
      </w:r>
      <w:r>
        <w:rPr>
          <w:color w:val="4C4D4F"/>
          <w:w w:val="135"/>
          <w:sz w:val="18"/>
        </w:rPr>
        <w:t>J.</w:t>
      </w:r>
      <w:r>
        <w:rPr>
          <w:color w:val="4C4D4F"/>
          <w:spacing w:val="-34"/>
          <w:w w:val="135"/>
          <w:sz w:val="18"/>
        </w:rPr>
        <w:t> </w:t>
      </w:r>
      <w:r>
        <w:rPr>
          <w:color w:val="4C4D4F"/>
          <w:w w:val="115"/>
          <w:sz w:val="18"/>
        </w:rPr>
        <w:t>A.,</w:t>
      </w:r>
      <w:r>
        <w:rPr>
          <w:color w:val="4C4D4F"/>
          <w:spacing w:val="-23"/>
          <w:w w:val="115"/>
          <w:sz w:val="18"/>
        </w:rPr>
        <w:t> </w:t>
      </w:r>
      <w:r>
        <w:rPr>
          <w:color w:val="4C4D4F"/>
          <w:w w:val="115"/>
          <w:sz w:val="18"/>
        </w:rPr>
        <w:t>Ruhf,</w:t>
      </w:r>
      <w:r>
        <w:rPr>
          <w:color w:val="4C4D4F"/>
          <w:spacing w:val="-23"/>
          <w:w w:val="115"/>
          <w:sz w:val="18"/>
        </w:rPr>
        <w:t> </w:t>
      </w:r>
      <w:r>
        <w:rPr>
          <w:color w:val="4C4D4F"/>
          <w:w w:val="115"/>
          <w:sz w:val="18"/>
        </w:rPr>
        <w:t>A.,</w:t>
      </w:r>
      <w:r>
        <w:rPr>
          <w:color w:val="4C4D4F"/>
          <w:spacing w:val="-24"/>
          <w:w w:val="115"/>
          <w:sz w:val="18"/>
        </w:rPr>
        <w:t> </w:t>
      </w:r>
      <w:r>
        <w:rPr>
          <w:color w:val="4C4D4F"/>
          <w:w w:val="115"/>
          <w:sz w:val="18"/>
        </w:rPr>
        <w:t>…</w:t>
      </w:r>
      <w:r>
        <w:rPr>
          <w:color w:val="4C4D4F"/>
          <w:spacing w:val="-23"/>
          <w:w w:val="115"/>
          <w:sz w:val="18"/>
        </w:rPr>
        <w:t> </w:t>
      </w:r>
      <w:r>
        <w:rPr>
          <w:color w:val="4C4D4F"/>
          <w:w w:val="115"/>
          <w:sz w:val="18"/>
        </w:rPr>
        <w:t>Schwartz,</w:t>
      </w:r>
    </w:p>
    <w:p>
      <w:pPr>
        <w:spacing w:line="247" w:lineRule="auto" w:before="2"/>
        <w:ind w:left="500" w:right="279" w:firstLine="0"/>
        <w:jc w:val="left"/>
        <w:rPr>
          <w:sz w:val="18"/>
        </w:rPr>
      </w:pPr>
      <w:r>
        <w:rPr>
          <w:color w:val="4C4D4F"/>
          <w:w w:val="110"/>
          <w:sz w:val="18"/>
        </w:rPr>
        <w:t>R. </w:t>
      </w:r>
      <w:r>
        <w:rPr>
          <w:color w:val="4C4D4F"/>
          <w:spacing w:val="-17"/>
          <w:w w:val="110"/>
          <w:sz w:val="18"/>
        </w:rPr>
        <w:t>P. </w:t>
      </w:r>
      <w:r>
        <w:rPr>
          <w:color w:val="4C4D4F"/>
          <w:w w:val="110"/>
          <w:sz w:val="18"/>
        </w:rPr>
        <w:t>(2009). Uses of diverted methadone and buprenorphine by opioid-addicted individuals in Baltimore,</w:t>
      </w:r>
      <w:r>
        <w:rPr>
          <w:color w:val="4C4D4F"/>
          <w:spacing w:val="-39"/>
          <w:w w:val="110"/>
          <w:sz w:val="18"/>
        </w:rPr>
        <w:t> </w:t>
      </w:r>
      <w:r>
        <w:rPr>
          <w:color w:val="4C4D4F"/>
          <w:w w:val="110"/>
          <w:sz w:val="18"/>
        </w:rPr>
        <w:t>Maryland.</w:t>
      </w:r>
      <w:r>
        <w:rPr>
          <w:color w:val="4C4D4F"/>
          <w:spacing w:val="-38"/>
          <w:w w:val="110"/>
          <w:sz w:val="18"/>
        </w:rPr>
        <w:t> </w:t>
      </w:r>
      <w:r>
        <w:rPr>
          <w:rFonts w:ascii="Arial" w:hAnsi="Arial"/>
          <w:i/>
          <w:color w:val="4C4D4F"/>
          <w:w w:val="110"/>
          <w:sz w:val="18"/>
        </w:rPr>
        <w:t>American</w:t>
      </w:r>
      <w:r>
        <w:rPr>
          <w:rFonts w:ascii="Arial" w:hAnsi="Arial"/>
          <w:i/>
          <w:color w:val="4C4D4F"/>
          <w:spacing w:val="-38"/>
          <w:w w:val="110"/>
          <w:sz w:val="18"/>
        </w:rPr>
        <w:t> </w:t>
      </w:r>
      <w:r>
        <w:rPr>
          <w:rFonts w:ascii="Arial" w:hAnsi="Arial"/>
          <w:i/>
          <w:color w:val="4C4D4F"/>
          <w:w w:val="110"/>
          <w:sz w:val="18"/>
        </w:rPr>
        <w:t>Journal</w:t>
      </w:r>
      <w:r>
        <w:rPr>
          <w:rFonts w:ascii="Arial" w:hAnsi="Arial"/>
          <w:i/>
          <w:color w:val="4C4D4F"/>
          <w:spacing w:val="-38"/>
          <w:w w:val="110"/>
          <w:sz w:val="18"/>
        </w:rPr>
        <w:t> </w:t>
      </w:r>
      <w:r>
        <w:rPr>
          <w:rFonts w:ascii="Arial" w:hAnsi="Arial"/>
          <w:i/>
          <w:color w:val="4C4D4F"/>
          <w:w w:val="110"/>
          <w:sz w:val="18"/>
        </w:rPr>
        <w:t>on</w:t>
      </w:r>
      <w:r>
        <w:rPr>
          <w:rFonts w:ascii="Arial" w:hAnsi="Arial"/>
          <w:i/>
          <w:color w:val="4C4D4F"/>
          <w:spacing w:val="-39"/>
          <w:w w:val="110"/>
          <w:sz w:val="18"/>
        </w:rPr>
        <w:t> </w:t>
      </w:r>
      <w:r>
        <w:rPr>
          <w:rFonts w:ascii="Arial" w:hAnsi="Arial"/>
          <w:i/>
          <w:color w:val="4C4D4F"/>
          <w:w w:val="110"/>
          <w:sz w:val="18"/>
        </w:rPr>
        <w:t>Addictions, </w:t>
      </w:r>
      <w:r>
        <w:rPr>
          <w:rFonts w:ascii="Arial" w:hAnsi="Arial"/>
          <w:i/>
          <w:color w:val="4C4D4F"/>
          <w:w w:val="110"/>
          <w:sz w:val="18"/>
        </w:rPr>
        <w:t>18</w:t>
      </w:r>
      <w:r>
        <w:rPr>
          <w:color w:val="4C4D4F"/>
          <w:w w:val="110"/>
          <w:sz w:val="18"/>
        </w:rPr>
        <w:t>(5),</w:t>
      </w:r>
      <w:r>
        <w:rPr>
          <w:color w:val="4C4D4F"/>
          <w:spacing w:val="-6"/>
          <w:w w:val="110"/>
          <w:sz w:val="18"/>
        </w:rPr>
        <w:t> </w:t>
      </w:r>
      <w:r>
        <w:rPr>
          <w:color w:val="4C4D4F"/>
          <w:w w:val="110"/>
          <w:sz w:val="18"/>
        </w:rPr>
        <w:t>346–355.</w:t>
      </w:r>
    </w:p>
    <w:p>
      <w:pPr>
        <w:pStyle w:val="ListParagraph"/>
        <w:numPr>
          <w:ilvl w:val="0"/>
          <w:numId w:val="51"/>
        </w:numPr>
        <w:tabs>
          <w:tab w:pos="500" w:val="left" w:leader="none"/>
        </w:tabs>
        <w:spacing w:line="247" w:lineRule="auto" w:before="73" w:after="0"/>
        <w:ind w:left="500" w:right="232" w:hanging="360"/>
        <w:jc w:val="left"/>
        <w:rPr>
          <w:color w:val="4C4D4F"/>
          <w:sz w:val="18"/>
        </w:rPr>
      </w:pPr>
      <w:r>
        <w:rPr>
          <w:color w:val="4C4D4F"/>
          <w:w w:val="110"/>
          <w:sz w:val="18"/>
        </w:rPr>
        <w:t>Vlahov, D., O’Driscoll, </w:t>
      </w:r>
      <w:r>
        <w:rPr>
          <w:color w:val="4C4D4F"/>
          <w:spacing w:val="-11"/>
          <w:w w:val="110"/>
          <w:sz w:val="18"/>
        </w:rPr>
        <w:t>P., </w:t>
      </w:r>
      <w:r>
        <w:rPr>
          <w:color w:val="4C4D4F"/>
          <w:w w:val="110"/>
          <w:sz w:val="18"/>
        </w:rPr>
        <w:t>Mehta, S. H., Ompad, D. C., Gern,</w:t>
      </w:r>
      <w:r>
        <w:rPr>
          <w:color w:val="4C4D4F"/>
          <w:spacing w:val="-11"/>
          <w:w w:val="110"/>
          <w:sz w:val="18"/>
        </w:rPr>
        <w:t> </w:t>
      </w:r>
      <w:r>
        <w:rPr>
          <w:color w:val="4C4D4F"/>
          <w:w w:val="110"/>
          <w:sz w:val="18"/>
        </w:rPr>
        <w:t>R.,</w:t>
      </w:r>
      <w:r>
        <w:rPr>
          <w:color w:val="4C4D4F"/>
          <w:spacing w:val="-11"/>
          <w:w w:val="110"/>
          <w:sz w:val="18"/>
        </w:rPr>
        <w:t> </w:t>
      </w:r>
      <w:r>
        <w:rPr>
          <w:color w:val="4C4D4F"/>
          <w:w w:val="110"/>
          <w:sz w:val="18"/>
        </w:rPr>
        <w:t>Galai,</w:t>
      </w:r>
      <w:r>
        <w:rPr>
          <w:color w:val="4C4D4F"/>
          <w:spacing w:val="-10"/>
          <w:w w:val="110"/>
          <w:sz w:val="18"/>
        </w:rPr>
        <w:t> </w:t>
      </w:r>
      <w:r>
        <w:rPr>
          <w:color w:val="4C4D4F"/>
          <w:w w:val="110"/>
          <w:sz w:val="18"/>
        </w:rPr>
        <w:t>N.,</w:t>
      </w:r>
      <w:r>
        <w:rPr>
          <w:color w:val="4C4D4F"/>
          <w:spacing w:val="-11"/>
          <w:w w:val="110"/>
          <w:sz w:val="18"/>
        </w:rPr>
        <w:t> </w:t>
      </w:r>
      <w:r>
        <w:rPr>
          <w:color w:val="4C4D4F"/>
          <w:w w:val="110"/>
          <w:sz w:val="18"/>
        </w:rPr>
        <w:t>&amp;</w:t>
      </w:r>
      <w:r>
        <w:rPr>
          <w:color w:val="4C4D4F"/>
          <w:spacing w:val="-11"/>
          <w:w w:val="110"/>
          <w:sz w:val="18"/>
        </w:rPr>
        <w:t> </w:t>
      </w:r>
      <w:r>
        <w:rPr>
          <w:color w:val="4C4D4F"/>
          <w:w w:val="110"/>
          <w:sz w:val="18"/>
        </w:rPr>
        <w:t>Kirk,</w:t>
      </w:r>
      <w:r>
        <w:rPr>
          <w:color w:val="4C4D4F"/>
          <w:spacing w:val="-10"/>
          <w:w w:val="110"/>
          <w:sz w:val="18"/>
        </w:rPr>
        <w:t> </w:t>
      </w:r>
      <w:r>
        <w:rPr>
          <w:color w:val="4C4D4F"/>
          <w:w w:val="110"/>
          <w:sz w:val="18"/>
        </w:rPr>
        <w:t>G.</w:t>
      </w:r>
      <w:r>
        <w:rPr>
          <w:color w:val="4C4D4F"/>
          <w:spacing w:val="-11"/>
          <w:w w:val="110"/>
          <w:sz w:val="18"/>
        </w:rPr>
        <w:t> </w:t>
      </w:r>
      <w:r>
        <w:rPr>
          <w:color w:val="4C4D4F"/>
          <w:w w:val="110"/>
          <w:sz w:val="18"/>
        </w:rPr>
        <w:t>D.</w:t>
      </w:r>
      <w:r>
        <w:rPr>
          <w:color w:val="4C4D4F"/>
          <w:spacing w:val="-11"/>
          <w:w w:val="110"/>
          <w:sz w:val="18"/>
        </w:rPr>
        <w:t> </w:t>
      </w:r>
      <w:r>
        <w:rPr>
          <w:color w:val="4C4D4F"/>
          <w:w w:val="110"/>
          <w:sz w:val="18"/>
        </w:rPr>
        <w:t>(2007).</w:t>
      </w:r>
      <w:r>
        <w:rPr>
          <w:color w:val="4C4D4F"/>
          <w:spacing w:val="-10"/>
          <w:w w:val="110"/>
          <w:sz w:val="18"/>
        </w:rPr>
        <w:t> </w:t>
      </w:r>
      <w:r>
        <w:rPr>
          <w:color w:val="4C4D4F"/>
          <w:w w:val="110"/>
          <w:sz w:val="18"/>
        </w:rPr>
        <w:t>Risk</w:t>
      </w:r>
      <w:r>
        <w:rPr>
          <w:color w:val="4C4D4F"/>
          <w:spacing w:val="-11"/>
          <w:w w:val="110"/>
          <w:sz w:val="18"/>
        </w:rPr>
        <w:t> </w:t>
      </w:r>
      <w:r>
        <w:rPr>
          <w:color w:val="4C4D4F"/>
          <w:w w:val="110"/>
          <w:sz w:val="18"/>
        </w:rPr>
        <w:t>factors</w:t>
      </w:r>
      <w:r>
        <w:rPr>
          <w:color w:val="4C4D4F"/>
          <w:spacing w:val="-11"/>
          <w:w w:val="110"/>
          <w:sz w:val="18"/>
        </w:rPr>
        <w:t> </w:t>
      </w:r>
      <w:r>
        <w:rPr>
          <w:color w:val="4C4D4F"/>
          <w:spacing w:val="-6"/>
          <w:w w:val="110"/>
          <w:sz w:val="18"/>
        </w:rPr>
        <w:t>for </w:t>
      </w:r>
      <w:r>
        <w:rPr>
          <w:color w:val="4C4D4F"/>
          <w:w w:val="110"/>
          <w:sz w:val="18"/>
        </w:rPr>
        <w:t>methadone outside treatment programs: Implications for HIV treatment among injection drug</w:t>
      </w:r>
      <w:r>
        <w:rPr>
          <w:color w:val="4C4D4F"/>
          <w:spacing w:val="-27"/>
          <w:w w:val="110"/>
          <w:sz w:val="18"/>
        </w:rPr>
        <w:t> </w:t>
      </w:r>
      <w:r>
        <w:rPr>
          <w:color w:val="4C4D4F"/>
          <w:w w:val="110"/>
          <w:sz w:val="18"/>
        </w:rPr>
        <w:t>users.</w:t>
      </w:r>
    </w:p>
    <w:p>
      <w:pPr>
        <w:spacing w:before="2"/>
        <w:ind w:left="500" w:right="0" w:firstLine="0"/>
        <w:jc w:val="left"/>
        <w:rPr>
          <w:sz w:val="18"/>
        </w:rPr>
      </w:pPr>
      <w:r>
        <w:rPr>
          <w:rFonts w:ascii="Arial" w:hAnsi="Arial"/>
          <w:i/>
          <w:color w:val="4C4D4F"/>
          <w:w w:val="105"/>
          <w:sz w:val="18"/>
        </w:rPr>
        <w:t>Addiction, 102</w:t>
      </w:r>
      <w:r>
        <w:rPr>
          <w:color w:val="4C4D4F"/>
          <w:w w:val="105"/>
          <w:sz w:val="18"/>
        </w:rPr>
        <w:t>(5), 771–777.</w:t>
      </w:r>
    </w:p>
    <w:p>
      <w:pPr>
        <w:pStyle w:val="ListParagraph"/>
        <w:numPr>
          <w:ilvl w:val="0"/>
          <w:numId w:val="51"/>
        </w:numPr>
        <w:tabs>
          <w:tab w:pos="500" w:val="left" w:leader="none"/>
        </w:tabs>
        <w:spacing w:line="247" w:lineRule="auto" w:before="79" w:after="0"/>
        <w:ind w:left="500" w:right="222" w:hanging="360"/>
        <w:jc w:val="left"/>
        <w:rPr>
          <w:color w:val="4C4D4F"/>
          <w:sz w:val="18"/>
        </w:rPr>
      </w:pPr>
      <w:r>
        <w:rPr>
          <w:color w:val="4C4D4F"/>
          <w:w w:val="110"/>
          <w:sz w:val="18"/>
        </w:rPr>
        <w:t>Timko, C., Schultz, N. R., Cucciare, M. A., Vittorio, L., &amp; Garrison-Diehn, C. (2016). Retention in medication- assisted treatment for opiate dependence: A  </w:t>
      </w:r>
      <w:r>
        <w:rPr>
          <w:color w:val="4C4D4F"/>
          <w:w w:val="105"/>
          <w:sz w:val="18"/>
        </w:rPr>
        <w:t>systematic</w:t>
      </w:r>
      <w:r>
        <w:rPr>
          <w:color w:val="4C4D4F"/>
          <w:spacing w:val="-12"/>
          <w:w w:val="105"/>
          <w:sz w:val="18"/>
        </w:rPr>
        <w:t> </w:t>
      </w:r>
      <w:r>
        <w:rPr>
          <w:color w:val="4C4D4F"/>
          <w:w w:val="105"/>
          <w:sz w:val="18"/>
        </w:rPr>
        <w:t>review.</w:t>
      </w:r>
      <w:r>
        <w:rPr>
          <w:color w:val="4C4D4F"/>
          <w:spacing w:val="-13"/>
          <w:w w:val="105"/>
          <w:sz w:val="18"/>
        </w:rPr>
        <w:t> </w:t>
      </w:r>
      <w:r>
        <w:rPr>
          <w:rFonts w:ascii="Arial" w:hAnsi="Arial"/>
          <w:i/>
          <w:color w:val="4C4D4F"/>
          <w:w w:val="105"/>
          <w:sz w:val="18"/>
        </w:rPr>
        <w:t>Journal</w:t>
      </w:r>
      <w:r>
        <w:rPr>
          <w:rFonts w:ascii="Arial" w:hAnsi="Arial"/>
          <w:i/>
          <w:color w:val="4C4D4F"/>
          <w:spacing w:val="-11"/>
          <w:w w:val="105"/>
          <w:sz w:val="18"/>
        </w:rPr>
        <w:t> </w:t>
      </w:r>
      <w:r>
        <w:rPr>
          <w:rFonts w:ascii="Arial" w:hAnsi="Arial"/>
          <w:i/>
          <w:color w:val="4C4D4F"/>
          <w:w w:val="105"/>
          <w:sz w:val="18"/>
        </w:rPr>
        <w:t>of</w:t>
      </w:r>
      <w:r>
        <w:rPr>
          <w:rFonts w:ascii="Arial" w:hAnsi="Arial"/>
          <w:i/>
          <w:color w:val="4C4D4F"/>
          <w:spacing w:val="-12"/>
          <w:w w:val="105"/>
          <w:sz w:val="18"/>
        </w:rPr>
        <w:t> </w:t>
      </w:r>
      <w:r>
        <w:rPr>
          <w:rFonts w:ascii="Arial" w:hAnsi="Arial"/>
          <w:i/>
          <w:color w:val="4C4D4F"/>
          <w:w w:val="105"/>
          <w:sz w:val="18"/>
        </w:rPr>
        <w:t>Addictive</w:t>
      </w:r>
      <w:r>
        <w:rPr>
          <w:rFonts w:ascii="Arial" w:hAnsi="Arial"/>
          <w:i/>
          <w:color w:val="4C4D4F"/>
          <w:spacing w:val="-12"/>
          <w:w w:val="105"/>
          <w:sz w:val="18"/>
        </w:rPr>
        <w:t> </w:t>
      </w:r>
      <w:r>
        <w:rPr>
          <w:rFonts w:ascii="Arial" w:hAnsi="Arial"/>
          <w:i/>
          <w:color w:val="4C4D4F"/>
          <w:w w:val="105"/>
          <w:sz w:val="18"/>
        </w:rPr>
        <w:t>Diseases,</w:t>
      </w:r>
      <w:r>
        <w:rPr>
          <w:rFonts w:ascii="Arial" w:hAnsi="Arial"/>
          <w:i/>
          <w:color w:val="4C4D4F"/>
          <w:spacing w:val="-11"/>
          <w:w w:val="105"/>
          <w:sz w:val="18"/>
        </w:rPr>
        <w:t> </w:t>
      </w:r>
      <w:r>
        <w:rPr>
          <w:rFonts w:ascii="Arial" w:hAnsi="Arial"/>
          <w:i/>
          <w:color w:val="4C4D4F"/>
          <w:spacing w:val="-3"/>
          <w:w w:val="105"/>
          <w:sz w:val="18"/>
        </w:rPr>
        <w:t>35</w:t>
      </w:r>
      <w:r>
        <w:rPr>
          <w:color w:val="4C4D4F"/>
          <w:spacing w:val="-3"/>
          <w:w w:val="105"/>
          <w:sz w:val="18"/>
        </w:rPr>
        <w:t>(1), </w:t>
      </w:r>
      <w:r>
        <w:rPr>
          <w:color w:val="4C4D4F"/>
          <w:w w:val="110"/>
          <w:sz w:val="18"/>
        </w:rPr>
        <w:t>22–35.</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spacing w:val="-5"/>
          <w:w w:val="110"/>
          <w:sz w:val="18"/>
        </w:rPr>
        <w:t>Woody, </w:t>
      </w:r>
      <w:r>
        <w:rPr>
          <w:color w:val="4C4D4F"/>
          <w:w w:val="110"/>
          <w:sz w:val="18"/>
        </w:rPr>
        <w:t>G. E., Kane, </w:t>
      </w:r>
      <w:r>
        <w:rPr>
          <w:color w:val="4C4D4F"/>
          <w:spacing w:val="-8"/>
          <w:w w:val="110"/>
          <w:sz w:val="18"/>
        </w:rPr>
        <w:t>V., </w:t>
      </w:r>
      <w:r>
        <w:rPr>
          <w:color w:val="4C4D4F"/>
          <w:w w:val="110"/>
          <w:sz w:val="18"/>
        </w:rPr>
        <w:t>Lewis, K., &amp;</w:t>
      </w:r>
      <w:r>
        <w:rPr>
          <w:color w:val="4C4D4F"/>
          <w:spacing w:val="-24"/>
          <w:w w:val="110"/>
          <w:sz w:val="18"/>
        </w:rPr>
        <w:t> </w:t>
      </w:r>
      <w:r>
        <w:rPr>
          <w:color w:val="4C4D4F"/>
          <w:w w:val="110"/>
          <w:sz w:val="18"/>
        </w:rPr>
        <w:t>Thompson,</w:t>
      </w:r>
    </w:p>
    <w:p>
      <w:pPr>
        <w:spacing w:line="247" w:lineRule="auto" w:before="7"/>
        <w:ind w:left="500" w:right="0" w:firstLine="0"/>
        <w:jc w:val="left"/>
        <w:rPr>
          <w:sz w:val="18"/>
        </w:rPr>
      </w:pPr>
      <w:r>
        <w:rPr>
          <w:color w:val="4C4D4F"/>
          <w:w w:val="110"/>
          <w:sz w:val="18"/>
        </w:rPr>
        <w:t>R. (2007). Premature deaths after discharge from methadone maintenance: A replication. </w:t>
      </w:r>
      <w:r>
        <w:rPr>
          <w:rFonts w:ascii="Arial" w:hAnsi="Arial"/>
          <w:i/>
          <w:color w:val="4C4D4F"/>
          <w:w w:val="110"/>
          <w:sz w:val="18"/>
        </w:rPr>
        <w:t>Journal of </w:t>
      </w:r>
      <w:r>
        <w:rPr>
          <w:rFonts w:ascii="Arial" w:hAnsi="Arial"/>
          <w:i/>
          <w:color w:val="4C4D4F"/>
          <w:w w:val="110"/>
          <w:sz w:val="18"/>
        </w:rPr>
        <w:t>Addiction Medicine, 1</w:t>
      </w:r>
      <w:r>
        <w:rPr>
          <w:color w:val="4C4D4F"/>
          <w:w w:val="110"/>
          <w:sz w:val="18"/>
        </w:rPr>
        <w:t>(4), 180–185.</w:t>
      </w:r>
    </w:p>
    <w:p>
      <w:pPr>
        <w:pStyle w:val="ListParagraph"/>
        <w:numPr>
          <w:ilvl w:val="0"/>
          <w:numId w:val="51"/>
        </w:numPr>
        <w:tabs>
          <w:tab w:pos="501" w:val="left" w:leader="none"/>
        </w:tabs>
        <w:spacing w:line="247" w:lineRule="auto" w:before="72" w:after="0"/>
        <w:ind w:left="500" w:right="399" w:hanging="360"/>
        <w:jc w:val="left"/>
        <w:rPr>
          <w:color w:val="4C4D4F"/>
          <w:sz w:val="18"/>
        </w:rPr>
      </w:pPr>
      <w:r>
        <w:rPr>
          <w:color w:val="4C4D4F"/>
          <w:w w:val="115"/>
          <w:sz w:val="18"/>
        </w:rPr>
        <w:t>Sordo, L., Barrio, G., Bravo, M. </w:t>
      </w:r>
      <w:r>
        <w:rPr>
          <w:color w:val="4C4D4F"/>
          <w:w w:val="120"/>
          <w:sz w:val="18"/>
        </w:rPr>
        <w:t>J., </w:t>
      </w:r>
      <w:r>
        <w:rPr>
          <w:color w:val="4C4D4F"/>
          <w:w w:val="115"/>
          <w:sz w:val="18"/>
        </w:rPr>
        <w:t>Indave, I., Degenhardt, L., Wiessing, L., Ferri, M., &amp; Pastor- Barriuso, R. (2017). Mortality risk during and after opioid</w:t>
      </w:r>
      <w:r>
        <w:rPr>
          <w:color w:val="4C4D4F"/>
          <w:spacing w:val="-33"/>
          <w:w w:val="115"/>
          <w:sz w:val="18"/>
        </w:rPr>
        <w:t> </w:t>
      </w:r>
      <w:r>
        <w:rPr>
          <w:color w:val="4C4D4F"/>
          <w:w w:val="115"/>
          <w:sz w:val="18"/>
        </w:rPr>
        <w:t>substitution</w:t>
      </w:r>
      <w:r>
        <w:rPr>
          <w:color w:val="4C4D4F"/>
          <w:spacing w:val="-33"/>
          <w:w w:val="115"/>
          <w:sz w:val="18"/>
        </w:rPr>
        <w:t> </w:t>
      </w:r>
      <w:r>
        <w:rPr>
          <w:color w:val="4C4D4F"/>
          <w:w w:val="115"/>
          <w:sz w:val="18"/>
        </w:rPr>
        <w:t>treatment:</w:t>
      </w:r>
      <w:r>
        <w:rPr>
          <w:color w:val="4C4D4F"/>
          <w:spacing w:val="-33"/>
          <w:w w:val="115"/>
          <w:sz w:val="18"/>
        </w:rPr>
        <w:t> </w:t>
      </w:r>
      <w:r>
        <w:rPr>
          <w:color w:val="4C4D4F"/>
          <w:w w:val="115"/>
          <w:sz w:val="18"/>
        </w:rPr>
        <w:t>Systematic</w:t>
      </w:r>
      <w:r>
        <w:rPr>
          <w:color w:val="4C4D4F"/>
          <w:spacing w:val="-33"/>
          <w:w w:val="115"/>
          <w:sz w:val="18"/>
        </w:rPr>
        <w:t> </w:t>
      </w:r>
      <w:r>
        <w:rPr>
          <w:color w:val="4C4D4F"/>
          <w:w w:val="115"/>
          <w:sz w:val="18"/>
        </w:rPr>
        <w:t>review</w:t>
      </w:r>
      <w:r>
        <w:rPr>
          <w:color w:val="4C4D4F"/>
          <w:spacing w:val="-33"/>
          <w:w w:val="115"/>
          <w:sz w:val="18"/>
        </w:rPr>
        <w:t> </w:t>
      </w:r>
      <w:r>
        <w:rPr>
          <w:color w:val="4C4D4F"/>
          <w:spacing w:val="-6"/>
          <w:w w:val="115"/>
          <w:sz w:val="18"/>
        </w:rPr>
        <w:t>and </w:t>
      </w:r>
      <w:r>
        <w:rPr>
          <w:color w:val="4C4D4F"/>
          <w:w w:val="115"/>
          <w:sz w:val="18"/>
        </w:rPr>
        <w:t>meta-analysis</w:t>
      </w:r>
      <w:r>
        <w:rPr>
          <w:color w:val="4C4D4F"/>
          <w:spacing w:val="-24"/>
          <w:w w:val="115"/>
          <w:sz w:val="18"/>
        </w:rPr>
        <w:t> </w:t>
      </w:r>
      <w:r>
        <w:rPr>
          <w:color w:val="4C4D4F"/>
          <w:w w:val="115"/>
          <w:sz w:val="18"/>
        </w:rPr>
        <w:t>of</w:t>
      </w:r>
      <w:r>
        <w:rPr>
          <w:color w:val="4C4D4F"/>
          <w:spacing w:val="-24"/>
          <w:w w:val="115"/>
          <w:sz w:val="18"/>
        </w:rPr>
        <w:t> </w:t>
      </w:r>
      <w:r>
        <w:rPr>
          <w:color w:val="4C4D4F"/>
          <w:w w:val="115"/>
          <w:sz w:val="18"/>
        </w:rPr>
        <w:t>cohort</w:t>
      </w:r>
      <w:r>
        <w:rPr>
          <w:color w:val="4C4D4F"/>
          <w:spacing w:val="-24"/>
          <w:w w:val="115"/>
          <w:sz w:val="18"/>
        </w:rPr>
        <w:t> </w:t>
      </w:r>
      <w:r>
        <w:rPr>
          <w:color w:val="4C4D4F"/>
          <w:w w:val="115"/>
          <w:sz w:val="18"/>
        </w:rPr>
        <w:t>studies.</w:t>
      </w:r>
      <w:r>
        <w:rPr>
          <w:color w:val="4C4D4F"/>
          <w:spacing w:val="-23"/>
          <w:w w:val="115"/>
          <w:sz w:val="18"/>
        </w:rPr>
        <w:t> </w:t>
      </w:r>
      <w:r>
        <w:rPr>
          <w:rFonts w:ascii="Arial"/>
          <w:i/>
          <w:color w:val="4C4D4F"/>
          <w:w w:val="115"/>
          <w:sz w:val="18"/>
        </w:rPr>
        <w:t>BMJ,</w:t>
      </w:r>
      <w:r>
        <w:rPr>
          <w:rFonts w:ascii="Arial"/>
          <w:i/>
          <w:color w:val="4C4D4F"/>
          <w:spacing w:val="-24"/>
          <w:w w:val="115"/>
          <w:sz w:val="18"/>
        </w:rPr>
        <w:t> </w:t>
      </w:r>
      <w:r>
        <w:rPr>
          <w:rFonts w:ascii="Arial"/>
          <w:i/>
          <w:color w:val="4C4D4F"/>
          <w:w w:val="115"/>
          <w:sz w:val="18"/>
        </w:rPr>
        <w:t>357,</w:t>
      </w:r>
      <w:r>
        <w:rPr>
          <w:rFonts w:ascii="Arial"/>
          <w:i/>
          <w:color w:val="4C4D4F"/>
          <w:spacing w:val="-24"/>
          <w:w w:val="115"/>
          <w:sz w:val="18"/>
        </w:rPr>
        <w:t> </w:t>
      </w:r>
      <w:r>
        <w:rPr>
          <w:color w:val="4C4D4F"/>
          <w:w w:val="115"/>
          <w:sz w:val="18"/>
        </w:rPr>
        <w:t>j1550.</w:t>
      </w:r>
    </w:p>
    <w:p>
      <w:pPr>
        <w:spacing w:after="0" w:line="247" w:lineRule="auto"/>
        <w:jc w:val="left"/>
        <w:rPr>
          <w:sz w:val="18"/>
        </w:rPr>
        <w:sectPr>
          <w:type w:val="continuous"/>
          <w:pgSz w:w="12240" w:h="15840"/>
          <w:pgMar w:top="540" w:bottom="280" w:left="940" w:right="920"/>
          <w:cols w:num="2" w:equalWidth="0">
            <w:col w:w="5037" w:space="183"/>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319" w:hanging="360"/>
        <w:jc w:val="left"/>
        <w:rPr>
          <w:color w:val="4C4D4F"/>
          <w:sz w:val="18"/>
        </w:rPr>
      </w:pPr>
      <w:r>
        <w:rPr>
          <w:color w:val="4C4D4F"/>
          <w:w w:val="115"/>
          <w:sz w:val="18"/>
        </w:rPr>
        <w:t>Gibson, A., Degenhardt, L., Mattick, R. </w:t>
      </w:r>
      <w:r>
        <w:rPr>
          <w:color w:val="4C4D4F"/>
          <w:spacing w:val="-11"/>
          <w:w w:val="115"/>
          <w:sz w:val="18"/>
        </w:rPr>
        <w:t>P., </w:t>
      </w:r>
      <w:r>
        <w:rPr>
          <w:color w:val="4C4D4F"/>
          <w:w w:val="115"/>
          <w:sz w:val="18"/>
        </w:rPr>
        <w:t>Ali, R., White,</w:t>
      </w:r>
      <w:r>
        <w:rPr>
          <w:color w:val="4C4D4F"/>
          <w:spacing w:val="-20"/>
          <w:w w:val="115"/>
          <w:sz w:val="18"/>
        </w:rPr>
        <w:t> </w:t>
      </w:r>
      <w:r>
        <w:rPr>
          <w:color w:val="4C4D4F"/>
          <w:w w:val="120"/>
          <w:sz w:val="18"/>
        </w:rPr>
        <w:t>J.,</w:t>
      </w:r>
      <w:r>
        <w:rPr>
          <w:color w:val="4C4D4F"/>
          <w:spacing w:val="-23"/>
          <w:w w:val="120"/>
          <w:sz w:val="18"/>
        </w:rPr>
        <w:t> </w:t>
      </w:r>
      <w:r>
        <w:rPr>
          <w:color w:val="4C4D4F"/>
          <w:w w:val="115"/>
          <w:sz w:val="18"/>
        </w:rPr>
        <w:t>&amp;</w:t>
      </w:r>
      <w:r>
        <w:rPr>
          <w:color w:val="4C4D4F"/>
          <w:spacing w:val="-20"/>
          <w:w w:val="115"/>
          <w:sz w:val="18"/>
        </w:rPr>
        <w:t> </w:t>
      </w:r>
      <w:r>
        <w:rPr>
          <w:color w:val="4C4D4F"/>
          <w:w w:val="115"/>
          <w:sz w:val="18"/>
        </w:rPr>
        <w:t>O’Brien,</w:t>
      </w:r>
      <w:r>
        <w:rPr>
          <w:color w:val="4C4D4F"/>
          <w:spacing w:val="-19"/>
          <w:w w:val="115"/>
          <w:sz w:val="18"/>
        </w:rPr>
        <w:t> </w:t>
      </w:r>
      <w:r>
        <w:rPr>
          <w:color w:val="4C4D4F"/>
          <w:w w:val="115"/>
          <w:sz w:val="18"/>
        </w:rPr>
        <w:t>S.</w:t>
      </w:r>
      <w:r>
        <w:rPr>
          <w:color w:val="4C4D4F"/>
          <w:spacing w:val="-20"/>
          <w:w w:val="115"/>
          <w:sz w:val="18"/>
        </w:rPr>
        <w:t> </w:t>
      </w:r>
      <w:r>
        <w:rPr>
          <w:color w:val="4C4D4F"/>
          <w:w w:val="115"/>
          <w:sz w:val="18"/>
        </w:rPr>
        <w:t>(2008).</w:t>
      </w:r>
      <w:r>
        <w:rPr>
          <w:color w:val="4C4D4F"/>
          <w:spacing w:val="-20"/>
          <w:w w:val="115"/>
          <w:sz w:val="18"/>
        </w:rPr>
        <w:t> </w:t>
      </w:r>
      <w:r>
        <w:rPr>
          <w:color w:val="4C4D4F"/>
          <w:w w:val="115"/>
          <w:sz w:val="18"/>
        </w:rPr>
        <w:t>Exposure</w:t>
      </w:r>
      <w:r>
        <w:rPr>
          <w:color w:val="4C4D4F"/>
          <w:spacing w:val="-20"/>
          <w:w w:val="115"/>
          <w:sz w:val="18"/>
        </w:rPr>
        <w:t> </w:t>
      </w:r>
      <w:r>
        <w:rPr>
          <w:color w:val="4C4D4F"/>
          <w:w w:val="115"/>
          <w:sz w:val="18"/>
        </w:rPr>
        <w:t>to</w:t>
      </w:r>
      <w:r>
        <w:rPr>
          <w:color w:val="4C4D4F"/>
          <w:spacing w:val="-20"/>
          <w:w w:val="115"/>
          <w:sz w:val="18"/>
        </w:rPr>
        <w:t> </w:t>
      </w:r>
      <w:r>
        <w:rPr>
          <w:color w:val="4C4D4F"/>
          <w:w w:val="115"/>
          <w:sz w:val="18"/>
        </w:rPr>
        <w:t>opioid maintenance</w:t>
      </w:r>
      <w:r>
        <w:rPr>
          <w:color w:val="4C4D4F"/>
          <w:spacing w:val="-41"/>
          <w:w w:val="115"/>
          <w:sz w:val="18"/>
        </w:rPr>
        <w:t> </w:t>
      </w:r>
      <w:r>
        <w:rPr>
          <w:color w:val="4C4D4F"/>
          <w:w w:val="115"/>
          <w:sz w:val="18"/>
        </w:rPr>
        <w:t>treatment</w:t>
      </w:r>
      <w:r>
        <w:rPr>
          <w:color w:val="4C4D4F"/>
          <w:spacing w:val="-40"/>
          <w:w w:val="115"/>
          <w:sz w:val="18"/>
        </w:rPr>
        <w:t> </w:t>
      </w:r>
      <w:r>
        <w:rPr>
          <w:color w:val="4C4D4F"/>
          <w:w w:val="115"/>
          <w:sz w:val="18"/>
        </w:rPr>
        <w:t>reduces</w:t>
      </w:r>
      <w:r>
        <w:rPr>
          <w:color w:val="4C4D4F"/>
          <w:spacing w:val="-40"/>
          <w:w w:val="115"/>
          <w:sz w:val="18"/>
        </w:rPr>
        <w:t> </w:t>
      </w:r>
      <w:r>
        <w:rPr>
          <w:color w:val="4C4D4F"/>
          <w:w w:val="115"/>
          <w:sz w:val="18"/>
        </w:rPr>
        <w:t>long-term</w:t>
      </w:r>
      <w:r>
        <w:rPr>
          <w:color w:val="4C4D4F"/>
          <w:spacing w:val="-40"/>
          <w:w w:val="115"/>
          <w:sz w:val="18"/>
        </w:rPr>
        <w:t> </w:t>
      </w:r>
      <w:r>
        <w:rPr>
          <w:color w:val="4C4D4F"/>
          <w:spacing w:val="-4"/>
          <w:w w:val="115"/>
          <w:sz w:val="18"/>
        </w:rPr>
        <w:t>mortality. </w:t>
      </w:r>
      <w:r>
        <w:rPr>
          <w:rFonts w:ascii="Arial" w:hAnsi="Arial"/>
          <w:i/>
          <w:color w:val="4C4D4F"/>
          <w:w w:val="115"/>
          <w:sz w:val="18"/>
        </w:rPr>
        <w:t>Addiction, 103</w:t>
      </w:r>
      <w:r>
        <w:rPr>
          <w:color w:val="4C4D4F"/>
          <w:w w:val="115"/>
          <w:sz w:val="18"/>
        </w:rPr>
        <w:t>(3),</w:t>
      </w:r>
      <w:r>
        <w:rPr>
          <w:color w:val="4C4D4F"/>
          <w:spacing w:val="-24"/>
          <w:w w:val="115"/>
          <w:sz w:val="18"/>
        </w:rPr>
        <w:t> </w:t>
      </w:r>
      <w:r>
        <w:rPr>
          <w:color w:val="4C4D4F"/>
          <w:w w:val="115"/>
          <w:sz w:val="18"/>
        </w:rPr>
        <w:t>462–468.</w:t>
      </w:r>
    </w:p>
    <w:p>
      <w:pPr>
        <w:pStyle w:val="ListParagraph"/>
        <w:numPr>
          <w:ilvl w:val="0"/>
          <w:numId w:val="51"/>
        </w:numPr>
        <w:tabs>
          <w:tab w:pos="500" w:val="left" w:leader="none"/>
        </w:tabs>
        <w:spacing w:line="247" w:lineRule="auto" w:before="74" w:after="0"/>
        <w:ind w:left="500" w:right="291" w:hanging="360"/>
        <w:jc w:val="left"/>
        <w:rPr>
          <w:color w:val="4C4D4F"/>
          <w:sz w:val="18"/>
        </w:rPr>
      </w:pPr>
      <w:r>
        <w:rPr>
          <w:color w:val="4C4D4F"/>
          <w:w w:val="110"/>
          <w:sz w:val="18"/>
        </w:rPr>
        <w:t>Schwartz, R. </w:t>
      </w:r>
      <w:r>
        <w:rPr>
          <w:color w:val="4C4D4F"/>
          <w:spacing w:val="-11"/>
          <w:w w:val="110"/>
          <w:sz w:val="18"/>
        </w:rPr>
        <w:t>P., </w:t>
      </w:r>
      <w:r>
        <w:rPr>
          <w:color w:val="4C4D4F"/>
          <w:w w:val="110"/>
          <w:sz w:val="18"/>
        </w:rPr>
        <w:t>Highﬁeld, D. A., Jaffe, </w:t>
      </w:r>
      <w:r>
        <w:rPr>
          <w:color w:val="4C4D4F"/>
          <w:w w:val="135"/>
          <w:sz w:val="18"/>
        </w:rPr>
        <w:t>J. </w:t>
      </w:r>
      <w:r>
        <w:rPr>
          <w:color w:val="4C4D4F"/>
          <w:w w:val="110"/>
          <w:sz w:val="18"/>
        </w:rPr>
        <w:t>H., </w:t>
      </w:r>
      <w:r>
        <w:rPr>
          <w:color w:val="4C4D4F"/>
          <w:spacing w:val="-3"/>
          <w:w w:val="110"/>
          <w:sz w:val="18"/>
        </w:rPr>
        <w:t>Brady, </w:t>
      </w:r>
      <w:r>
        <w:rPr>
          <w:color w:val="4C4D4F"/>
          <w:spacing w:val="-8"/>
          <w:w w:val="135"/>
          <w:sz w:val="18"/>
        </w:rPr>
        <w:t>J. </w:t>
      </w:r>
      <w:r>
        <w:rPr>
          <w:color w:val="4C4D4F"/>
          <w:spacing w:val="-8"/>
          <w:w w:val="110"/>
          <w:sz w:val="18"/>
        </w:rPr>
        <w:t>V., </w:t>
      </w:r>
      <w:r>
        <w:rPr>
          <w:color w:val="4C4D4F"/>
          <w:spacing w:val="-3"/>
          <w:w w:val="110"/>
          <w:sz w:val="18"/>
        </w:rPr>
        <w:t>Butler, </w:t>
      </w:r>
      <w:r>
        <w:rPr>
          <w:color w:val="4C4D4F"/>
          <w:w w:val="110"/>
          <w:sz w:val="18"/>
        </w:rPr>
        <w:t>C. B., Rouse, C. O., … Battjes, R. </w:t>
      </w:r>
      <w:r>
        <w:rPr>
          <w:color w:val="4C4D4F"/>
          <w:w w:val="135"/>
          <w:sz w:val="18"/>
        </w:rPr>
        <w:t>J.</w:t>
      </w:r>
      <w:r>
        <w:rPr>
          <w:color w:val="4C4D4F"/>
          <w:spacing w:val="-41"/>
          <w:w w:val="135"/>
          <w:sz w:val="18"/>
        </w:rPr>
        <w:t> </w:t>
      </w:r>
      <w:r>
        <w:rPr>
          <w:color w:val="4C4D4F"/>
          <w:spacing w:val="-3"/>
          <w:w w:val="110"/>
          <w:sz w:val="18"/>
        </w:rPr>
        <w:t>(2006). </w:t>
      </w:r>
      <w:r>
        <w:rPr>
          <w:color w:val="4C4D4F"/>
          <w:w w:val="110"/>
          <w:sz w:val="18"/>
        </w:rPr>
        <w:t>A randomized controlled trial of interim methadone </w:t>
      </w:r>
      <w:r>
        <w:rPr>
          <w:color w:val="4C4D4F"/>
          <w:w w:val="105"/>
          <w:sz w:val="18"/>
        </w:rPr>
        <w:t>maintenance. </w:t>
      </w:r>
      <w:r>
        <w:rPr>
          <w:rFonts w:ascii="Arial" w:hAnsi="Arial"/>
          <w:i/>
          <w:color w:val="4C4D4F"/>
          <w:w w:val="105"/>
          <w:sz w:val="18"/>
        </w:rPr>
        <w:t>Archives of General Psychiatry, 63</w:t>
      </w:r>
      <w:r>
        <w:rPr>
          <w:color w:val="4C4D4F"/>
          <w:w w:val="105"/>
          <w:sz w:val="18"/>
        </w:rPr>
        <w:t>(1), </w:t>
      </w:r>
      <w:r>
        <w:rPr>
          <w:color w:val="4C4D4F"/>
          <w:w w:val="110"/>
          <w:sz w:val="18"/>
        </w:rPr>
        <w:t>102–109.</w:t>
      </w:r>
    </w:p>
    <w:p>
      <w:pPr>
        <w:pStyle w:val="ListParagraph"/>
        <w:numPr>
          <w:ilvl w:val="0"/>
          <w:numId w:val="51"/>
        </w:numPr>
        <w:tabs>
          <w:tab w:pos="500" w:val="left" w:leader="none"/>
        </w:tabs>
        <w:spacing w:line="247" w:lineRule="auto" w:before="76" w:after="0"/>
        <w:ind w:left="500" w:right="156" w:hanging="360"/>
        <w:jc w:val="left"/>
        <w:rPr>
          <w:color w:val="4C4D4F"/>
          <w:sz w:val="18"/>
        </w:rPr>
      </w:pPr>
      <w:r>
        <w:rPr>
          <w:color w:val="4C4D4F"/>
          <w:w w:val="115"/>
          <w:sz w:val="18"/>
        </w:rPr>
        <w:t>Yancovitz,</w:t>
      </w:r>
      <w:r>
        <w:rPr>
          <w:color w:val="4C4D4F"/>
          <w:spacing w:val="-22"/>
          <w:w w:val="115"/>
          <w:sz w:val="18"/>
        </w:rPr>
        <w:t> </w:t>
      </w:r>
      <w:r>
        <w:rPr>
          <w:color w:val="4C4D4F"/>
          <w:w w:val="115"/>
          <w:sz w:val="18"/>
        </w:rPr>
        <w:t>S.</w:t>
      </w:r>
      <w:r>
        <w:rPr>
          <w:color w:val="4C4D4F"/>
          <w:spacing w:val="-21"/>
          <w:w w:val="115"/>
          <w:sz w:val="18"/>
        </w:rPr>
        <w:t> </w:t>
      </w:r>
      <w:r>
        <w:rPr>
          <w:color w:val="4C4D4F"/>
          <w:w w:val="115"/>
          <w:sz w:val="18"/>
        </w:rPr>
        <w:t>R.,</w:t>
      </w:r>
      <w:r>
        <w:rPr>
          <w:color w:val="4C4D4F"/>
          <w:spacing w:val="-21"/>
          <w:w w:val="115"/>
          <w:sz w:val="18"/>
        </w:rPr>
        <w:t> </w:t>
      </w:r>
      <w:r>
        <w:rPr>
          <w:color w:val="4C4D4F"/>
          <w:w w:val="115"/>
          <w:sz w:val="18"/>
        </w:rPr>
        <w:t>Des</w:t>
      </w:r>
      <w:r>
        <w:rPr>
          <w:color w:val="4C4D4F"/>
          <w:spacing w:val="-21"/>
          <w:w w:val="115"/>
          <w:sz w:val="18"/>
        </w:rPr>
        <w:t> </w:t>
      </w:r>
      <w:r>
        <w:rPr>
          <w:color w:val="4C4D4F"/>
          <w:w w:val="115"/>
          <w:sz w:val="18"/>
        </w:rPr>
        <w:t>Jarlais,</w:t>
      </w:r>
      <w:r>
        <w:rPr>
          <w:color w:val="4C4D4F"/>
          <w:spacing w:val="-21"/>
          <w:w w:val="115"/>
          <w:sz w:val="18"/>
        </w:rPr>
        <w:t> </w:t>
      </w:r>
      <w:r>
        <w:rPr>
          <w:color w:val="4C4D4F"/>
          <w:w w:val="115"/>
          <w:sz w:val="18"/>
        </w:rPr>
        <w:t>D.</w:t>
      </w:r>
      <w:r>
        <w:rPr>
          <w:color w:val="4C4D4F"/>
          <w:spacing w:val="-21"/>
          <w:w w:val="115"/>
          <w:sz w:val="18"/>
        </w:rPr>
        <w:t> </w:t>
      </w:r>
      <w:r>
        <w:rPr>
          <w:color w:val="4C4D4F"/>
          <w:w w:val="115"/>
          <w:sz w:val="18"/>
        </w:rPr>
        <w:t>C.,</w:t>
      </w:r>
      <w:r>
        <w:rPr>
          <w:color w:val="4C4D4F"/>
          <w:spacing w:val="-21"/>
          <w:w w:val="115"/>
          <w:sz w:val="18"/>
        </w:rPr>
        <w:t> </w:t>
      </w:r>
      <w:r>
        <w:rPr>
          <w:color w:val="4C4D4F"/>
          <w:spacing w:val="-3"/>
          <w:w w:val="115"/>
          <w:sz w:val="18"/>
        </w:rPr>
        <w:t>Peyser,</w:t>
      </w:r>
      <w:r>
        <w:rPr>
          <w:color w:val="4C4D4F"/>
          <w:spacing w:val="-21"/>
          <w:w w:val="115"/>
          <w:sz w:val="18"/>
        </w:rPr>
        <w:t> </w:t>
      </w:r>
      <w:r>
        <w:rPr>
          <w:color w:val="4C4D4F"/>
          <w:w w:val="115"/>
          <w:sz w:val="18"/>
        </w:rPr>
        <w:t>N.</w:t>
      </w:r>
      <w:r>
        <w:rPr>
          <w:color w:val="4C4D4F"/>
          <w:spacing w:val="-21"/>
          <w:w w:val="115"/>
          <w:sz w:val="18"/>
        </w:rPr>
        <w:t> </w:t>
      </w:r>
      <w:r>
        <w:rPr>
          <w:color w:val="4C4D4F"/>
          <w:spacing w:val="-11"/>
          <w:w w:val="115"/>
          <w:sz w:val="18"/>
        </w:rPr>
        <w:t>P.,</w:t>
      </w:r>
      <w:r>
        <w:rPr>
          <w:color w:val="4C4D4F"/>
          <w:spacing w:val="-21"/>
          <w:w w:val="115"/>
          <w:sz w:val="18"/>
        </w:rPr>
        <w:t> </w:t>
      </w:r>
      <w:r>
        <w:rPr>
          <w:color w:val="4C4D4F"/>
          <w:spacing w:val="-3"/>
          <w:w w:val="115"/>
          <w:sz w:val="18"/>
        </w:rPr>
        <w:t>Drew, </w:t>
      </w:r>
      <w:r>
        <w:rPr>
          <w:color w:val="4C4D4F"/>
          <w:w w:val="115"/>
          <w:sz w:val="18"/>
        </w:rPr>
        <w:t>E., Friedmann, </w:t>
      </w:r>
      <w:r>
        <w:rPr>
          <w:color w:val="4C4D4F"/>
          <w:spacing w:val="-11"/>
          <w:w w:val="115"/>
          <w:sz w:val="18"/>
        </w:rPr>
        <w:t>P., </w:t>
      </w:r>
      <w:r>
        <w:rPr>
          <w:color w:val="4C4D4F"/>
          <w:spacing w:val="-3"/>
          <w:w w:val="115"/>
          <w:sz w:val="18"/>
        </w:rPr>
        <w:t>Trigg, </w:t>
      </w:r>
      <w:r>
        <w:rPr>
          <w:color w:val="4C4D4F"/>
          <w:w w:val="115"/>
          <w:sz w:val="18"/>
        </w:rPr>
        <w:t>H. L., &amp; Robinson, </w:t>
      </w:r>
      <w:r>
        <w:rPr>
          <w:color w:val="4C4D4F"/>
          <w:w w:val="135"/>
          <w:sz w:val="18"/>
        </w:rPr>
        <w:t>J. </w:t>
      </w:r>
      <w:r>
        <w:rPr>
          <w:color w:val="4C4D4F"/>
          <w:spacing w:val="-7"/>
          <w:w w:val="115"/>
          <w:sz w:val="18"/>
        </w:rPr>
        <w:t>W. </w:t>
      </w:r>
      <w:r>
        <w:rPr>
          <w:color w:val="4C4D4F"/>
          <w:w w:val="115"/>
          <w:sz w:val="18"/>
        </w:rPr>
        <w:t>(1991). A randomized trial of an interim methadone </w:t>
      </w:r>
      <w:r>
        <w:rPr>
          <w:color w:val="4C4D4F"/>
          <w:w w:val="110"/>
          <w:sz w:val="18"/>
        </w:rPr>
        <w:t>maintenance</w:t>
      </w:r>
      <w:r>
        <w:rPr>
          <w:color w:val="4C4D4F"/>
          <w:spacing w:val="-34"/>
          <w:w w:val="110"/>
          <w:sz w:val="18"/>
        </w:rPr>
        <w:t> </w:t>
      </w:r>
      <w:r>
        <w:rPr>
          <w:color w:val="4C4D4F"/>
          <w:w w:val="110"/>
          <w:sz w:val="18"/>
        </w:rPr>
        <w:t>clinic.</w:t>
      </w:r>
      <w:r>
        <w:rPr>
          <w:color w:val="4C4D4F"/>
          <w:spacing w:val="-33"/>
          <w:w w:val="110"/>
          <w:sz w:val="18"/>
        </w:rPr>
        <w:t> </w:t>
      </w:r>
      <w:r>
        <w:rPr>
          <w:rFonts w:ascii="Arial" w:hAnsi="Arial"/>
          <w:i/>
          <w:color w:val="4C4D4F"/>
          <w:w w:val="110"/>
          <w:sz w:val="18"/>
        </w:rPr>
        <w:t>American</w:t>
      </w:r>
      <w:r>
        <w:rPr>
          <w:rFonts w:ascii="Arial" w:hAnsi="Arial"/>
          <w:i/>
          <w:color w:val="4C4D4F"/>
          <w:spacing w:val="-34"/>
          <w:w w:val="110"/>
          <w:sz w:val="18"/>
        </w:rPr>
        <w:t> </w:t>
      </w:r>
      <w:r>
        <w:rPr>
          <w:rFonts w:ascii="Arial" w:hAnsi="Arial"/>
          <w:i/>
          <w:color w:val="4C4D4F"/>
          <w:w w:val="110"/>
          <w:sz w:val="18"/>
        </w:rPr>
        <w:t>Journal</w:t>
      </w:r>
      <w:r>
        <w:rPr>
          <w:rFonts w:ascii="Arial" w:hAnsi="Arial"/>
          <w:i/>
          <w:color w:val="4C4D4F"/>
          <w:spacing w:val="-33"/>
          <w:w w:val="110"/>
          <w:sz w:val="18"/>
        </w:rPr>
        <w:t> </w:t>
      </w:r>
      <w:r>
        <w:rPr>
          <w:rFonts w:ascii="Arial" w:hAnsi="Arial"/>
          <w:i/>
          <w:color w:val="4C4D4F"/>
          <w:w w:val="110"/>
          <w:sz w:val="18"/>
        </w:rPr>
        <w:t>of</w:t>
      </w:r>
      <w:r>
        <w:rPr>
          <w:rFonts w:ascii="Arial" w:hAnsi="Arial"/>
          <w:i/>
          <w:color w:val="4C4D4F"/>
          <w:spacing w:val="-34"/>
          <w:w w:val="110"/>
          <w:sz w:val="18"/>
        </w:rPr>
        <w:t> </w:t>
      </w:r>
      <w:r>
        <w:rPr>
          <w:rFonts w:ascii="Arial" w:hAnsi="Arial"/>
          <w:i/>
          <w:color w:val="4C4D4F"/>
          <w:w w:val="110"/>
          <w:sz w:val="18"/>
        </w:rPr>
        <w:t>Public</w:t>
      </w:r>
      <w:r>
        <w:rPr>
          <w:rFonts w:ascii="Arial" w:hAnsi="Arial"/>
          <w:i/>
          <w:color w:val="4C4D4F"/>
          <w:spacing w:val="-33"/>
          <w:w w:val="110"/>
          <w:sz w:val="18"/>
        </w:rPr>
        <w:t> </w:t>
      </w:r>
      <w:r>
        <w:rPr>
          <w:rFonts w:ascii="Arial" w:hAnsi="Arial"/>
          <w:i/>
          <w:color w:val="4C4D4F"/>
          <w:spacing w:val="-3"/>
          <w:w w:val="110"/>
          <w:sz w:val="18"/>
        </w:rPr>
        <w:t>Health, </w:t>
      </w:r>
      <w:r>
        <w:rPr>
          <w:rFonts w:ascii="Arial" w:hAnsi="Arial"/>
          <w:i/>
          <w:color w:val="4C4D4F"/>
          <w:w w:val="115"/>
          <w:sz w:val="18"/>
        </w:rPr>
        <w:t>81</w:t>
      </w:r>
      <w:r>
        <w:rPr>
          <w:color w:val="4C4D4F"/>
          <w:w w:val="115"/>
          <w:sz w:val="18"/>
        </w:rPr>
        <w:t>(9),</w:t>
      </w:r>
      <w:r>
        <w:rPr>
          <w:color w:val="4C4D4F"/>
          <w:spacing w:val="-10"/>
          <w:w w:val="115"/>
          <w:sz w:val="18"/>
        </w:rPr>
        <w:t> </w:t>
      </w:r>
      <w:r>
        <w:rPr>
          <w:color w:val="4C4D4F"/>
          <w:w w:val="115"/>
          <w:sz w:val="18"/>
        </w:rPr>
        <w:t>1185–1191.</w:t>
      </w:r>
    </w:p>
    <w:p>
      <w:pPr>
        <w:pStyle w:val="ListParagraph"/>
        <w:numPr>
          <w:ilvl w:val="0"/>
          <w:numId w:val="51"/>
        </w:numPr>
        <w:tabs>
          <w:tab w:pos="500" w:val="left" w:leader="none"/>
        </w:tabs>
        <w:spacing w:line="247" w:lineRule="auto" w:before="74" w:after="0"/>
        <w:ind w:left="500" w:right="316" w:hanging="360"/>
        <w:jc w:val="left"/>
        <w:rPr>
          <w:color w:val="4C4D4F"/>
          <w:sz w:val="18"/>
        </w:rPr>
      </w:pPr>
      <w:r>
        <w:rPr>
          <w:color w:val="4C4D4F"/>
          <w:w w:val="110"/>
          <w:sz w:val="18"/>
        </w:rPr>
        <w:t>Substance Abuse and Mental Health Services Administration.</w:t>
      </w:r>
      <w:r>
        <w:rPr>
          <w:color w:val="4C4D4F"/>
          <w:spacing w:val="-34"/>
          <w:w w:val="110"/>
          <w:sz w:val="18"/>
        </w:rPr>
        <w:t> </w:t>
      </w:r>
      <w:r>
        <w:rPr>
          <w:color w:val="4C4D4F"/>
          <w:w w:val="110"/>
          <w:sz w:val="18"/>
        </w:rPr>
        <w:t>(2015).</w:t>
      </w:r>
      <w:r>
        <w:rPr>
          <w:color w:val="4C4D4F"/>
          <w:spacing w:val="-34"/>
          <w:w w:val="110"/>
          <w:sz w:val="18"/>
        </w:rPr>
        <w:t> </w:t>
      </w:r>
      <w:r>
        <w:rPr>
          <w:rFonts w:ascii="Arial"/>
          <w:i/>
          <w:color w:val="4C4D4F"/>
          <w:w w:val="110"/>
          <w:sz w:val="18"/>
        </w:rPr>
        <w:t>Federal</w:t>
      </w:r>
      <w:r>
        <w:rPr>
          <w:rFonts w:ascii="Arial"/>
          <w:i/>
          <w:color w:val="4C4D4F"/>
          <w:spacing w:val="-34"/>
          <w:w w:val="110"/>
          <w:sz w:val="18"/>
        </w:rPr>
        <w:t> </w:t>
      </w:r>
      <w:r>
        <w:rPr>
          <w:rFonts w:ascii="Arial"/>
          <w:i/>
          <w:color w:val="4C4D4F"/>
          <w:w w:val="110"/>
          <w:sz w:val="18"/>
        </w:rPr>
        <w:t>guidelines</w:t>
      </w:r>
      <w:r>
        <w:rPr>
          <w:rFonts w:ascii="Arial"/>
          <w:i/>
          <w:color w:val="4C4D4F"/>
          <w:spacing w:val="-33"/>
          <w:w w:val="110"/>
          <w:sz w:val="18"/>
        </w:rPr>
        <w:t> </w:t>
      </w:r>
      <w:r>
        <w:rPr>
          <w:rFonts w:ascii="Arial"/>
          <w:i/>
          <w:color w:val="4C4D4F"/>
          <w:w w:val="110"/>
          <w:sz w:val="18"/>
        </w:rPr>
        <w:t>for</w:t>
      </w:r>
      <w:r>
        <w:rPr>
          <w:rFonts w:ascii="Arial"/>
          <w:i/>
          <w:color w:val="4C4D4F"/>
          <w:spacing w:val="-34"/>
          <w:w w:val="110"/>
          <w:sz w:val="18"/>
        </w:rPr>
        <w:t> </w:t>
      </w:r>
      <w:r>
        <w:rPr>
          <w:rFonts w:ascii="Arial"/>
          <w:i/>
          <w:color w:val="4C4D4F"/>
          <w:spacing w:val="-3"/>
          <w:w w:val="110"/>
          <w:sz w:val="18"/>
        </w:rPr>
        <w:t>opioid </w:t>
      </w:r>
      <w:r>
        <w:rPr>
          <w:rFonts w:ascii="Arial"/>
          <w:i/>
          <w:color w:val="4C4D4F"/>
          <w:w w:val="110"/>
          <w:sz w:val="18"/>
        </w:rPr>
        <w:t>treatment</w:t>
      </w:r>
      <w:r>
        <w:rPr>
          <w:rFonts w:ascii="Arial"/>
          <w:i/>
          <w:color w:val="4C4D4F"/>
          <w:spacing w:val="-17"/>
          <w:w w:val="110"/>
          <w:sz w:val="18"/>
        </w:rPr>
        <w:t> </w:t>
      </w:r>
      <w:r>
        <w:rPr>
          <w:rFonts w:ascii="Arial"/>
          <w:i/>
          <w:color w:val="4C4D4F"/>
          <w:w w:val="110"/>
          <w:sz w:val="18"/>
        </w:rPr>
        <w:t>programs.</w:t>
      </w:r>
      <w:r>
        <w:rPr>
          <w:rFonts w:ascii="Arial"/>
          <w:i/>
          <w:color w:val="4C4D4F"/>
          <w:spacing w:val="-17"/>
          <w:w w:val="110"/>
          <w:sz w:val="18"/>
        </w:rPr>
        <w:t> </w:t>
      </w:r>
      <w:r>
        <w:rPr>
          <w:color w:val="4C4D4F"/>
          <w:w w:val="110"/>
          <w:sz w:val="18"/>
        </w:rPr>
        <w:t>HHS</w:t>
      </w:r>
      <w:r>
        <w:rPr>
          <w:color w:val="4C4D4F"/>
          <w:spacing w:val="-16"/>
          <w:w w:val="110"/>
          <w:sz w:val="18"/>
        </w:rPr>
        <w:t> </w:t>
      </w:r>
      <w:r>
        <w:rPr>
          <w:color w:val="4C4D4F"/>
          <w:w w:val="110"/>
          <w:sz w:val="18"/>
        </w:rPr>
        <w:t>Publication</w:t>
      </w:r>
      <w:r>
        <w:rPr>
          <w:color w:val="4C4D4F"/>
          <w:spacing w:val="-17"/>
          <w:w w:val="110"/>
          <w:sz w:val="18"/>
        </w:rPr>
        <w:t> </w:t>
      </w:r>
      <w:r>
        <w:rPr>
          <w:color w:val="4C4D4F"/>
          <w:w w:val="110"/>
          <w:sz w:val="18"/>
        </w:rPr>
        <w:t>No.</w:t>
      </w:r>
      <w:r>
        <w:rPr>
          <w:color w:val="4C4D4F"/>
          <w:spacing w:val="-17"/>
          <w:w w:val="110"/>
          <w:sz w:val="18"/>
        </w:rPr>
        <w:t> </w:t>
      </w:r>
      <w:r>
        <w:rPr>
          <w:color w:val="4C4D4F"/>
          <w:w w:val="110"/>
          <w:sz w:val="18"/>
        </w:rPr>
        <w:t>(SMA)</w:t>
      </w:r>
    </w:p>
    <w:p>
      <w:pPr>
        <w:spacing w:line="247" w:lineRule="auto" w:before="0"/>
        <w:ind w:left="500" w:right="-3" w:firstLine="0"/>
        <w:jc w:val="left"/>
        <w:rPr>
          <w:sz w:val="18"/>
        </w:rPr>
      </w:pPr>
      <w:r>
        <w:rPr>
          <w:color w:val="4C4D4F"/>
          <w:w w:val="110"/>
          <w:sz w:val="18"/>
        </w:rPr>
        <w:t>PEP15-FEDGUIDEOTP. Rockville, MD: Substance </w:t>
      </w:r>
      <w:r>
        <w:rPr>
          <w:color w:val="4C4D4F"/>
          <w:spacing w:val="-4"/>
          <w:w w:val="110"/>
          <w:sz w:val="18"/>
        </w:rPr>
        <w:t>Abuse </w:t>
      </w:r>
      <w:r>
        <w:rPr>
          <w:color w:val="4C4D4F"/>
          <w:w w:val="110"/>
          <w:sz w:val="18"/>
        </w:rPr>
        <w:t>and Mental Health Services Administration.</w:t>
      </w:r>
    </w:p>
    <w:p>
      <w:pPr>
        <w:pStyle w:val="ListParagraph"/>
        <w:numPr>
          <w:ilvl w:val="0"/>
          <w:numId w:val="51"/>
        </w:numPr>
        <w:tabs>
          <w:tab w:pos="500" w:val="left" w:leader="none"/>
        </w:tabs>
        <w:spacing w:line="247" w:lineRule="auto" w:before="73" w:after="0"/>
        <w:ind w:left="500" w:right="234" w:hanging="360"/>
        <w:jc w:val="left"/>
        <w:rPr>
          <w:color w:val="4C4D4F"/>
          <w:sz w:val="18"/>
        </w:rPr>
      </w:pPr>
      <w:r>
        <w:rPr>
          <w:color w:val="4C4D4F"/>
          <w:w w:val="110"/>
          <w:sz w:val="18"/>
        </w:rPr>
        <w:t>Martin, </w:t>
      </w:r>
      <w:r>
        <w:rPr>
          <w:color w:val="4C4D4F"/>
          <w:spacing w:val="-7"/>
          <w:w w:val="110"/>
          <w:sz w:val="18"/>
        </w:rPr>
        <w:t>W. </w:t>
      </w:r>
      <w:r>
        <w:rPr>
          <w:color w:val="4C4D4F"/>
          <w:w w:val="110"/>
          <w:sz w:val="18"/>
        </w:rPr>
        <w:t>R., Jasinski, D. R., &amp; Mansky, </w:t>
      </w:r>
      <w:r>
        <w:rPr>
          <w:color w:val="4C4D4F"/>
          <w:spacing w:val="-17"/>
          <w:w w:val="110"/>
          <w:sz w:val="18"/>
        </w:rPr>
        <w:t>P. </w:t>
      </w:r>
      <w:r>
        <w:rPr>
          <w:color w:val="4C4D4F"/>
          <w:w w:val="110"/>
          <w:sz w:val="18"/>
        </w:rPr>
        <w:t>A. (1973). Naltrexone, an antagonist for the treatment of</w:t>
      </w:r>
      <w:r>
        <w:rPr>
          <w:color w:val="4C4D4F"/>
          <w:spacing w:val="-21"/>
          <w:w w:val="110"/>
          <w:sz w:val="18"/>
        </w:rPr>
        <w:t> </w:t>
      </w:r>
      <w:r>
        <w:rPr>
          <w:color w:val="4C4D4F"/>
          <w:spacing w:val="-4"/>
          <w:w w:val="110"/>
          <w:sz w:val="18"/>
        </w:rPr>
        <w:t>heroin </w:t>
      </w:r>
      <w:r>
        <w:rPr>
          <w:color w:val="4C4D4F"/>
          <w:w w:val="110"/>
          <w:sz w:val="18"/>
        </w:rPr>
        <w:t>dependence: Effects in man. </w:t>
      </w:r>
      <w:r>
        <w:rPr>
          <w:rFonts w:ascii="Arial" w:hAnsi="Arial"/>
          <w:i/>
          <w:color w:val="4C4D4F"/>
          <w:w w:val="110"/>
          <w:sz w:val="18"/>
        </w:rPr>
        <w:t>Archives of General </w:t>
      </w:r>
      <w:r>
        <w:rPr>
          <w:rFonts w:ascii="Arial" w:hAnsi="Arial"/>
          <w:i/>
          <w:color w:val="4C4D4F"/>
          <w:w w:val="110"/>
          <w:sz w:val="18"/>
        </w:rPr>
        <w:t>Psychiatry, 28</w:t>
      </w:r>
      <w:r>
        <w:rPr>
          <w:color w:val="4C4D4F"/>
          <w:w w:val="110"/>
          <w:sz w:val="18"/>
        </w:rPr>
        <w:t>(6),</w:t>
      </w:r>
      <w:r>
        <w:rPr>
          <w:color w:val="4C4D4F"/>
          <w:spacing w:val="-18"/>
          <w:w w:val="110"/>
          <w:sz w:val="18"/>
        </w:rPr>
        <w:t> </w:t>
      </w:r>
      <w:r>
        <w:rPr>
          <w:color w:val="4C4D4F"/>
          <w:w w:val="110"/>
          <w:sz w:val="18"/>
        </w:rPr>
        <w:t>784–791.</w:t>
      </w:r>
    </w:p>
    <w:p>
      <w:pPr>
        <w:pStyle w:val="ListParagraph"/>
        <w:numPr>
          <w:ilvl w:val="0"/>
          <w:numId w:val="51"/>
        </w:numPr>
        <w:tabs>
          <w:tab w:pos="500" w:val="left" w:leader="none"/>
        </w:tabs>
        <w:spacing w:line="247" w:lineRule="auto" w:before="73" w:after="0"/>
        <w:ind w:left="500" w:right="152" w:hanging="360"/>
        <w:jc w:val="left"/>
        <w:rPr>
          <w:color w:val="4C4D4F"/>
          <w:sz w:val="18"/>
        </w:rPr>
      </w:pPr>
      <w:r>
        <w:rPr>
          <w:color w:val="4C4D4F"/>
          <w:w w:val="115"/>
          <w:sz w:val="18"/>
        </w:rPr>
        <w:t>Sullivan, M. A., Garawi, </w:t>
      </w:r>
      <w:r>
        <w:rPr>
          <w:color w:val="4C4D4F"/>
          <w:spacing w:val="-10"/>
          <w:w w:val="115"/>
          <w:sz w:val="18"/>
        </w:rPr>
        <w:t>F., </w:t>
      </w:r>
      <w:r>
        <w:rPr>
          <w:color w:val="4C4D4F"/>
          <w:w w:val="115"/>
          <w:sz w:val="18"/>
        </w:rPr>
        <w:t>Bisaga, A., </w:t>
      </w:r>
      <w:r>
        <w:rPr>
          <w:color w:val="4C4D4F"/>
          <w:spacing w:val="-3"/>
          <w:w w:val="115"/>
          <w:sz w:val="18"/>
        </w:rPr>
        <w:t>Comer, </w:t>
      </w:r>
      <w:r>
        <w:rPr>
          <w:color w:val="4C4D4F"/>
          <w:w w:val="115"/>
          <w:sz w:val="18"/>
        </w:rPr>
        <w:t>S. D., Carpenter, K., </w:t>
      </w:r>
      <w:r>
        <w:rPr>
          <w:color w:val="4C4D4F"/>
          <w:spacing w:val="-3"/>
          <w:w w:val="115"/>
          <w:sz w:val="18"/>
        </w:rPr>
        <w:t>Raby, </w:t>
      </w:r>
      <w:r>
        <w:rPr>
          <w:color w:val="4C4D4F"/>
          <w:spacing w:val="-7"/>
          <w:w w:val="115"/>
          <w:sz w:val="18"/>
        </w:rPr>
        <w:t>W. </w:t>
      </w:r>
      <w:r>
        <w:rPr>
          <w:color w:val="4C4D4F"/>
          <w:w w:val="115"/>
          <w:sz w:val="18"/>
        </w:rPr>
        <w:t>N., … Nunes, E. </w:t>
      </w:r>
      <w:r>
        <w:rPr>
          <w:color w:val="4C4D4F"/>
          <w:spacing w:val="-12"/>
          <w:w w:val="115"/>
          <w:sz w:val="18"/>
        </w:rPr>
        <w:t>V. </w:t>
      </w:r>
      <w:r>
        <w:rPr>
          <w:color w:val="4C4D4F"/>
          <w:w w:val="115"/>
          <w:sz w:val="18"/>
        </w:rPr>
        <w:t>(2007). Management</w:t>
      </w:r>
      <w:r>
        <w:rPr>
          <w:color w:val="4C4D4F"/>
          <w:spacing w:val="-22"/>
          <w:w w:val="115"/>
          <w:sz w:val="18"/>
        </w:rPr>
        <w:t> </w:t>
      </w:r>
      <w:r>
        <w:rPr>
          <w:color w:val="4C4D4F"/>
          <w:w w:val="115"/>
          <w:sz w:val="18"/>
        </w:rPr>
        <w:t>of</w:t>
      </w:r>
      <w:r>
        <w:rPr>
          <w:color w:val="4C4D4F"/>
          <w:spacing w:val="-22"/>
          <w:w w:val="115"/>
          <w:sz w:val="18"/>
        </w:rPr>
        <w:t> </w:t>
      </w:r>
      <w:r>
        <w:rPr>
          <w:color w:val="4C4D4F"/>
          <w:w w:val="115"/>
          <w:sz w:val="18"/>
        </w:rPr>
        <w:t>relapse</w:t>
      </w:r>
      <w:r>
        <w:rPr>
          <w:color w:val="4C4D4F"/>
          <w:spacing w:val="-22"/>
          <w:w w:val="115"/>
          <w:sz w:val="18"/>
        </w:rPr>
        <w:t> </w:t>
      </w:r>
      <w:r>
        <w:rPr>
          <w:color w:val="4C4D4F"/>
          <w:w w:val="115"/>
          <w:sz w:val="18"/>
        </w:rPr>
        <w:t>in</w:t>
      </w:r>
      <w:r>
        <w:rPr>
          <w:color w:val="4C4D4F"/>
          <w:spacing w:val="-22"/>
          <w:w w:val="115"/>
          <w:sz w:val="18"/>
        </w:rPr>
        <w:t> </w:t>
      </w:r>
      <w:r>
        <w:rPr>
          <w:color w:val="4C4D4F"/>
          <w:w w:val="115"/>
          <w:sz w:val="18"/>
        </w:rPr>
        <w:t>naltrexone</w:t>
      </w:r>
      <w:r>
        <w:rPr>
          <w:color w:val="4C4D4F"/>
          <w:spacing w:val="-22"/>
          <w:w w:val="115"/>
          <w:sz w:val="18"/>
        </w:rPr>
        <w:t> </w:t>
      </w:r>
      <w:r>
        <w:rPr>
          <w:color w:val="4C4D4F"/>
          <w:w w:val="115"/>
          <w:sz w:val="18"/>
        </w:rPr>
        <w:t>maintenance</w:t>
      </w:r>
      <w:r>
        <w:rPr>
          <w:color w:val="4C4D4F"/>
          <w:spacing w:val="-21"/>
          <w:w w:val="115"/>
          <w:sz w:val="18"/>
        </w:rPr>
        <w:t> </w:t>
      </w:r>
      <w:r>
        <w:rPr>
          <w:color w:val="4C4D4F"/>
          <w:spacing w:val="-6"/>
          <w:w w:val="115"/>
          <w:sz w:val="18"/>
        </w:rPr>
        <w:t>for </w:t>
      </w:r>
      <w:r>
        <w:rPr>
          <w:color w:val="4C4D4F"/>
          <w:w w:val="110"/>
          <w:sz w:val="18"/>
        </w:rPr>
        <w:t>heroin</w:t>
      </w:r>
      <w:r>
        <w:rPr>
          <w:color w:val="4C4D4F"/>
          <w:spacing w:val="-22"/>
          <w:w w:val="110"/>
          <w:sz w:val="18"/>
        </w:rPr>
        <w:t> </w:t>
      </w:r>
      <w:r>
        <w:rPr>
          <w:color w:val="4C4D4F"/>
          <w:w w:val="110"/>
          <w:sz w:val="18"/>
        </w:rPr>
        <w:t>dependence.</w:t>
      </w:r>
      <w:r>
        <w:rPr>
          <w:color w:val="4C4D4F"/>
          <w:spacing w:val="-21"/>
          <w:w w:val="110"/>
          <w:sz w:val="18"/>
        </w:rPr>
        <w:t> </w:t>
      </w:r>
      <w:r>
        <w:rPr>
          <w:rFonts w:ascii="Arial" w:hAnsi="Arial"/>
          <w:i/>
          <w:color w:val="4C4D4F"/>
          <w:w w:val="110"/>
          <w:sz w:val="18"/>
        </w:rPr>
        <w:t>Drug</w:t>
      </w:r>
      <w:r>
        <w:rPr>
          <w:rFonts w:ascii="Arial" w:hAnsi="Arial"/>
          <w:i/>
          <w:color w:val="4C4D4F"/>
          <w:spacing w:val="-21"/>
          <w:w w:val="110"/>
          <w:sz w:val="18"/>
        </w:rPr>
        <w:t> </w:t>
      </w:r>
      <w:r>
        <w:rPr>
          <w:rFonts w:ascii="Arial" w:hAnsi="Arial"/>
          <w:i/>
          <w:color w:val="4C4D4F"/>
          <w:w w:val="110"/>
          <w:sz w:val="18"/>
        </w:rPr>
        <w:t>and</w:t>
      </w:r>
      <w:r>
        <w:rPr>
          <w:rFonts w:ascii="Arial" w:hAnsi="Arial"/>
          <w:i/>
          <w:color w:val="4C4D4F"/>
          <w:spacing w:val="-21"/>
          <w:w w:val="110"/>
          <w:sz w:val="18"/>
        </w:rPr>
        <w:t> </w:t>
      </w:r>
      <w:r>
        <w:rPr>
          <w:rFonts w:ascii="Arial" w:hAnsi="Arial"/>
          <w:i/>
          <w:color w:val="4C4D4F"/>
          <w:w w:val="110"/>
          <w:sz w:val="18"/>
        </w:rPr>
        <w:t>Alcohol</w:t>
      </w:r>
      <w:r>
        <w:rPr>
          <w:rFonts w:ascii="Arial" w:hAnsi="Arial"/>
          <w:i/>
          <w:color w:val="4C4D4F"/>
          <w:spacing w:val="-21"/>
          <w:w w:val="110"/>
          <w:sz w:val="18"/>
        </w:rPr>
        <w:t> </w:t>
      </w:r>
      <w:r>
        <w:rPr>
          <w:rFonts w:ascii="Arial" w:hAnsi="Arial"/>
          <w:i/>
          <w:color w:val="4C4D4F"/>
          <w:w w:val="110"/>
          <w:sz w:val="18"/>
        </w:rPr>
        <w:t>Dependence, </w:t>
      </w:r>
      <w:r>
        <w:rPr>
          <w:rFonts w:ascii="Arial" w:hAnsi="Arial"/>
          <w:i/>
          <w:color w:val="4C4D4F"/>
          <w:w w:val="115"/>
          <w:sz w:val="18"/>
        </w:rPr>
        <w:t>91</w:t>
      </w:r>
      <w:r>
        <w:rPr>
          <w:color w:val="4C4D4F"/>
          <w:w w:val="115"/>
          <w:sz w:val="18"/>
        </w:rPr>
        <w:t>(2–3),</w:t>
      </w:r>
      <w:r>
        <w:rPr>
          <w:color w:val="4C4D4F"/>
          <w:spacing w:val="-10"/>
          <w:w w:val="115"/>
          <w:sz w:val="18"/>
        </w:rPr>
        <w:t> </w:t>
      </w:r>
      <w:r>
        <w:rPr>
          <w:color w:val="4C4D4F"/>
          <w:w w:val="115"/>
          <w:sz w:val="18"/>
        </w:rPr>
        <w:t>289–292.</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American Society of Addiction Medicine.</w:t>
      </w:r>
      <w:r>
        <w:rPr>
          <w:color w:val="4C4D4F"/>
          <w:spacing w:val="-15"/>
          <w:w w:val="110"/>
          <w:sz w:val="18"/>
        </w:rPr>
        <w:t> </w:t>
      </w:r>
      <w:r>
        <w:rPr>
          <w:color w:val="4C4D4F"/>
          <w:w w:val="110"/>
          <w:sz w:val="18"/>
        </w:rPr>
        <w:t>(2015).</w:t>
      </w:r>
    </w:p>
    <w:p>
      <w:pPr>
        <w:spacing w:line="249" w:lineRule="auto" w:before="6"/>
        <w:ind w:left="500" w:right="195" w:firstLine="0"/>
        <w:jc w:val="left"/>
        <w:rPr>
          <w:rFonts w:ascii="Arial"/>
          <w:i/>
          <w:sz w:val="18"/>
        </w:rPr>
      </w:pPr>
      <w:r>
        <w:rPr>
          <w:rFonts w:ascii="Arial"/>
          <w:i/>
          <w:color w:val="4C4D4F"/>
          <w:w w:val="105"/>
          <w:sz w:val="18"/>
        </w:rPr>
        <w:t>National</w:t>
      </w:r>
      <w:r>
        <w:rPr>
          <w:rFonts w:ascii="Arial"/>
          <w:i/>
          <w:color w:val="4C4D4F"/>
          <w:spacing w:val="-16"/>
          <w:w w:val="105"/>
          <w:sz w:val="18"/>
        </w:rPr>
        <w:t> </w:t>
      </w:r>
      <w:r>
        <w:rPr>
          <w:rFonts w:ascii="Arial"/>
          <w:i/>
          <w:color w:val="4C4D4F"/>
          <w:w w:val="105"/>
          <w:sz w:val="18"/>
        </w:rPr>
        <w:t>practice</w:t>
      </w:r>
      <w:r>
        <w:rPr>
          <w:rFonts w:ascii="Arial"/>
          <w:i/>
          <w:color w:val="4C4D4F"/>
          <w:spacing w:val="-15"/>
          <w:w w:val="105"/>
          <w:sz w:val="18"/>
        </w:rPr>
        <w:t> </w:t>
      </w:r>
      <w:r>
        <w:rPr>
          <w:rFonts w:ascii="Arial"/>
          <w:i/>
          <w:color w:val="4C4D4F"/>
          <w:w w:val="105"/>
          <w:sz w:val="18"/>
        </w:rPr>
        <w:t>guideline</w:t>
      </w:r>
      <w:r>
        <w:rPr>
          <w:rFonts w:ascii="Arial"/>
          <w:i/>
          <w:color w:val="4C4D4F"/>
          <w:spacing w:val="-15"/>
          <w:w w:val="105"/>
          <w:sz w:val="18"/>
        </w:rPr>
        <w:t> </w:t>
      </w:r>
      <w:r>
        <w:rPr>
          <w:rFonts w:ascii="Arial"/>
          <w:i/>
          <w:color w:val="4C4D4F"/>
          <w:w w:val="105"/>
          <w:sz w:val="18"/>
        </w:rPr>
        <w:t>for</w:t>
      </w:r>
      <w:r>
        <w:rPr>
          <w:rFonts w:ascii="Arial"/>
          <w:i/>
          <w:color w:val="4C4D4F"/>
          <w:spacing w:val="-16"/>
          <w:w w:val="105"/>
          <w:sz w:val="18"/>
        </w:rPr>
        <w:t> </w:t>
      </w:r>
      <w:r>
        <w:rPr>
          <w:rFonts w:ascii="Arial"/>
          <w:i/>
          <w:color w:val="4C4D4F"/>
          <w:w w:val="105"/>
          <w:sz w:val="18"/>
        </w:rPr>
        <w:t>the</w:t>
      </w:r>
      <w:r>
        <w:rPr>
          <w:rFonts w:ascii="Arial"/>
          <w:i/>
          <w:color w:val="4C4D4F"/>
          <w:spacing w:val="-15"/>
          <w:w w:val="105"/>
          <w:sz w:val="18"/>
        </w:rPr>
        <w:t> </w:t>
      </w:r>
      <w:r>
        <w:rPr>
          <w:rFonts w:ascii="Arial"/>
          <w:i/>
          <w:color w:val="4C4D4F"/>
          <w:w w:val="105"/>
          <w:sz w:val="18"/>
        </w:rPr>
        <w:t>use</w:t>
      </w:r>
      <w:r>
        <w:rPr>
          <w:rFonts w:ascii="Arial"/>
          <w:i/>
          <w:color w:val="4C4D4F"/>
          <w:spacing w:val="-15"/>
          <w:w w:val="105"/>
          <w:sz w:val="18"/>
        </w:rPr>
        <w:t> </w:t>
      </w:r>
      <w:r>
        <w:rPr>
          <w:rFonts w:ascii="Arial"/>
          <w:i/>
          <w:color w:val="4C4D4F"/>
          <w:w w:val="105"/>
          <w:sz w:val="18"/>
        </w:rPr>
        <w:t>of</w:t>
      </w:r>
      <w:r>
        <w:rPr>
          <w:rFonts w:ascii="Arial"/>
          <w:i/>
          <w:color w:val="4C4D4F"/>
          <w:spacing w:val="-16"/>
          <w:w w:val="105"/>
          <w:sz w:val="18"/>
        </w:rPr>
        <w:t> </w:t>
      </w:r>
      <w:r>
        <w:rPr>
          <w:rFonts w:ascii="Arial"/>
          <w:i/>
          <w:color w:val="4C4D4F"/>
          <w:w w:val="105"/>
          <w:sz w:val="18"/>
        </w:rPr>
        <w:t>medications </w:t>
      </w:r>
      <w:r>
        <w:rPr>
          <w:rFonts w:ascii="Arial"/>
          <w:i/>
          <w:color w:val="4C4D4F"/>
          <w:w w:val="105"/>
          <w:sz w:val="18"/>
        </w:rPr>
        <w:t>in the treatment of addiction involving opioid</w:t>
      </w:r>
      <w:r>
        <w:rPr>
          <w:rFonts w:ascii="Arial"/>
          <w:i/>
          <w:color w:val="4C4D4F"/>
          <w:spacing w:val="-33"/>
          <w:w w:val="105"/>
          <w:sz w:val="18"/>
        </w:rPr>
        <w:t> </w:t>
      </w:r>
      <w:r>
        <w:rPr>
          <w:rFonts w:ascii="Arial"/>
          <w:i/>
          <w:color w:val="4C4D4F"/>
          <w:w w:val="105"/>
          <w:sz w:val="18"/>
        </w:rPr>
        <w:t>use.</w:t>
      </w:r>
    </w:p>
    <w:p>
      <w:pPr>
        <w:spacing w:before="3"/>
        <w:ind w:left="500" w:right="0" w:firstLine="0"/>
        <w:jc w:val="left"/>
        <w:rPr>
          <w:sz w:val="18"/>
        </w:rPr>
      </w:pPr>
      <w:r>
        <w:rPr>
          <w:color w:val="4C4D4F"/>
          <w:w w:val="110"/>
          <w:sz w:val="18"/>
        </w:rPr>
        <w:t>Retrieved December 1, 2017, from</w:t>
      </w:r>
      <w:r>
        <w:rPr>
          <w:color w:val="4C4D4F"/>
          <w:spacing w:val="-27"/>
          <w:w w:val="110"/>
          <w:sz w:val="18"/>
        </w:rPr>
        <w:t> </w:t>
      </w:r>
      <w:hyperlink r:id="rId99">
        <w:r>
          <w:rPr>
            <w:color w:val="205E9E"/>
            <w:w w:val="110"/>
            <w:sz w:val="18"/>
            <w:u w:val="single" w:color="205E9E"/>
          </w:rPr>
          <w:t>www.asam.org</w:t>
        </w:r>
      </w:hyperlink>
    </w:p>
    <w:p>
      <w:pPr>
        <w:spacing w:before="7"/>
        <w:ind w:left="500" w:right="0" w:firstLine="0"/>
        <w:jc w:val="left"/>
        <w:rPr>
          <w:sz w:val="18"/>
        </w:rPr>
      </w:pPr>
      <w:r>
        <w:rPr>
          <w:color w:val="205E9E"/>
          <w:w w:val="115"/>
          <w:sz w:val="18"/>
          <w:u w:val="single" w:color="205E9E"/>
        </w:rPr>
        <w:t>/docs/default-source/practice-support/guidelines-and</w:t>
      </w:r>
    </w:p>
    <w:p>
      <w:pPr>
        <w:spacing w:before="7"/>
        <w:ind w:left="500" w:right="0" w:firstLine="0"/>
        <w:jc w:val="left"/>
        <w:rPr>
          <w:sz w:val="18"/>
        </w:rPr>
      </w:pPr>
      <w:r>
        <w:rPr>
          <w:color w:val="205E9E"/>
          <w:w w:val="115"/>
          <w:sz w:val="18"/>
          <w:u w:val="single" w:color="205E9E"/>
        </w:rPr>
        <w:t>-consensus-docs/asam-national-practice-guideline</w:t>
      </w:r>
    </w:p>
    <w:p>
      <w:pPr>
        <w:spacing w:before="8"/>
        <w:ind w:left="500" w:right="0" w:firstLine="0"/>
        <w:jc w:val="left"/>
        <w:rPr>
          <w:sz w:val="18"/>
        </w:rPr>
      </w:pPr>
      <w:r>
        <w:rPr>
          <w:color w:val="205E9E"/>
          <w:w w:val="115"/>
          <w:sz w:val="18"/>
          <w:u w:val="single" w:color="205E9E"/>
        </w:rPr>
        <w:t>-supplement.pdf?sfvrsn=24</w:t>
      </w:r>
    </w:p>
    <w:p>
      <w:pPr>
        <w:pStyle w:val="ListParagraph"/>
        <w:numPr>
          <w:ilvl w:val="0"/>
          <w:numId w:val="51"/>
        </w:numPr>
        <w:tabs>
          <w:tab w:pos="500" w:val="left" w:leader="none"/>
        </w:tabs>
        <w:spacing w:line="247" w:lineRule="auto" w:before="79" w:after="0"/>
        <w:ind w:left="500" w:right="361" w:hanging="360"/>
        <w:jc w:val="left"/>
        <w:rPr>
          <w:color w:val="4C4D4F"/>
          <w:sz w:val="18"/>
        </w:rPr>
      </w:pPr>
      <w:r>
        <w:rPr>
          <w:color w:val="4C4D4F"/>
          <w:w w:val="115"/>
          <w:sz w:val="18"/>
        </w:rPr>
        <w:t>Minozzi, S., Amato, L., Vecchi, S., Davoli, M., </w:t>
      </w:r>
      <w:r>
        <w:rPr>
          <w:color w:val="4C4D4F"/>
          <w:w w:val="110"/>
          <w:sz w:val="18"/>
        </w:rPr>
        <w:t>Kirchmayer,</w:t>
      </w:r>
      <w:r>
        <w:rPr>
          <w:color w:val="4C4D4F"/>
          <w:spacing w:val="-18"/>
          <w:w w:val="110"/>
          <w:sz w:val="18"/>
        </w:rPr>
        <w:t> </w:t>
      </w:r>
      <w:r>
        <w:rPr>
          <w:color w:val="4C4D4F"/>
          <w:w w:val="110"/>
          <w:sz w:val="18"/>
        </w:rPr>
        <w:t>U.,</w:t>
      </w:r>
      <w:r>
        <w:rPr>
          <w:color w:val="4C4D4F"/>
          <w:spacing w:val="-17"/>
          <w:w w:val="110"/>
          <w:sz w:val="18"/>
        </w:rPr>
        <w:t> </w:t>
      </w:r>
      <w:r>
        <w:rPr>
          <w:color w:val="4C4D4F"/>
          <w:w w:val="110"/>
          <w:sz w:val="18"/>
        </w:rPr>
        <w:t>&amp;</w:t>
      </w:r>
      <w:r>
        <w:rPr>
          <w:color w:val="4C4D4F"/>
          <w:spacing w:val="-17"/>
          <w:w w:val="110"/>
          <w:sz w:val="18"/>
        </w:rPr>
        <w:t> </w:t>
      </w:r>
      <w:r>
        <w:rPr>
          <w:color w:val="4C4D4F"/>
          <w:spacing w:val="-4"/>
          <w:w w:val="110"/>
          <w:sz w:val="18"/>
        </w:rPr>
        <w:t>Verster,</w:t>
      </w:r>
      <w:r>
        <w:rPr>
          <w:color w:val="4C4D4F"/>
          <w:spacing w:val="-17"/>
          <w:w w:val="110"/>
          <w:sz w:val="18"/>
        </w:rPr>
        <w:t> </w:t>
      </w:r>
      <w:r>
        <w:rPr>
          <w:color w:val="4C4D4F"/>
          <w:w w:val="110"/>
          <w:sz w:val="18"/>
        </w:rPr>
        <w:t>A.</w:t>
      </w:r>
      <w:r>
        <w:rPr>
          <w:color w:val="4C4D4F"/>
          <w:spacing w:val="-17"/>
          <w:w w:val="110"/>
          <w:sz w:val="18"/>
        </w:rPr>
        <w:t> </w:t>
      </w:r>
      <w:r>
        <w:rPr>
          <w:color w:val="4C4D4F"/>
          <w:w w:val="110"/>
          <w:sz w:val="18"/>
        </w:rPr>
        <w:t>(2011).</w:t>
      </w:r>
      <w:r>
        <w:rPr>
          <w:color w:val="4C4D4F"/>
          <w:spacing w:val="-17"/>
          <w:w w:val="110"/>
          <w:sz w:val="18"/>
        </w:rPr>
        <w:t> </w:t>
      </w:r>
      <w:r>
        <w:rPr>
          <w:color w:val="4C4D4F"/>
          <w:w w:val="110"/>
          <w:sz w:val="18"/>
        </w:rPr>
        <w:t>Oral</w:t>
      </w:r>
      <w:r>
        <w:rPr>
          <w:color w:val="4C4D4F"/>
          <w:spacing w:val="-17"/>
          <w:w w:val="110"/>
          <w:sz w:val="18"/>
        </w:rPr>
        <w:t> </w:t>
      </w:r>
      <w:r>
        <w:rPr>
          <w:color w:val="4C4D4F"/>
          <w:spacing w:val="-3"/>
          <w:w w:val="110"/>
          <w:sz w:val="18"/>
        </w:rPr>
        <w:t>naltrexone </w:t>
      </w:r>
      <w:r>
        <w:rPr>
          <w:color w:val="4C4D4F"/>
          <w:w w:val="115"/>
          <w:sz w:val="18"/>
        </w:rPr>
        <w:t>maintenance</w:t>
      </w:r>
      <w:r>
        <w:rPr>
          <w:color w:val="4C4D4F"/>
          <w:spacing w:val="-15"/>
          <w:w w:val="115"/>
          <w:sz w:val="18"/>
        </w:rPr>
        <w:t> </w:t>
      </w:r>
      <w:r>
        <w:rPr>
          <w:color w:val="4C4D4F"/>
          <w:w w:val="115"/>
          <w:sz w:val="18"/>
        </w:rPr>
        <w:t>treatment</w:t>
      </w:r>
      <w:r>
        <w:rPr>
          <w:color w:val="4C4D4F"/>
          <w:spacing w:val="-14"/>
          <w:w w:val="115"/>
          <w:sz w:val="18"/>
        </w:rPr>
        <w:t> </w:t>
      </w:r>
      <w:r>
        <w:rPr>
          <w:color w:val="4C4D4F"/>
          <w:w w:val="115"/>
          <w:sz w:val="18"/>
        </w:rPr>
        <w:t>for</w:t>
      </w:r>
      <w:r>
        <w:rPr>
          <w:color w:val="4C4D4F"/>
          <w:spacing w:val="-15"/>
          <w:w w:val="115"/>
          <w:sz w:val="18"/>
        </w:rPr>
        <w:t> </w:t>
      </w:r>
      <w:r>
        <w:rPr>
          <w:color w:val="4C4D4F"/>
          <w:w w:val="115"/>
          <w:sz w:val="18"/>
        </w:rPr>
        <w:t>opioid</w:t>
      </w:r>
      <w:r>
        <w:rPr>
          <w:color w:val="4C4D4F"/>
          <w:spacing w:val="-14"/>
          <w:w w:val="115"/>
          <w:sz w:val="18"/>
        </w:rPr>
        <w:t> </w:t>
      </w:r>
      <w:r>
        <w:rPr>
          <w:color w:val="4C4D4F"/>
          <w:w w:val="115"/>
          <w:sz w:val="18"/>
        </w:rPr>
        <w:t>dependence.</w:t>
      </w:r>
    </w:p>
    <w:p>
      <w:pPr>
        <w:spacing w:line="247" w:lineRule="auto" w:before="1"/>
        <w:ind w:left="500" w:right="38" w:firstLine="0"/>
        <w:jc w:val="left"/>
        <w:rPr>
          <w:sz w:val="18"/>
        </w:rPr>
      </w:pPr>
      <w:r>
        <w:rPr>
          <w:rFonts w:ascii="Arial" w:hAnsi="Arial"/>
          <w:i/>
          <w:color w:val="4C4D4F"/>
          <w:sz w:val="18"/>
        </w:rPr>
        <w:t>Cochrane Database of Systematic Reviews, 2011</w:t>
      </w:r>
      <w:r>
        <w:rPr>
          <w:color w:val="4C4D4F"/>
          <w:sz w:val="18"/>
        </w:rPr>
        <w:t>(2), </w:t>
      </w:r>
      <w:r>
        <w:rPr>
          <w:color w:val="4C4D4F"/>
          <w:w w:val="105"/>
          <w:sz w:val="18"/>
        </w:rPr>
        <w:t>1–45. doi:10.1002/14651858.CD001333.pub3</w:t>
      </w:r>
    </w:p>
    <w:p>
      <w:pPr>
        <w:pStyle w:val="ListParagraph"/>
        <w:numPr>
          <w:ilvl w:val="0"/>
          <w:numId w:val="51"/>
        </w:numPr>
        <w:tabs>
          <w:tab w:pos="500" w:val="left" w:leader="none"/>
        </w:tabs>
        <w:spacing w:line="247" w:lineRule="auto" w:before="74" w:after="0"/>
        <w:ind w:left="500" w:right="174" w:hanging="360"/>
        <w:jc w:val="left"/>
        <w:rPr>
          <w:color w:val="4C4D4F"/>
          <w:sz w:val="18"/>
        </w:rPr>
      </w:pPr>
      <w:r>
        <w:rPr>
          <w:color w:val="4C4D4F"/>
          <w:w w:val="110"/>
          <w:sz w:val="18"/>
        </w:rPr>
        <w:t>Alkermes. (2015). Vivitrol. Retrieved May 21, 2017, from</w:t>
      </w:r>
      <w:r>
        <w:rPr>
          <w:color w:val="205E9E"/>
          <w:spacing w:val="13"/>
          <w:w w:val="110"/>
          <w:sz w:val="18"/>
        </w:rPr>
        <w:t> </w:t>
      </w:r>
      <w:hyperlink r:id="rId100">
        <w:r>
          <w:rPr>
            <w:color w:val="205E9E"/>
            <w:w w:val="110"/>
            <w:sz w:val="18"/>
            <w:u w:val="single" w:color="205E9E"/>
          </w:rPr>
          <w:t>http://medlibrary.org/lib/rx/meds/vivitrol/page/6</w:t>
        </w:r>
      </w:hyperlink>
    </w:p>
    <w:p>
      <w:pPr>
        <w:pStyle w:val="ListParagraph"/>
        <w:numPr>
          <w:ilvl w:val="0"/>
          <w:numId w:val="51"/>
        </w:numPr>
        <w:tabs>
          <w:tab w:pos="500" w:val="left" w:leader="none"/>
        </w:tabs>
        <w:spacing w:line="247" w:lineRule="auto" w:before="74" w:after="0"/>
        <w:ind w:left="500" w:right="243" w:hanging="360"/>
        <w:jc w:val="left"/>
        <w:rPr>
          <w:color w:val="4C4D4F"/>
          <w:sz w:val="18"/>
        </w:rPr>
      </w:pPr>
      <w:r>
        <w:rPr>
          <w:color w:val="4C4D4F"/>
          <w:w w:val="110"/>
          <w:sz w:val="18"/>
        </w:rPr>
        <w:t>Krupitsky, E., Nunes, E. </w:t>
      </w:r>
      <w:r>
        <w:rPr>
          <w:color w:val="4C4D4F"/>
          <w:spacing w:val="-8"/>
          <w:w w:val="110"/>
          <w:sz w:val="18"/>
        </w:rPr>
        <w:t>V., </w:t>
      </w:r>
      <w:r>
        <w:rPr>
          <w:color w:val="4C4D4F"/>
          <w:w w:val="110"/>
          <w:sz w:val="18"/>
        </w:rPr>
        <w:t>Ling, </w:t>
      </w:r>
      <w:r>
        <w:rPr>
          <w:color w:val="4C4D4F"/>
          <w:spacing w:val="-5"/>
          <w:w w:val="110"/>
          <w:sz w:val="18"/>
        </w:rPr>
        <w:t>W., </w:t>
      </w:r>
      <w:r>
        <w:rPr>
          <w:color w:val="4C4D4F"/>
          <w:w w:val="110"/>
          <w:sz w:val="18"/>
        </w:rPr>
        <w:t>Illeperuma, A., Gastfriend, D. R., &amp; Silverman, B. L. (2011). Injectable extended-release naltrexone for opioid dependence: A double-blind, placebo-controlled, multicentre randomised</w:t>
      </w:r>
      <w:r>
        <w:rPr>
          <w:color w:val="4C4D4F"/>
          <w:spacing w:val="-13"/>
          <w:w w:val="110"/>
          <w:sz w:val="18"/>
        </w:rPr>
        <w:t> </w:t>
      </w:r>
      <w:r>
        <w:rPr>
          <w:color w:val="4C4D4F"/>
          <w:w w:val="110"/>
          <w:sz w:val="18"/>
        </w:rPr>
        <w:t>trial.</w:t>
      </w:r>
      <w:r>
        <w:rPr>
          <w:color w:val="4C4D4F"/>
          <w:spacing w:val="-13"/>
          <w:w w:val="110"/>
          <w:sz w:val="18"/>
        </w:rPr>
        <w:t> </w:t>
      </w:r>
      <w:r>
        <w:rPr>
          <w:rFonts w:ascii="Arial" w:hAnsi="Arial"/>
          <w:i/>
          <w:color w:val="4C4D4F"/>
          <w:w w:val="110"/>
          <w:sz w:val="18"/>
        </w:rPr>
        <w:t>Lancet,</w:t>
      </w:r>
      <w:r>
        <w:rPr>
          <w:rFonts w:ascii="Arial" w:hAnsi="Arial"/>
          <w:i/>
          <w:color w:val="4C4D4F"/>
          <w:spacing w:val="-12"/>
          <w:w w:val="110"/>
          <w:sz w:val="18"/>
        </w:rPr>
        <w:t> </w:t>
      </w:r>
      <w:r>
        <w:rPr>
          <w:rFonts w:ascii="Arial" w:hAnsi="Arial"/>
          <w:i/>
          <w:color w:val="4C4D4F"/>
          <w:w w:val="110"/>
          <w:sz w:val="18"/>
        </w:rPr>
        <w:t>377</w:t>
      </w:r>
      <w:r>
        <w:rPr>
          <w:color w:val="4C4D4F"/>
          <w:w w:val="110"/>
          <w:sz w:val="18"/>
        </w:rPr>
        <w:t>(9776),</w:t>
      </w:r>
      <w:r>
        <w:rPr>
          <w:color w:val="4C4D4F"/>
          <w:spacing w:val="-13"/>
          <w:w w:val="110"/>
          <w:sz w:val="18"/>
        </w:rPr>
        <w:t> </w:t>
      </w:r>
      <w:r>
        <w:rPr>
          <w:color w:val="4C4D4F"/>
          <w:w w:val="110"/>
          <w:sz w:val="18"/>
        </w:rPr>
        <w:t>1506–1513.</w:t>
      </w:r>
    </w:p>
    <w:p>
      <w:pPr>
        <w:pStyle w:val="ListParagraph"/>
        <w:numPr>
          <w:ilvl w:val="0"/>
          <w:numId w:val="51"/>
        </w:numPr>
        <w:tabs>
          <w:tab w:pos="500" w:val="left" w:leader="none"/>
        </w:tabs>
        <w:spacing w:line="247" w:lineRule="auto" w:before="76" w:after="0"/>
        <w:ind w:left="500" w:right="155" w:hanging="360"/>
        <w:jc w:val="left"/>
        <w:rPr>
          <w:color w:val="4C4D4F"/>
          <w:sz w:val="18"/>
        </w:rPr>
      </w:pPr>
      <w:r>
        <w:rPr>
          <w:color w:val="4C4D4F"/>
          <w:w w:val="115"/>
          <w:sz w:val="18"/>
        </w:rPr>
        <w:t>Lee,</w:t>
      </w:r>
      <w:r>
        <w:rPr>
          <w:color w:val="4C4D4F"/>
          <w:spacing w:val="-18"/>
          <w:w w:val="115"/>
          <w:sz w:val="18"/>
        </w:rPr>
        <w:t> </w:t>
      </w:r>
      <w:r>
        <w:rPr>
          <w:color w:val="4C4D4F"/>
          <w:w w:val="135"/>
          <w:sz w:val="18"/>
        </w:rPr>
        <w:t>J.</w:t>
      </w:r>
      <w:r>
        <w:rPr>
          <w:color w:val="4C4D4F"/>
          <w:spacing w:val="-27"/>
          <w:w w:val="135"/>
          <w:sz w:val="18"/>
        </w:rPr>
        <w:t> </w:t>
      </w:r>
      <w:r>
        <w:rPr>
          <w:color w:val="4C4D4F"/>
          <w:w w:val="115"/>
          <w:sz w:val="18"/>
        </w:rPr>
        <w:t>D.,</w:t>
      </w:r>
      <w:r>
        <w:rPr>
          <w:color w:val="4C4D4F"/>
          <w:spacing w:val="-18"/>
          <w:w w:val="115"/>
          <w:sz w:val="18"/>
        </w:rPr>
        <w:t> </w:t>
      </w:r>
      <w:r>
        <w:rPr>
          <w:color w:val="4C4D4F"/>
          <w:w w:val="115"/>
          <w:sz w:val="18"/>
        </w:rPr>
        <w:t>Friedmann,</w:t>
      </w:r>
      <w:r>
        <w:rPr>
          <w:color w:val="4C4D4F"/>
          <w:spacing w:val="-17"/>
          <w:w w:val="115"/>
          <w:sz w:val="18"/>
        </w:rPr>
        <w:t> P. </w:t>
      </w:r>
      <w:r>
        <w:rPr>
          <w:color w:val="4C4D4F"/>
          <w:w w:val="115"/>
          <w:sz w:val="18"/>
        </w:rPr>
        <w:t>D.,</w:t>
      </w:r>
      <w:r>
        <w:rPr>
          <w:color w:val="4C4D4F"/>
          <w:spacing w:val="-18"/>
          <w:w w:val="115"/>
          <w:sz w:val="18"/>
        </w:rPr>
        <w:t> </w:t>
      </w:r>
      <w:r>
        <w:rPr>
          <w:color w:val="4C4D4F"/>
          <w:w w:val="115"/>
          <w:sz w:val="18"/>
        </w:rPr>
        <w:t>Kinlock,</w:t>
      </w:r>
      <w:r>
        <w:rPr>
          <w:color w:val="4C4D4F"/>
          <w:spacing w:val="-17"/>
          <w:w w:val="115"/>
          <w:sz w:val="18"/>
        </w:rPr>
        <w:t> </w:t>
      </w:r>
      <w:r>
        <w:rPr>
          <w:color w:val="4C4D4F"/>
          <w:spacing w:val="-10"/>
          <w:w w:val="115"/>
          <w:sz w:val="18"/>
        </w:rPr>
        <w:t>T.</w:t>
      </w:r>
      <w:r>
        <w:rPr>
          <w:color w:val="4C4D4F"/>
          <w:spacing w:val="-17"/>
          <w:w w:val="115"/>
          <w:sz w:val="18"/>
        </w:rPr>
        <w:t> </w:t>
      </w:r>
      <w:r>
        <w:rPr>
          <w:color w:val="4C4D4F"/>
          <w:spacing w:val="-5"/>
          <w:w w:val="115"/>
          <w:sz w:val="18"/>
        </w:rPr>
        <w:t>W.,</w:t>
      </w:r>
      <w:r>
        <w:rPr>
          <w:color w:val="4C4D4F"/>
          <w:spacing w:val="-18"/>
          <w:w w:val="115"/>
          <w:sz w:val="18"/>
        </w:rPr>
        <w:t> </w:t>
      </w:r>
      <w:r>
        <w:rPr>
          <w:color w:val="4C4D4F"/>
          <w:w w:val="115"/>
          <w:sz w:val="18"/>
        </w:rPr>
        <w:t>Nunes,</w:t>
      </w:r>
      <w:r>
        <w:rPr>
          <w:color w:val="4C4D4F"/>
          <w:spacing w:val="-17"/>
          <w:w w:val="115"/>
          <w:sz w:val="18"/>
        </w:rPr>
        <w:t> </w:t>
      </w:r>
      <w:r>
        <w:rPr>
          <w:color w:val="4C4D4F"/>
          <w:w w:val="115"/>
          <w:sz w:val="18"/>
        </w:rPr>
        <w:t>E. </w:t>
      </w:r>
      <w:r>
        <w:rPr>
          <w:color w:val="4C4D4F"/>
          <w:spacing w:val="-8"/>
          <w:w w:val="115"/>
          <w:sz w:val="18"/>
        </w:rPr>
        <w:t>V.,</w:t>
      </w:r>
      <w:r>
        <w:rPr>
          <w:color w:val="4C4D4F"/>
          <w:spacing w:val="-19"/>
          <w:w w:val="115"/>
          <w:sz w:val="18"/>
        </w:rPr>
        <w:t> </w:t>
      </w:r>
      <w:r>
        <w:rPr>
          <w:color w:val="4C4D4F"/>
          <w:spacing w:val="-3"/>
          <w:w w:val="115"/>
          <w:sz w:val="18"/>
        </w:rPr>
        <w:t>Boney,</w:t>
      </w:r>
      <w:r>
        <w:rPr>
          <w:color w:val="4C4D4F"/>
          <w:spacing w:val="-18"/>
          <w:w w:val="115"/>
          <w:sz w:val="18"/>
        </w:rPr>
        <w:t> </w:t>
      </w:r>
      <w:r>
        <w:rPr>
          <w:color w:val="4C4D4F"/>
          <w:spacing w:val="-10"/>
          <w:w w:val="115"/>
          <w:sz w:val="18"/>
        </w:rPr>
        <w:t>T.</w:t>
      </w:r>
      <w:r>
        <w:rPr>
          <w:color w:val="4C4D4F"/>
          <w:spacing w:val="-19"/>
          <w:w w:val="115"/>
          <w:sz w:val="18"/>
        </w:rPr>
        <w:t> </w:t>
      </w:r>
      <w:r>
        <w:rPr>
          <w:color w:val="4C4D4F"/>
          <w:spacing w:val="-9"/>
          <w:w w:val="115"/>
          <w:sz w:val="18"/>
        </w:rPr>
        <w:t>Y.,</w:t>
      </w:r>
      <w:r>
        <w:rPr>
          <w:color w:val="4C4D4F"/>
          <w:spacing w:val="-18"/>
          <w:w w:val="115"/>
          <w:sz w:val="18"/>
        </w:rPr>
        <w:t> </w:t>
      </w:r>
      <w:r>
        <w:rPr>
          <w:color w:val="4C4D4F"/>
          <w:w w:val="115"/>
          <w:sz w:val="18"/>
        </w:rPr>
        <w:t>Hoskinson,</w:t>
      </w:r>
      <w:r>
        <w:rPr>
          <w:color w:val="4C4D4F"/>
          <w:spacing w:val="-18"/>
          <w:w w:val="115"/>
          <w:sz w:val="18"/>
        </w:rPr>
        <w:t> </w:t>
      </w:r>
      <w:r>
        <w:rPr>
          <w:color w:val="4C4D4F"/>
          <w:w w:val="115"/>
          <w:sz w:val="18"/>
        </w:rPr>
        <w:t>R.</w:t>
      </w:r>
      <w:r>
        <w:rPr>
          <w:color w:val="4C4D4F"/>
          <w:spacing w:val="-19"/>
          <w:w w:val="115"/>
          <w:sz w:val="18"/>
        </w:rPr>
        <w:t> </w:t>
      </w:r>
      <w:r>
        <w:rPr>
          <w:color w:val="4C4D4F"/>
          <w:w w:val="115"/>
          <w:sz w:val="18"/>
        </w:rPr>
        <w:t>A.,</w:t>
      </w:r>
      <w:r>
        <w:rPr>
          <w:color w:val="4C4D4F"/>
          <w:spacing w:val="-18"/>
          <w:w w:val="115"/>
          <w:sz w:val="18"/>
        </w:rPr>
        <w:t> </w:t>
      </w:r>
      <w:r>
        <w:rPr>
          <w:color w:val="4C4D4F"/>
          <w:spacing w:val="-5"/>
          <w:w w:val="115"/>
          <w:sz w:val="18"/>
        </w:rPr>
        <w:t>Jr.,</w:t>
      </w:r>
      <w:r>
        <w:rPr>
          <w:color w:val="4C4D4F"/>
          <w:spacing w:val="-18"/>
          <w:w w:val="115"/>
          <w:sz w:val="18"/>
        </w:rPr>
        <w:t> </w:t>
      </w:r>
      <w:r>
        <w:rPr>
          <w:color w:val="4C4D4F"/>
          <w:w w:val="115"/>
          <w:sz w:val="18"/>
        </w:rPr>
        <w:t>…</w:t>
      </w:r>
      <w:r>
        <w:rPr>
          <w:color w:val="4C4D4F"/>
          <w:spacing w:val="-19"/>
          <w:w w:val="115"/>
          <w:sz w:val="18"/>
        </w:rPr>
        <w:t> </w:t>
      </w:r>
      <w:r>
        <w:rPr>
          <w:color w:val="4C4D4F"/>
          <w:w w:val="115"/>
          <w:sz w:val="18"/>
        </w:rPr>
        <w:t>O’Brien,</w:t>
      </w:r>
      <w:r>
        <w:rPr>
          <w:color w:val="4C4D4F"/>
          <w:spacing w:val="-18"/>
          <w:w w:val="115"/>
          <w:sz w:val="18"/>
        </w:rPr>
        <w:t> </w:t>
      </w:r>
      <w:r>
        <w:rPr>
          <w:color w:val="4C4D4F"/>
          <w:w w:val="115"/>
          <w:sz w:val="18"/>
        </w:rPr>
        <w:t>C.</w:t>
      </w:r>
      <w:r>
        <w:rPr>
          <w:color w:val="4C4D4F"/>
          <w:spacing w:val="-19"/>
          <w:w w:val="115"/>
          <w:sz w:val="18"/>
        </w:rPr>
        <w:t> </w:t>
      </w:r>
      <w:r>
        <w:rPr>
          <w:color w:val="4C4D4F"/>
          <w:spacing w:val="-17"/>
          <w:w w:val="115"/>
          <w:sz w:val="18"/>
        </w:rPr>
        <w:t>P. </w:t>
      </w:r>
      <w:r>
        <w:rPr>
          <w:color w:val="4C4D4F"/>
          <w:w w:val="115"/>
          <w:sz w:val="18"/>
        </w:rPr>
        <w:t>(2016).</w:t>
      </w:r>
      <w:r>
        <w:rPr>
          <w:color w:val="4C4D4F"/>
          <w:spacing w:val="-40"/>
          <w:w w:val="115"/>
          <w:sz w:val="18"/>
        </w:rPr>
        <w:t> </w:t>
      </w:r>
      <w:r>
        <w:rPr>
          <w:color w:val="4C4D4F"/>
          <w:w w:val="115"/>
          <w:sz w:val="18"/>
        </w:rPr>
        <w:t>Extended-release</w:t>
      </w:r>
      <w:r>
        <w:rPr>
          <w:color w:val="4C4D4F"/>
          <w:spacing w:val="-40"/>
          <w:w w:val="115"/>
          <w:sz w:val="18"/>
        </w:rPr>
        <w:t> </w:t>
      </w:r>
      <w:r>
        <w:rPr>
          <w:color w:val="4C4D4F"/>
          <w:w w:val="115"/>
          <w:sz w:val="18"/>
        </w:rPr>
        <w:t>naltrexone</w:t>
      </w:r>
      <w:r>
        <w:rPr>
          <w:color w:val="4C4D4F"/>
          <w:spacing w:val="-40"/>
          <w:w w:val="115"/>
          <w:sz w:val="18"/>
        </w:rPr>
        <w:t> </w:t>
      </w:r>
      <w:r>
        <w:rPr>
          <w:color w:val="4C4D4F"/>
          <w:w w:val="115"/>
          <w:sz w:val="18"/>
        </w:rPr>
        <w:t>to</w:t>
      </w:r>
      <w:r>
        <w:rPr>
          <w:color w:val="4C4D4F"/>
          <w:spacing w:val="-39"/>
          <w:w w:val="115"/>
          <w:sz w:val="18"/>
        </w:rPr>
        <w:t> </w:t>
      </w:r>
      <w:r>
        <w:rPr>
          <w:color w:val="4C4D4F"/>
          <w:w w:val="115"/>
          <w:sz w:val="18"/>
        </w:rPr>
        <w:t>prevent</w:t>
      </w:r>
      <w:r>
        <w:rPr>
          <w:color w:val="4C4D4F"/>
          <w:spacing w:val="-40"/>
          <w:w w:val="115"/>
          <w:sz w:val="18"/>
        </w:rPr>
        <w:t> </w:t>
      </w:r>
      <w:r>
        <w:rPr>
          <w:color w:val="4C4D4F"/>
          <w:spacing w:val="-3"/>
          <w:w w:val="115"/>
          <w:sz w:val="18"/>
        </w:rPr>
        <w:t>opioid </w:t>
      </w:r>
      <w:r>
        <w:rPr>
          <w:color w:val="4C4D4F"/>
          <w:w w:val="115"/>
          <w:sz w:val="18"/>
        </w:rPr>
        <w:t>relapse in criminal justice offenders. </w:t>
      </w:r>
      <w:r>
        <w:rPr>
          <w:rFonts w:ascii="Arial" w:hAnsi="Arial"/>
          <w:i/>
          <w:color w:val="4C4D4F"/>
          <w:w w:val="115"/>
          <w:sz w:val="18"/>
        </w:rPr>
        <w:t>New England </w:t>
      </w:r>
      <w:r>
        <w:rPr>
          <w:rFonts w:ascii="Arial" w:hAnsi="Arial"/>
          <w:i/>
          <w:color w:val="4C4D4F"/>
          <w:w w:val="115"/>
          <w:sz w:val="18"/>
        </w:rPr>
        <w:t>Journal</w:t>
      </w:r>
      <w:r>
        <w:rPr>
          <w:rFonts w:ascii="Arial" w:hAnsi="Arial"/>
          <w:i/>
          <w:color w:val="4C4D4F"/>
          <w:spacing w:val="-20"/>
          <w:w w:val="115"/>
          <w:sz w:val="18"/>
        </w:rPr>
        <w:t> </w:t>
      </w:r>
      <w:r>
        <w:rPr>
          <w:rFonts w:ascii="Arial" w:hAnsi="Arial"/>
          <w:i/>
          <w:color w:val="4C4D4F"/>
          <w:w w:val="115"/>
          <w:sz w:val="18"/>
        </w:rPr>
        <w:t>of</w:t>
      </w:r>
      <w:r>
        <w:rPr>
          <w:rFonts w:ascii="Arial" w:hAnsi="Arial"/>
          <w:i/>
          <w:color w:val="4C4D4F"/>
          <w:spacing w:val="-20"/>
          <w:w w:val="115"/>
          <w:sz w:val="18"/>
        </w:rPr>
        <w:t> </w:t>
      </w:r>
      <w:r>
        <w:rPr>
          <w:rFonts w:ascii="Arial" w:hAnsi="Arial"/>
          <w:i/>
          <w:color w:val="4C4D4F"/>
          <w:w w:val="115"/>
          <w:sz w:val="18"/>
        </w:rPr>
        <w:t>Medicine,</w:t>
      </w:r>
      <w:r>
        <w:rPr>
          <w:rFonts w:ascii="Arial" w:hAnsi="Arial"/>
          <w:i/>
          <w:color w:val="4C4D4F"/>
          <w:spacing w:val="-19"/>
          <w:w w:val="115"/>
          <w:sz w:val="18"/>
        </w:rPr>
        <w:t> </w:t>
      </w:r>
      <w:r>
        <w:rPr>
          <w:rFonts w:ascii="Arial" w:hAnsi="Arial"/>
          <w:i/>
          <w:color w:val="4C4D4F"/>
          <w:w w:val="115"/>
          <w:sz w:val="18"/>
        </w:rPr>
        <w:t>374</w:t>
      </w:r>
      <w:r>
        <w:rPr>
          <w:color w:val="4C4D4F"/>
          <w:w w:val="115"/>
          <w:sz w:val="18"/>
        </w:rPr>
        <w:t>(13),</w:t>
      </w:r>
      <w:r>
        <w:rPr>
          <w:color w:val="4C4D4F"/>
          <w:spacing w:val="-20"/>
          <w:w w:val="115"/>
          <w:sz w:val="18"/>
        </w:rPr>
        <w:t> </w:t>
      </w:r>
      <w:r>
        <w:rPr>
          <w:color w:val="4C4D4F"/>
          <w:w w:val="115"/>
          <w:sz w:val="18"/>
        </w:rPr>
        <w:t>1232–1242.</w:t>
      </w:r>
    </w:p>
    <w:p>
      <w:pPr>
        <w:pStyle w:val="ListParagraph"/>
        <w:numPr>
          <w:ilvl w:val="0"/>
          <w:numId w:val="51"/>
        </w:numPr>
        <w:tabs>
          <w:tab w:pos="500" w:val="left" w:leader="none"/>
        </w:tabs>
        <w:spacing w:line="247" w:lineRule="auto" w:before="100" w:after="0"/>
        <w:ind w:left="500" w:right="463" w:hanging="360"/>
        <w:jc w:val="left"/>
        <w:rPr>
          <w:color w:val="4C4D4F"/>
          <w:sz w:val="18"/>
        </w:rPr>
      </w:pPr>
      <w:r>
        <w:rPr>
          <w:color w:val="4C4D4F"/>
          <w:w w:val="106"/>
          <w:sz w:val="18"/>
        </w:rPr>
        <w:br w:type="column"/>
      </w:r>
      <w:r>
        <w:rPr>
          <w:color w:val="4C4D4F"/>
          <w:w w:val="110"/>
          <w:sz w:val="18"/>
        </w:rPr>
        <w:t>Krupitsky, E., Nunes, E. </w:t>
      </w:r>
      <w:r>
        <w:rPr>
          <w:color w:val="4C4D4F"/>
          <w:spacing w:val="-8"/>
          <w:w w:val="110"/>
          <w:sz w:val="18"/>
        </w:rPr>
        <w:t>V., </w:t>
      </w:r>
      <w:r>
        <w:rPr>
          <w:color w:val="4C4D4F"/>
          <w:w w:val="110"/>
          <w:sz w:val="18"/>
        </w:rPr>
        <w:t>Ling, </w:t>
      </w:r>
      <w:r>
        <w:rPr>
          <w:color w:val="4C4D4F"/>
          <w:spacing w:val="-5"/>
          <w:w w:val="110"/>
          <w:sz w:val="18"/>
        </w:rPr>
        <w:t>W., </w:t>
      </w:r>
      <w:r>
        <w:rPr>
          <w:color w:val="4C4D4F"/>
          <w:w w:val="110"/>
          <w:sz w:val="18"/>
        </w:rPr>
        <w:t>Illeperuma, A., Gastfriend, D. R., &amp; Silverman, B. L. (2011, April</w:t>
      </w:r>
      <w:r>
        <w:rPr>
          <w:color w:val="4C4D4F"/>
          <w:spacing w:val="-22"/>
          <w:w w:val="110"/>
          <w:sz w:val="18"/>
        </w:rPr>
        <w:t> </w:t>
      </w:r>
      <w:r>
        <w:rPr>
          <w:color w:val="4C4D4F"/>
          <w:spacing w:val="-5"/>
          <w:w w:val="110"/>
          <w:sz w:val="18"/>
        </w:rPr>
        <w:t>30). </w:t>
      </w:r>
      <w:r>
        <w:rPr>
          <w:color w:val="4C4D4F"/>
          <w:w w:val="110"/>
          <w:sz w:val="18"/>
        </w:rPr>
        <w:t>Injectable extended-release naltrexone for opioid dependence: A double-blind, placebo-controlled, multicentre randomised trial. </w:t>
      </w:r>
      <w:r>
        <w:rPr>
          <w:rFonts w:ascii="Arial" w:hAnsi="Arial"/>
          <w:i/>
          <w:color w:val="4C4D4F"/>
          <w:w w:val="110"/>
          <w:sz w:val="18"/>
        </w:rPr>
        <w:t>Lancet, 377</w:t>
      </w:r>
      <w:r>
        <w:rPr>
          <w:color w:val="4C4D4F"/>
          <w:w w:val="110"/>
          <w:sz w:val="18"/>
        </w:rPr>
        <w:t>(9776), 1506–1513.</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25"/>
          <w:sz w:val="18"/>
        </w:rPr>
        <w:t>Lee,</w:t>
      </w:r>
      <w:r>
        <w:rPr>
          <w:color w:val="4C4D4F"/>
          <w:spacing w:val="-25"/>
          <w:w w:val="125"/>
          <w:sz w:val="18"/>
        </w:rPr>
        <w:t> </w:t>
      </w:r>
      <w:r>
        <w:rPr>
          <w:color w:val="4C4D4F"/>
          <w:w w:val="135"/>
          <w:sz w:val="18"/>
        </w:rPr>
        <w:t>J.</w:t>
      </w:r>
      <w:r>
        <w:rPr>
          <w:color w:val="4C4D4F"/>
          <w:spacing w:val="-29"/>
          <w:w w:val="135"/>
          <w:sz w:val="18"/>
        </w:rPr>
        <w:t> </w:t>
      </w:r>
      <w:r>
        <w:rPr>
          <w:color w:val="4C4D4F"/>
          <w:w w:val="125"/>
          <w:sz w:val="18"/>
        </w:rPr>
        <w:t>D.,</w:t>
      </w:r>
      <w:r>
        <w:rPr>
          <w:color w:val="4C4D4F"/>
          <w:spacing w:val="-25"/>
          <w:w w:val="125"/>
          <w:sz w:val="18"/>
        </w:rPr>
        <w:t> </w:t>
      </w:r>
      <w:r>
        <w:rPr>
          <w:color w:val="4C4D4F"/>
          <w:w w:val="125"/>
          <w:sz w:val="18"/>
        </w:rPr>
        <w:t>Nunes,</w:t>
      </w:r>
      <w:r>
        <w:rPr>
          <w:color w:val="4C4D4F"/>
          <w:spacing w:val="-24"/>
          <w:w w:val="125"/>
          <w:sz w:val="18"/>
        </w:rPr>
        <w:t> </w:t>
      </w:r>
      <w:r>
        <w:rPr>
          <w:color w:val="4C4D4F"/>
          <w:w w:val="125"/>
          <w:sz w:val="18"/>
        </w:rPr>
        <w:t>E.</w:t>
      </w:r>
      <w:r>
        <w:rPr>
          <w:color w:val="4C4D4F"/>
          <w:spacing w:val="-25"/>
          <w:w w:val="125"/>
          <w:sz w:val="18"/>
        </w:rPr>
        <w:t> </w:t>
      </w:r>
      <w:r>
        <w:rPr>
          <w:color w:val="4C4D4F"/>
          <w:spacing w:val="-8"/>
          <w:w w:val="125"/>
          <w:sz w:val="18"/>
        </w:rPr>
        <w:t>V.,</w:t>
      </w:r>
      <w:r>
        <w:rPr>
          <w:color w:val="4C4D4F"/>
          <w:spacing w:val="-24"/>
          <w:w w:val="125"/>
          <w:sz w:val="18"/>
        </w:rPr>
        <w:t> </w:t>
      </w:r>
      <w:r>
        <w:rPr>
          <w:color w:val="4C4D4F"/>
          <w:spacing w:val="-5"/>
          <w:w w:val="125"/>
          <w:sz w:val="18"/>
        </w:rPr>
        <w:t>Jr.,</w:t>
      </w:r>
      <w:r>
        <w:rPr>
          <w:color w:val="4C4D4F"/>
          <w:spacing w:val="-25"/>
          <w:w w:val="125"/>
          <w:sz w:val="18"/>
        </w:rPr>
        <w:t> </w:t>
      </w:r>
      <w:r>
        <w:rPr>
          <w:color w:val="4C4D4F"/>
          <w:w w:val="125"/>
          <w:sz w:val="18"/>
        </w:rPr>
        <w:t>Novo,</w:t>
      </w:r>
      <w:r>
        <w:rPr>
          <w:color w:val="4C4D4F"/>
          <w:spacing w:val="-24"/>
          <w:w w:val="125"/>
          <w:sz w:val="18"/>
        </w:rPr>
        <w:t> </w:t>
      </w:r>
      <w:r>
        <w:rPr>
          <w:color w:val="4C4D4F"/>
          <w:spacing w:val="-11"/>
          <w:w w:val="125"/>
          <w:sz w:val="18"/>
        </w:rPr>
        <w:t>P.,</w:t>
      </w:r>
      <w:r>
        <w:rPr>
          <w:color w:val="4C4D4F"/>
          <w:spacing w:val="-24"/>
          <w:w w:val="125"/>
          <w:sz w:val="18"/>
        </w:rPr>
        <w:t> </w:t>
      </w:r>
      <w:r>
        <w:rPr>
          <w:color w:val="4C4D4F"/>
          <w:w w:val="125"/>
          <w:sz w:val="18"/>
        </w:rPr>
        <w:t>Bachrach,</w:t>
      </w:r>
    </w:p>
    <w:p>
      <w:pPr>
        <w:spacing w:line="247" w:lineRule="auto" w:before="8"/>
        <w:ind w:left="500" w:right="199" w:firstLine="0"/>
        <w:jc w:val="left"/>
        <w:rPr>
          <w:sz w:val="18"/>
        </w:rPr>
      </w:pPr>
      <w:r>
        <w:rPr>
          <w:color w:val="4C4D4F"/>
          <w:w w:val="110"/>
          <w:sz w:val="18"/>
        </w:rPr>
        <w:t>K., Bailey, G. L., Bhatt, S., … Rotrosen </w:t>
      </w:r>
      <w:r>
        <w:rPr>
          <w:color w:val="4C4D4F"/>
          <w:w w:val="130"/>
          <w:sz w:val="18"/>
        </w:rPr>
        <w:t>J. </w:t>
      </w:r>
      <w:r>
        <w:rPr>
          <w:color w:val="4C4D4F"/>
          <w:w w:val="110"/>
          <w:sz w:val="18"/>
        </w:rPr>
        <w:t>(2018). Comparative effectiveness of extended-release naltrexone versus buprenorphine-naloxone for opioid relapse prevention (X:BOT): A multicentre, open-label, randomised controlled trial. </w:t>
      </w:r>
      <w:r>
        <w:rPr>
          <w:rFonts w:ascii="Arial" w:hAnsi="Arial"/>
          <w:i/>
          <w:color w:val="4C4D4F"/>
          <w:w w:val="110"/>
          <w:sz w:val="18"/>
        </w:rPr>
        <w:t>Lancet, 391</w:t>
      </w:r>
      <w:r>
        <w:rPr>
          <w:color w:val="4C4D4F"/>
          <w:w w:val="110"/>
          <w:sz w:val="18"/>
        </w:rPr>
        <w:t>(10118), 309–318.</w:t>
      </w:r>
    </w:p>
    <w:p>
      <w:pPr>
        <w:pStyle w:val="ListParagraph"/>
        <w:numPr>
          <w:ilvl w:val="0"/>
          <w:numId w:val="51"/>
        </w:numPr>
        <w:tabs>
          <w:tab w:pos="500" w:val="left" w:leader="none"/>
        </w:tabs>
        <w:spacing w:line="247" w:lineRule="auto" w:before="76" w:after="0"/>
        <w:ind w:left="500" w:right="258" w:hanging="360"/>
        <w:jc w:val="left"/>
        <w:rPr>
          <w:color w:val="4C4D4F"/>
          <w:sz w:val="18"/>
        </w:rPr>
      </w:pPr>
      <w:r>
        <w:rPr>
          <w:color w:val="4C4D4F"/>
          <w:spacing w:val="-4"/>
          <w:w w:val="110"/>
          <w:sz w:val="18"/>
        </w:rPr>
        <w:t>Tanum, </w:t>
      </w:r>
      <w:r>
        <w:rPr>
          <w:color w:val="4C4D4F"/>
          <w:w w:val="110"/>
          <w:sz w:val="18"/>
        </w:rPr>
        <w:t>L., Solli, K. K., Latif, Z. E., Benth, </w:t>
      </w:r>
      <w:r>
        <w:rPr>
          <w:color w:val="4C4D4F"/>
          <w:w w:val="130"/>
          <w:sz w:val="18"/>
        </w:rPr>
        <w:t>J. </w:t>
      </w:r>
      <w:r>
        <w:rPr>
          <w:color w:val="4C4D4F"/>
          <w:w w:val="110"/>
          <w:sz w:val="18"/>
        </w:rPr>
        <w:t>Š.,  Opheim, A., Sharma-Haase, K., … Kunøe, N. (2017). The effectiveness of injectable extended-release naltrexone vs daily buprenorphine-naloxone for </w:t>
      </w:r>
      <w:r>
        <w:rPr>
          <w:color w:val="4C4D4F"/>
          <w:spacing w:val="-3"/>
          <w:w w:val="110"/>
          <w:sz w:val="18"/>
        </w:rPr>
        <w:t>opioid </w:t>
      </w:r>
      <w:r>
        <w:rPr>
          <w:color w:val="4C4D4F"/>
          <w:w w:val="110"/>
          <w:sz w:val="18"/>
        </w:rPr>
        <w:t>dependence: A randomized clinical noninferiority trial. </w:t>
      </w:r>
      <w:r>
        <w:rPr>
          <w:rFonts w:ascii="Arial" w:hAnsi="Arial"/>
          <w:i/>
          <w:color w:val="4C4D4F"/>
          <w:w w:val="110"/>
          <w:sz w:val="18"/>
        </w:rPr>
        <w:t>JAMA Psychiatry, 74</w:t>
      </w:r>
      <w:r>
        <w:rPr>
          <w:color w:val="4C4D4F"/>
          <w:w w:val="110"/>
          <w:sz w:val="18"/>
        </w:rPr>
        <w:t>(12),</w:t>
      </w:r>
      <w:r>
        <w:rPr>
          <w:color w:val="4C4D4F"/>
          <w:spacing w:val="-33"/>
          <w:w w:val="110"/>
          <w:sz w:val="18"/>
        </w:rPr>
        <w:t> </w:t>
      </w:r>
      <w:r>
        <w:rPr>
          <w:color w:val="4C4D4F"/>
          <w:w w:val="110"/>
          <w:sz w:val="18"/>
        </w:rPr>
        <w:t>1197–1205.</w:t>
      </w:r>
    </w:p>
    <w:p>
      <w:pPr>
        <w:pStyle w:val="ListParagraph"/>
        <w:numPr>
          <w:ilvl w:val="0"/>
          <w:numId w:val="51"/>
        </w:numPr>
        <w:tabs>
          <w:tab w:pos="500" w:val="left" w:leader="none"/>
        </w:tabs>
        <w:spacing w:line="247" w:lineRule="auto" w:before="76" w:after="0"/>
        <w:ind w:left="500" w:right="289" w:hanging="360"/>
        <w:jc w:val="left"/>
        <w:rPr>
          <w:color w:val="4C4D4F"/>
          <w:sz w:val="18"/>
        </w:rPr>
      </w:pPr>
      <w:r>
        <w:rPr>
          <w:color w:val="4C4D4F"/>
          <w:spacing w:val="-3"/>
          <w:w w:val="110"/>
          <w:sz w:val="18"/>
        </w:rPr>
        <w:t>Meyer, </w:t>
      </w:r>
      <w:r>
        <w:rPr>
          <w:color w:val="4C4D4F"/>
          <w:w w:val="110"/>
          <w:sz w:val="18"/>
        </w:rPr>
        <w:t>M. C., Straughn, A. B., Lo, M. </w:t>
      </w:r>
      <w:r>
        <w:rPr>
          <w:color w:val="4C4D4F"/>
          <w:spacing w:val="-5"/>
          <w:w w:val="110"/>
          <w:sz w:val="18"/>
        </w:rPr>
        <w:t>W., </w:t>
      </w:r>
      <w:r>
        <w:rPr>
          <w:color w:val="4C4D4F"/>
          <w:w w:val="110"/>
          <w:sz w:val="18"/>
        </w:rPr>
        <w:t>Schary, </w:t>
      </w:r>
      <w:r>
        <w:rPr>
          <w:color w:val="4C4D4F"/>
          <w:spacing w:val="-7"/>
          <w:w w:val="110"/>
          <w:sz w:val="18"/>
        </w:rPr>
        <w:t>W. </w:t>
      </w:r>
      <w:r>
        <w:rPr>
          <w:color w:val="4C4D4F"/>
          <w:w w:val="110"/>
          <w:sz w:val="18"/>
        </w:rPr>
        <w:t>L., &amp; Whitney, C. C. (1984). Bioequivalence, dose- proportionality, and pharmacokinetics of naltrexone after</w:t>
      </w:r>
      <w:r>
        <w:rPr>
          <w:color w:val="4C4D4F"/>
          <w:spacing w:val="-37"/>
          <w:w w:val="110"/>
          <w:sz w:val="18"/>
        </w:rPr>
        <w:t> </w:t>
      </w:r>
      <w:r>
        <w:rPr>
          <w:color w:val="4C4D4F"/>
          <w:w w:val="110"/>
          <w:sz w:val="18"/>
        </w:rPr>
        <w:t>oral</w:t>
      </w:r>
      <w:r>
        <w:rPr>
          <w:color w:val="4C4D4F"/>
          <w:spacing w:val="-37"/>
          <w:w w:val="110"/>
          <w:sz w:val="18"/>
        </w:rPr>
        <w:t> </w:t>
      </w:r>
      <w:r>
        <w:rPr>
          <w:color w:val="4C4D4F"/>
          <w:w w:val="110"/>
          <w:sz w:val="18"/>
        </w:rPr>
        <w:t>administration.</w:t>
      </w:r>
      <w:r>
        <w:rPr>
          <w:color w:val="4C4D4F"/>
          <w:spacing w:val="-37"/>
          <w:w w:val="110"/>
          <w:sz w:val="18"/>
        </w:rPr>
        <w:t> </w:t>
      </w:r>
      <w:r>
        <w:rPr>
          <w:rFonts w:ascii="Arial" w:hAnsi="Arial"/>
          <w:i/>
          <w:color w:val="4C4D4F"/>
          <w:w w:val="110"/>
          <w:sz w:val="18"/>
        </w:rPr>
        <w:t>Journal</w:t>
      </w:r>
      <w:r>
        <w:rPr>
          <w:rFonts w:ascii="Arial" w:hAnsi="Arial"/>
          <w:i/>
          <w:color w:val="4C4D4F"/>
          <w:spacing w:val="-37"/>
          <w:w w:val="110"/>
          <w:sz w:val="18"/>
        </w:rPr>
        <w:t> </w:t>
      </w:r>
      <w:r>
        <w:rPr>
          <w:rFonts w:ascii="Arial" w:hAnsi="Arial"/>
          <w:i/>
          <w:color w:val="4C4D4F"/>
          <w:w w:val="110"/>
          <w:sz w:val="18"/>
        </w:rPr>
        <w:t>of</w:t>
      </w:r>
      <w:r>
        <w:rPr>
          <w:rFonts w:ascii="Arial" w:hAnsi="Arial"/>
          <w:i/>
          <w:color w:val="4C4D4F"/>
          <w:spacing w:val="-37"/>
          <w:w w:val="110"/>
          <w:sz w:val="18"/>
        </w:rPr>
        <w:t> </w:t>
      </w:r>
      <w:r>
        <w:rPr>
          <w:rFonts w:ascii="Arial" w:hAnsi="Arial"/>
          <w:i/>
          <w:color w:val="4C4D4F"/>
          <w:w w:val="110"/>
          <w:sz w:val="18"/>
        </w:rPr>
        <w:t>Clinical</w:t>
      </w:r>
      <w:r>
        <w:rPr>
          <w:rFonts w:ascii="Arial" w:hAnsi="Arial"/>
          <w:i/>
          <w:color w:val="4C4D4F"/>
          <w:spacing w:val="-37"/>
          <w:w w:val="110"/>
          <w:sz w:val="18"/>
        </w:rPr>
        <w:t> </w:t>
      </w:r>
      <w:r>
        <w:rPr>
          <w:rFonts w:ascii="Arial" w:hAnsi="Arial"/>
          <w:i/>
          <w:color w:val="4C4D4F"/>
          <w:spacing w:val="-4"/>
          <w:w w:val="110"/>
          <w:sz w:val="18"/>
        </w:rPr>
        <w:t>Psychiatry, </w:t>
      </w:r>
      <w:r>
        <w:rPr>
          <w:rFonts w:ascii="Arial" w:hAnsi="Arial"/>
          <w:i/>
          <w:color w:val="4C4D4F"/>
          <w:w w:val="110"/>
          <w:sz w:val="18"/>
        </w:rPr>
        <w:t>45</w:t>
      </w:r>
      <w:r>
        <w:rPr>
          <w:color w:val="4C4D4F"/>
          <w:w w:val="110"/>
          <w:sz w:val="18"/>
        </w:rPr>
        <w:t>(9 Pt 2),</w:t>
      </w:r>
      <w:r>
        <w:rPr>
          <w:color w:val="4C4D4F"/>
          <w:spacing w:val="-17"/>
          <w:w w:val="110"/>
          <w:sz w:val="18"/>
        </w:rPr>
        <w:t> </w:t>
      </w:r>
      <w:r>
        <w:rPr>
          <w:color w:val="4C4D4F"/>
          <w:w w:val="110"/>
          <w:sz w:val="18"/>
        </w:rPr>
        <w:t>15–19.</w:t>
      </w:r>
    </w:p>
    <w:p>
      <w:pPr>
        <w:pStyle w:val="ListParagraph"/>
        <w:numPr>
          <w:ilvl w:val="0"/>
          <w:numId w:val="51"/>
        </w:numPr>
        <w:tabs>
          <w:tab w:pos="500" w:val="left" w:leader="none"/>
        </w:tabs>
        <w:spacing w:line="247" w:lineRule="auto" w:before="74" w:after="0"/>
        <w:ind w:left="500" w:right="386" w:hanging="360"/>
        <w:jc w:val="left"/>
        <w:rPr>
          <w:color w:val="4C4D4F"/>
          <w:sz w:val="18"/>
        </w:rPr>
      </w:pPr>
      <w:r>
        <w:rPr>
          <w:color w:val="4C4D4F"/>
          <w:w w:val="110"/>
          <w:sz w:val="18"/>
        </w:rPr>
        <w:t>Alkermes. (2015). Vivitrol (naltrexone for extended release injectable suspension) 380 mg/vial. Retrieved January 9, 2018, from</w:t>
      </w:r>
      <w:r>
        <w:rPr>
          <w:color w:val="205E9E"/>
          <w:spacing w:val="-19"/>
          <w:w w:val="110"/>
          <w:sz w:val="18"/>
        </w:rPr>
        <w:t> </w:t>
      </w:r>
      <w:hyperlink r:id="rId101">
        <w:r>
          <w:rPr>
            <w:color w:val="205E9E"/>
            <w:w w:val="110"/>
            <w:sz w:val="18"/>
            <w:u w:val="single" w:color="205E9E"/>
          </w:rPr>
          <w:t>www.vivitrol.com/content</w:t>
        </w:r>
      </w:hyperlink>
    </w:p>
    <w:p>
      <w:pPr>
        <w:spacing w:before="3"/>
        <w:ind w:left="500" w:right="0" w:firstLine="0"/>
        <w:jc w:val="left"/>
        <w:rPr>
          <w:sz w:val="18"/>
        </w:rPr>
      </w:pPr>
      <w:r>
        <w:rPr>
          <w:color w:val="205E9E"/>
          <w:w w:val="115"/>
          <w:sz w:val="18"/>
          <w:u w:val="single" w:color="205E9E"/>
        </w:rPr>
        <w:t>/pdfs/prescribing-information.pdf</w:t>
      </w:r>
    </w:p>
    <w:p>
      <w:pPr>
        <w:pStyle w:val="ListParagraph"/>
        <w:numPr>
          <w:ilvl w:val="0"/>
          <w:numId w:val="51"/>
        </w:numPr>
        <w:tabs>
          <w:tab w:pos="500" w:val="left" w:leader="none"/>
        </w:tabs>
        <w:spacing w:line="247" w:lineRule="auto" w:before="79" w:after="0"/>
        <w:ind w:left="500" w:right="386" w:hanging="360"/>
        <w:jc w:val="left"/>
        <w:rPr>
          <w:color w:val="4C4D4F"/>
          <w:sz w:val="18"/>
        </w:rPr>
      </w:pPr>
      <w:r>
        <w:rPr>
          <w:color w:val="4C4D4F"/>
          <w:w w:val="110"/>
          <w:sz w:val="18"/>
        </w:rPr>
        <w:t>Alkermes. (2015). Vivitrol (naltrexone for extended release injectable suspension) 380 mg/vial. Retrieved January 9, 2018, from</w:t>
      </w:r>
      <w:r>
        <w:rPr>
          <w:color w:val="205E9E"/>
          <w:spacing w:val="-19"/>
          <w:w w:val="110"/>
          <w:sz w:val="18"/>
        </w:rPr>
        <w:t> </w:t>
      </w:r>
      <w:hyperlink r:id="rId101">
        <w:r>
          <w:rPr>
            <w:color w:val="205E9E"/>
            <w:w w:val="110"/>
            <w:sz w:val="18"/>
            <w:u w:val="single" w:color="205E9E"/>
          </w:rPr>
          <w:t>www.vivitrol.com/content</w:t>
        </w:r>
      </w:hyperlink>
    </w:p>
    <w:p>
      <w:pPr>
        <w:spacing w:before="3"/>
        <w:ind w:left="500" w:right="0" w:firstLine="0"/>
        <w:jc w:val="left"/>
        <w:rPr>
          <w:sz w:val="18"/>
        </w:rPr>
      </w:pPr>
      <w:r>
        <w:rPr>
          <w:color w:val="205E9E"/>
          <w:w w:val="115"/>
          <w:sz w:val="18"/>
          <w:u w:val="single" w:color="205E9E"/>
        </w:rPr>
        <w:t>/pdfs/prescribing-information.pdf</w:t>
      </w:r>
    </w:p>
    <w:p>
      <w:pPr>
        <w:pStyle w:val="ListParagraph"/>
        <w:numPr>
          <w:ilvl w:val="0"/>
          <w:numId w:val="51"/>
        </w:numPr>
        <w:tabs>
          <w:tab w:pos="500" w:val="left" w:leader="none"/>
        </w:tabs>
        <w:spacing w:line="247" w:lineRule="auto" w:before="80" w:after="0"/>
        <w:ind w:left="500" w:right="289" w:hanging="360"/>
        <w:jc w:val="left"/>
        <w:rPr>
          <w:color w:val="4C4D4F"/>
          <w:sz w:val="18"/>
        </w:rPr>
      </w:pPr>
      <w:r>
        <w:rPr>
          <w:color w:val="4C4D4F"/>
          <w:spacing w:val="-3"/>
          <w:w w:val="110"/>
          <w:sz w:val="18"/>
        </w:rPr>
        <w:t>Meyer, </w:t>
      </w:r>
      <w:r>
        <w:rPr>
          <w:color w:val="4C4D4F"/>
          <w:w w:val="110"/>
          <w:sz w:val="18"/>
        </w:rPr>
        <w:t>M. C., Straughn, A. B., Lo, M. </w:t>
      </w:r>
      <w:r>
        <w:rPr>
          <w:color w:val="4C4D4F"/>
          <w:spacing w:val="-5"/>
          <w:w w:val="110"/>
          <w:sz w:val="18"/>
        </w:rPr>
        <w:t>W., </w:t>
      </w:r>
      <w:r>
        <w:rPr>
          <w:color w:val="4C4D4F"/>
          <w:w w:val="110"/>
          <w:sz w:val="18"/>
        </w:rPr>
        <w:t>Schary, </w:t>
      </w:r>
      <w:r>
        <w:rPr>
          <w:color w:val="4C4D4F"/>
          <w:spacing w:val="-7"/>
          <w:w w:val="110"/>
          <w:sz w:val="18"/>
        </w:rPr>
        <w:t>W. </w:t>
      </w:r>
      <w:r>
        <w:rPr>
          <w:color w:val="4C4D4F"/>
          <w:w w:val="110"/>
          <w:sz w:val="18"/>
        </w:rPr>
        <w:t>L., &amp; Whitney, C. C. (1984). Bioequivalence, dose- proportionality, and pharmacokinetics of naltrexone after</w:t>
      </w:r>
      <w:r>
        <w:rPr>
          <w:color w:val="4C4D4F"/>
          <w:spacing w:val="-37"/>
          <w:w w:val="110"/>
          <w:sz w:val="18"/>
        </w:rPr>
        <w:t> </w:t>
      </w:r>
      <w:r>
        <w:rPr>
          <w:color w:val="4C4D4F"/>
          <w:w w:val="110"/>
          <w:sz w:val="18"/>
        </w:rPr>
        <w:t>oral</w:t>
      </w:r>
      <w:r>
        <w:rPr>
          <w:color w:val="4C4D4F"/>
          <w:spacing w:val="-37"/>
          <w:w w:val="110"/>
          <w:sz w:val="18"/>
        </w:rPr>
        <w:t> </w:t>
      </w:r>
      <w:r>
        <w:rPr>
          <w:color w:val="4C4D4F"/>
          <w:w w:val="110"/>
          <w:sz w:val="18"/>
        </w:rPr>
        <w:t>administration.</w:t>
      </w:r>
      <w:r>
        <w:rPr>
          <w:color w:val="4C4D4F"/>
          <w:spacing w:val="-37"/>
          <w:w w:val="110"/>
          <w:sz w:val="18"/>
        </w:rPr>
        <w:t> </w:t>
      </w:r>
      <w:r>
        <w:rPr>
          <w:rFonts w:ascii="Arial" w:hAnsi="Arial"/>
          <w:i/>
          <w:color w:val="4C4D4F"/>
          <w:w w:val="110"/>
          <w:sz w:val="18"/>
        </w:rPr>
        <w:t>Journal</w:t>
      </w:r>
      <w:r>
        <w:rPr>
          <w:rFonts w:ascii="Arial" w:hAnsi="Arial"/>
          <w:i/>
          <w:color w:val="4C4D4F"/>
          <w:spacing w:val="-37"/>
          <w:w w:val="110"/>
          <w:sz w:val="18"/>
        </w:rPr>
        <w:t> </w:t>
      </w:r>
      <w:r>
        <w:rPr>
          <w:rFonts w:ascii="Arial" w:hAnsi="Arial"/>
          <w:i/>
          <w:color w:val="4C4D4F"/>
          <w:w w:val="110"/>
          <w:sz w:val="18"/>
        </w:rPr>
        <w:t>of</w:t>
      </w:r>
      <w:r>
        <w:rPr>
          <w:rFonts w:ascii="Arial" w:hAnsi="Arial"/>
          <w:i/>
          <w:color w:val="4C4D4F"/>
          <w:spacing w:val="-37"/>
          <w:w w:val="110"/>
          <w:sz w:val="18"/>
        </w:rPr>
        <w:t> </w:t>
      </w:r>
      <w:r>
        <w:rPr>
          <w:rFonts w:ascii="Arial" w:hAnsi="Arial"/>
          <w:i/>
          <w:color w:val="4C4D4F"/>
          <w:w w:val="110"/>
          <w:sz w:val="18"/>
        </w:rPr>
        <w:t>Clinical</w:t>
      </w:r>
      <w:r>
        <w:rPr>
          <w:rFonts w:ascii="Arial" w:hAnsi="Arial"/>
          <w:i/>
          <w:color w:val="4C4D4F"/>
          <w:spacing w:val="-37"/>
          <w:w w:val="110"/>
          <w:sz w:val="18"/>
        </w:rPr>
        <w:t> </w:t>
      </w:r>
      <w:r>
        <w:rPr>
          <w:rFonts w:ascii="Arial" w:hAnsi="Arial"/>
          <w:i/>
          <w:color w:val="4C4D4F"/>
          <w:spacing w:val="-4"/>
          <w:w w:val="110"/>
          <w:sz w:val="18"/>
        </w:rPr>
        <w:t>Psychiatry, </w:t>
      </w:r>
      <w:r>
        <w:rPr>
          <w:rFonts w:ascii="Arial" w:hAnsi="Arial"/>
          <w:i/>
          <w:color w:val="4C4D4F"/>
          <w:w w:val="110"/>
          <w:sz w:val="18"/>
        </w:rPr>
        <w:t>45</w:t>
      </w:r>
      <w:r>
        <w:rPr>
          <w:color w:val="4C4D4F"/>
          <w:w w:val="110"/>
          <w:sz w:val="18"/>
        </w:rPr>
        <w:t>(9, Pt. 2),</w:t>
      </w:r>
      <w:r>
        <w:rPr>
          <w:color w:val="4C4D4F"/>
          <w:spacing w:val="-17"/>
          <w:w w:val="110"/>
          <w:sz w:val="18"/>
        </w:rPr>
        <w:t> </w:t>
      </w:r>
      <w:r>
        <w:rPr>
          <w:color w:val="4C4D4F"/>
          <w:w w:val="110"/>
          <w:sz w:val="18"/>
        </w:rPr>
        <w:t>15–19.</w:t>
      </w:r>
    </w:p>
    <w:p>
      <w:pPr>
        <w:pStyle w:val="ListParagraph"/>
        <w:numPr>
          <w:ilvl w:val="0"/>
          <w:numId w:val="51"/>
        </w:numPr>
        <w:tabs>
          <w:tab w:pos="500" w:val="left" w:leader="none"/>
        </w:tabs>
        <w:spacing w:line="247" w:lineRule="auto" w:before="74" w:after="0"/>
        <w:ind w:left="500" w:right="159" w:hanging="360"/>
        <w:jc w:val="left"/>
        <w:rPr>
          <w:color w:val="4C4D4F"/>
          <w:sz w:val="18"/>
        </w:rPr>
      </w:pPr>
      <w:r>
        <w:rPr>
          <w:color w:val="4C4D4F"/>
          <w:w w:val="110"/>
          <w:sz w:val="18"/>
        </w:rPr>
        <w:t>Bigelow, G. E., Preston, K. L., Schmittner, </w:t>
      </w:r>
      <w:r>
        <w:rPr>
          <w:color w:val="4C4D4F"/>
          <w:w w:val="120"/>
          <w:sz w:val="18"/>
        </w:rPr>
        <w:t>J., </w:t>
      </w:r>
      <w:r>
        <w:rPr>
          <w:color w:val="4C4D4F"/>
          <w:w w:val="110"/>
          <w:sz w:val="18"/>
        </w:rPr>
        <w:t>Dong, Q., &amp; Gastfriend, D. R. (2012). Opioid challenge evaluation of blockade by extended-release naltrexone in opioid- abusing adults: Dose-effects and time-course. </w:t>
      </w:r>
      <w:r>
        <w:rPr>
          <w:rFonts w:ascii="Arial" w:hAnsi="Arial"/>
          <w:i/>
          <w:color w:val="4C4D4F"/>
          <w:w w:val="110"/>
          <w:sz w:val="18"/>
        </w:rPr>
        <w:t>Drug </w:t>
      </w:r>
      <w:r>
        <w:rPr>
          <w:rFonts w:ascii="Arial" w:hAnsi="Arial"/>
          <w:i/>
          <w:color w:val="4C4D4F"/>
          <w:spacing w:val="-5"/>
          <w:w w:val="110"/>
          <w:sz w:val="18"/>
        </w:rPr>
        <w:t>and </w:t>
      </w:r>
      <w:r>
        <w:rPr>
          <w:rFonts w:ascii="Arial" w:hAnsi="Arial"/>
          <w:i/>
          <w:color w:val="4C4D4F"/>
          <w:w w:val="110"/>
          <w:sz w:val="18"/>
        </w:rPr>
        <w:t>Alcohol Dependence, 123</w:t>
      </w:r>
      <w:r>
        <w:rPr>
          <w:color w:val="4C4D4F"/>
          <w:w w:val="110"/>
          <w:sz w:val="18"/>
        </w:rPr>
        <w:t>(1–3),</w:t>
      </w:r>
      <w:r>
        <w:rPr>
          <w:color w:val="4C4D4F"/>
          <w:spacing w:val="-33"/>
          <w:w w:val="110"/>
          <w:sz w:val="18"/>
        </w:rPr>
        <w:t> </w:t>
      </w:r>
      <w:r>
        <w:rPr>
          <w:color w:val="4C4D4F"/>
          <w:w w:val="110"/>
          <w:sz w:val="18"/>
        </w:rPr>
        <w:t>57–65.</w:t>
      </w:r>
    </w:p>
    <w:p>
      <w:pPr>
        <w:pStyle w:val="ListParagraph"/>
        <w:numPr>
          <w:ilvl w:val="0"/>
          <w:numId w:val="51"/>
        </w:numPr>
        <w:tabs>
          <w:tab w:pos="500" w:val="left" w:leader="none"/>
        </w:tabs>
        <w:spacing w:line="247" w:lineRule="auto" w:before="73" w:after="0"/>
        <w:ind w:left="500" w:right="461" w:hanging="360"/>
        <w:jc w:val="left"/>
        <w:rPr>
          <w:color w:val="4C4D4F"/>
          <w:sz w:val="18"/>
        </w:rPr>
      </w:pPr>
      <w:r>
        <w:rPr>
          <w:color w:val="4C4D4F"/>
          <w:spacing w:val="-3"/>
          <w:w w:val="115"/>
          <w:sz w:val="18"/>
        </w:rPr>
        <w:t>Tetrault,</w:t>
      </w:r>
      <w:r>
        <w:rPr>
          <w:color w:val="4C4D4F"/>
          <w:spacing w:val="-12"/>
          <w:w w:val="115"/>
          <w:sz w:val="18"/>
        </w:rPr>
        <w:t> </w:t>
      </w:r>
      <w:r>
        <w:rPr>
          <w:color w:val="4C4D4F"/>
          <w:w w:val="135"/>
          <w:sz w:val="18"/>
        </w:rPr>
        <w:t>J.</w:t>
      </w:r>
      <w:r>
        <w:rPr>
          <w:color w:val="4C4D4F"/>
          <w:spacing w:val="-21"/>
          <w:w w:val="135"/>
          <w:sz w:val="18"/>
        </w:rPr>
        <w:t> </w:t>
      </w:r>
      <w:r>
        <w:rPr>
          <w:color w:val="4C4D4F"/>
          <w:w w:val="115"/>
          <w:sz w:val="18"/>
        </w:rPr>
        <w:t>M.,</w:t>
      </w:r>
      <w:r>
        <w:rPr>
          <w:color w:val="4C4D4F"/>
          <w:spacing w:val="-11"/>
          <w:w w:val="115"/>
          <w:sz w:val="18"/>
        </w:rPr>
        <w:t> </w:t>
      </w:r>
      <w:r>
        <w:rPr>
          <w:color w:val="4C4D4F"/>
          <w:spacing w:val="-4"/>
          <w:w w:val="115"/>
          <w:sz w:val="18"/>
        </w:rPr>
        <w:t>Tate,</w:t>
      </w:r>
      <w:r>
        <w:rPr>
          <w:color w:val="4C4D4F"/>
          <w:spacing w:val="-11"/>
          <w:w w:val="115"/>
          <w:sz w:val="18"/>
        </w:rPr>
        <w:t> </w:t>
      </w:r>
      <w:r>
        <w:rPr>
          <w:color w:val="4C4D4F"/>
          <w:w w:val="135"/>
          <w:sz w:val="18"/>
        </w:rPr>
        <w:t>J.</w:t>
      </w:r>
      <w:r>
        <w:rPr>
          <w:color w:val="4C4D4F"/>
          <w:spacing w:val="-21"/>
          <w:w w:val="135"/>
          <w:sz w:val="18"/>
        </w:rPr>
        <w:t> </w:t>
      </w:r>
      <w:r>
        <w:rPr>
          <w:color w:val="4C4D4F"/>
          <w:spacing w:val="-11"/>
          <w:w w:val="115"/>
          <w:sz w:val="18"/>
        </w:rPr>
        <w:t>P., </w:t>
      </w:r>
      <w:r>
        <w:rPr>
          <w:color w:val="4C4D4F"/>
          <w:w w:val="115"/>
          <w:sz w:val="18"/>
        </w:rPr>
        <w:t>McGinnis,</w:t>
      </w:r>
      <w:r>
        <w:rPr>
          <w:color w:val="4C4D4F"/>
          <w:spacing w:val="-11"/>
          <w:w w:val="115"/>
          <w:sz w:val="18"/>
        </w:rPr>
        <w:t> </w:t>
      </w:r>
      <w:r>
        <w:rPr>
          <w:color w:val="4C4D4F"/>
          <w:w w:val="115"/>
          <w:sz w:val="18"/>
        </w:rPr>
        <w:t>K.</w:t>
      </w:r>
      <w:r>
        <w:rPr>
          <w:color w:val="4C4D4F"/>
          <w:spacing w:val="-11"/>
          <w:w w:val="115"/>
          <w:sz w:val="18"/>
        </w:rPr>
        <w:t> </w:t>
      </w:r>
      <w:r>
        <w:rPr>
          <w:color w:val="4C4D4F"/>
          <w:w w:val="115"/>
          <w:sz w:val="18"/>
        </w:rPr>
        <w:t>A.,</w:t>
      </w:r>
      <w:r>
        <w:rPr>
          <w:color w:val="4C4D4F"/>
          <w:spacing w:val="-11"/>
          <w:w w:val="115"/>
          <w:sz w:val="18"/>
        </w:rPr>
        <w:t> </w:t>
      </w:r>
      <w:r>
        <w:rPr>
          <w:color w:val="4C4D4F"/>
          <w:w w:val="115"/>
          <w:sz w:val="18"/>
        </w:rPr>
        <w:t>Goulet,</w:t>
      </w:r>
      <w:r>
        <w:rPr>
          <w:color w:val="4C4D4F"/>
          <w:spacing w:val="-11"/>
          <w:w w:val="115"/>
          <w:sz w:val="18"/>
        </w:rPr>
        <w:t> </w:t>
      </w:r>
      <w:r>
        <w:rPr>
          <w:color w:val="4C4D4F"/>
          <w:spacing w:val="-8"/>
          <w:w w:val="135"/>
          <w:sz w:val="18"/>
        </w:rPr>
        <w:t>J. </w:t>
      </w:r>
      <w:r>
        <w:rPr>
          <w:color w:val="4C4D4F"/>
          <w:w w:val="115"/>
          <w:sz w:val="18"/>
        </w:rPr>
        <w:t>L.,</w:t>
      </w:r>
      <w:r>
        <w:rPr>
          <w:color w:val="4C4D4F"/>
          <w:spacing w:val="-19"/>
          <w:w w:val="115"/>
          <w:sz w:val="18"/>
        </w:rPr>
        <w:t> </w:t>
      </w:r>
      <w:r>
        <w:rPr>
          <w:color w:val="4C4D4F"/>
          <w:w w:val="115"/>
          <w:sz w:val="18"/>
        </w:rPr>
        <w:t>Sullivan,</w:t>
      </w:r>
      <w:r>
        <w:rPr>
          <w:color w:val="4C4D4F"/>
          <w:spacing w:val="-19"/>
          <w:w w:val="115"/>
          <w:sz w:val="18"/>
        </w:rPr>
        <w:t> </w:t>
      </w:r>
      <w:r>
        <w:rPr>
          <w:color w:val="4C4D4F"/>
          <w:w w:val="115"/>
          <w:sz w:val="18"/>
        </w:rPr>
        <w:t>L.</w:t>
      </w:r>
      <w:r>
        <w:rPr>
          <w:color w:val="4C4D4F"/>
          <w:spacing w:val="-18"/>
          <w:w w:val="115"/>
          <w:sz w:val="18"/>
        </w:rPr>
        <w:t> </w:t>
      </w:r>
      <w:r>
        <w:rPr>
          <w:color w:val="4C4D4F"/>
          <w:w w:val="115"/>
          <w:sz w:val="18"/>
        </w:rPr>
        <w:t>E.,</w:t>
      </w:r>
      <w:r>
        <w:rPr>
          <w:color w:val="4C4D4F"/>
          <w:spacing w:val="-19"/>
          <w:w w:val="115"/>
          <w:sz w:val="18"/>
        </w:rPr>
        <w:t> </w:t>
      </w:r>
      <w:r>
        <w:rPr>
          <w:color w:val="4C4D4F"/>
          <w:w w:val="115"/>
          <w:sz w:val="18"/>
        </w:rPr>
        <w:t>Bryant,</w:t>
      </w:r>
      <w:r>
        <w:rPr>
          <w:color w:val="4C4D4F"/>
          <w:spacing w:val="-18"/>
          <w:w w:val="115"/>
          <w:sz w:val="18"/>
        </w:rPr>
        <w:t> </w:t>
      </w:r>
      <w:r>
        <w:rPr>
          <w:color w:val="4C4D4F"/>
          <w:w w:val="115"/>
          <w:sz w:val="18"/>
        </w:rPr>
        <w:t>K.,</w:t>
      </w:r>
      <w:r>
        <w:rPr>
          <w:color w:val="4C4D4F"/>
          <w:spacing w:val="-19"/>
          <w:w w:val="115"/>
          <w:sz w:val="18"/>
        </w:rPr>
        <w:t> </w:t>
      </w:r>
      <w:r>
        <w:rPr>
          <w:color w:val="4C4D4F"/>
          <w:w w:val="115"/>
          <w:sz w:val="18"/>
        </w:rPr>
        <w:t>…</w:t>
      </w:r>
      <w:r>
        <w:rPr>
          <w:color w:val="4C4D4F"/>
          <w:spacing w:val="-19"/>
          <w:w w:val="115"/>
          <w:sz w:val="18"/>
        </w:rPr>
        <w:t> </w:t>
      </w:r>
      <w:r>
        <w:rPr>
          <w:color w:val="4C4D4F"/>
          <w:w w:val="115"/>
          <w:sz w:val="18"/>
        </w:rPr>
        <w:t>Fiellin,</w:t>
      </w:r>
      <w:r>
        <w:rPr>
          <w:color w:val="4C4D4F"/>
          <w:spacing w:val="-18"/>
          <w:w w:val="115"/>
          <w:sz w:val="18"/>
        </w:rPr>
        <w:t> </w:t>
      </w:r>
      <w:r>
        <w:rPr>
          <w:color w:val="4C4D4F"/>
          <w:w w:val="115"/>
          <w:sz w:val="18"/>
        </w:rPr>
        <w:t>D.</w:t>
      </w:r>
      <w:r>
        <w:rPr>
          <w:color w:val="4C4D4F"/>
          <w:spacing w:val="-19"/>
          <w:w w:val="115"/>
          <w:sz w:val="18"/>
        </w:rPr>
        <w:t> </w:t>
      </w:r>
      <w:r>
        <w:rPr>
          <w:color w:val="4C4D4F"/>
          <w:w w:val="115"/>
          <w:sz w:val="18"/>
        </w:rPr>
        <w:t>A.</w:t>
      </w:r>
      <w:r>
        <w:rPr>
          <w:color w:val="4C4D4F"/>
          <w:spacing w:val="-18"/>
          <w:w w:val="115"/>
          <w:sz w:val="18"/>
        </w:rPr>
        <w:t> </w:t>
      </w:r>
      <w:r>
        <w:rPr>
          <w:color w:val="4C4D4F"/>
          <w:w w:val="115"/>
          <w:sz w:val="18"/>
        </w:rPr>
        <w:t>(2012). Hepatic</w:t>
      </w:r>
      <w:r>
        <w:rPr>
          <w:color w:val="4C4D4F"/>
          <w:spacing w:val="-18"/>
          <w:w w:val="115"/>
          <w:sz w:val="18"/>
        </w:rPr>
        <w:t> </w:t>
      </w:r>
      <w:r>
        <w:rPr>
          <w:color w:val="4C4D4F"/>
          <w:w w:val="115"/>
          <w:sz w:val="18"/>
        </w:rPr>
        <w:t>safety</w:t>
      </w:r>
      <w:r>
        <w:rPr>
          <w:color w:val="4C4D4F"/>
          <w:spacing w:val="-18"/>
          <w:w w:val="115"/>
          <w:sz w:val="18"/>
        </w:rPr>
        <w:t> </w:t>
      </w:r>
      <w:r>
        <w:rPr>
          <w:color w:val="4C4D4F"/>
          <w:w w:val="115"/>
          <w:sz w:val="18"/>
        </w:rPr>
        <w:t>and</w:t>
      </w:r>
      <w:r>
        <w:rPr>
          <w:color w:val="4C4D4F"/>
          <w:spacing w:val="-18"/>
          <w:w w:val="115"/>
          <w:sz w:val="18"/>
        </w:rPr>
        <w:t> </w:t>
      </w:r>
      <w:r>
        <w:rPr>
          <w:color w:val="4C4D4F"/>
          <w:w w:val="115"/>
          <w:sz w:val="18"/>
        </w:rPr>
        <w:t>antiretroviral</w:t>
      </w:r>
      <w:r>
        <w:rPr>
          <w:color w:val="4C4D4F"/>
          <w:spacing w:val="-18"/>
          <w:w w:val="115"/>
          <w:sz w:val="18"/>
        </w:rPr>
        <w:t> </w:t>
      </w:r>
      <w:r>
        <w:rPr>
          <w:color w:val="4C4D4F"/>
          <w:w w:val="115"/>
          <w:sz w:val="18"/>
        </w:rPr>
        <w:t>effectiveness</w:t>
      </w:r>
      <w:r>
        <w:rPr>
          <w:color w:val="4C4D4F"/>
          <w:spacing w:val="-18"/>
          <w:w w:val="115"/>
          <w:sz w:val="18"/>
        </w:rPr>
        <w:t> </w:t>
      </w:r>
      <w:r>
        <w:rPr>
          <w:color w:val="4C4D4F"/>
          <w:w w:val="115"/>
          <w:sz w:val="18"/>
        </w:rPr>
        <w:t>in</w:t>
      </w:r>
    </w:p>
    <w:p>
      <w:pPr>
        <w:spacing w:line="247" w:lineRule="auto" w:before="2"/>
        <w:ind w:left="500" w:right="0" w:firstLine="0"/>
        <w:jc w:val="left"/>
        <w:rPr>
          <w:sz w:val="18"/>
        </w:rPr>
      </w:pPr>
      <w:r>
        <w:rPr>
          <w:color w:val="4C4D4F"/>
          <w:w w:val="105"/>
          <w:sz w:val="18"/>
        </w:rPr>
        <w:t>HIV-infected patients receiving naltrexone. </w:t>
      </w:r>
      <w:r>
        <w:rPr>
          <w:rFonts w:ascii="Arial" w:hAnsi="Arial"/>
          <w:i/>
          <w:color w:val="4C4D4F"/>
          <w:w w:val="105"/>
          <w:sz w:val="18"/>
        </w:rPr>
        <w:t>Alcoholism: </w:t>
      </w:r>
      <w:r>
        <w:rPr>
          <w:rFonts w:ascii="Arial" w:hAnsi="Arial"/>
          <w:i/>
          <w:color w:val="4C4D4F"/>
          <w:w w:val="105"/>
          <w:sz w:val="18"/>
        </w:rPr>
        <w:t>Clinical and Experimental Research, 36</w:t>
      </w:r>
      <w:r>
        <w:rPr>
          <w:color w:val="4C4D4F"/>
          <w:w w:val="105"/>
          <w:sz w:val="18"/>
        </w:rPr>
        <w:t>(2), 318–324.</w:t>
      </w:r>
    </w:p>
    <w:p>
      <w:pPr>
        <w:pStyle w:val="ListParagraph"/>
        <w:numPr>
          <w:ilvl w:val="0"/>
          <w:numId w:val="51"/>
        </w:numPr>
        <w:tabs>
          <w:tab w:pos="500" w:val="left" w:leader="none"/>
        </w:tabs>
        <w:spacing w:line="247" w:lineRule="auto" w:before="72" w:after="0"/>
        <w:ind w:left="500" w:right="522" w:hanging="360"/>
        <w:jc w:val="left"/>
        <w:rPr>
          <w:color w:val="4C4D4F"/>
          <w:sz w:val="18"/>
        </w:rPr>
      </w:pPr>
      <w:r>
        <w:rPr>
          <w:color w:val="4C4D4F"/>
          <w:w w:val="110"/>
          <w:sz w:val="18"/>
        </w:rPr>
        <w:t>Jones, H. E., Kaltenbach, K., Heil, S. H., Stine, S.  M., Coyle, M. G., Arria, A. M., … </w:t>
      </w:r>
      <w:r>
        <w:rPr>
          <w:color w:val="4C4D4F"/>
          <w:spacing w:val="-3"/>
          <w:w w:val="110"/>
          <w:sz w:val="18"/>
        </w:rPr>
        <w:t>Fischer, </w:t>
      </w:r>
      <w:r>
        <w:rPr>
          <w:color w:val="4C4D4F"/>
          <w:w w:val="110"/>
          <w:sz w:val="18"/>
        </w:rPr>
        <w:t>G.</w:t>
      </w:r>
      <w:r>
        <w:rPr>
          <w:color w:val="4C4D4F"/>
          <w:spacing w:val="-23"/>
          <w:w w:val="110"/>
          <w:sz w:val="18"/>
        </w:rPr>
        <w:t> </w:t>
      </w:r>
      <w:r>
        <w:rPr>
          <w:color w:val="4C4D4F"/>
          <w:spacing w:val="-3"/>
          <w:w w:val="110"/>
          <w:sz w:val="18"/>
        </w:rPr>
        <w:t>(2010). </w:t>
      </w:r>
      <w:r>
        <w:rPr>
          <w:color w:val="4C4D4F"/>
          <w:w w:val="110"/>
          <w:sz w:val="18"/>
        </w:rPr>
        <w:t>Neonatal abstinence syndrome after methadone </w:t>
      </w:r>
      <w:r>
        <w:rPr>
          <w:color w:val="4C4D4F"/>
          <w:spacing w:val="-8"/>
          <w:w w:val="110"/>
          <w:sz w:val="18"/>
        </w:rPr>
        <w:t>or </w:t>
      </w:r>
      <w:r>
        <w:rPr>
          <w:color w:val="4C4D4F"/>
          <w:w w:val="110"/>
          <w:sz w:val="18"/>
        </w:rPr>
        <w:t>buprenorphine</w:t>
      </w:r>
      <w:r>
        <w:rPr>
          <w:color w:val="4C4D4F"/>
          <w:spacing w:val="-25"/>
          <w:w w:val="110"/>
          <w:sz w:val="18"/>
        </w:rPr>
        <w:t> </w:t>
      </w:r>
      <w:r>
        <w:rPr>
          <w:color w:val="4C4D4F"/>
          <w:w w:val="110"/>
          <w:sz w:val="18"/>
        </w:rPr>
        <w:t>exposure.</w:t>
      </w:r>
      <w:r>
        <w:rPr>
          <w:color w:val="4C4D4F"/>
          <w:spacing w:val="-24"/>
          <w:w w:val="110"/>
          <w:sz w:val="18"/>
        </w:rPr>
        <w:t> </w:t>
      </w:r>
      <w:r>
        <w:rPr>
          <w:rFonts w:ascii="Arial" w:hAnsi="Arial"/>
          <w:i/>
          <w:color w:val="4C4D4F"/>
          <w:w w:val="110"/>
          <w:sz w:val="18"/>
        </w:rPr>
        <w:t>New</w:t>
      </w:r>
      <w:r>
        <w:rPr>
          <w:rFonts w:ascii="Arial" w:hAnsi="Arial"/>
          <w:i/>
          <w:color w:val="4C4D4F"/>
          <w:spacing w:val="-24"/>
          <w:w w:val="110"/>
          <w:sz w:val="18"/>
        </w:rPr>
        <w:t> </w:t>
      </w:r>
      <w:r>
        <w:rPr>
          <w:rFonts w:ascii="Arial" w:hAnsi="Arial"/>
          <w:i/>
          <w:color w:val="4C4D4F"/>
          <w:w w:val="110"/>
          <w:sz w:val="18"/>
        </w:rPr>
        <w:t>England</w:t>
      </w:r>
      <w:r>
        <w:rPr>
          <w:rFonts w:ascii="Arial" w:hAnsi="Arial"/>
          <w:i/>
          <w:color w:val="4C4D4F"/>
          <w:spacing w:val="-24"/>
          <w:w w:val="110"/>
          <w:sz w:val="18"/>
        </w:rPr>
        <w:t> </w:t>
      </w:r>
      <w:r>
        <w:rPr>
          <w:rFonts w:ascii="Arial" w:hAnsi="Arial"/>
          <w:i/>
          <w:color w:val="4C4D4F"/>
          <w:w w:val="110"/>
          <w:sz w:val="18"/>
        </w:rPr>
        <w:t>Journal</w:t>
      </w:r>
      <w:r>
        <w:rPr>
          <w:rFonts w:ascii="Arial" w:hAnsi="Arial"/>
          <w:i/>
          <w:color w:val="4C4D4F"/>
          <w:spacing w:val="-25"/>
          <w:w w:val="110"/>
          <w:sz w:val="18"/>
        </w:rPr>
        <w:t> </w:t>
      </w:r>
      <w:r>
        <w:rPr>
          <w:rFonts w:ascii="Arial" w:hAnsi="Arial"/>
          <w:i/>
          <w:color w:val="4C4D4F"/>
          <w:w w:val="110"/>
          <w:sz w:val="18"/>
        </w:rPr>
        <w:t>of </w:t>
      </w:r>
      <w:r>
        <w:rPr>
          <w:rFonts w:ascii="Arial" w:hAnsi="Arial"/>
          <w:i/>
          <w:color w:val="4C4D4F"/>
          <w:w w:val="110"/>
          <w:sz w:val="18"/>
        </w:rPr>
        <w:t>Medicine, 363</w:t>
      </w:r>
      <w:r>
        <w:rPr>
          <w:color w:val="4C4D4F"/>
          <w:w w:val="110"/>
          <w:sz w:val="18"/>
        </w:rPr>
        <w:t>(24),</w:t>
      </w:r>
      <w:r>
        <w:rPr>
          <w:color w:val="4C4D4F"/>
          <w:spacing w:val="-16"/>
          <w:w w:val="110"/>
          <w:sz w:val="18"/>
        </w:rPr>
        <w:t> </w:t>
      </w:r>
      <w:r>
        <w:rPr>
          <w:color w:val="4C4D4F"/>
          <w:w w:val="110"/>
          <w:sz w:val="18"/>
        </w:rPr>
        <w:t>2320–2331.</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Mozurkewich, E. L., &amp; Rayburn, </w:t>
      </w:r>
      <w:r>
        <w:rPr>
          <w:color w:val="4C4D4F"/>
          <w:spacing w:val="-7"/>
          <w:w w:val="110"/>
          <w:sz w:val="18"/>
        </w:rPr>
        <w:t>W. </w:t>
      </w:r>
      <w:r>
        <w:rPr>
          <w:color w:val="4C4D4F"/>
          <w:spacing w:val="-15"/>
          <w:w w:val="110"/>
          <w:sz w:val="18"/>
        </w:rPr>
        <w:t>F.</w:t>
      </w:r>
      <w:r>
        <w:rPr>
          <w:color w:val="4C4D4F"/>
          <w:spacing w:val="-38"/>
          <w:w w:val="110"/>
          <w:sz w:val="18"/>
        </w:rPr>
        <w:t> </w:t>
      </w:r>
      <w:r>
        <w:rPr>
          <w:color w:val="4C4D4F"/>
          <w:w w:val="110"/>
          <w:sz w:val="18"/>
        </w:rPr>
        <w:t>(2014).</w:t>
      </w:r>
    </w:p>
    <w:p>
      <w:pPr>
        <w:spacing w:line="247" w:lineRule="auto" w:before="7"/>
        <w:ind w:left="500" w:right="359" w:firstLine="0"/>
        <w:jc w:val="left"/>
        <w:rPr>
          <w:sz w:val="18"/>
        </w:rPr>
      </w:pPr>
      <w:r>
        <w:rPr>
          <w:color w:val="4C4D4F"/>
          <w:w w:val="110"/>
          <w:sz w:val="18"/>
        </w:rPr>
        <w:t>Buprenorphine and methadone for opioid addiction during</w:t>
      </w:r>
      <w:r>
        <w:rPr>
          <w:color w:val="4C4D4F"/>
          <w:spacing w:val="-37"/>
          <w:w w:val="110"/>
          <w:sz w:val="18"/>
        </w:rPr>
        <w:t> </w:t>
      </w:r>
      <w:r>
        <w:rPr>
          <w:color w:val="4C4D4F"/>
          <w:w w:val="110"/>
          <w:sz w:val="18"/>
        </w:rPr>
        <w:t>pregnancy.</w:t>
      </w:r>
      <w:r>
        <w:rPr>
          <w:color w:val="4C4D4F"/>
          <w:spacing w:val="-38"/>
          <w:w w:val="110"/>
          <w:sz w:val="18"/>
        </w:rPr>
        <w:t> </w:t>
      </w:r>
      <w:r>
        <w:rPr>
          <w:rFonts w:ascii="Arial" w:hAnsi="Arial"/>
          <w:i/>
          <w:color w:val="4C4D4F"/>
          <w:w w:val="110"/>
          <w:sz w:val="18"/>
        </w:rPr>
        <w:t>Obstetrics</w:t>
      </w:r>
      <w:r>
        <w:rPr>
          <w:rFonts w:ascii="Arial" w:hAnsi="Arial"/>
          <w:i/>
          <w:color w:val="4C4D4F"/>
          <w:spacing w:val="-37"/>
          <w:w w:val="110"/>
          <w:sz w:val="18"/>
        </w:rPr>
        <w:t> </w:t>
      </w:r>
      <w:r>
        <w:rPr>
          <w:rFonts w:ascii="Arial" w:hAnsi="Arial"/>
          <w:i/>
          <w:color w:val="4C4D4F"/>
          <w:w w:val="110"/>
          <w:sz w:val="18"/>
        </w:rPr>
        <w:t>and</w:t>
      </w:r>
      <w:r>
        <w:rPr>
          <w:rFonts w:ascii="Arial" w:hAnsi="Arial"/>
          <w:i/>
          <w:color w:val="4C4D4F"/>
          <w:spacing w:val="-36"/>
          <w:w w:val="110"/>
          <w:sz w:val="18"/>
        </w:rPr>
        <w:t> </w:t>
      </w:r>
      <w:r>
        <w:rPr>
          <w:rFonts w:ascii="Arial" w:hAnsi="Arial"/>
          <w:i/>
          <w:color w:val="4C4D4F"/>
          <w:w w:val="110"/>
          <w:sz w:val="18"/>
        </w:rPr>
        <w:t>Gynecology</w:t>
      </w:r>
      <w:r>
        <w:rPr>
          <w:rFonts w:ascii="Arial" w:hAnsi="Arial"/>
          <w:i/>
          <w:color w:val="4C4D4F"/>
          <w:spacing w:val="-37"/>
          <w:w w:val="110"/>
          <w:sz w:val="18"/>
        </w:rPr>
        <w:t> </w:t>
      </w:r>
      <w:r>
        <w:rPr>
          <w:rFonts w:ascii="Arial" w:hAnsi="Arial"/>
          <w:i/>
          <w:color w:val="4C4D4F"/>
          <w:spacing w:val="-3"/>
          <w:w w:val="110"/>
          <w:sz w:val="18"/>
        </w:rPr>
        <w:t>Clinics </w:t>
      </w:r>
      <w:r>
        <w:rPr>
          <w:rFonts w:ascii="Arial" w:hAnsi="Arial"/>
          <w:i/>
          <w:color w:val="4C4D4F"/>
          <w:w w:val="110"/>
          <w:sz w:val="18"/>
        </w:rPr>
        <w:t>of North America, 41</w:t>
      </w:r>
      <w:r>
        <w:rPr>
          <w:color w:val="4C4D4F"/>
          <w:w w:val="110"/>
          <w:sz w:val="18"/>
        </w:rPr>
        <w:t>(2),</w:t>
      </w:r>
      <w:r>
        <w:rPr>
          <w:color w:val="4C4D4F"/>
          <w:spacing w:val="-33"/>
          <w:w w:val="110"/>
          <w:sz w:val="18"/>
        </w:rPr>
        <w:t> </w:t>
      </w:r>
      <w:r>
        <w:rPr>
          <w:color w:val="4C4D4F"/>
          <w:w w:val="110"/>
          <w:sz w:val="18"/>
        </w:rPr>
        <w:t>241–253.</w:t>
      </w:r>
    </w:p>
    <w:p>
      <w:pPr>
        <w:spacing w:after="0" w:line="247" w:lineRule="auto"/>
        <w:jc w:val="left"/>
        <w:rPr>
          <w:sz w:val="18"/>
        </w:rPr>
        <w:sectPr>
          <w:type w:val="continuous"/>
          <w:pgSz w:w="12240" w:h="15840"/>
          <w:pgMar w:top="540" w:bottom="280" w:left="940" w:right="920"/>
          <w:cols w:num="2" w:equalWidth="0">
            <w:col w:w="5041" w:space="179"/>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84" w:hanging="360"/>
        <w:jc w:val="left"/>
        <w:rPr>
          <w:color w:val="4C4D4F"/>
          <w:sz w:val="18"/>
        </w:rPr>
      </w:pPr>
      <w:r>
        <w:rPr>
          <w:color w:val="4C4D4F"/>
          <w:w w:val="110"/>
          <w:sz w:val="18"/>
        </w:rPr>
        <w:t>Alkermes.</w:t>
      </w:r>
      <w:r>
        <w:rPr>
          <w:color w:val="4C4D4F"/>
          <w:spacing w:val="-13"/>
          <w:w w:val="110"/>
          <w:sz w:val="18"/>
        </w:rPr>
        <w:t> </w:t>
      </w:r>
      <w:r>
        <w:rPr>
          <w:color w:val="4C4D4F"/>
          <w:w w:val="110"/>
          <w:sz w:val="18"/>
        </w:rPr>
        <w:t>(2015).</w:t>
      </w:r>
      <w:r>
        <w:rPr>
          <w:color w:val="4C4D4F"/>
          <w:spacing w:val="-12"/>
          <w:w w:val="110"/>
          <w:sz w:val="18"/>
        </w:rPr>
        <w:t> </w:t>
      </w:r>
      <w:r>
        <w:rPr>
          <w:color w:val="4C4D4F"/>
          <w:w w:val="110"/>
          <w:sz w:val="18"/>
        </w:rPr>
        <w:t>Vivitrol.</w:t>
      </w:r>
      <w:r>
        <w:rPr>
          <w:color w:val="4C4D4F"/>
          <w:spacing w:val="-13"/>
          <w:w w:val="110"/>
          <w:sz w:val="18"/>
        </w:rPr>
        <w:t> </w:t>
      </w:r>
      <w:r>
        <w:rPr>
          <w:color w:val="4C4D4F"/>
          <w:w w:val="110"/>
          <w:sz w:val="18"/>
        </w:rPr>
        <w:t>Retrieved</w:t>
      </w:r>
      <w:r>
        <w:rPr>
          <w:color w:val="4C4D4F"/>
          <w:spacing w:val="-12"/>
          <w:w w:val="110"/>
          <w:sz w:val="18"/>
        </w:rPr>
        <w:t> </w:t>
      </w:r>
      <w:r>
        <w:rPr>
          <w:color w:val="4C4D4F"/>
          <w:w w:val="110"/>
          <w:sz w:val="18"/>
        </w:rPr>
        <w:t>October</w:t>
      </w:r>
      <w:r>
        <w:rPr>
          <w:color w:val="4C4D4F"/>
          <w:spacing w:val="-12"/>
          <w:w w:val="110"/>
          <w:sz w:val="18"/>
        </w:rPr>
        <w:t> </w:t>
      </w:r>
      <w:r>
        <w:rPr>
          <w:color w:val="4C4D4F"/>
          <w:w w:val="110"/>
          <w:sz w:val="18"/>
        </w:rPr>
        <w:t>16,</w:t>
      </w:r>
      <w:r>
        <w:rPr>
          <w:color w:val="4C4D4F"/>
          <w:spacing w:val="-13"/>
          <w:w w:val="110"/>
          <w:sz w:val="18"/>
        </w:rPr>
        <w:t> </w:t>
      </w:r>
      <w:r>
        <w:rPr>
          <w:color w:val="4C4D4F"/>
          <w:spacing w:val="-4"/>
          <w:w w:val="110"/>
          <w:sz w:val="18"/>
        </w:rPr>
        <w:t>2017, </w:t>
      </w:r>
      <w:r>
        <w:rPr>
          <w:color w:val="4C4D4F"/>
          <w:w w:val="110"/>
          <w:sz w:val="18"/>
        </w:rPr>
        <w:t>from</w:t>
      </w:r>
      <w:r>
        <w:rPr>
          <w:color w:val="205E9E"/>
          <w:spacing w:val="48"/>
          <w:w w:val="110"/>
          <w:sz w:val="18"/>
        </w:rPr>
        <w:t> </w:t>
      </w:r>
      <w:hyperlink r:id="rId100">
        <w:r>
          <w:rPr>
            <w:color w:val="205E9E"/>
            <w:w w:val="110"/>
            <w:sz w:val="18"/>
            <w:u w:val="single" w:color="205E9E"/>
          </w:rPr>
          <w:t>http://medlibrary.org/lib/rx/meds/vivitrol/page/6</w:t>
        </w:r>
      </w:hyperlink>
    </w:p>
    <w:p>
      <w:pPr>
        <w:pStyle w:val="ListParagraph"/>
        <w:numPr>
          <w:ilvl w:val="0"/>
          <w:numId w:val="51"/>
        </w:numPr>
        <w:tabs>
          <w:tab w:pos="500" w:val="left" w:leader="none"/>
        </w:tabs>
        <w:spacing w:line="247" w:lineRule="auto" w:before="74" w:after="0"/>
        <w:ind w:left="500" w:right="290" w:hanging="360"/>
        <w:jc w:val="left"/>
        <w:rPr>
          <w:color w:val="4C4D4F"/>
          <w:sz w:val="18"/>
        </w:rPr>
      </w:pPr>
      <w:r>
        <w:rPr>
          <w:color w:val="4C4D4F"/>
          <w:w w:val="110"/>
          <w:sz w:val="18"/>
        </w:rPr>
        <w:t>Sullivan, M., Bisaga, A., Pavlicova, M., Choi, C. </w:t>
      </w:r>
      <w:r>
        <w:rPr>
          <w:color w:val="4C4D4F"/>
          <w:w w:val="120"/>
          <w:sz w:val="18"/>
        </w:rPr>
        <w:t>J., </w:t>
      </w:r>
      <w:r>
        <w:rPr>
          <w:color w:val="4C4D4F"/>
          <w:w w:val="110"/>
          <w:sz w:val="18"/>
        </w:rPr>
        <w:t>Mishlen,</w:t>
      </w:r>
      <w:r>
        <w:rPr>
          <w:color w:val="4C4D4F"/>
          <w:spacing w:val="-7"/>
          <w:w w:val="110"/>
          <w:sz w:val="18"/>
        </w:rPr>
        <w:t> </w:t>
      </w:r>
      <w:r>
        <w:rPr>
          <w:color w:val="4C4D4F"/>
          <w:w w:val="110"/>
          <w:sz w:val="18"/>
        </w:rPr>
        <w:t>K.,</w:t>
      </w:r>
      <w:r>
        <w:rPr>
          <w:color w:val="4C4D4F"/>
          <w:spacing w:val="-6"/>
          <w:w w:val="110"/>
          <w:sz w:val="18"/>
        </w:rPr>
        <w:t> </w:t>
      </w:r>
      <w:r>
        <w:rPr>
          <w:color w:val="4C4D4F"/>
          <w:w w:val="110"/>
          <w:sz w:val="18"/>
        </w:rPr>
        <w:t>Carpenter,</w:t>
      </w:r>
      <w:r>
        <w:rPr>
          <w:color w:val="4C4D4F"/>
          <w:spacing w:val="-6"/>
          <w:w w:val="110"/>
          <w:sz w:val="18"/>
        </w:rPr>
        <w:t> </w:t>
      </w:r>
      <w:r>
        <w:rPr>
          <w:color w:val="4C4D4F"/>
          <w:w w:val="110"/>
          <w:sz w:val="18"/>
        </w:rPr>
        <w:t>K.</w:t>
      </w:r>
      <w:r>
        <w:rPr>
          <w:color w:val="4C4D4F"/>
          <w:spacing w:val="-6"/>
          <w:w w:val="110"/>
          <w:sz w:val="18"/>
        </w:rPr>
        <w:t> </w:t>
      </w:r>
      <w:r>
        <w:rPr>
          <w:color w:val="4C4D4F"/>
          <w:w w:val="110"/>
          <w:sz w:val="18"/>
        </w:rPr>
        <w:t>M.,</w:t>
      </w:r>
      <w:r>
        <w:rPr>
          <w:color w:val="4C4D4F"/>
          <w:spacing w:val="-7"/>
          <w:w w:val="110"/>
          <w:sz w:val="18"/>
        </w:rPr>
        <w:t> </w:t>
      </w:r>
      <w:r>
        <w:rPr>
          <w:color w:val="4C4D4F"/>
          <w:w w:val="110"/>
          <w:sz w:val="18"/>
        </w:rPr>
        <w:t>…</w:t>
      </w:r>
      <w:r>
        <w:rPr>
          <w:color w:val="4C4D4F"/>
          <w:spacing w:val="-6"/>
          <w:w w:val="110"/>
          <w:sz w:val="18"/>
        </w:rPr>
        <w:t> </w:t>
      </w:r>
      <w:r>
        <w:rPr>
          <w:color w:val="4C4D4F"/>
          <w:w w:val="110"/>
          <w:sz w:val="18"/>
        </w:rPr>
        <w:t>Nunes,</w:t>
      </w:r>
      <w:r>
        <w:rPr>
          <w:color w:val="4C4D4F"/>
          <w:spacing w:val="-6"/>
          <w:w w:val="110"/>
          <w:sz w:val="18"/>
        </w:rPr>
        <w:t> </w:t>
      </w:r>
      <w:r>
        <w:rPr>
          <w:color w:val="4C4D4F"/>
          <w:w w:val="110"/>
          <w:sz w:val="18"/>
        </w:rPr>
        <w:t>E.</w:t>
      </w:r>
      <w:r>
        <w:rPr>
          <w:color w:val="4C4D4F"/>
          <w:spacing w:val="-6"/>
          <w:w w:val="110"/>
          <w:sz w:val="18"/>
        </w:rPr>
        <w:t> </w:t>
      </w:r>
      <w:r>
        <w:rPr>
          <w:color w:val="4C4D4F"/>
          <w:spacing w:val="-12"/>
          <w:w w:val="110"/>
          <w:sz w:val="18"/>
        </w:rPr>
        <w:t>V.</w:t>
      </w:r>
      <w:r>
        <w:rPr>
          <w:color w:val="4C4D4F"/>
          <w:spacing w:val="-6"/>
          <w:w w:val="110"/>
          <w:sz w:val="18"/>
        </w:rPr>
        <w:t> </w:t>
      </w:r>
      <w:r>
        <w:rPr>
          <w:color w:val="4C4D4F"/>
          <w:spacing w:val="-3"/>
          <w:w w:val="110"/>
          <w:sz w:val="18"/>
        </w:rPr>
        <w:t>(2017). </w:t>
      </w:r>
      <w:r>
        <w:rPr>
          <w:color w:val="4C4D4F"/>
          <w:w w:val="110"/>
          <w:sz w:val="18"/>
        </w:rPr>
        <w:t>Long-acting injectable naltrexone induction: A randomized trial of outpatient opioid detoxiﬁcation with naltrexone versus buprenorphine. </w:t>
      </w:r>
      <w:r>
        <w:rPr>
          <w:rFonts w:ascii="Arial" w:hAnsi="Arial"/>
          <w:i/>
          <w:color w:val="4C4D4F"/>
          <w:w w:val="110"/>
          <w:sz w:val="18"/>
        </w:rPr>
        <w:t>American </w:t>
      </w:r>
      <w:r>
        <w:rPr>
          <w:rFonts w:ascii="Arial" w:hAnsi="Arial"/>
          <w:i/>
          <w:color w:val="4C4D4F"/>
          <w:w w:val="110"/>
          <w:sz w:val="18"/>
        </w:rPr>
        <w:t>Journal</w:t>
      </w:r>
      <w:r>
        <w:rPr>
          <w:rFonts w:ascii="Arial" w:hAnsi="Arial"/>
          <w:i/>
          <w:color w:val="4C4D4F"/>
          <w:spacing w:val="-14"/>
          <w:w w:val="110"/>
          <w:sz w:val="18"/>
        </w:rPr>
        <w:t> </w:t>
      </w:r>
      <w:r>
        <w:rPr>
          <w:rFonts w:ascii="Arial" w:hAnsi="Arial"/>
          <w:i/>
          <w:color w:val="4C4D4F"/>
          <w:w w:val="110"/>
          <w:sz w:val="18"/>
        </w:rPr>
        <w:t>of</w:t>
      </w:r>
      <w:r>
        <w:rPr>
          <w:rFonts w:ascii="Arial" w:hAnsi="Arial"/>
          <w:i/>
          <w:color w:val="4C4D4F"/>
          <w:spacing w:val="-14"/>
          <w:w w:val="110"/>
          <w:sz w:val="18"/>
        </w:rPr>
        <w:t> </w:t>
      </w:r>
      <w:r>
        <w:rPr>
          <w:rFonts w:ascii="Arial" w:hAnsi="Arial"/>
          <w:i/>
          <w:color w:val="4C4D4F"/>
          <w:w w:val="110"/>
          <w:sz w:val="18"/>
        </w:rPr>
        <w:t>Psychiatry,</w:t>
      </w:r>
      <w:r>
        <w:rPr>
          <w:rFonts w:ascii="Arial" w:hAnsi="Arial"/>
          <w:i/>
          <w:color w:val="4C4D4F"/>
          <w:spacing w:val="-13"/>
          <w:w w:val="110"/>
          <w:sz w:val="18"/>
        </w:rPr>
        <w:t> </w:t>
      </w:r>
      <w:r>
        <w:rPr>
          <w:rFonts w:ascii="Arial" w:hAnsi="Arial"/>
          <w:i/>
          <w:color w:val="4C4D4F"/>
          <w:w w:val="110"/>
          <w:sz w:val="18"/>
        </w:rPr>
        <w:t>174</w:t>
      </w:r>
      <w:r>
        <w:rPr>
          <w:color w:val="4C4D4F"/>
          <w:w w:val="110"/>
          <w:sz w:val="18"/>
        </w:rPr>
        <w:t>(5),</w:t>
      </w:r>
      <w:r>
        <w:rPr>
          <w:color w:val="4C4D4F"/>
          <w:spacing w:val="-14"/>
          <w:w w:val="110"/>
          <w:sz w:val="18"/>
        </w:rPr>
        <w:t> </w:t>
      </w:r>
      <w:r>
        <w:rPr>
          <w:color w:val="4C4D4F"/>
          <w:w w:val="110"/>
          <w:sz w:val="18"/>
        </w:rPr>
        <w:t>459–467.</w:t>
      </w:r>
    </w:p>
    <w:p>
      <w:pPr>
        <w:pStyle w:val="ListParagraph"/>
        <w:numPr>
          <w:ilvl w:val="0"/>
          <w:numId w:val="51"/>
        </w:numPr>
        <w:tabs>
          <w:tab w:pos="500" w:val="left" w:leader="none"/>
        </w:tabs>
        <w:spacing w:line="247" w:lineRule="auto" w:before="75" w:after="0"/>
        <w:ind w:left="500" w:right="306" w:hanging="360"/>
        <w:jc w:val="left"/>
        <w:rPr>
          <w:color w:val="4C4D4F"/>
          <w:sz w:val="18"/>
        </w:rPr>
      </w:pPr>
      <w:r>
        <w:rPr>
          <w:color w:val="4C4D4F"/>
          <w:spacing w:val="-3"/>
          <w:w w:val="115"/>
          <w:sz w:val="18"/>
        </w:rPr>
        <w:t>Tetrault,</w:t>
      </w:r>
      <w:r>
        <w:rPr>
          <w:color w:val="4C4D4F"/>
          <w:spacing w:val="-11"/>
          <w:w w:val="115"/>
          <w:sz w:val="18"/>
        </w:rPr>
        <w:t> </w:t>
      </w:r>
      <w:r>
        <w:rPr>
          <w:color w:val="4C4D4F"/>
          <w:w w:val="135"/>
          <w:sz w:val="18"/>
        </w:rPr>
        <w:t>J.</w:t>
      </w:r>
      <w:r>
        <w:rPr>
          <w:color w:val="4C4D4F"/>
          <w:spacing w:val="-22"/>
          <w:w w:val="135"/>
          <w:sz w:val="18"/>
        </w:rPr>
        <w:t> </w:t>
      </w:r>
      <w:r>
        <w:rPr>
          <w:color w:val="4C4D4F"/>
          <w:w w:val="115"/>
          <w:sz w:val="18"/>
        </w:rPr>
        <w:t>M.,</w:t>
      </w:r>
      <w:r>
        <w:rPr>
          <w:color w:val="4C4D4F"/>
          <w:spacing w:val="-11"/>
          <w:w w:val="115"/>
          <w:sz w:val="18"/>
        </w:rPr>
        <w:t> </w:t>
      </w:r>
      <w:r>
        <w:rPr>
          <w:color w:val="4C4D4F"/>
          <w:spacing w:val="-4"/>
          <w:w w:val="115"/>
          <w:sz w:val="18"/>
        </w:rPr>
        <w:t>Tate,</w:t>
      </w:r>
      <w:r>
        <w:rPr>
          <w:color w:val="4C4D4F"/>
          <w:spacing w:val="-11"/>
          <w:w w:val="115"/>
          <w:sz w:val="18"/>
        </w:rPr>
        <w:t> </w:t>
      </w:r>
      <w:r>
        <w:rPr>
          <w:color w:val="4C4D4F"/>
          <w:w w:val="135"/>
          <w:sz w:val="18"/>
        </w:rPr>
        <w:t>J.</w:t>
      </w:r>
      <w:r>
        <w:rPr>
          <w:color w:val="4C4D4F"/>
          <w:spacing w:val="-21"/>
          <w:w w:val="135"/>
          <w:sz w:val="18"/>
        </w:rPr>
        <w:t> </w:t>
      </w:r>
      <w:r>
        <w:rPr>
          <w:color w:val="4C4D4F"/>
          <w:spacing w:val="-11"/>
          <w:w w:val="115"/>
          <w:sz w:val="18"/>
        </w:rPr>
        <w:t>P., </w:t>
      </w:r>
      <w:r>
        <w:rPr>
          <w:color w:val="4C4D4F"/>
          <w:w w:val="115"/>
          <w:sz w:val="18"/>
        </w:rPr>
        <w:t>McGinnis,</w:t>
      </w:r>
      <w:r>
        <w:rPr>
          <w:color w:val="4C4D4F"/>
          <w:spacing w:val="-11"/>
          <w:w w:val="115"/>
          <w:sz w:val="18"/>
        </w:rPr>
        <w:t> </w:t>
      </w:r>
      <w:r>
        <w:rPr>
          <w:color w:val="4C4D4F"/>
          <w:w w:val="115"/>
          <w:sz w:val="18"/>
        </w:rPr>
        <w:t>K.</w:t>
      </w:r>
      <w:r>
        <w:rPr>
          <w:color w:val="4C4D4F"/>
          <w:spacing w:val="-11"/>
          <w:w w:val="115"/>
          <w:sz w:val="18"/>
        </w:rPr>
        <w:t> </w:t>
      </w:r>
      <w:r>
        <w:rPr>
          <w:color w:val="4C4D4F"/>
          <w:w w:val="115"/>
          <w:sz w:val="18"/>
        </w:rPr>
        <w:t>A.,</w:t>
      </w:r>
      <w:r>
        <w:rPr>
          <w:color w:val="4C4D4F"/>
          <w:spacing w:val="-11"/>
          <w:w w:val="115"/>
          <w:sz w:val="18"/>
        </w:rPr>
        <w:t> </w:t>
      </w:r>
      <w:r>
        <w:rPr>
          <w:color w:val="4C4D4F"/>
          <w:w w:val="115"/>
          <w:sz w:val="18"/>
        </w:rPr>
        <w:t>Goulet,</w:t>
      </w:r>
      <w:r>
        <w:rPr>
          <w:color w:val="4C4D4F"/>
          <w:spacing w:val="-11"/>
          <w:w w:val="115"/>
          <w:sz w:val="18"/>
        </w:rPr>
        <w:t> </w:t>
      </w:r>
      <w:r>
        <w:rPr>
          <w:color w:val="4C4D4F"/>
          <w:spacing w:val="-8"/>
          <w:w w:val="135"/>
          <w:sz w:val="18"/>
        </w:rPr>
        <w:t>J. </w:t>
      </w:r>
      <w:r>
        <w:rPr>
          <w:color w:val="4C4D4F"/>
          <w:w w:val="115"/>
          <w:sz w:val="18"/>
        </w:rPr>
        <w:t>L.,</w:t>
      </w:r>
      <w:r>
        <w:rPr>
          <w:color w:val="4C4D4F"/>
          <w:spacing w:val="-19"/>
          <w:w w:val="115"/>
          <w:sz w:val="18"/>
        </w:rPr>
        <w:t> </w:t>
      </w:r>
      <w:r>
        <w:rPr>
          <w:color w:val="4C4D4F"/>
          <w:w w:val="115"/>
          <w:sz w:val="18"/>
        </w:rPr>
        <w:t>Sullivan,</w:t>
      </w:r>
      <w:r>
        <w:rPr>
          <w:color w:val="4C4D4F"/>
          <w:spacing w:val="-19"/>
          <w:w w:val="115"/>
          <w:sz w:val="18"/>
        </w:rPr>
        <w:t> </w:t>
      </w:r>
      <w:r>
        <w:rPr>
          <w:color w:val="4C4D4F"/>
          <w:w w:val="115"/>
          <w:sz w:val="18"/>
        </w:rPr>
        <w:t>L.</w:t>
      </w:r>
      <w:r>
        <w:rPr>
          <w:color w:val="4C4D4F"/>
          <w:spacing w:val="-18"/>
          <w:w w:val="115"/>
          <w:sz w:val="18"/>
        </w:rPr>
        <w:t> </w:t>
      </w:r>
      <w:r>
        <w:rPr>
          <w:color w:val="4C4D4F"/>
          <w:w w:val="115"/>
          <w:sz w:val="18"/>
        </w:rPr>
        <w:t>E.,</w:t>
      </w:r>
      <w:r>
        <w:rPr>
          <w:color w:val="4C4D4F"/>
          <w:spacing w:val="-19"/>
          <w:w w:val="115"/>
          <w:sz w:val="18"/>
        </w:rPr>
        <w:t> </w:t>
      </w:r>
      <w:r>
        <w:rPr>
          <w:color w:val="4C4D4F"/>
          <w:w w:val="115"/>
          <w:sz w:val="18"/>
        </w:rPr>
        <w:t>Bryant,</w:t>
      </w:r>
      <w:r>
        <w:rPr>
          <w:color w:val="4C4D4F"/>
          <w:spacing w:val="-18"/>
          <w:w w:val="115"/>
          <w:sz w:val="18"/>
        </w:rPr>
        <w:t> </w:t>
      </w:r>
      <w:r>
        <w:rPr>
          <w:color w:val="4C4D4F"/>
          <w:w w:val="115"/>
          <w:sz w:val="18"/>
        </w:rPr>
        <w:t>K.,</w:t>
      </w:r>
      <w:r>
        <w:rPr>
          <w:color w:val="4C4D4F"/>
          <w:spacing w:val="-19"/>
          <w:w w:val="115"/>
          <w:sz w:val="18"/>
        </w:rPr>
        <w:t> </w:t>
      </w:r>
      <w:r>
        <w:rPr>
          <w:color w:val="4C4D4F"/>
          <w:w w:val="115"/>
          <w:sz w:val="18"/>
        </w:rPr>
        <w:t>…</w:t>
      </w:r>
      <w:r>
        <w:rPr>
          <w:color w:val="4C4D4F"/>
          <w:spacing w:val="-18"/>
          <w:w w:val="115"/>
          <w:sz w:val="18"/>
        </w:rPr>
        <w:t> </w:t>
      </w:r>
      <w:r>
        <w:rPr>
          <w:color w:val="4C4D4F"/>
          <w:w w:val="115"/>
          <w:sz w:val="18"/>
        </w:rPr>
        <w:t>Fiellin,</w:t>
      </w:r>
      <w:r>
        <w:rPr>
          <w:color w:val="4C4D4F"/>
          <w:spacing w:val="-19"/>
          <w:w w:val="115"/>
          <w:sz w:val="18"/>
        </w:rPr>
        <w:t> </w:t>
      </w:r>
      <w:r>
        <w:rPr>
          <w:color w:val="4C4D4F"/>
          <w:w w:val="115"/>
          <w:sz w:val="18"/>
        </w:rPr>
        <w:t>D.</w:t>
      </w:r>
      <w:r>
        <w:rPr>
          <w:color w:val="4C4D4F"/>
          <w:spacing w:val="-19"/>
          <w:w w:val="115"/>
          <w:sz w:val="18"/>
        </w:rPr>
        <w:t> </w:t>
      </w:r>
      <w:r>
        <w:rPr>
          <w:color w:val="4C4D4F"/>
          <w:w w:val="115"/>
          <w:sz w:val="18"/>
        </w:rPr>
        <w:t>A.</w:t>
      </w:r>
      <w:r>
        <w:rPr>
          <w:color w:val="4C4D4F"/>
          <w:spacing w:val="-18"/>
          <w:w w:val="115"/>
          <w:sz w:val="18"/>
        </w:rPr>
        <w:t> </w:t>
      </w:r>
      <w:r>
        <w:rPr>
          <w:color w:val="4C4D4F"/>
          <w:w w:val="115"/>
          <w:sz w:val="18"/>
        </w:rPr>
        <w:t>(2012). Hepatic</w:t>
      </w:r>
      <w:r>
        <w:rPr>
          <w:color w:val="4C4D4F"/>
          <w:spacing w:val="-18"/>
          <w:w w:val="115"/>
          <w:sz w:val="18"/>
        </w:rPr>
        <w:t> </w:t>
      </w:r>
      <w:r>
        <w:rPr>
          <w:color w:val="4C4D4F"/>
          <w:w w:val="115"/>
          <w:sz w:val="18"/>
        </w:rPr>
        <w:t>safety</w:t>
      </w:r>
      <w:r>
        <w:rPr>
          <w:color w:val="4C4D4F"/>
          <w:spacing w:val="-18"/>
          <w:w w:val="115"/>
          <w:sz w:val="18"/>
        </w:rPr>
        <w:t> </w:t>
      </w:r>
      <w:r>
        <w:rPr>
          <w:color w:val="4C4D4F"/>
          <w:w w:val="115"/>
          <w:sz w:val="18"/>
        </w:rPr>
        <w:t>and</w:t>
      </w:r>
      <w:r>
        <w:rPr>
          <w:color w:val="4C4D4F"/>
          <w:spacing w:val="-18"/>
          <w:w w:val="115"/>
          <w:sz w:val="18"/>
        </w:rPr>
        <w:t> </w:t>
      </w:r>
      <w:r>
        <w:rPr>
          <w:color w:val="4C4D4F"/>
          <w:w w:val="115"/>
          <w:sz w:val="18"/>
        </w:rPr>
        <w:t>antiretroviral</w:t>
      </w:r>
      <w:r>
        <w:rPr>
          <w:color w:val="4C4D4F"/>
          <w:spacing w:val="-18"/>
          <w:w w:val="115"/>
          <w:sz w:val="18"/>
        </w:rPr>
        <w:t> </w:t>
      </w:r>
      <w:r>
        <w:rPr>
          <w:color w:val="4C4D4F"/>
          <w:w w:val="115"/>
          <w:sz w:val="18"/>
        </w:rPr>
        <w:t>effectiveness</w:t>
      </w:r>
      <w:r>
        <w:rPr>
          <w:color w:val="4C4D4F"/>
          <w:spacing w:val="-18"/>
          <w:w w:val="115"/>
          <w:sz w:val="18"/>
        </w:rPr>
        <w:t> </w:t>
      </w:r>
      <w:r>
        <w:rPr>
          <w:color w:val="4C4D4F"/>
          <w:w w:val="115"/>
          <w:sz w:val="18"/>
        </w:rPr>
        <w:t>in</w:t>
      </w:r>
    </w:p>
    <w:p>
      <w:pPr>
        <w:spacing w:line="247" w:lineRule="auto" w:before="1"/>
        <w:ind w:left="500" w:right="128" w:firstLine="0"/>
        <w:jc w:val="left"/>
        <w:rPr>
          <w:sz w:val="18"/>
        </w:rPr>
      </w:pPr>
      <w:r>
        <w:rPr>
          <w:color w:val="4C4D4F"/>
          <w:w w:val="105"/>
          <w:sz w:val="18"/>
        </w:rPr>
        <w:t>HIV-infected patients receiving naltrexone. </w:t>
      </w:r>
      <w:r>
        <w:rPr>
          <w:rFonts w:ascii="Arial" w:hAnsi="Arial"/>
          <w:i/>
          <w:color w:val="4C4D4F"/>
          <w:w w:val="105"/>
          <w:sz w:val="18"/>
        </w:rPr>
        <w:t>Alcoholism: </w:t>
      </w:r>
      <w:r>
        <w:rPr>
          <w:rFonts w:ascii="Arial" w:hAnsi="Arial"/>
          <w:i/>
          <w:color w:val="4C4D4F"/>
          <w:w w:val="105"/>
          <w:sz w:val="18"/>
        </w:rPr>
        <w:t>Clinical and Experimental Research, 36</w:t>
      </w:r>
      <w:r>
        <w:rPr>
          <w:color w:val="4C4D4F"/>
          <w:w w:val="105"/>
          <w:sz w:val="18"/>
        </w:rPr>
        <w:t>(2), 318–324.</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spacing w:val="-3"/>
          <w:w w:val="120"/>
          <w:sz w:val="18"/>
        </w:rPr>
        <w:t>Crowley,</w:t>
      </w:r>
      <w:r>
        <w:rPr>
          <w:color w:val="4C4D4F"/>
          <w:spacing w:val="-34"/>
          <w:w w:val="120"/>
          <w:sz w:val="18"/>
        </w:rPr>
        <w:t> </w:t>
      </w:r>
      <w:r>
        <w:rPr>
          <w:color w:val="4C4D4F"/>
          <w:spacing w:val="-10"/>
          <w:w w:val="120"/>
          <w:sz w:val="18"/>
        </w:rPr>
        <w:t>T.</w:t>
      </w:r>
      <w:r>
        <w:rPr>
          <w:color w:val="4C4D4F"/>
          <w:spacing w:val="-33"/>
          <w:w w:val="120"/>
          <w:sz w:val="18"/>
        </w:rPr>
        <w:t> </w:t>
      </w:r>
      <w:r>
        <w:rPr>
          <w:color w:val="4C4D4F"/>
          <w:w w:val="120"/>
          <w:sz w:val="18"/>
        </w:rPr>
        <w:t>J.,</w:t>
      </w:r>
      <w:r>
        <w:rPr>
          <w:color w:val="4C4D4F"/>
          <w:spacing w:val="-33"/>
          <w:w w:val="120"/>
          <w:sz w:val="18"/>
        </w:rPr>
        <w:t> </w:t>
      </w:r>
      <w:r>
        <w:rPr>
          <w:color w:val="4C4D4F"/>
          <w:spacing w:val="-4"/>
          <w:w w:val="120"/>
          <w:sz w:val="18"/>
        </w:rPr>
        <w:t>Wagner,</w:t>
      </w:r>
      <w:r>
        <w:rPr>
          <w:color w:val="4C4D4F"/>
          <w:spacing w:val="-33"/>
          <w:w w:val="120"/>
          <w:sz w:val="18"/>
        </w:rPr>
        <w:t> </w:t>
      </w:r>
      <w:r>
        <w:rPr>
          <w:color w:val="4C4D4F"/>
          <w:w w:val="120"/>
          <w:sz w:val="18"/>
        </w:rPr>
        <w:t>J.</w:t>
      </w:r>
      <w:r>
        <w:rPr>
          <w:color w:val="4C4D4F"/>
          <w:spacing w:val="-33"/>
          <w:w w:val="120"/>
          <w:sz w:val="18"/>
        </w:rPr>
        <w:t> </w:t>
      </w:r>
      <w:r>
        <w:rPr>
          <w:color w:val="4C4D4F"/>
          <w:w w:val="120"/>
          <w:sz w:val="18"/>
        </w:rPr>
        <w:t>E.,</w:t>
      </w:r>
      <w:r>
        <w:rPr>
          <w:color w:val="4C4D4F"/>
          <w:spacing w:val="-33"/>
          <w:w w:val="120"/>
          <w:sz w:val="18"/>
        </w:rPr>
        <w:t> </w:t>
      </w:r>
      <w:r>
        <w:rPr>
          <w:color w:val="4C4D4F"/>
          <w:w w:val="120"/>
          <w:sz w:val="18"/>
        </w:rPr>
        <w:t>Zerbe,</w:t>
      </w:r>
      <w:r>
        <w:rPr>
          <w:color w:val="4C4D4F"/>
          <w:spacing w:val="-33"/>
          <w:w w:val="120"/>
          <w:sz w:val="18"/>
        </w:rPr>
        <w:t> </w:t>
      </w:r>
      <w:r>
        <w:rPr>
          <w:color w:val="4C4D4F"/>
          <w:w w:val="120"/>
          <w:sz w:val="18"/>
        </w:rPr>
        <w:t>G.,</w:t>
      </w:r>
      <w:r>
        <w:rPr>
          <w:color w:val="4C4D4F"/>
          <w:spacing w:val="-34"/>
          <w:w w:val="120"/>
          <w:sz w:val="18"/>
        </w:rPr>
        <w:t> </w:t>
      </w:r>
      <w:r>
        <w:rPr>
          <w:color w:val="4C4D4F"/>
          <w:w w:val="120"/>
          <w:sz w:val="18"/>
        </w:rPr>
        <w:t>&amp;</w:t>
      </w:r>
      <w:r>
        <w:rPr>
          <w:color w:val="4C4D4F"/>
          <w:spacing w:val="-33"/>
          <w:w w:val="120"/>
          <w:sz w:val="18"/>
        </w:rPr>
        <w:t> </w:t>
      </w:r>
      <w:r>
        <w:rPr>
          <w:color w:val="4C4D4F"/>
          <w:w w:val="120"/>
          <w:sz w:val="18"/>
        </w:rPr>
        <w:t>Macdonald,</w:t>
      </w:r>
    </w:p>
    <w:p>
      <w:pPr>
        <w:spacing w:line="247" w:lineRule="auto" w:before="7"/>
        <w:ind w:left="500" w:right="128" w:firstLine="0"/>
        <w:jc w:val="left"/>
        <w:rPr>
          <w:sz w:val="18"/>
        </w:rPr>
      </w:pPr>
      <w:r>
        <w:rPr>
          <w:color w:val="4C4D4F"/>
          <w:w w:val="110"/>
          <w:sz w:val="18"/>
        </w:rPr>
        <w:t>M. (1985). Naltrexone-induced dysphoria in former </w:t>
      </w:r>
      <w:r>
        <w:rPr>
          <w:color w:val="4C4D4F"/>
          <w:w w:val="105"/>
          <w:sz w:val="18"/>
        </w:rPr>
        <w:t>opioid</w:t>
      </w:r>
      <w:r>
        <w:rPr>
          <w:color w:val="4C4D4F"/>
          <w:spacing w:val="-10"/>
          <w:w w:val="105"/>
          <w:sz w:val="18"/>
        </w:rPr>
        <w:t> </w:t>
      </w:r>
      <w:r>
        <w:rPr>
          <w:color w:val="4C4D4F"/>
          <w:w w:val="105"/>
          <w:sz w:val="18"/>
        </w:rPr>
        <w:t>addicts.</w:t>
      </w:r>
      <w:r>
        <w:rPr>
          <w:color w:val="4C4D4F"/>
          <w:spacing w:val="-10"/>
          <w:w w:val="105"/>
          <w:sz w:val="18"/>
        </w:rPr>
        <w:t> </w:t>
      </w:r>
      <w:r>
        <w:rPr>
          <w:rFonts w:ascii="Arial" w:hAnsi="Arial"/>
          <w:i/>
          <w:color w:val="4C4D4F"/>
          <w:w w:val="105"/>
          <w:sz w:val="18"/>
        </w:rPr>
        <w:t>American</w:t>
      </w:r>
      <w:r>
        <w:rPr>
          <w:rFonts w:ascii="Arial" w:hAnsi="Arial"/>
          <w:i/>
          <w:color w:val="4C4D4F"/>
          <w:spacing w:val="-10"/>
          <w:w w:val="105"/>
          <w:sz w:val="18"/>
        </w:rPr>
        <w:t> </w:t>
      </w:r>
      <w:r>
        <w:rPr>
          <w:rFonts w:ascii="Arial" w:hAnsi="Arial"/>
          <w:i/>
          <w:color w:val="4C4D4F"/>
          <w:w w:val="105"/>
          <w:sz w:val="18"/>
        </w:rPr>
        <w:t>Journal</w:t>
      </w:r>
      <w:r>
        <w:rPr>
          <w:rFonts w:ascii="Arial" w:hAnsi="Arial"/>
          <w:i/>
          <w:color w:val="4C4D4F"/>
          <w:spacing w:val="-10"/>
          <w:w w:val="105"/>
          <w:sz w:val="18"/>
        </w:rPr>
        <w:t> </w:t>
      </w:r>
      <w:r>
        <w:rPr>
          <w:rFonts w:ascii="Arial" w:hAnsi="Arial"/>
          <w:i/>
          <w:color w:val="4C4D4F"/>
          <w:w w:val="105"/>
          <w:sz w:val="18"/>
        </w:rPr>
        <w:t>of</w:t>
      </w:r>
      <w:r>
        <w:rPr>
          <w:rFonts w:ascii="Arial" w:hAnsi="Arial"/>
          <w:i/>
          <w:color w:val="4C4D4F"/>
          <w:spacing w:val="-10"/>
          <w:w w:val="105"/>
          <w:sz w:val="18"/>
        </w:rPr>
        <w:t> </w:t>
      </w:r>
      <w:r>
        <w:rPr>
          <w:rFonts w:ascii="Arial" w:hAnsi="Arial"/>
          <w:i/>
          <w:color w:val="4C4D4F"/>
          <w:w w:val="105"/>
          <w:sz w:val="18"/>
        </w:rPr>
        <w:t>Psychiatry,</w:t>
      </w:r>
      <w:r>
        <w:rPr>
          <w:rFonts w:ascii="Arial" w:hAnsi="Arial"/>
          <w:i/>
          <w:color w:val="4C4D4F"/>
          <w:spacing w:val="-10"/>
          <w:w w:val="105"/>
          <w:sz w:val="18"/>
        </w:rPr>
        <w:t> </w:t>
      </w:r>
      <w:r>
        <w:rPr>
          <w:rFonts w:ascii="Arial" w:hAnsi="Arial"/>
          <w:i/>
          <w:color w:val="4C4D4F"/>
          <w:spacing w:val="-4"/>
          <w:w w:val="105"/>
          <w:sz w:val="18"/>
        </w:rPr>
        <w:t>142</w:t>
      </w:r>
      <w:r>
        <w:rPr>
          <w:color w:val="4C4D4F"/>
          <w:spacing w:val="-4"/>
          <w:w w:val="105"/>
          <w:sz w:val="18"/>
        </w:rPr>
        <w:t>(9), </w:t>
      </w:r>
      <w:r>
        <w:rPr>
          <w:color w:val="4C4D4F"/>
          <w:w w:val="110"/>
          <w:sz w:val="18"/>
        </w:rPr>
        <w:t>1081–1084.</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15"/>
          <w:sz w:val="18"/>
        </w:rPr>
        <w:t>Miotto,</w:t>
      </w:r>
      <w:r>
        <w:rPr>
          <w:color w:val="4C4D4F"/>
          <w:spacing w:val="-12"/>
          <w:w w:val="115"/>
          <w:sz w:val="18"/>
        </w:rPr>
        <w:t> </w:t>
      </w:r>
      <w:r>
        <w:rPr>
          <w:color w:val="4C4D4F"/>
          <w:w w:val="115"/>
          <w:sz w:val="18"/>
        </w:rPr>
        <w:t>K.,</w:t>
      </w:r>
      <w:r>
        <w:rPr>
          <w:color w:val="4C4D4F"/>
          <w:spacing w:val="-11"/>
          <w:w w:val="115"/>
          <w:sz w:val="18"/>
        </w:rPr>
        <w:t> </w:t>
      </w:r>
      <w:r>
        <w:rPr>
          <w:color w:val="4C4D4F"/>
          <w:w w:val="115"/>
          <w:sz w:val="18"/>
        </w:rPr>
        <w:t>McCann,</w:t>
      </w:r>
      <w:r>
        <w:rPr>
          <w:color w:val="4C4D4F"/>
          <w:spacing w:val="-11"/>
          <w:w w:val="115"/>
          <w:sz w:val="18"/>
        </w:rPr>
        <w:t> </w:t>
      </w:r>
      <w:r>
        <w:rPr>
          <w:color w:val="4C4D4F"/>
          <w:w w:val="115"/>
          <w:sz w:val="18"/>
        </w:rPr>
        <w:t>M.,</w:t>
      </w:r>
      <w:r>
        <w:rPr>
          <w:color w:val="4C4D4F"/>
          <w:spacing w:val="-12"/>
          <w:w w:val="115"/>
          <w:sz w:val="18"/>
        </w:rPr>
        <w:t> </w:t>
      </w:r>
      <w:r>
        <w:rPr>
          <w:color w:val="4C4D4F"/>
          <w:w w:val="115"/>
          <w:sz w:val="18"/>
        </w:rPr>
        <w:t>Basch,</w:t>
      </w:r>
      <w:r>
        <w:rPr>
          <w:color w:val="4C4D4F"/>
          <w:spacing w:val="-11"/>
          <w:w w:val="115"/>
          <w:sz w:val="18"/>
        </w:rPr>
        <w:t> </w:t>
      </w:r>
      <w:r>
        <w:rPr>
          <w:color w:val="4C4D4F"/>
          <w:w w:val="125"/>
          <w:sz w:val="18"/>
        </w:rPr>
        <w:t>J.,</w:t>
      </w:r>
      <w:r>
        <w:rPr>
          <w:color w:val="4C4D4F"/>
          <w:spacing w:val="-16"/>
          <w:w w:val="125"/>
          <w:sz w:val="18"/>
        </w:rPr>
        <w:t> </w:t>
      </w:r>
      <w:r>
        <w:rPr>
          <w:color w:val="4C4D4F"/>
          <w:w w:val="115"/>
          <w:sz w:val="18"/>
        </w:rPr>
        <w:t>Rawson,</w:t>
      </w:r>
      <w:r>
        <w:rPr>
          <w:color w:val="4C4D4F"/>
          <w:spacing w:val="-11"/>
          <w:w w:val="115"/>
          <w:sz w:val="18"/>
        </w:rPr>
        <w:t> </w:t>
      </w:r>
      <w:r>
        <w:rPr>
          <w:color w:val="4C4D4F"/>
          <w:w w:val="115"/>
          <w:sz w:val="18"/>
        </w:rPr>
        <w:t>R.,</w:t>
      </w:r>
      <w:r>
        <w:rPr>
          <w:color w:val="4C4D4F"/>
          <w:spacing w:val="-12"/>
          <w:w w:val="115"/>
          <w:sz w:val="18"/>
        </w:rPr>
        <w:t> </w:t>
      </w:r>
      <w:r>
        <w:rPr>
          <w:color w:val="4C4D4F"/>
          <w:w w:val="115"/>
          <w:sz w:val="18"/>
        </w:rPr>
        <w:t>&amp;</w:t>
      </w:r>
      <w:r>
        <w:rPr>
          <w:color w:val="4C4D4F"/>
          <w:spacing w:val="-11"/>
          <w:w w:val="115"/>
          <w:sz w:val="18"/>
        </w:rPr>
        <w:t> </w:t>
      </w:r>
      <w:r>
        <w:rPr>
          <w:color w:val="4C4D4F"/>
          <w:w w:val="115"/>
          <w:sz w:val="18"/>
        </w:rPr>
        <w:t>Ling,</w:t>
      </w:r>
    </w:p>
    <w:p>
      <w:pPr>
        <w:spacing w:before="8"/>
        <w:ind w:left="500" w:right="0" w:firstLine="0"/>
        <w:jc w:val="left"/>
        <w:rPr>
          <w:sz w:val="18"/>
        </w:rPr>
      </w:pPr>
      <w:r>
        <w:rPr>
          <w:color w:val="4C4D4F"/>
          <w:w w:val="110"/>
          <w:sz w:val="18"/>
        </w:rPr>
        <w:t>W. (2002). Naltrexone and dysphoria: Fact or myth?</w:t>
      </w:r>
    </w:p>
    <w:p>
      <w:pPr>
        <w:spacing w:before="5"/>
        <w:ind w:left="500" w:right="0" w:firstLine="0"/>
        <w:jc w:val="left"/>
        <w:rPr>
          <w:sz w:val="18"/>
        </w:rPr>
      </w:pPr>
      <w:r>
        <w:rPr>
          <w:rFonts w:ascii="Arial" w:hAnsi="Arial"/>
          <w:i/>
          <w:color w:val="4C4D4F"/>
          <w:w w:val="105"/>
          <w:sz w:val="18"/>
        </w:rPr>
        <w:t>American Journal on Addictions, 11</w:t>
      </w:r>
      <w:r>
        <w:rPr>
          <w:color w:val="4C4D4F"/>
          <w:w w:val="105"/>
          <w:sz w:val="18"/>
        </w:rPr>
        <w:t>(2), 151–160.</w:t>
      </w:r>
    </w:p>
    <w:p>
      <w:pPr>
        <w:pStyle w:val="ListParagraph"/>
        <w:numPr>
          <w:ilvl w:val="0"/>
          <w:numId w:val="51"/>
        </w:numPr>
        <w:tabs>
          <w:tab w:pos="500" w:val="left" w:leader="none"/>
        </w:tabs>
        <w:spacing w:line="247" w:lineRule="auto" w:before="79" w:after="0"/>
        <w:ind w:left="500" w:right="38"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2"/>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3"/>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178" w:hanging="360"/>
        <w:jc w:val="left"/>
        <w:rPr>
          <w:color w:val="4C4D4F"/>
          <w:sz w:val="18"/>
        </w:rPr>
      </w:pPr>
      <w:r>
        <w:rPr>
          <w:color w:val="4C4D4F"/>
          <w:w w:val="110"/>
          <w:sz w:val="18"/>
        </w:rPr>
        <w:t>National Library of Medicine. (2014). NALTREXONE HYDROCHLORIDE</w:t>
      </w:r>
      <w:r>
        <w:rPr>
          <w:color w:val="4C4D4F"/>
          <w:spacing w:val="-33"/>
          <w:w w:val="110"/>
          <w:sz w:val="18"/>
        </w:rPr>
        <w:t> </w:t>
      </w:r>
      <w:r>
        <w:rPr>
          <w:color w:val="4C4D4F"/>
          <w:w w:val="110"/>
          <w:sz w:val="18"/>
        </w:rPr>
        <w:t>-</w:t>
      </w:r>
      <w:r>
        <w:rPr>
          <w:color w:val="4C4D4F"/>
          <w:spacing w:val="-32"/>
          <w:w w:val="110"/>
          <w:sz w:val="18"/>
        </w:rPr>
        <w:t> </w:t>
      </w:r>
      <w:r>
        <w:rPr>
          <w:color w:val="4C4D4F"/>
          <w:w w:val="110"/>
          <w:sz w:val="18"/>
        </w:rPr>
        <w:t>naltrexone</w:t>
      </w:r>
      <w:r>
        <w:rPr>
          <w:color w:val="4C4D4F"/>
          <w:spacing w:val="-32"/>
          <w:w w:val="110"/>
          <w:sz w:val="18"/>
        </w:rPr>
        <w:t> </w:t>
      </w:r>
      <w:r>
        <w:rPr>
          <w:color w:val="4C4D4F"/>
          <w:w w:val="110"/>
          <w:sz w:val="18"/>
        </w:rPr>
        <w:t>hydrochloride</w:t>
      </w:r>
      <w:r>
        <w:rPr>
          <w:color w:val="4C4D4F"/>
          <w:spacing w:val="-33"/>
          <w:w w:val="110"/>
          <w:sz w:val="18"/>
        </w:rPr>
        <w:t> </w:t>
      </w:r>
      <w:r>
        <w:rPr>
          <w:color w:val="4C4D4F"/>
          <w:w w:val="110"/>
          <w:sz w:val="18"/>
        </w:rPr>
        <w:t>tablet, </w:t>
      </w:r>
      <w:r>
        <w:rPr>
          <w:color w:val="4C4D4F"/>
          <w:w w:val="115"/>
          <w:sz w:val="18"/>
        </w:rPr>
        <w:t>ﬁlm</w:t>
      </w:r>
      <w:r>
        <w:rPr>
          <w:color w:val="4C4D4F"/>
          <w:spacing w:val="-34"/>
          <w:w w:val="115"/>
          <w:sz w:val="18"/>
        </w:rPr>
        <w:t> </w:t>
      </w:r>
      <w:r>
        <w:rPr>
          <w:color w:val="4C4D4F"/>
          <w:w w:val="115"/>
          <w:sz w:val="18"/>
        </w:rPr>
        <w:t>coated</w:t>
      </w:r>
      <w:r>
        <w:rPr>
          <w:color w:val="4C4D4F"/>
          <w:spacing w:val="-34"/>
          <w:w w:val="115"/>
          <w:sz w:val="18"/>
        </w:rPr>
        <w:t> </w:t>
      </w:r>
      <w:r>
        <w:rPr>
          <w:color w:val="4C4D4F"/>
          <w:spacing w:val="-4"/>
          <w:w w:val="115"/>
          <w:sz w:val="18"/>
        </w:rPr>
        <w:t>DAILY</w:t>
      </w:r>
      <w:r>
        <w:rPr>
          <w:color w:val="4C4D4F"/>
          <w:spacing w:val="-34"/>
          <w:w w:val="115"/>
          <w:sz w:val="18"/>
        </w:rPr>
        <w:t> </w:t>
      </w:r>
      <w:r>
        <w:rPr>
          <w:color w:val="4C4D4F"/>
          <w:w w:val="115"/>
          <w:sz w:val="18"/>
        </w:rPr>
        <w:t>MED.</w:t>
      </w:r>
      <w:r>
        <w:rPr>
          <w:color w:val="4C4D4F"/>
          <w:spacing w:val="-34"/>
          <w:w w:val="115"/>
          <w:sz w:val="18"/>
        </w:rPr>
        <w:t> </w:t>
      </w:r>
      <w:r>
        <w:rPr>
          <w:color w:val="4C4D4F"/>
          <w:w w:val="115"/>
          <w:sz w:val="18"/>
        </w:rPr>
        <w:t>Retrieved</w:t>
      </w:r>
      <w:r>
        <w:rPr>
          <w:color w:val="4C4D4F"/>
          <w:spacing w:val="-33"/>
          <w:w w:val="115"/>
          <w:sz w:val="18"/>
        </w:rPr>
        <w:t> </w:t>
      </w:r>
      <w:r>
        <w:rPr>
          <w:color w:val="4C4D4F"/>
          <w:w w:val="115"/>
          <w:sz w:val="18"/>
        </w:rPr>
        <w:t>October</w:t>
      </w:r>
      <w:r>
        <w:rPr>
          <w:color w:val="4C4D4F"/>
          <w:spacing w:val="-34"/>
          <w:w w:val="115"/>
          <w:sz w:val="18"/>
        </w:rPr>
        <w:t> </w:t>
      </w:r>
      <w:r>
        <w:rPr>
          <w:color w:val="4C4D4F"/>
          <w:w w:val="115"/>
          <w:sz w:val="18"/>
        </w:rPr>
        <w:t>16,</w:t>
      </w:r>
      <w:r>
        <w:rPr>
          <w:color w:val="4C4D4F"/>
          <w:spacing w:val="-34"/>
          <w:w w:val="115"/>
          <w:sz w:val="18"/>
        </w:rPr>
        <w:t> </w:t>
      </w:r>
      <w:r>
        <w:rPr>
          <w:color w:val="4C4D4F"/>
          <w:w w:val="115"/>
          <w:sz w:val="18"/>
        </w:rPr>
        <w:t>2017, from</w:t>
      </w:r>
      <w:r>
        <w:rPr>
          <w:color w:val="205E9E"/>
          <w:spacing w:val="-24"/>
          <w:w w:val="115"/>
          <w:sz w:val="18"/>
        </w:rPr>
        <w:t> </w:t>
      </w:r>
      <w:r>
        <w:rPr>
          <w:color w:val="205E9E"/>
          <w:w w:val="115"/>
          <w:sz w:val="18"/>
          <w:u w:val="single" w:color="205E9E"/>
        </w:rPr>
        <w:t>https://dailymed.nlm.nih.gov/dailymed/drugInfo</w:t>
      </w:r>
    </w:p>
    <w:p>
      <w:pPr>
        <w:spacing w:before="4"/>
        <w:ind w:left="500" w:right="0" w:firstLine="0"/>
        <w:jc w:val="left"/>
        <w:rPr>
          <w:sz w:val="18"/>
        </w:rPr>
      </w:pPr>
      <w:r>
        <w:rPr>
          <w:color w:val="205E9E"/>
          <w:w w:val="115"/>
          <w:sz w:val="18"/>
          <w:u w:val="single" w:color="205E9E"/>
        </w:rPr>
        <w:t>.cfm?setid=06ff2d5a-e62b-4fa4-bbdb-01938535bc65</w:t>
      </w:r>
    </w:p>
    <w:p>
      <w:pPr>
        <w:pStyle w:val="ListParagraph"/>
        <w:numPr>
          <w:ilvl w:val="0"/>
          <w:numId w:val="51"/>
        </w:numPr>
        <w:tabs>
          <w:tab w:pos="500" w:val="left" w:leader="none"/>
        </w:tabs>
        <w:spacing w:line="247" w:lineRule="auto" w:before="79" w:after="0"/>
        <w:ind w:left="500" w:right="38"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2"/>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3"/>
        <w:ind w:left="500" w:right="0" w:firstLine="0"/>
        <w:jc w:val="left"/>
        <w:rPr>
          <w:sz w:val="18"/>
        </w:rPr>
      </w:pPr>
      <w:r>
        <w:rPr>
          <w:color w:val="4C4D4F"/>
          <w:w w:val="110"/>
          <w:sz w:val="18"/>
        </w:rPr>
        <w:t>14-4892R.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4" w:after="0"/>
        <w:ind w:left="500" w:right="174"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8"/>
          <w:w w:val="110"/>
          <w:sz w:val="18"/>
        </w:rPr>
        <w:t> </w:t>
      </w:r>
      <w:r>
        <w:rPr>
          <w:rFonts w:ascii="Arial"/>
          <w:i/>
          <w:color w:val="4C4D4F"/>
          <w:w w:val="110"/>
          <w:sz w:val="18"/>
        </w:rPr>
        <w:t>for</w:t>
      </w:r>
      <w:r>
        <w:rPr>
          <w:rFonts w:ascii="Arial"/>
          <w:i/>
          <w:color w:val="4C4D4F"/>
          <w:spacing w:val="-29"/>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7"/>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38"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2"/>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2"/>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447" w:hanging="360"/>
        <w:jc w:val="left"/>
        <w:rPr>
          <w:color w:val="4C4D4F"/>
          <w:sz w:val="18"/>
        </w:rPr>
      </w:pPr>
      <w:r>
        <w:rPr>
          <w:color w:val="4C4D4F"/>
          <w:w w:val="110"/>
          <w:sz w:val="18"/>
        </w:rPr>
        <w:t>U.S. Preventive Services </w:t>
      </w:r>
      <w:r>
        <w:rPr>
          <w:color w:val="4C4D4F"/>
          <w:spacing w:val="-5"/>
          <w:w w:val="110"/>
          <w:sz w:val="18"/>
        </w:rPr>
        <w:t>Task </w:t>
      </w:r>
      <w:r>
        <w:rPr>
          <w:color w:val="4C4D4F"/>
          <w:w w:val="110"/>
          <w:sz w:val="18"/>
        </w:rPr>
        <w:t>Force. Archived Final Recommendation Statement on Human Immunodeﬁciency Virus (HIV) Infection:</w:t>
      </w:r>
      <w:r>
        <w:rPr>
          <w:color w:val="4C4D4F"/>
          <w:spacing w:val="-20"/>
          <w:w w:val="110"/>
          <w:sz w:val="18"/>
        </w:rPr>
        <w:t> </w:t>
      </w:r>
      <w:r>
        <w:rPr>
          <w:color w:val="4C4D4F"/>
          <w:spacing w:val="-3"/>
          <w:w w:val="110"/>
          <w:sz w:val="18"/>
        </w:rPr>
        <w:t>Screening. </w:t>
      </w:r>
      <w:r>
        <w:rPr>
          <w:color w:val="4C4D4F"/>
          <w:w w:val="110"/>
          <w:sz w:val="18"/>
        </w:rPr>
        <w:t>December 30, 2013. Retrieved January 11,</w:t>
      </w:r>
      <w:r>
        <w:rPr>
          <w:color w:val="4C4D4F"/>
          <w:spacing w:val="25"/>
          <w:w w:val="110"/>
          <w:sz w:val="18"/>
        </w:rPr>
        <w:t> </w:t>
      </w:r>
      <w:r>
        <w:rPr>
          <w:color w:val="4C4D4F"/>
          <w:w w:val="110"/>
          <w:sz w:val="18"/>
        </w:rPr>
        <w:t>2020,</w:t>
      </w:r>
    </w:p>
    <w:p>
      <w:pPr>
        <w:spacing w:line="247" w:lineRule="auto" w:before="4"/>
        <w:ind w:left="500" w:right="111" w:firstLine="0"/>
        <w:jc w:val="left"/>
        <w:rPr>
          <w:sz w:val="18"/>
        </w:rPr>
      </w:pPr>
      <w:r>
        <w:rPr>
          <w:color w:val="4C4D4F"/>
          <w:w w:val="110"/>
          <w:sz w:val="18"/>
        </w:rPr>
        <w:t>from: </w:t>
      </w:r>
      <w:hyperlink r:id="rId102">
        <w:r>
          <w:rPr>
            <w:color w:val="205E9E"/>
            <w:w w:val="110"/>
            <w:sz w:val="18"/>
            <w:u w:val="single" w:color="205E9E"/>
          </w:rPr>
          <w:t>https://www</w:t>
        </w:r>
      </w:hyperlink>
      <w:r>
        <w:rPr>
          <w:color w:val="205E9E"/>
          <w:w w:val="110"/>
          <w:sz w:val="18"/>
          <w:u w:val="single" w:color="205E9E"/>
        </w:rPr>
        <w:t>.uspr</w:t>
      </w:r>
      <w:hyperlink r:id="rId102">
        <w:r>
          <w:rPr>
            <w:color w:val="205E9E"/>
            <w:w w:val="110"/>
            <w:sz w:val="18"/>
            <w:u w:val="single" w:color="205E9E"/>
          </w:rPr>
          <w:t>eventiveservicestaskforce.or</w:t>
        </w:r>
      </w:hyperlink>
      <w:r>
        <w:rPr>
          <w:color w:val="205E9E"/>
          <w:w w:val="110"/>
          <w:sz w:val="18"/>
          <w:u w:val="single" w:color="205E9E"/>
        </w:rPr>
        <w:t>g/</w:t>
      </w:r>
      <w:r>
        <w:rPr>
          <w:color w:val="205E9E"/>
          <w:w w:val="110"/>
          <w:sz w:val="18"/>
        </w:rPr>
        <w:t> </w:t>
      </w:r>
      <w:r>
        <w:rPr>
          <w:color w:val="205E9E"/>
          <w:w w:val="110"/>
          <w:sz w:val="18"/>
          <w:u w:val="single" w:color="205E9E"/>
        </w:rPr>
        <w:t>Page/Document/RecommendationStatementFinal/</w:t>
      </w:r>
      <w:r>
        <w:rPr>
          <w:color w:val="205E9E"/>
          <w:w w:val="110"/>
          <w:sz w:val="18"/>
        </w:rPr>
        <w:t> </w:t>
      </w:r>
      <w:r>
        <w:rPr>
          <w:color w:val="205E9E"/>
          <w:w w:val="110"/>
          <w:sz w:val="18"/>
          <w:u w:val="single" w:color="205E9E"/>
        </w:rPr>
        <w:t>human-immunodeﬁciency-virus-hiv-infection-screening</w:t>
      </w:r>
    </w:p>
    <w:p>
      <w:pPr>
        <w:pStyle w:val="ListParagraph"/>
        <w:numPr>
          <w:ilvl w:val="0"/>
          <w:numId w:val="51"/>
        </w:numPr>
        <w:tabs>
          <w:tab w:pos="500" w:val="left" w:leader="none"/>
        </w:tabs>
        <w:spacing w:line="247" w:lineRule="auto" w:before="100" w:after="0"/>
        <w:ind w:left="500" w:right="471" w:hanging="360"/>
        <w:jc w:val="left"/>
        <w:rPr>
          <w:color w:val="4C4D4F"/>
          <w:sz w:val="18"/>
        </w:rPr>
      </w:pPr>
      <w:r>
        <w:rPr>
          <w:color w:val="4C4D4F"/>
          <w:w w:val="106"/>
          <w:sz w:val="18"/>
        </w:rPr>
        <w:br w:type="column"/>
      </w:r>
      <w:r>
        <w:rPr>
          <w:color w:val="4C4D4F"/>
          <w:w w:val="110"/>
          <w:sz w:val="18"/>
        </w:rPr>
        <w:t>Centers</w:t>
      </w:r>
      <w:r>
        <w:rPr>
          <w:color w:val="4C4D4F"/>
          <w:spacing w:val="-9"/>
          <w:w w:val="110"/>
          <w:sz w:val="18"/>
        </w:rPr>
        <w:t> </w:t>
      </w:r>
      <w:r>
        <w:rPr>
          <w:color w:val="4C4D4F"/>
          <w:w w:val="110"/>
          <w:sz w:val="18"/>
        </w:rPr>
        <w:t>for</w:t>
      </w:r>
      <w:r>
        <w:rPr>
          <w:color w:val="4C4D4F"/>
          <w:spacing w:val="-8"/>
          <w:w w:val="110"/>
          <w:sz w:val="18"/>
        </w:rPr>
        <w:t> </w:t>
      </w:r>
      <w:r>
        <w:rPr>
          <w:color w:val="4C4D4F"/>
          <w:w w:val="110"/>
          <w:sz w:val="18"/>
        </w:rPr>
        <w:t>Disease</w:t>
      </w:r>
      <w:r>
        <w:rPr>
          <w:color w:val="4C4D4F"/>
          <w:spacing w:val="-9"/>
          <w:w w:val="110"/>
          <w:sz w:val="18"/>
        </w:rPr>
        <w:t> </w:t>
      </w:r>
      <w:r>
        <w:rPr>
          <w:color w:val="4C4D4F"/>
          <w:w w:val="110"/>
          <w:sz w:val="18"/>
        </w:rPr>
        <w:t>Control</w:t>
      </w:r>
      <w:r>
        <w:rPr>
          <w:color w:val="4C4D4F"/>
          <w:spacing w:val="-8"/>
          <w:w w:val="110"/>
          <w:sz w:val="18"/>
        </w:rPr>
        <w:t> </w:t>
      </w:r>
      <w:r>
        <w:rPr>
          <w:color w:val="4C4D4F"/>
          <w:w w:val="110"/>
          <w:sz w:val="18"/>
        </w:rPr>
        <w:t>and</w:t>
      </w:r>
      <w:r>
        <w:rPr>
          <w:color w:val="4C4D4F"/>
          <w:spacing w:val="-9"/>
          <w:w w:val="110"/>
          <w:sz w:val="18"/>
        </w:rPr>
        <w:t> </w:t>
      </w:r>
      <w:r>
        <w:rPr>
          <w:color w:val="4C4D4F"/>
          <w:w w:val="110"/>
          <w:sz w:val="18"/>
        </w:rPr>
        <w:t>Prevention.</w:t>
      </w:r>
      <w:r>
        <w:rPr>
          <w:color w:val="4C4D4F"/>
          <w:spacing w:val="-8"/>
          <w:w w:val="110"/>
          <w:sz w:val="18"/>
        </w:rPr>
        <w:t> </w:t>
      </w:r>
      <w:r>
        <w:rPr>
          <w:color w:val="4C4D4F"/>
          <w:spacing w:val="-6"/>
          <w:w w:val="110"/>
          <w:sz w:val="18"/>
        </w:rPr>
        <w:t>Testing </w:t>
      </w:r>
      <w:r>
        <w:rPr>
          <w:color w:val="4C4D4F"/>
          <w:w w:val="110"/>
          <w:sz w:val="18"/>
        </w:rPr>
        <w:t>Recommendations for Hepatitis C Virus</w:t>
      </w:r>
      <w:r>
        <w:rPr>
          <w:color w:val="4C4D4F"/>
          <w:spacing w:val="-32"/>
          <w:w w:val="110"/>
          <w:sz w:val="18"/>
        </w:rPr>
        <w:t> </w:t>
      </w:r>
      <w:r>
        <w:rPr>
          <w:color w:val="4C4D4F"/>
          <w:w w:val="110"/>
          <w:sz w:val="18"/>
        </w:rPr>
        <w:t>Infection.</w:t>
      </w:r>
    </w:p>
    <w:p>
      <w:pPr>
        <w:spacing w:line="247" w:lineRule="auto" w:before="2"/>
        <w:ind w:left="500" w:right="391" w:firstLine="0"/>
        <w:jc w:val="left"/>
        <w:rPr>
          <w:sz w:val="18"/>
        </w:rPr>
      </w:pPr>
      <w:r>
        <w:rPr>
          <w:color w:val="4C4D4F"/>
          <w:w w:val="115"/>
          <w:sz w:val="18"/>
        </w:rPr>
        <w:t>October</w:t>
      </w:r>
      <w:r>
        <w:rPr>
          <w:color w:val="4C4D4F"/>
          <w:spacing w:val="-23"/>
          <w:w w:val="115"/>
          <w:sz w:val="18"/>
        </w:rPr>
        <w:t> </w:t>
      </w:r>
      <w:r>
        <w:rPr>
          <w:color w:val="4C4D4F"/>
          <w:w w:val="115"/>
          <w:sz w:val="18"/>
        </w:rPr>
        <w:t>15,</w:t>
      </w:r>
      <w:r>
        <w:rPr>
          <w:color w:val="4C4D4F"/>
          <w:spacing w:val="-22"/>
          <w:w w:val="115"/>
          <w:sz w:val="18"/>
        </w:rPr>
        <w:t> </w:t>
      </w:r>
      <w:r>
        <w:rPr>
          <w:color w:val="4C4D4F"/>
          <w:w w:val="115"/>
          <w:sz w:val="18"/>
        </w:rPr>
        <w:t>2015.</w:t>
      </w:r>
      <w:r>
        <w:rPr>
          <w:color w:val="4C4D4F"/>
          <w:spacing w:val="-23"/>
          <w:w w:val="115"/>
          <w:sz w:val="18"/>
        </w:rPr>
        <w:t> </w:t>
      </w:r>
      <w:r>
        <w:rPr>
          <w:color w:val="4C4D4F"/>
          <w:w w:val="115"/>
          <w:sz w:val="18"/>
        </w:rPr>
        <w:t>Retrieved</w:t>
      </w:r>
      <w:r>
        <w:rPr>
          <w:color w:val="4C4D4F"/>
          <w:spacing w:val="-22"/>
          <w:w w:val="115"/>
          <w:sz w:val="18"/>
        </w:rPr>
        <w:t> </w:t>
      </w:r>
      <w:r>
        <w:rPr>
          <w:color w:val="4C4D4F"/>
          <w:w w:val="115"/>
          <w:sz w:val="18"/>
        </w:rPr>
        <w:t>January</w:t>
      </w:r>
      <w:r>
        <w:rPr>
          <w:color w:val="4C4D4F"/>
          <w:spacing w:val="-23"/>
          <w:w w:val="115"/>
          <w:sz w:val="18"/>
        </w:rPr>
        <w:t> </w:t>
      </w:r>
      <w:r>
        <w:rPr>
          <w:color w:val="4C4D4F"/>
          <w:w w:val="115"/>
          <w:sz w:val="18"/>
        </w:rPr>
        <w:t>11,</w:t>
      </w:r>
      <w:r>
        <w:rPr>
          <w:color w:val="4C4D4F"/>
          <w:spacing w:val="-22"/>
          <w:w w:val="115"/>
          <w:sz w:val="18"/>
        </w:rPr>
        <w:t> </w:t>
      </w:r>
      <w:r>
        <w:rPr>
          <w:color w:val="4C4D4F"/>
          <w:w w:val="115"/>
          <w:sz w:val="18"/>
        </w:rPr>
        <w:t>2020,</w:t>
      </w:r>
      <w:r>
        <w:rPr>
          <w:color w:val="4C4D4F"/>
          <w:spacing w:val="-22"/>
          <w:w w:val="115"/>
          <w:sz w:val="18"/>
        </w:rPr>
        <w:t> </w:t>
      </w:r>
      <w:r>
        <w:rPr>
          <w:color w:val="4C4D4F"/>
          <w:spacing w:val="-5"/>
          <w:w w:val="115"/>
          <w:sz w:val="18"/>
        </w:rPr>
        <w:t>from: </w:t>
      </w:r>
      <w:hyperlink r:id="rId103">
        <w:r>
          <w:rPr>
            <w:color w:val="205E9E"/>
            <w:w w:val="115"/>
            <w:sz w:val="18"/>
            <w:u w:val="single" w:color="205E9E"/>
          </w:rPr>
          <w:t>https://www.cdc.gov/hepatitis/hcv/guidelinesc.htm</w:t>
        </w:r>
      </w:hyperlink>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Centers</w:t>
      </w:r>
      <w:r>
        <w:rPr>
          <w:color w:val="4C4D4F"/>
          <w:spacing w:val="-9"/>
          <w:w w:val="110"/>
          <w:sz w:val="18"/>
        </w:rPr>
        <w:t> </w:t>
      </w:r>
      <w:r>
        <w:rPr>
          <w:color w:val="4C4D4F"/>
          <w:w w:val="110"/>
          <w:sz w:val="18"/>
        </w:rPr>
        <w:t>for</w:t>
      </w:r>
      <w:r>
        <w:rPr>
          <w:color w:val="4C4D4F"/>
          <w:spacing w:val="-9"/>
          <w:w w:val="110"/>
          <w:sz w:val="18"/>
        </w:rPr>
        <w:t> </w:t>
      </w:r>
      <w:r>
        <w:rPr>
          <w:color w:val="4C4D4F"/>
          <w:w w:val="110"/>
          <w:sz w:val="18"/>
        </w:rPr>
        <w:t>Disease</w:t>
      </w:r>
      <w:r>
        <w:rPr>
          <w:color w:val="4C4D4F"/>
          <w:spacing w:val="-9"/>
          <w:w w:val="110"/>
          <w:sz w:val="18"/>
        </w:rPr>
        <w:t> </w:t>
      </w:r>
      <w:r>
        <w:rPr>
          <w:color w:val="4C4D4F"/>
          <w:w w:val="110"/>
          <w:sz w:val="18"/>
        </w:rPr>
        <w:t>Control</w:t>
      </w:r>
      <w:r>
        <w:rPr>
          <w:color w:val="4C4D4F"/>
          <w:spacing w:val="-8"/>
          <w:w w:val="110"/>
          <w:sz w:val="18"/>
        </w:rPr>
        <w:t> </w:t>
      </w:r>
      <w:r>
        <w:rPr>
          <w:color w:val="4C4D4F"/>
          <w:w w:val="110"/>
          <w:sz w:val="18"/>
        </w:rPr>
        <w:t>and</w:t>
      </w:r>
      <w:r>
        <w:rPr>
          <w:color w:val="4C4D4F"/>
          <w:spacing w:val="-9"/>
          <w:w w:val="110"/>
          <w:sz w:val="18"/>
        </w:rPr>
        <w:t> </w:t>
      </w:r>
      <w:r>
        <w:rPr>
          <w:color w:val="4C4D4F"/>
          <w:w w:val="110"/>
          <w:sz w:val="18"/>
        </w:rPr>
        <w:t>Prevention.</w:t>
      </w:r>
      <w:r>
        <w:rPr>
          <w:color w:val="4C4D4F"/>
          <w:spacing w:val="-9"/>
          <w:w w:val="110"/>
          <w:sz w:val="18"/>
        </w:rPr>
        <w:t> </w:t>
      </w:r>
      <w:r>
        <w:rPr>
          <w:color w:val="4C4D4F"/>
          <w:w w:val="110"/>
          <w:sz w:val="18"/>
        </w:rPr>
        <w:t>(2016).</w:t>
      </w:r>
    </w:p>
    <w:p>
      <w:pPr>
        <w:spacing w:line="247" w:lineRule="auto" w:before="7"/>
        <w:ind w:left="500" w:right="715" w:firstLine="0"/>
        <w:jc w:val="left"/>
        <w:rPr>
          <w:sz w:val="18"/>
        </w:rPr>
      </w:pPr>
      <w:r>
        <w:rPr>
          <w:color w:val="4C4D4F"/>
          <w:w w:val="115"/>
          <w:sz w:val="18"/>
        </w:rPr>
        <w:t>Viral</w:t>
      </w:r>
      <w:r>
        <w:rPr>
          <w:color w:val="4C4D4F"/>
          <w:spacing w:val="-33"/>
          <w:w w:val="115"/>
          <w:sz w:val="18"/>
        </w:rPr>
        <w:t> </w:t>
      </w:r>
      <w:r>
        <w:rPr>
          <w:color w:val="4C4D4F"/>
          <w:w w:val="115"/>
          <w:sz w:val="18"/>
        </w:rPr>
        <w:t>hepatitis.</w:t>
      </w:r>
      <w:r>
        <w:rPr>
          <w:color w:val="4C4D4F"/>
          <w:spacing w:val="-33"/>
          <w:w w:val="115"/>
          <w:sz w:val="18"/>
        </w:rPr>
        <w:t> </w:t>
      </w:r>
      <w:r>
        <w:rPr>
          <w:color w:val="4C4D4F"/>
          <w:w w:val="115"/>
          <w:sz w:val="18"/>
        </w:rPr>
        <w:t>Retrieved</w:t>
      </w:r>
      <w:r>
        <w:rPr>
          <w:color w:val="4C4D4F"/>
          <w:spacing w:val="-33"/>
          <w:w w:val="115"/>
          <w:sz w:val="18"/>
        </w:rPr>
        <w:t> </w:t>
      </w:r>
      <w:r>
        <w:rPr>
          <w:color w:val="4C4D4F"/>
          <w:w w:val="115"/>
          <w:sz w:val="18"/>
        </w:rPr>
        <w:t>October</w:t>
      </w:r>
      <w:r>
        <w:rPr>
          <w:color w:val="4C4D4F"/>
          <w:spacing w:val="-33"/>
          <w:w w:val="115"/>
          <w:sz w:val="18"/>
        </w:rPr>
        <w:t> </w:t>
      </w:r>
      <w:r>
        <w:rPr>
          <w:color w:val="4C4D4F"/>
          <w:w w:val="115"/>
          <w:sz w:val="18"/>
        </w:rPr>
        <w:t>16,</w:t>
      </w:r>
      <w:r>
        <w:rPr>
          <w:color w:val="4C4D4F"/>
          <w:spacing w:val="-33"/>
          <w:w w:val="115"/>
          <w:sz w:val="18"/>
        </w:rPr>
        <w:t> </w:t>
      </w:r>
      <w:r>
        <w:rPr>
          <w:color w:val="4C4D4F"/>
          <w:w w:val="115"/>
          <w:sz w:val="18"/>
        </w:rPr>
        <w:t>2017,</w:t>
      </w:r>
      <w:r>
        <w:rPr>
          <w:color w:val="4C4D4F"/>
          <w:spacing w:val="-33"/>
          <w:w w:val="115"/>
          <w:sz w:val="18"/>
        </w:rPr>
        <w:t> </w:t>
      </w:r>
      <w:r>
        <w:rPr>
          <w:color w:val="4C4D4F"/>
          <w:spacing w:val="-5"/>
          <w:w w:val="115"/>
          <w:sz w:val="18"/>
        </w:rPr>
        <w:t>from </w:t>
      </w:r>
      <w:hyperlink r:id="rId96">
        <w:r>
          <w:rPr>
            <w:color w:val="205E9E"/>
            <w:w w:val="115"/>
            <w:sz w:val="18"/>
            <w:u w:val="single" w:color="205E9E"/>
          </w:rPr>
          <w:t>www.cdc.gov/hepatitis/hbv/bfaq.htm</w:t>
        </w:r>
      </w:hyperlink>
    </w:p>
    <w:p>
      <w:pPr>
        <w:pStyle w:val="ListParagraph"/>
        <w:numPr>
          <w:ilvl w:val="0"/>
          <w:numId w:val="51"/>
        </w:numPr>
        <w:tabs>
          <w:tab w:pos="500" w:val="left" w:leader="none"/>
        </w:tabs>
        <w:spacing w:line="247" w:lineRule="auto" w:before="74" w:after="0"/>
        <w:ind w:left="500" w:right="172" w:hanging="360"/>
        <w:jc w:val="left"/>
        <w:rPr>
          <w:color w:val="4C4D4F"/>
          <w:sz w:val="18"/>
        </w:rPr>
      </w:pPr>
      <w:r>
        <w:rPr>
          <w:color w:val="4C4D4F"/>
          <w:w w:val="110"/>
          <w:sz w:val="18"/>
        </w:rPr>
        <w:t>Nunes, E. </w:t>
      </w:r>
      <w:r>
        <w:rPr>
          <w:color w:val="4C4D4F"/>
          <w:spacing w:val="-8"/>
          <w:w w:val="110"/>
          <w:sz w:val="18"/>
        </w:rPr>
        <w:t>V., </w:t>
      </w:r>
      <w:r>
        <w:rPr>
          <w:color w:val="4C4D4F"/>
          <w:w w:val="110"/>
          <w:sz w:val="18"/>
        </w:rPr>
        <w:t>Krupitsky, E., Ling, </w:t>
      </w:r>
      <w:r>
        <w:rPr>
          <w:color w:val="4C4D4F"/>
          <w:spacing w:val="-5"/>
          <w:w w:val="110"/>
          <w:sz w:val="18"/>
        </w:rPr>
        <w:t>W., </w:t>
      </w:r>
      <w:r>
        <w:rPr>
          <w:color w:val="4C4D4F"/>
          <w:w w:val="110"/>
          <w:sz w:val="18"/>
        </w:rPr>
        <w:t>Zummo, </w:t>
      </w:r>
      <w:r>
        <w:rPr>
          <w:color w:val="4C4D4F"/>
          <w:w w:val="120"/>
          <w:sz w:val="18"/>
        </w:rPr>
        <w:t>J., </w:t>
      </w:r>
      <w:r>
        <w:rPr>
          <w:color w:val="4C4D4F"/>
          <w:w w:val="110"/>
          <w:sz w:val="18"/>
        </w:rPr>
        <w:t>Memisoglu, A., Silverman, B. L., &amp; Gastfriend, D. R. (2015). </w:t>
      </w:r>
      <w:r>
        <w:rPr>
          <w:color w:val="4C4D4F"/>
          <w:spacing w:val="-3"/>
          <w:w w:val="110"/>
          <w:sz w:val="18"/>
        </w:rPr>
        <w:t>Treating </w:t>
      </w:r>
      <w:r>
        <w:rPr>
          <w:color w:val="4C4D4F"/>
          <w:w w:val="110"/>
          <w:sz w:val="18"/>
        </w:rPr>
        <w:t>opioid dependence with injectable extended-release naltrexone (XR-NTX): Who will respond?</w:t>
      </w:r>
      <w:r>
        <w:rPr>
          <w:color w:val="4C4D4F"/>
          <w:spacing w:val="-29"/>
          <w:w w:val="110"/>
          <w:sz w:val="18"/>
        </w:rPr>
        <w:t> </w:t>
      </w:r>
      <w:r>
        <w:rPr>
          <w:rFonts w:ascii="Arial" w:hAnsi="Arial"/>
          <w:i/>
          <w:color w:val="4C4D4F"/>
          <w:w w:val="110"/>
          <w:sz w:val="18"/>
        </w:rPr>
        <w:t>Journal</w:t>
      </w:r>
      <w:r>
        <w:rPr>
          <w:rFonts w:ascii="Arial" w:hAnsi="Arial"/>
          <w:i/>
          <w:color w:val="4C4D4F"/>
          <w:spacing w:val="-28"/>
          <w:w w:val="110"/>
          <w:sz w:val="18"/>
        </w:rPr>
        <w:t> </w:t>
      </w:r>
      <w:r>
        <w:rPr>
          <w:rFonts w:ascii="Arial" w:hAnsi="Arial"/>
          <w:i/>
          <w:color w:val="4C4D4F"/>
          <w:w w:val="110"/>
          <w:sz w:val="18"/>
        </w:rPr>
        <w:t>of</w:t>
      </w:r>
      <w:r>
        <w:rPr>
          <w:rFonts w:ascii="Arial" w:hAnsi="Arial"/>
          <w:i/>
          <w:color w:val="4C4D4F"/>
          <w:spacing w:val="-28"/>
          <w:w w:val="110"/>
          <w:sz w:val="18"/>
        </w:rPr>
        <w:t> </w:t>
      </w:r>
      <w:r>
        <w:rPr>
          <w:rFonts w:ascii="Arial" w:hAnsi="Arial"/>
          <w:i/>
          <w:color w:val="4C4D4F"/>
          <w:w w:val="110"/>
          <w:sz w:val="18"/>
        </w:rPr>
        <w:t>Addiction</w:t>
      </w:r>
      <w:r>
        <w:rPr>
          <w:rFonts w:ascii="Arial" w:hAnsi="Arial"/>
          <w:i/>
          <w:color w:val="4C4D4F"/>
          <w:spacing w:val="-29"/>
          <w:w w:val="110"/>
          <w:sz w:val="18"/>
        </w:rPr>
        <w:t> </w:t>
      </w:r>
      <w:r>
        <w:rPr>
          <w:rFonts w:ascii="Arial" w:hAnsi="Arial"/>
          <w:i/>
          <w:color w:val="4C4D4F"/>
          <w:w w:val="110"/>
          <w:sz w:val="18"/>
        </w:rPr>
        <w:t>Medicine,</w:t>
      </w:r>
      <w:r>
        <w:rPr>
          <w:rFonts w:ascii="Arial" w:hAnsi="Arial"/>
          <w:i/>
          <w:color w:val="4C4D4F"/>
          <w:spacing w:val="-28"/>
          <w:w w:val="110"/>
          <w:sz w:val="18"/>
        </w:rPr>
        <w:t> </w:t>
      </w:r>
      <w:r>
        <w:rPr>
          <w:rFonts w:ascii="Arial" w:hAnsi="Arial"/>
          <w:i/>
          <w:color w:val="4C4D4F"/>
          <w:w w:val="110"/>
          <w:sz w:val="18"/>
        </w:rPr>
        <w:t>9</w:t>
      </w:r>
      <w:r>
        <w:rPr>
          <w:color w:val="4C4D4F"/>
          <w:w w:val="110"/>
          <w:sz w:val="18"/>
        </w:rPr>
        <w:t>(3),</w:t>
      </w:r>
      <w:r>
        <w:rPr>
          <w:color w:val="4C4D4F"/>
          <w:spacing w:val="-28"/>
          <w:w w:val="110"/>
          <w:sz w:val="18"/>
        </w:rPr>
        <w:t> </w:t>
      </w:r>
      <w:r>
        <w:rPr>
          <w:color w:val="4C4D4F"/>
          <w:w w:val="110"/>
          <w:sz w:val="18"/>
        </w:rPr>
        <w:t>238–243.</w:t>
      </w:r>
    </w:p>
    <w:p>
      <w:pPr>
        <w:pStyle w:val="ListParagraph"/>
        <w:numPr>
          <w:ilvl w:val="0"/>
          <w:numId w:val="51"/>
        </w:numPr>
        <w:tabs>
          <w:tab w:pos="500" w:val="left" w:leader="none"/>
        </w:tabs>
        <w:spacing w:line="247" w:lineRule="auto" w:before="76" w:after="0"/>
        <w:ind w:left="500" w:right="192"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1"/>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2"/>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196" w:hanging="360"/>
        <w:jc w:val="left"/>
        <w:rPr>
          <w:color w:val="4C4D4F"/>
          <w:sz w:val="18"/>
        </w:rPr>
      </w:pPr>
      <w:r>
        <w:rPr>
          <w:color w:val="4C4D4F"/>
          <w:w w:val="110"/>
          <w:sz w:val="18"/>
        </w:rPr>
        <w:t>Sigmon, S. C., Bisaga, A., Nunes, E. </w:t>
      </w:r>
      <w:r>
        <w:rPr>
          <w:color w:val="4C4D4F"/>
          <w:spacing w:val="-8"/>
          <w:w w:val="110"/>
          <w:sz w:val="18"/>
        </w:rPr>
        <w:t>V., </w:t>
      </w:r>
      <w:r>
        <w:rPr>
          <w:color w:val="4C4D4F"/>
          <w:w w:val="110"/>
          <w:sz w:val="18"/>
        </w:rPr>
        <w:t>O’Connor, </w:t>
      </w:r>
      <w:r>
        <w:rPr>
          <w:color w:val="4C4D4F"/>
          <w:spacing w:val="-17"/>
          <w:w w:val="110"/>
          <w:sz w:val="18"/>
        </w:rPr>
        <w:t>P. </w:t>
      </w:r>
      <w:r>
        <w:rPr>
          <w:color w:val="4C4D4F"/>
          <w:spacing w:val="-5"/>
          <w:w w:val="110"/>
          <w:sz w:val="18"/>
        </w:rPr>
        <w:t>G., </w:t>
      </w:r>
      <w:r>
        <w:rPr>
          <w:color w:val="4C4D4F"/>
          <w:w w:val="110"/>
          <w:sz w:val="18"/>
        </w:rPr>
        <w:t>Kosten, </w:t>
      </w:r>
      <w:r>
        <w:rPr>
          <w:color w:val="4C4D4F"/>
          <w:spacing w:val="-7"/>
          <w:w w:val="110"/>
          <w:sz w:val="18"/>
        </w:rPr>
        <w:t>T., </w:t>
      </w:r>
      <w:r>
        <w:rPr>
          <w:color w:val="4C4D4F"/>
          <w:w w:val="110"/>
          <w:sz w:val="18"/>
        </w:rPr>
        <w:t>&amp; </w:t>
      </w:r>
      <w:r>
        <w:rPr>
          <w:color w:val="4C4D4F"/>
          <w:spacing w:val="-5"/>
          <w:w w:val="110"/>
          <w:sz w:val="18"/>
        </w:rPr>
        <w:t>Woody, </w:t>
      </w:r>
      <w:r>
        <w:rPr>
          <w:color w:val="4C4D4F"/>
          <w:w w:val="110"/>
          <w:sz w:val="18"/>
        </w:rPr>
        <w:t>G. (2012). Opioid detoxiﬁcation and naltrexone induction strategies: Recommendations for clinical practice. </w:t>
      </w:r>
      <w:r>
        <w:rPr>
          <w:rFonts w:ascii="Arial" w:hAnsi="Arial"/>
          <w:i/>
          <w:color w:val="4C4D4F"/>
          <w:w w:val="110"/>
          <w:sz w:val="18"/>
        </w:rPr>
        <w:t>American Journal of Drug and </w:t>
      </w:r>
      <w:r>
        <w:rPr>
          <w:rFonts w:ascii="Arial" w:hAnsi="Arial"/>
          <w:i/>
          <w:color w:val="4C4D4F"/>
          <w:w w:val="110"/>
          <w:sz w:val="18"/>
        </w:rPr>
        <w:t>Alcohol Abuse, 38</w:t>
      </w:r>
      <w:r>
        <w:rPr>
          <w:color w:val="4C4D4F"/>
          <w:w w:val="110"/>
          <w:sz w:val="18"/>
        </w:rPr>
        <w:t>(3),</w:t>
      </w:r>
      <w:r>
        <w:rPr>
          <w:color w:val="4C4D4F"/>
          <w:spacing w:val="-24"/>
          <w:w w:val="110"/>
          <w:sz w:val="18"/>
        </w:rPr>
        <w:t> </w:t>
      </w:r>
      <w:r>
        <w:rPr>
          <w:color w:val="4C4D4F"/>
          <w:w w:val="110"/>
          <w:sz w:val="18"/>
        </w:rPr>
        <w:t>187–199.</w:t>
      </w:r>
    </w:p>
    <w:p>
      <w:pPr>
        <w:pStyle w:val="ListParagraph"/>
        <w:numPr>
          <w:ilvl w:val="0"/>
          <w:numId w:val="51"/>
        </w:numPr>
        <w:tabs>
          <w:tab w:pos="500" w:val="left" w:leader="none"/>
        </w:tabs>
        <w:spacing w:line="247" w:lineRule="auto" w:before="74" w:after="0"/>
        <w:ind w:left="500" w:right="192"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1"/>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3"/>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620" w:hanging="360"/>
        <w:jc w:val="left"/>
        <w:rPr>
          <w:color w:val="4C4D4F"/>
          <w:sz w:val="18"/>
        </w:rPr>
      </w:pPr>
      <w:r>
        <w:rPr>
          <w:color w:val="4C4D4F"/>
          <w:w w:val="120"/>
          <w:sz w:val="18"/>
        </w:rPr>
        <w:t>Sullivan,</w:t>
      </w:r>
      <w:r>
        <w:rPr>
          <w:color w:val="4C4D4F"/>
          <w:spacing w:val="-22"/>
          <w:w w:val="120"/>
          <w:sz w:val="18"/>
        </w:rPr>
        <w:t> </w:t>
      </w:r>
      <w:r>
        <w:rPr>
          <w:color w:val="4C4D4F"/>
          <w:w w:val="120"/>
          <w:sz w:val="18"/>
        </w:rPr>
        <w:t>M.</w:t>
      </w:r>
      <w:r>
        <w:rPr>
          <w:color w:val="4C4D4F"/>
          <w:spacing w:val="-21"/>
          <w:w w:val="120"/>
          <w:sz w:val="18"/>
        </w:rPr>
        <w:t> </w:t>
      </w:r>
      <w:r>
        <w:rPr>
          <w:color w:val="4C4D4F"/>
          <w:w w:val="120"/>
          <w:sz w:val="18"/>
        </w:rPr>
        <w:t>A.,</w:t>
      </w:r>
      <w:r>
        <w:rPr>
          <w:color w:val="4C4D4F"/>
          <w:spacing w:val="-21"/>
          <w:w w:val="120"/>
          <w:sz w:val="18"/>
        </w:rPr>
        <w:t> </w:t>
      </w:r>
      <w:r>
        <w:rPr>
          <w:color w:val="4C4D4F"/>
          <w:w w:val="120"/>
          <w:sz w:val="18"/>
        </w:rPr>
        <w:t>Bisaga,</w:t>
      </w:r>
      <w:r>
        <w:rPr>
          <w:color w:val="4C4D4F"/>
          <w:spacing w:val="-21"/>
          <w:w w:val="120"/>
          <w:sz w:val="18"/>
        </w:rPr>
        <w:t> </w:t>
      </w:r>
      <w:r>
        <w:rPr>
          <w:color w:val="4C4D4F"/>
          <w:w w:val="120"/>
          <w:sz w:val="18"/>
        </w:rPr>
        <w:t>A.,</w:t>
      </w:r>
      <w:r>
        <w:rPr>
          <w:color w:val="4C4D4F"/>
          <w:spacing w:val="-21"/>
          <w:w w:val="120"/>
          <w:sz w:val="18"/>
        </w:rPr>
        <w:t> </w:t>
      </w:r>
      <w:r>
        <w:rPr>
          <w:color w:val="4C4D4F"/>
          <w:w w:val="120"/>
          <w:sz w:val="18"/>
        </w:rPr>
        <w:t>Mariani,</w:t>
      </w:r>
      <w:r>
        <w:rPr>
          <w:color w:val="4C4D4F"/>
          <w:spacing w:val="-21"/>
          <w:w w:val="120"/>
          <w:sz w:val="18"/>
        </w:rPr>
        <w:t> </w:t>
      </w:r>
      <w:r>
        <w:rPr>
          <w:color w:val="4C4D4F"/>
          <w:w w:val="140"/>
          <w:sz w:val="18"/>
        </w:rPr>
        <w:t>J.</w:t>
      </w:r>
      <w:r>
        <w:rPr>
          <w:color w:val="4C4D4F"/>
          <w:spacing w:val="-31"/>
          <w:w w:val="140"/>
          <w:sz w:val="18"/>
        </w:rPr>
        <w:t> </w:t>
      </w:r>
      <w:r>
        <w:rPr>
          <w:color w:val="4C4D4F"/>
          <w:w w:val="140"/>
          <w:sz w:val="18"/>
        </w:rPr>
        <w:t>J.,</w:t>
      </w:r>
      <w:r>
        <w:rPr>
          <w:color w:val="4C4D4F"/>
          <w:spacing w:val="-31"/>
          <w:w w:val="140"/>
          <w:sz w:val="18"/>
        </w:rPr>
        <w:t> </w:t>
      </w:r>
      <w:r>
        <w:rPr>
          <w:color w:val="4C4D4F"/>
          <w:w w:val="120"/>
          <w:sz w:val="18"/>
        </w:rPr>
        <w:t>Glass,</w:t>
      </w:r>
      <w:r>
        <w:rPr>
          <w:color w:val="4C4D4F"/>
          <w:spacing w:val="-21"/>
          <w:w w:val="120"/>
          <w:sz w:val="18"/>
        </w:rPr>
        <w:t> </w:t>
      </w:r>
      <w:r>
        <w:rPr>
          <w:color w:val="4C4D4F"/>
          <w:spacing w:val="-6"/>
          <w:w w:val="120"/>
          <w:sz w:val="18"/>
        </w:rPr>
        <w:t>A., </w:t>
      </w:r>
      <w:r>
        <w:rPr>
          <w:color w:val="4C4D4F"/>
          <w:w w:val="120"/>
          <w:sz w:val="18"/>
        </w:rPr>
        <w:t>Levin,</w:t>
      </w:r>
      <w:r>
        <w:rPr>
          <w:color w:val="4C4D4F"/>
          <w:spacing w:val="-30"/>
          <w:w w:val="120"/>
          <w:sz w:val="18"/>
        </w:rPr>
        <w:t> </w:t>
      </w:r>
      <w:r>
        <w:rPr>
          <w:color w:val="4C4D4F"/>
          <w:spacing w:val="-15"/>
          <w:w w:val="120"/>
          <w:sz w:val="18"/>
        </w:rPr>
        <w:t>F.</w:t>
      </w:r>
      <w:r>
        <w:rPr>
          <w:color w:val="4C4D4F"/>
          <w:spacing w:val="-29"/>
          <w:w w:val="120"/>
          <w:sz w:val="18"/>
        </w:rPr>
        <w:t> </w:t>
      </w:r>
      <w:r>
        <w:rPr>
          <w:color w:val="4C4D4F"/>
          <w:w w:val="120"/>
          <w:sz w:val="18"/>
        </w:rPr>
        <w:t>R.,</w:t>
      </w:r>
      <w:r>
        <w:rPr>
          <w:color w:val="4C4D4F"/>
          <w:spacing w:val="-30"/>
          <w:w w:val="120"/>
          <w:sz w:val="18"/>
        </w:rPr>
        <w:t> </w:t>
      </w:r>
      <w:r>
        <w:rPr>
          <w:color w:val="4C4D4F"/>
          <w:spacing w:val="-3"/>
          <w:w w:val="120"/>
          <w:sz w:val="18"/>
        </w:rPr>
        <w:t>Comer,</w:t>
      </w:r>
      <w:r>
        <w:rPr>
          <w:color w:val="4C4D4F"/>
          <w:spacing w:val="-29"/>
          <w:w w:val="120"/>
          <w:sz w:val="18"/>
        </w:rPr>
        <w:t> </w:t>
      </w:r>
      <w:r>
        <w:rPr>
          <w:color w:val="4C4D4F"/>
          <w:w w:val="120"/>
          <w:sz w:val="18"/>
        </w:rPr>
        <w:t>S.</w:t>
      </w:r>
      <w:r>
        <w:rPr>
          <w:color w:val="4C4D4F"/>
          <w:spacing w:val="-29"/>
          <w:w w:val="120"/>
          <w:sz w:val="18"/>
        </w:rPr>
        <w:t> </w:t>
      </w:r>
      <w:r>
        <w:rPr>
          <w:color w:val="4C4D4F"/>
          <w:w w:val="120"/>
          <w:sz w:val="18"/>
        </w:rPr>
        <w:t>D.,</w:t>
      </w:r>
      <w:r>
        <w:rPr>
          <w:color w:val="4C4D4F"/>
          <w:spacing w:val="-30"/>
          <w:w w:val="120"/>
          <w:sz w:val="18"/>
        </w:rPr>
        <w:t> </w:t>
      </w:r>
      <w:r>
        <w:rPr>
          <w:color w:val="4C4D4F"/>
          <w:w w:val="120"/>
          <w:sz w:val="18"/>
        </w:rPr>
        <w:t>&amp;</w:t>
      </w:r>
      <w:r>
        <w:rPr>
          <w:color w:val="4C4D4F"/>
          <w:spacing w:val="-29"/>
          <w:w w:val="120"/>
          <w:sz w:val="18"/>
        </w:rPr>
        <w:t> </w:t>
      </w:r>
      <w:r>
        <w:rPr>
          <w:color w:val="4C4D4F"/>
          <w:w w:val="120"/>
          <w:sz w:val="18"/>
        </w:rPr>
        <w:t>Nunes,</w:t>
      </w:r>
      <w:r>
        <w:rPr>
          <w:color w:val="4C4D4F"/>
          <w:spacing w:val="-30"/>
          <w:w w:val="120"/>
          <w:sz w:val="18"/>
        </w:rPr>
        <w:t> </w:t>
      </w:r>
      <w:r>
        <w:rPr>
          <w:color w:val="4C4D4F"/>
          <w:w w:val="120"/>
          <w:sz w:val="18"/>
        </w:rPr>
        <w:t>E.</w:t>
      </w:r>
      <w:r>
        <w:rPr>
          <w:color w:val="4C4D4F"/>
          <w:spacing w:val="-29"/>
          <w:w w:val="120"/>
          <w:sz w:val="18"/>
        </w:rPr>
        <w:t> </w:t>
      </w:r>
      <w:r>
        <w:rPr>
          <w:color w:val="4C4D4F"/>
          <w:spacing w:val="-12"/>
          <w:w w:val="120"/>
          <w:sz w:val="18"/>
        </w:rPr>
        <w:t>V.</w:t>
      </w:r>
      <w:r>
        <w:rPr>
          <w:color w:val="4C4D4F"/>
          <w:spacing w:val="-29"/>
          <w:w w:val="120"/>
          <w:sz w:val="18"/>
        </w:rPr>
        <w:t> </w:t>
      </w:r>
      <w:r>
        <w:rPr>
          <w:color w:val="4C4D4F"/>
          <w:w w:val="120"/>
          <w:sz w:val="18"/>
        </w:rPr>
        <w:t>(2013).</w:t>
      </w:r>
    </w:p>
    <w:p>
      <w:pPr>
        <w:spacing w:line="247" w:lineRule="auto" w:before="2"/>
        <w:ind w:left="500" w:right="215" w:firstLine="0"/>
        <w:jc w:val="left"/>
        <w:rPr>
          <w:sz w:val="18"/>
        </w:rPr>
      </w:pPr>
      <w:r>
        <w:rPr>
          <w:color w:val="4C4D4F"/>
          <w:w w:val="110"/>
          <w:sz w:val="18"/>
        </w:rPr>
        <w:t>Naltrexone treatment for opioid dependence: Does its effectiveness depend on testing the blockade? </w:t>
      </w:r>
      <w:r>
        <w:rPr>
          <w:rFonts w:ascii="Arial" w:hAnsi="Arial"/>
          <w:i/>
          <w:color w:val="4C4D4F"/>
          <w:w w:val="110"/>
          <w:sz w:val="18"/>
        </w:rPr>
        <w:t>Drug </w:t>
      </w:r>
      <w:r>
        <w:rPr>
          <w:rFonts w:ascii="Arial" w:hAnsi="Arial"/>
          <w:i/>
          <w:color w:val="4C4D4F"/>
          <w:w w:val="110"/>
          <w:sz w:val="18"/>
        </w:rPr>
        <w:t>and Alcohol Dependence, 133</w:t>
      </w:r>
      <w:r>
        <w:rPr>
          <w:color w:val="4C4D4F"/>
          <w:w w:val="110"/>
          <w:sz w:val="18"/>
        </w:rPr>
        <w:t>(1), 80–85.</w:t>
      </w:r>
    </w:p>
    <w:p>
      <w:pPr>
        <w:pStyle w:val="ListParagraph"/>
        <w:numPr>
          <w:ilvl w:val="0"/>
          <w:numId w:val="51"/>
        </w:numPr>
        <w:tabs>
          <w:tab w:pos="500" w:val="left" w:leader="none"/>
        </w:tabs>
        <w:spacing w:line="247" w:lineRule="auto" w:before="71" w:after="0"/>
        <w:ind w:left="500" w:right="192" w:hanging="360"/>
        <w:jc w:val="left"/>
        <w:rPr>
          <w:color w:val="4C4D4F"/>
          <w:sz w:val="18"/>
        </w:rPr>
      </w:pPr>
      <w:r>
        <w:rPr>
          <w:color w:val="4C4D4F"/>
          <w:w w:val="110"/>
          <w:sz w:val="18"/>
        </w:rPr>
        <w:t>Substance Abuse and Mental Health Services </w:t>
      </w:r>
      <w:r>
        <w:rPr>
          <w:color w:val="4C4D4F"/>
          <w:w w:val="105"/>
          <w:sz w:val="18"/>
        </w:rPr>
        <w:t>Administration. (2015). </w:t>
      </w:r>
      <w:r>
        <w:rPr>
          <w:rFonts w:ascii="Arial"/>
          <w:i/>
          <w:color w:val="4C4D4F"/>
          <w:w w:val="105"/>
          <w:sz w:val="18"/>
        </w:rPr>
        <w:t>Clinical use of</w:t>
      </w:r>
      <w:r>
        <w:rPr>
          <w:rFonts w:ascii="Arial"/>
          <w:i/>
          <w:color w:val="4C4D4F"/>
          <w:spacing w:val="-21"/>
          <w:w w:val="105"/>
          <w:sz w:val="18"/>
        </w:rPr>
        <w:t> </w:t>
      </w:r>
      <w:r>
        <w:rPr>
          <w:rFonts w:ascii="Arial"/>
          <w:i/>
          <w:color w:val="4C4D4F"/>
          <w:spacing w:val="-3"/>
          <w:w w:val="105"/>
          <w:sz w:val="18"/>
        </w:rPr>
        <w:t>extended-release </w:t>
      </w:r>
      <w:r>
        <w:rPr>
          <w:rFonts w:ascii="Arial"/>
          <w:i/>
          <w:color w:val="4C4D4F"/>
          <w:w w:val="110"/>
          <w:sz w:val="18"/>
        </w:rPr>
        <w:t>injectable naltrexone in the treatment of opioid use disorder:</w:t>
      </w:r>
      <w:r>
        <w:rPr>
          <w:rFonts w:ascii="Arial"/>
          <w:i/>
          <w:color w:val="4C4D4F"/>
          <w:spacing w:val="-14"/>
          <w:w w:val="110"/>
          <w:sz w:val="18"/>
        </w:rPr>
        <w:t> </w:t>
      </w:r>
      <w:r>
        <w:rPr>
          <w:rFonts w:ascii="Arial"/>
          <w:i/>
          <w:color w:val="4C4D4F"/>
          <w:w w:val="110"/>
          <w:sz w:val="18"/>
        </w:rPr>
        <w:t>A</w:t>
      </w:r>
      <w:r>
        <w:rPr>
          <w:rFonts w:ascii="Arial"/>
          <w:i/>
          <w:color w:val="4C4D4F"/>
          <w:spacing w:val="-13"/>
          <w:w w:val="110"/>
          <w:sz w:val="18"/>
        </w:rPr>
        <w:t> </w:t>
      </w:r>
      <w:r>
        <w:rPr>
          <w:rFonts w:ascii="Arial"/>
          <w:i/>
          <w:color w:val="4C4D4F"/>
          <w:w w:val="110"/>
          <w:sz w:val="18"/>
        </w:rPr>
        <w:t>brief</w:t>
      </w:r>
      <w:r>
        <w:rPr>
          <w:rFonts w:ascii="Arial"/>
          <w:i/>
          <w:color w:val="4C4D4F"/>
          <w:spacing w:val="-14"/>
          <w:w w:val="110"/>
          <w:sz w:val="18"/>
        </w:rPr>
        <w:t> </w:t>
      </w:r>
      <w:r>
        <w:rPr>
          <w:rFonts w:ascii="Arial"/>
          <w:i/>
          <w:color w:val="4C4D4F"/>
          <w:w w:val="110"/>
          <w:sz w:val="18"/>
        </w:rPr>
        <w:t>guide.</w:t>
      </w:r>
      <w:r>
        <w:rPr>
          <w:rFonts w:ascii="Arial"/>
          <w:i/>
          <w:color w:val="4C4D4F"/>
          <w:spacing w:val="-13"/>
          <w:w w:val="110"/>
          <w:sz w:val="18"/>
        </w:rPr>
        <w:t> </w:t>
      </w:r>
      <w:r>
        <w:rPr>
          <w:color w:val="4C4D4F"/>
          <w:w w:val="110"/>
          <w:sz w:val="18"/>
        </w:rPr>
        <w:t>HHS</w:t>
      </w:r>
      <w:r>
        <w:rPr>
          <w:color w:val="4C4D4F"/>
          <w:spacing w:val="-14"/>
          <w:w w:val="110"/>
          <w:sz w:val="18"/>
        </w:rPr>
        <w:t> </w:t>
      </w:r>
      <w:r>
        <w:rPr>
          <w:color w:val="4C4D4F"/>
          <w:w w:val="110"/>
          <w:sz w:val="18"/>
        </w:rPr>
        <w:t>Publication</w:t>
      </w:r>
      <w:r>
        <w:rPr>
          <w:color w:val="4C4D4F"/>
          <w:spacing w:val="-13"/>
          <w:w w:val="110"/>
          <w:sz w:val="18"/>
        </w:rPr>
        <w:t> </w:t>
      </w:r>
      <w:r>
        <w:rPr>
          <w:color w:val="4C4D4F"/>
          <w:w w:val="110"/>
          <w:sz w:val="18"/>
        </w:rPr>
        <w:t>No.</w:t>
      </w:r>
      <w:r>
        <w:rPr>
          <w:color w:val="4C4D4F"/>
          <w:spacing w:val="-14"/>
          <w:w w:val="110"/>
          <w:sz w:val="18"/>
        </w:rPr>
        <w:t> </w:t>
      </w:r>
      <w:r>
        <w:rPr>
          <w:color w:val="4C4D4F"/>
          <w:w w:val="110"/>
          <w:sz w:val="18"/>
        </w:rPr>
        <w:t>(SMA)</w:t>
      </w:r>
    </w:p>
    <w:p>
      <w:pPr>
        <w:spacing w:line="247" w:lineRule="auto" w:before="3"/>
        <w:ind w:left="500" w:right="0" w:firstLine="0"/>
        <w:jc w:val="left"/>
        <w:rPr>
          <w:sz w:val="18"/>
        </w:rPr>
      </w:pPr>
      <w:r>
        <w:rPr>
          <w:color w:val="4C4D4F"/>
          <w:w w:val="110"/>
          <w:sz w:val="18"/>
        </w:rPr>
        <w:t>14-4892R. Rockville, MD: Substance Abuse and Mental Health Services Administration.</w:t>
      </w:r>
    </w:p>
    <w:p>
      <w:pPr>
        <w:pStyle w:val="ListParagraph"/>
        <w:numPr>
          <w:ilvl w:val="0"/>
          <w:numId w:val="51"/>
        </w:numPr>
        <w:tabs>
          <w:tab w:pos="500" w:val="left" w:leader="none"/>
        </w:tabs>
        <w:spacing w:line="247" w:lineRule="auto" w:before="74" w:after="0"/>
        <w:ind w:left="500" w:right="191" w:hanging="360"/>
        <w:jc w:val="left"/>
        <w:rPr>
          <w:color w:val="4C4D4F"/>
          <w:sz w:val="18"/>
        </w:rPr>
      </w:pPr>
      <w:r>
        <w:rPr>
          <w:color w:val="4C4D4F"/>
          <w:w w:val="110"/>
          <w:sz w:val="18"/>
        </w:rPr>
        <w:t>Kosten, </w:t>
      </w:r>
      <w:r>
        <w:rPr>
          <w:color w:val="4C4D4F"/>
          <w:spacing w:val="-10"/>
          <w:w w:val="110"/>
          <w:sz w:val="18"/>
        </w:rPr>
        <w:t>T. </w:t>
      </w:r>
      <w:r>
        <w:rPr>
          <w:color w:val="4C4D4F"/>
          <w:w w:val="110"/>
          <w:sz w:val="18"/>
        </w:rPr>
        <w:t>R., Morgan, C., &amp; </w:t>
      </w:r>
      <w:r>
        <w:rPr>
          <w:color w:val="4C4D4F"/>
          <w:spacing w:val="-3"/>
          <w:w w:val="110"/>
          <w:sz w:val="18"/>
        </w:rPr>
        <w:t>Kleber, </w:t>
      </w:r>
      <w:r>
        <w:rPr>
          <w:color w:val="4C4D4F"/>
          <w:w w:val="110"/>
          <w:sz w:val="18"/>
        </w:rPr>
        <w:t>H. D. (1992).</w:t>
      </w:r>
      <w:r>
        <w:rPr>
          <w:color w:val="4C4D4F"/>
          <w:spacing w:val="-28"/>
          <w:w w:val="110"/>
          <w:sz w:val="18"/>
        </w:rPr>
        <w:t> </w:t>
      </w:r>
      <w:r>
        <w:rPr>
          <w:color w:val="4C4D4F"/>
          <w:w w:val="110"/>
          <w:sz w:val="18"/>
        </w:rPr>
        <w:t>Phase II clinical trials of buprenorphine: Detoxiﬁcation and </w:t>
      </w:r>
      <w:r>
        <w:rPr>
          <w:color w:val="4C4D4F"/>
          <w:w w:val="105"/>
          <w:sz w:val="18"/>
        </w:rPr>
        <w:t>induction onto naltrexone. </w:t>
      </w:r>
      <w:r>
        <w:rPr>
          <w:rFonts w:ascii="Arial" w:hAnsi="Arial"/>
          <w:i/>
          <w:color w:val="4C4D4F"/>
          <w:w w:val="105"/>
          <w:sz w:val="18"/>
        </w:rPr>
        <w:t>NIDA Research</w:t>
      </w:r>
      <w:r>
        <w:rPr>
          <w:rFonts w:ascii="Arial" w:hAnsi="Arial"/>
          <w:i/>
          <w:color w:val="4C4D4F"/>
          <w:spacing w:val="-31"/>
          <w:w w:val="105"/>
          <w:sz w:val="18"/>
        </w:rPr>
        <w:t> </w:t>
      </w:r>
      <w:r>
        <w:rPr>
          <w:rFonts w:ascii="Arial" w:hAnsi="Arial"/>
          <w:i/>
          <w:color w:val="4C4D4F"/>
          <w:w w:val="105"/>
          <w:sz w:val="18"/>
        </w:rPr>
        <w:t>Monograph, </w:t>
      </w:r>
      <w:r>
        <w:rPr>
          <w:rFonts w:ascii="Arial" w:hAnsi="Arial"/>
          <w:i/>
          <w:color w:val="4C4D4F"/>
          <w:w w:val="110"/>
          <w:sz w:val="18"/>
        </w:rPr>
        <w:t>121,</w:t>
      </w:r>
      <w:r>
        <w:rPr>
          <w:rFonts w:ascii="Arial" w:hAnsi="Arial"/>
          <w:i/>
          <w:color w:val="4C4D4F"/>
          <w:spacing w:val="-6"/>
          <w:w w:val="110"/>
          <w:sz w:val="18"/>
        </w:rPr>
        <w:t> </w:t>
      </w:r>
      <w:r>
        <w:rPr>
          <w:color w:val="4C4D4F"/>
          <w:w w:val="110"/>
          <w:sz w:val="18"/>
        </w:rPr>
        <w:t>101–119.</w:t>
      </w:r>
    </w:p>
    <w:p>
      <w:pPr>
        <w:pStyle w:val="ListParagraph"/>
        <w:numPr>
          <w:ilvl w:val="0"/>
          <w:numId w:val="51"/>
        </w:numPr>
        <w:tabs>
          <w:tab w:pos="500" w:val="left" w:leader="none"/>
        </w:tabs>
        <w:spacing w:line="247" w:lineRule="auto" w:before="73" w:after="0"/>
        <w:ind w:left="500" w:right="545" w:hanging="360"/>
        <w:jc w:val="left"/>
        <w:rPr>
          <w:color w:val="4C4D4F"/>
          <w:sz w:val="18"/>
        </w:rPr>
      </w:pPr>
      <w:r>
        <w:rPr>
          <w:color w:val="4C4D4F"/>
          <w:w w:val="110"/>
          <w:sz w:val="18"/>
        </w:rPr>
        <w:t>Bisaga, A., Sullivan, M. A., Glass, A., Mishlen, K., Pavlicova, M., </w:t>
      </w:r>
      <w:r>
        <w:rPr>
          <w:color w:val="4C4D4F"/>
          <w:spacing w:val="-3"/>
          <w:w w:val="110"/>
          <w:sz w:val="18"/>
        </w:rPr>
        <w:t>Haney, </w:t>
      </w:r>
      <w:r>
        <w:rPr>
          <w:color w:val="4C4D4F"/>
          <w:w w:val="110"/>
          <w:sz w:val="18"/>
        </w:rPr>
        <w:t>M., … Nunes, E. </w:t>
      </w:r>
      <w:r>
        <w:rPr>
          <w:color w:val="4C4D4F"/>
          <w:spacing w:val="-12"/>
          <w:w w:val="110"/>
          <w:sz w:val="18"/>
        </w:rPr>
        <w:t>V. </w:t>
      </w:r>
      <w:r>
        <w:rPr>
          <w:color w:val="4C4D4F"/>
          <w:w w:val="110"/>
          <w:sz w:val="18"/>
        </w:rPr>
        <w:t>(2015). The effects of dronabinol during detoxiﬁcation </w:t>
      </w:r>
      <w:r>
        <w:rPr>
          <w:color w:val="4C4D4F"/>
          <w:spacing w:val="-6"/>
          <w:w w:val="110"/>
          <w:sz w:val="18"/>
        </w:rPr>
        <w:t>and </w:t>
      </w:r>
      <w:r>
        <w:rPr>
          <w:color w:val="4C4D4F"/>
          <w:w w:val="110"/>
          <w:sz w:val="18"/>
        </w:rPr>
        <w:t>the initiation of treatment with extended release naltrexone.</w:t>
      </w:r>
      <w:r>
        <w:rPr>
          <w:color w:val="4C4D4F"/>
          <w:spacing w:val="-29"/>
          <w:w w:val="110"/>
          <w:sz w:val="18"/>
        </w:rPr>
        <w:t> </w:t>
      </w:r>
      <w:r>
        <w:rPr>
          <w:rFonts w:ascii="Arial" w:hAnsi="Arial"/>
          <w:i/>
          <w:color w:val="4C4D4F"/>
          <w:w w:val="110"/>
          <w:sz w:val="18"/>
        </w:rPr>
        <w:t>Drug</w:t>
      </w:r>
      <w:r>
        <w:rPr>
          <w:rFonts w:ascii="Arial" w:hAnsi="Arial"/>
          <w:i/>
          <w:color w:val="4C4D4F"/>
          <w:spacing w:val="-29"/>
          <w:w w:val="110"/>
          <w:sz w:val="18"/>
        </w:rPr>
        <w:t> </w:t>
      </w:r>
      <w:r>
        <w:rPr>
          <w:rFonts w:ascii="Arial" w:hAnsi="Arial"/>
          <w:i/>
          <w:color w:val="4C4D4F"/>
          <w:w w:val="110"/>
          <w:sz w:val="18"/>
        </w:rPr>
        <w:t>and</w:t>
      </w:r>
      <w:r>
        <w:rPr>
          <w:rFonts w:ascii="Arial" w:hAnsi="Arial"/>
          <w:i/>
          <w:color w:val="4C4D4F"/>
          <w:spacing w:val="-29"/>
          <w:w w:val="110"/>
          <w:sz w:val="18"/>
        </w:rPr>
        <w:t> </w:t>
      </w:r>
      <w:r>
        <w:rPr>
          <w:rFonts w:ascii="Arial" w:hAnsi="Arial"/>
          <w:i/>
          <w:color w:val="4C4D4F"/>
          <w:w w:val="110"/>
          <w:sz w:val="18"/>
        </w:rPr>
        <w:t>Alcohol</w:t>
      </w:r>
      <w:r>
        <w:rPr>
          <w:rFonts w:ascii="Arial" w:hAnsi="Arial"/>
          <w:i/>
          <w:color w:val="4C4D4F"/>
          <w:spacing w:val="-29"/>
          <w:w w:val="110"/>
          <w:sz w:val="18"/>
        </w:rPr>
        <w:t> </w:t>
      </w:r>
      <w:r>
        <w:rPr>
          <w:rFonts w:ascii="Arial" w:hAnsi="Arial"/>
          <w:i/>
          <w:color w:val="4C4D4F"/>
          <w:w w:val="110"/>
          <w:sz w:val="18"/>
        </w:rPr>
        <w:t>Dependence,</w:t>
      </w:r>
      <w:r>
        <w:rPr>
          <w:rFonts w:ascii="Arial" w:hAnsi="Arial"/>
          <w:i/>
          <w:color w:val="4C4D4F"/>
          <w:spacing w:val="-29"/>
          <w:w w:val="110"/>
          <w:sz w:val="18"/>
        </w:rPr>
        <w:t> </w:t>
      </w:r>
      <w:r>
        <w:rPr>
          <w:rFonts w:ascii="Arial" w:hAnsi="Arial"/>
          <w:i/>
          <w:color w:val="4C4D4F"/>
          <w:w w:val="110"/>
          <w:sz w:val="18"/>
        </w:rPr>
        <w:t>154, </w:t>
      </w:r>
      <w:r>
        <w:rPr>
          <w:color w:val="4C4D4F"/>
          <w:w w:val="110"/>
          <w:sz w:val="18"/>
        </w:rPr>
        <w:t>38–45.</w:t>
      </w:r>
    </w:p>
    <w:p>
      <w:pPr>
        <w:pStyle w:val="ListParagraph"/>
        <w:numPr>
          <w:ilvl w:val="0"/>
          <w:numId w:val="51"/>
        </w:numPr>
        <w:tabs>
          <w:tab w:pos="500" w:val="left" w:leader="none"/>
        </w:tabs>
        <w:spacing w:line="247" w:lineRule="auto" w:before="76" w:after="0"/>
        <w:ind w:left="500" w:right="196" w:hanging="360"/>
        <w:jc w:val="left"/>
        <w:rPr>
          <w:color w:val="4C4D4F"/>
          <w:sz w:val="18"/>
        </w:rPr>
      </w:pPr>
      <w:r>
        <w:rPr>
          <w:color w:val="4C4D4F"/>
          <w:w w:val="110"/>
          <w:sz w:val="18"/>
        </w:rPr>
        <w:t>Sigmon, S. C., Bisaga, A., Nunes, E. </w:t>
      </w:r>
      <w:r>
        <w:rPr>
          <w:color w:val="4C4D4F"/>
          <w:spacing w:val="-8"/>
          <w:w w:val="110"/>
          <w:sz w:val="18"/>
        </w:rPr>
        <w:t>V., </w:t>
      </w:r>
      <w:r>
        <w:rPr>
          <w:color w:val="4C4D4F"/>
          <w:w w:val="110"/>
          <w:sz w:val="18"/>
        </w:rPr>
        <w:t>O’Connor, </w:t>
      </w:r>
      <w:r>
        <w:rPr>
          <w:color w:val="4C4D4F"/>
          <w:spacing w:val="-17"/>
          <w:w w:val="110"/>
          <w:sz w:val="18"/>
        </w:rPr>
        <w:t>P. </w:t>
      </w:r>
      <w:r>
        <w:rPr>
          <w:color w:val="4C4D4F"/>
          <w:spacing w:val="-5"/>
          <w:w w:val="110"/>
          <w:sz w:val="18"/>
        </w:rPr>
        <w:t>G., </w:t>
      </w:r>
      <w:r>
        <w:rPr>
          <w:color w:val="4C4D4F"/>
          <w:w w:val="110"/>
          <w:sz w:val="18"/>
        </w:rPr>
        <w:t>Kosten, </w:t>
      </w:r>
      <w:r>
        <w:rPr>
          <w:color w:val="4C4D4F"/>
          <w:spacing w:val="-7"/>
          <w:w w:val="110"/>
          <w:sz w:val="18"/>
        </w:rPr>
        <w:t>T., </w:t>
      </w:r>
      <w:r>
        <w:rPr>
          <w:color w:val="4C4D4F"/>
          <w:w w:val="110"/>
          <w:sz w:val="18"/>
        </w:rPr>
        <w:t>&amp; </w:t>
      </w:r>
      <w:r>
        <w:rPr>
          <w:color w:val="4C4D4F"/>
          <w:spacing w:val="-5"/>
          <w:w w:val="110"/>
          <w:sz w:val="18"/>
        </w:rPr>
        <w:t>Woody, </w:t>
      </w:r>
      <w:r>
        <w:rPr>
          <w:color w:val="4C4D4F"/>
          <w:w w:val="110"/>
          <w:sz w:val="18"/>
        </w:rPr>
        <w:t>G. (2012). Opioid detoxiﬁcation and naltrexone induction strategies: Recommendations for clinical practice. </w:t>
      </w:r>
      <w:r>
        <w:rPr>
          <w:rFonts w:ascii="Arial" w:hAnsi="Arial"/>
          <w:i/>
          <w:color w:val="4C4D4F"/>
          <w:w w:val="110"/>
          <w:sz w:val="18"/>
        </w:rPr>
        <w:t>American Journal of Drug and </w:t>
      </w:r>
      <w:r>
        <w:rPr>
          <w:rFonts w:ascii="Arial" w:hAnsi="Arial"/>
          <w:i/>
          <w:color w:val="4C4D4F"/>
          <w:w w:val="110"/>
          <w:sz w:val="18"/>
        </w:rPr>
        <w:t>Alcohol Abuse, 38</w:t>
      </w:r>
      <w:r>
        <w:rPr>
          <w:color w:val="4C4D4F"/>
          <w:w w:val="110"/>
          <w:sz w:val="18"/>
        </w:rPr>
        <w:t>(3),</w:t>
      </w:r>
      <w:r>
        <w:rPr>
          <w:color w:val="4C4D4F"/>
          <w:spacing w:val="-24"/>
          <w:w w:val="110"/>
          <w:sz w:val="18"/>
        </w:rPr>
        <w:t> </w:t>
      </w:r>
      <w:r>
        <w:rPr>
          <w:color w:val="4C4D4F"/>
          <w:w w:val="110"/>
          <w:sz w:val="18"/>
        </w:rPr>
        <w:t>187–199.</w:t>
      </w:r>
    </w:p>
    <w:p>
      <w:pPr>
        <w:spacing w:after="0" w:line="247" w:lineRule="auto"/>
        <w:jc w:val="left"/>
        <w:rPr>
          <w:sz w:val="18"/>
        </w:rPr>
        <w:sectPr>
          <w:type w:val="continuous"/>
          <w:pgSz w:w="12240" w:h="15840"/>
          <w:pgMar w:top="540" w:bottom="280" w:left="940" w:right="920"/>
          <w:cols w:num="2" w:equalWidth="0">
            <w:col w:w="5006" w:space="214"/>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288" w:hanging="360"/>
        <w:jc w:val="left"/>
        <w:rPr>
          <w:color w:val="4C4D4F"/>
          <w:sz w:val="18"/>
        </w:rPr>
      </w:pPr>
      <w:r>
        <w:rPr>
          <w:color w:val="4C4D4F"/>
          <w:w w:val="110"/>
          <w:sz w:val="18"/>
        </w:rPr>
        <w:t>Sullivan, M., Bisaga, A., Pavlicova, M., Choi, C. </w:t>
      </w:r>
      <w:r>
        <w:rPr>
          <w:color w:val="4C4D4F"/>
          <w:w w:val="120"/>
          <w:sz w:val="18"/>
        </w:rPr>
        <w:t>J., </w:t>
      </w:r>
      <w:r>
        <w:rPr>
          <w:color w:val="4C4D4F"/>
          <w:w w:val="110"/>
          <w:sz w:val="18"/>
        </w:rPr>
        <w:t>Mishlen,</w:t>
      </w:r>
      <w:r>
        <w:rPr>
          <w:color w:val="4C4D4F"/>
          <w:spacing w:val="-7"/>
          <w:w w:val="110"/>
          <w:sz w:val="18"/>
        </w:rPr>
        <w:t> </w:t>
      </w:r>
      <w:r>
        <w:rPr>
          <w:color w:val="4C4D4F"/>
          <w:w w:val="110"/>
          <w:sz w:val="18"/>
        </w:rPr>
        <w:t>K.,</w:t>
      </w:r>
      <w:r>
        <w:rPr>
          <w:color w:val="4C4D4F"/>
          <w:spacing w:val="-6"/>
          <w:w w:val="110"/>
          <w:sz w:val="18"/>
        </w:rPr>
        <w:t> </w:t>
      </w:r>
      <w:r>
        <w:rPr>
          <w:color w:val="4C4D4F"/>
          <w:w w:val="110"/>
          <w:sz w:val="18"/>
        </w:rPr>
        <w:t>Carpenter,</w:t>
      </w:r>
      <w:r>
        <w:rPr>
          <w:color w:val="4C4D4F"/>
          <w:spacing w:val="-6"/>
          <w:w w:val="110"/>
          <w:sz w:val="18"/>
        </w:rPr>
        <w:t> </w:t>
      </w:r>
      <w:r>
        <w:rPr>
          <w:color w:val="4C4D4F"/>
          <w:w w:val="110"/>
          <w:sz w:val="18"/>
        </w:rPr>
        <w:t>K.</w:t>
      </w:r>
      <w:r>
        <w:rPr>
          <w:color w:val="4C4D4F"/>
          <w:spacing w:val="-7"/>
          <w:w w:val="110"/>
          <w:sz w:val="18"/>
        </w:rPr>
        <w:t> </w:t>
      </w:r>
      <w:r>
        <w:rPr>
          <w:color w:val="4C4D4F"/>
          <w:w w:val="110"/>
          <w:sz w:val="18"/>
        </w:rPr>
        <w:t>M.,</w:t>
      </w:r>
      <w:r>
        <w:rPr>
          <w:color w:val="4C4D4F"/>
          <w:spacing w:val="-6"/>
          <w:w w:val="110"/>
          <w:sz w:val="18"/>
        </w:rPr>
        <w:t> </w:t>
      </w:r>
      <w:r>
        <w:rPr>
          <w:color w:val="4C4D4F"/>
          <w:w w:val="110"/>
          <w:sz w:val="18"/>
        </w:rPr>
        <w:t>…</w:t>
      </w:r>
      <w:r>
        <w:rPr>
          <w:color w:val="4C4D4F"/>
          <w:spacing w:val="-6"/>
          <w:w w:val="110"/>
          <w:sz w:val="18"/>
        </w:rPr>
        <w:t> </w:t>
      </w:r>
      <w:r>
        <w:rPr>
          <w:color w:val="4C4D4F"/>
          <w:w w:val="110"/>
          <w:sz w:val="18"/>
        </w:rPr>
        <w:t>Nunes,</w:t>
      </w:r>
      <w:r>
        <w:rPr>
          <w:color w:val="4C4D4F"/>
          <w:spacing w:val="-6"/>
          <w:w w:val="110"/>
          <w:sz w:val="18"/>
        </w:rPr>
        <w:t> </w:t>
      </w:r>
      <w:r>
        <w:rPr>
          <w:color w:val="4C4D4F"/>
          <w:w w:val="110"/>
          <w:sz w:val="18"/>
        </w:rPr>
        <w:t>E.</w:t>
      </w:r>
      <w:r>
        <w:rPr>
          <w:color w:val="4C4D4F"/>
          <w:spacing w:val="-7"/>
          <w:w w:val="110"/>
          <w:sz w:val="18"/>
        </w:rPr>
        <w:t> </w:t>
      </w:r>
      <w:r>
        <w:rPr>
          <w:color w:val="4C4D4F"/>
          <w:spacing w:val="-12"/>
          <w:w w:val="110"/>
          <w:sz w:val="18"/>
        </w:rPr>
        <w:t>V.</w:t>
      </w:r>
      <w:r>
        <w:rPr>
          <w:color w:val="4C4D4F"/>
          <w:spacing w:val="-6"/>
          <w:w w:val="110"/>
          <w:sz w:val="18"/>
        </w:rPr>
        <w:t> </w:t>
      </w:r>
      <w:r>
        <w:rPr>
          <w:color w:val="4C4D4F"/>
          <w:spacing w:val="-3"/>
          <w:w w:val="110"/>
          <w:sz w:val="18"/>
        </w:rPr>
        <w:t>(2017). </w:t>
      </w:r>
      <w:r>
        <w:rPr>
          <w:color w:val="4C4D4F"/>
          <w:w w:val="110"/>
          <w:sz w:val="18"/>
        </w:rPr>
        <w:t>Long-acting injectable naltrexone induction: A randomized trial of outpatient opioid detoxiﬁcation with naltrexone versus buprenorphine. </w:t>
      </w:r>
      <w:r>
        <w:rPr>
          <w:rFonts w:ascii="Arial" w:hAnsi="Arial"/>
          <w:i/>
          <w:color w:val="4C4D4F"/>
          <w:w w:val="110"/>
          <w:sz w:val="18"/>
        </w:rPr>
        <w:t>American </w:t>
      </w:r>
      <w:r>
        <w:rPr>
          <w:rFonts w:ascii="Arial" w:hAnsi="Arial"/>
          <w:i/>
          <w:color w:val="4C4D4F"/>
          <w:w w:val="110"/>
          <w:sz w:val="18"/>
        </w:rPr>
        <w:t>Journal</w:t>
      </w:r>
      <w:r>
        <w:rPr>
          <w:rFonts w:ascii="Arial" w:hAnsi="Arial"/>
          <w:i/>
          <w:color w:val="4C4D4F"/>
          <w:spacing w:val="-14"/>
          <w:w w:val="110"/>
          <w:sz w:val="18"/>
        </w:rPr>
        <w:t> </w:t>
      </w:r>
      <w:r>
        <w:rPr>
          <w:rFonts w:ascii="Arial" w:hAnsi="Arial"/>
          <w:i/>
          <w:color w:val="4C4D4F"/>
          <w:w w:val="110"/>
          <w:sz w:val="18"/>
        </w:rPr>
        <w:t>of</w:t>
      </w:r>
      <w:r>
        <w:rPr>
          <w:rFonts w:ascii="Arial" w:hAnsi="Arial"/>
          <w:i/>
          <w:color w:val="4C4D4F"/>
          <w:spacing w:val="-14"/>
          <w:w w:val="110"/>
          <w:sz w:val="18"/>
        </w:rPr>
        <w:t> </w:t>
      </w:r>
      <w:r>
        <w:rPr>
          <w:rFonts w:ascii="Arial" w:hAnsi="Arial"/>
          <w:i/>
          <w:color w:val="4C4D4F"/>
          <w:w w:val="110"/>
          <w:sz w:val="18"/>
        </w:rPr>
        <w:t>Psychiatry,</w:t>
      </w:r>
      <w:r>
        <w:rPr>
          <w:rFonts w:ascii="Arial" w:hAnsi="Arial"/>
          <w:i/>
          <w:color w:val="4C4D4F"/>
          <w:spacing w:val="-13"/>
          <w:w w:val="110"/>
          <w:sz w:val="18"/>
        </w:rPr>
        <w:t> </w:t>
      </w:r>
      <w:r>
        <w:rPr>
          <w:rFonts w:ascii="Arial" w:hAnsi="Arial"/>
          <w:i/>
          <w:color w:val="4C4D4F"/>
          <w:w w:val="110"/>
          <w:sz w:val="18"/>
        </w:rPr>
        <w:t>174</w:t>
      </w:r>
      <w:r>
        <w:rPr>
          <w:color w:val="4C4D4F"/>
          <w:w w:val="110"/>
          <w:sz w:val="18"/>
        </w:rPr>
        <w:t>(5),</w:t>
      </w:r>
      <w:r>
        <w:rPr>
          <w:color w:val="4C4D4F"/>
          <w:spacing w:val="-14"/>
          <w:w w:val="110"/>
          <w:sz w:val="18"/>
        </w:rPr>
        <w:t> </w:t>
      </w:r>
      <w:r>
        <w:rPr>
          <w:color w:val="4C4D4F"/>
          <w:w w:val="110"/>
          <w:sz w:val="18"/>
        </w:rPr>
        <w:t>459–467.</w:t>
      </w:r>
    </w:p>
    <w:p>
      <w:pPr>
        <w:pStyle w:val="ListParagraph"/>
        <w:numPr>
          <w:ilvl w:val="0"/>
          <w:numId w:val="51"/>
        </w:numPr>
        <w:tabs>
          <w:tab w:pos="500" w:val="left" w:leader="none"/>
        </w:tabs>
        <w:spacing w:line="247" w:lineRule="auto" w:before="75" w:after="0"/>
        <w:ind w:left="500" w:right="288" w:hanging="360"/>
        <w:jc w:val="left"/>
        <w:rPr>
          <w:color w:val="4C4D4F"/>
          <w:sz w:val="18"/>
        </w:rPr>
      </w:pPr>
      <w:r>
        <w:rPr>
          <w:color w:val="4C4D4F"/>
          <w:w w:val="110"/>
          <w:sz w:val="18"/>
        </w:rPr>
        <w:t>Sullivan, M., Bisaga, A., Pavlicova, M., Choi, C. </w:t>
      </w:r>
      <w:r>
        <w:rPr>
          <w:color w:val="4C4D4F"/>
          <w:w w:val="120"/>
          <w:sz w:val="18"/>
        </w:rPr>
        <w:t>J., </w:t>
      </w:r>
      <w:r>
        <w:rPr>
          <w:color w:val="4C4D4F"/>
          <w:w w:val="110"/>
          <w:sz w:val="18"/>
        </w:rPr>
        <w:t>Mishlen,</w:t>
      </w:r>
      <w:r>
        <w:rPr>
          <w:color w:val="4C4D4F"/>
          <w:spacing w:val="-7"/>
          <w:w w:val="110"/>
          <w:sz w:val="18"/>
        </w:rPr>
        <w:t> </w:t>
      </w:r>
      <w:r>
        <w:rPr>
          <w:color w:val="4C4D4F"/>
          <w:w w:val="110"/>
          <w:sz w:val="18"/>
        </w:rPr>
        <w:t>K.,</w:t>
      </w:r>
      <w:r>
        <w:rPr>
          <w:color w:val="4C4D4F"/>
          <w:spacing w:val="-6"/>
          <w:w w:val="110"/>
          <w:sz w:val="18"/>
        </w:rPr>
        <w:t> </w:t>
      </w:r>
      <w:r>
        <w:rPr>
          <w:color w:val="4C4D4F"/>
          <w:w w:val="110"/>
          <w:sz w:val="18"/>
        </w:rPr>
        <w:t>Carpenter,</w:t>
      </w:r>
      <w:r>
        <w:rPr>
          <w:color w:val="4C4D4F"/>
          <w:spacing w:val="-6"/>
          <w:w w:val="110"/>
          <w:sz w:val="18"/>
        </w:rPr>
        <w:t> </w:t>
      </w:r>
      <w:r>
        <w:rPr>
          <w:color w:val="4C4D4F"/>
          <w:w w:val="110"/>
          <w:sz w:val="18"/>
        </w:rPr>
        <w:t>K.</w:t>
      </w:r>
      <w:r>
        <w:rPr>
          <w:color w:val="4C4D4F"/>
          <w:spacing w:val="-7"/>
          <w:w w:val="110"/>
          <w:sz w:val="18"/>
        </w:rPr>
        <w:t> </w:t>
      </w:r>
      <w:r>
        <w:rPr>
          <w:color w:val="4C4D4F"/>
          <w:w w:val="110"/>
          <w:sz w:val="18"/>
        </w:rPr>
        <w:t>M.,</w:t>
      </w:r>
      <w:r>
        <w:rPr>
          <w:color w:val="4C4D4F"/>
          <w:spacing w:val="-6"/>
          <w:w w:val="110"/>
          <w:sz w:val="18"/>
        </w:rPr>
        <w:t> </w:t>
      </w:r>
      <w:r>
        <w:rPr>
          <w:color w:val="4C4D4F"/>
          <w:w w:val="110"/>
          <w:sz w:val="18"/>
        </w:rPr>
        <w:t>…</w:t>
      </w:r>
      <w:r>
        <w:rPr>
          <w:color w:val="4C4D4F"/>
          <w:spacing w:val="-6"/>
          <w:w w:val="110"/>
          <w:sz w:val="18"/>
        </w:rPr>
        <w:t> </w:t>
      </w:r>
      <w:r>
        <w:rPr>
          <w:color w:val="4C4D4F"/>
          <w:w w:val="110"/>
          <w:sz w:val="18"/>
        </w:rPr>
        <w:t>Nunes,</w:t>
      </w:r>
      <w:r>
        <w:rPr>
          <w:color w:val="4C4D4F"/>
          <w:spacing w:val="-6"/>
          <w:w w:val="110"/>
          <w:sz w:val="18"/>
        </w:rPr>
        <w:t> </w:t>
      </w:r>
      <w:r>
        <w:rPr>
          <w:color w:val="4C4D4F"/>
          <w:w w:val="110"/>
          <w:sz w:val="18"/>
        </w:rPr>
        <w:t>E.</w:t>
      </w:r>
      <w:r>
        <w:rPr>
          <w:color w:val="4C4D4F"/>
          <w:spacing w:val="-7"/>
          <w:w w:val="110"/>
          <w:sz w:val="18"/>
        </w:rPr>
        <w:t> </w:t>
      </w:r>
      <w:r>
        <w:rPr>
          <w:color w:val="4C4D4F"/>
          <w:spacing w:val="-12"/>
          <w:w w:val="110"/>
          <w:sz w:val="18"/>
        </w:rPr>
        <w:t>V.</w:t>
      </w:r>
      <w:r>
        <w:rPr>
          <w:color w:val="4C4D4F"/>
          <w:spacing w:val="-6"/>
          <w:w w:val="110"/>
          <w:sz w:val="18"/>
        </w:rPr>
        <w:t> </w:t>
      </w:r>
      <w:r>
        <w:rPr>
          <w:color w:val="4C4D4F"/>
          <w:spacing w:val="-3"/>
          <w:w w:val="110"/>
          <w:sz w:val="18"/>
        </w:rPr>
        <w:t>(2017). </w:t>
      </w:r>
      <w:r>
        <w:rPr>
          <w:color w:val="4C4D4F"/>
          <w:w w:val="110"/>
          <w:sz w:val="18"/>
        </w:rPr>
        <w:t>Long-acting injectable naltrexone induction: A randomized trial of outpatient opioid detoxiﬁcation with naltrexone versus buprenorphine. </w:t>
      </w:r>
      <w:r>
        <w:rPr>
          <w:rFonts w:ascii="Arial" w:hAnsi="Arial"/>
          <w:i/>
          <w:color w:val="4C4D4F"/>
          <w:w w:val="110"/>
          <w:sz w:val="18"/>
        </w:rPr>
        <w:t>American </w:t>
      </w:r>
      <w:r>
        <w:rPr>
          <w:rFonts w:ascii="Arial" w:hAnsi="Arial"/>
          <w:i/>
          <w:color w:val="4C4D4F"/>
          <w:w w:val="110"/>
          <w:sz w:val="18"/>
        </w:rPr>
        <w:t>Journal</w:t>
      </w:r>
      <w:r>
        <w:rPr>
          <w:rFonts w:ascii="Arial" w:hAnsi="Arial"/>
          <w:i/>
          <w:color w:val="4C4D4F"/>
          <w:spacing w:val="-14"/>
          <w:w w:val="110"/>
          <w:sz w:val="18"/>
        </w:rPr>
        <w:t> </w:t>
      </w:r>
      <w:r>
        <w:rPr>
          <w:rFonts w:ascii="Arial" w:hAnsi="Arial"/>
          <w:i/>
          <w:color w:val="4C4D4F"/>
          <w:w w:val="110"/>
          <w:sz w:val="18"/>
        </w:rPr>
        <w:t>of</w:t>
      </w:r>
      <w:r>
        <w:rPr>
          <w:rFonts w:ascii="Arial" w:hAnsi="Arial"/>
          <w:i/>
          <w:color w:val="4C4D4F"/>
          <w:spacing w:val="-14"/>
          <w:w w:val="110"/>
          <w:sz w:val="18"/>
        </w:rPr>
        <w:t> </w:t>
      </w:r>
      <w:r>
        <w:rPr>
          <w:rFonts w:ascii="Arial" w:hAnsi="Arial"/>
          <w:i/>
          <w:color w:val="4C4D4F"/>
          <w:w w:val="110"/>
          <w:sz w:val="18"/>
        </w:rPr>
        <w:t>Psychiatry,</w:t>
      </w:r>
      <w:r>
        <w:rPr>
          <w:rFonts w:ascii="Arial" w:hAnsi="Arial"/>
          <w:i/>
          <w:color w:val="4C4D4F"/>
          <w:spacing w:val="-13"/>
          <w:w w:val="110"/>
          <w:sz w:val="18"/>
        </w:rPr>
        <w:t> </w:t>
      </w:r>
      <w:r>
        <w:rPr>
          <w:rFonts w:ascii="Arial" w:hAnsi="Arial"/>
          <w:i/>
          <w:color w:val="4C4D4F"/>
          <w:w w:val="110"/>
          <w:sz w:val="18"/>
        </w:rPr>
        <w:t>174</w:t>
      </w:r>
      <w:r>
        <w:rPr>
          <w:color w:val="4C4D4F"/>
          <w:w w:val="110"/>
          <w:sz w:val="18"/>
        </w:rPr>
        <w:t>(5),</w:t>
      </w:r>
      <w:r>
        <w:rPr>
          <w:color w:val="4C4D4F"/>
          <w:spacing w:val="-14"/>
          <w:w w:val="110"/>
          <w:sz w:val="18"/>
        </w:rPr>
        <w:t> </w:t>
      </w:r>
      <w:r>
        <w:rPr>
          <w:color w:val="4C4D4F"/>
          <w:w w:val="110"/>
          <w:sz w:val="18"/>
        </w:rPr>
        <w:t>459–467.</w:t>
      </w:r>
    </w:p>
    <w:p>
      <w:pPr>
        <w:pStyle w:val="ListParagraph"/>
        <w:numPr>
          <w:ilvl w:val="0"/>
          <w:numId w:val="51"/>
        </w:numPr>
        <w:tabs>
          <w:tab w:pos="500" w:val="left" w:leader="none"/>
        </w:tabs>
        <w:spacing w:line="249" w:lineRule="auto" w:before="73" w:after="0"/>
        <w:ind w:left="500" w:right="218" w:hanging="360"/>
        <w:jc w:val="left"/>
        <w:rPr>
          <w:color w:val="4C4D4F"/>
          <w:sz w:val="18"/>
        </w:rPr>
      </w:pPr>
      <w:r>
        <w:rPr>
          <w:color w:val="4C4D4F"/>
          <w:w w:val="110"/>
          <w:sz w:val="18"/>
        </w:rPr>
        <w:t>Bisaga, A. (2015). </w:t>
      </w:r>
      <w:r>
        <w:rPr>
          <w:rFonts w:ascii="Arial" w:hAnsi="Arial"/>
          <w:i/>
          <w:color w:val="4C4D4F"/>
          <w:w w:val="110"/>
          <w:sz w:val="18"/>
        </w:rPr>
        <w:t>Implementing antagonist-based </w:t>
      </w:r>
      <w:r>
        <w:rPr>
          <w:rFonts w:ascii="Arial" w:hAnsi="Arial"/>
          <w:i/>
          <w:color w:val="4C4D4F"/>
          <w:w w:val="110"/>
          <w:sz w:val="18"/>
        </w:rPr>
        <w:t>relapse prevention treatment for buprenorphine- treated</w:t>
      </w:r>
      <w:r>
        <w:rPr>
          <w:rFonts w:ascii="Arial" w:hAnsi="Arial"/>
          <w:i/>
          <w:color w:val="4C4D4F"/>
          <w:spacing w:val="-29"/>
          <w:w w:val="110"/>
          <w:sz w:val="18"/>
        </w:rPr>
        <w:t> </w:t>
      </w:r>
      <w:r>
        <w:rPr>
          <w:rFonts w:ascii="Arial" w:hAnsi="Arial"/>
          <w:i/>
          <w:color w:val="4C4D4F"/>
          <w:w w:val="110"/>
          <w:sz w:val="18"/>
        </w:rPr>
        <w:t>individuals.</w:t>
      </w:r>
      <w:r>
        <w:rPr>
          <w:rFonts w:ascii="Arial" w:hAnsi="Arial"/>
          <w:i/>
          <w:color w:val="4C4D4F"/>
          <w:spacing w:val="-29"/>
          <w:w w:val="110"/>
          <w:sz w:val="18"/>
        </w:rPr>
        <w:t> </w:t>
      </w:r>
      <w:r>
        <w:rPr>
          <w:color w:val="4C4D4F"/>
          <w:w w:val="110"/>
          <w:sz w:val="18"/>
        </w:rPr>
        <w:t>Providence,</w:t>
      </w:r>
      <w:r>
        <w:rPr>
          <w:color w:val="4C4D4F"/>
          <w:spacing w:val="-29"/>
          <w:w w:val="110"/>
          <w:sz w:val="18"/>
        </w:rPr>
        <w:t> </w:t>
      </w:r>
      <w:r>
        <w:rPr>
          <w:color w:val="4C4D4F"/>
          <w:w w:val="110"/>
          <w:sz w:val="18"/>
        </w:rPr>
        <w:t>RI:</w:t>
      </w:r>
      <w:r>
        <w:rPr>
          <w:color w:val="4C4D4F"/>
          <w:spacing w:val="-29"/>
          <w:w w:val="110"/>
          <w:sz w:val="18"/>
        </w:rPr>
        <w:t> </w:t>
      </w:r>
      <w:r>
        <w:rPr>
          <w:color w:val="4C4D4F"/>
          <w:w w:val="110"/>
          <w:sz w:val="18"/>
        </w:rPr>
        <w:t>Providers’</w:t>
      </w:r>
      <w:r>
        <w:rPr>
          <w:color w:val="4C4D4F"/>
          <w:spacing w:val="-29"/>
          <w:w w:val="110"/>
          <w:sz w:val="18"/>
        </w:rPr>
        <w:t> </w:t>
      </w:r>
      <w:r>
        <w:rPr>
          <w:color w:val="4C4D4F"/>
          <w:w w:val="110"/>
          <w:sz w:val="18"/>
        </w:rPr>
        <w:t>Clinical Support System for Medication-Assisted</w:t>
      </w:r>
      <w:r>
        <w:rPr>
          <w:color w:val="4C4D4F"/>
          <w:spacing w:val="10"/>
          <w:w w:val="110"/>
          <w:sz w:val="18"/>
        </w:rPr>
        <w:t> </w:t>
      </w:r>
      <w:r>
        <w:rPr>
          <w:color w:val="4C4D4F"/>
          <w:spacing w:val="-3"/>
          <w:w w:val="110"/>
          <w:sz w:val="18"/>
        </w:rPr>
        <w:t>Treatment.</w:t>
      </w:r>
    </w:p>
    <w:p>
      <w:pPr>
        <w:pStyle w:val="ListParagraph"/>
        <w:numPr>
          <w:ilvl w:val="0"/>
          <w:numId w:val="51"/>
        </w:numPr>
        <w:tabs>
          <w:tab w:pos="500" w:val="left" w:leader="none"/>
        </w:tabs>
        <w:spacing w:line="247" w:lineRule="auto" w:before="68" w:after="0"/>
        <w:ind w:left="500" w:right="94" w:hanging="360"/>
        <w:jc w:val="left"/>
        <w:rPr>
          <w:color w:val="4C4D4F"/>
          <w:sz w:val="18"/>
        </w:rPr>
      </w:pPr>
      <w:r>
        <w:rPr>
          <w:color w:val="4C4D4F"/>
          <w:spacing w:val="-3"/>
          <w:w w:val="110"/>
          <w:sz w:val="18"/>
        </w:rPr>
        <w:t>Shearer, </w:t>
      </w:r>
      <w:r>
        <w:rPr>
          <w:color w:val="4C4D4F"/>
          <w:w w:val="120"/>
          <w:sz w:val="18"/>
        </w:rPr>
        <w:t>J., </w:t>
      </w:r>
      <w:r>
        <w:rPr>
          <w:color w:val="4C4D4F"/>
          <w:w w:val="110"/>
          <w:sz w:val="18"/>
        </w:rPr>
        <w:t>Wodak, A. D., &amp; Dolan, K. A. (2007). Evaluation of a prison-based naltrexone program. </w:t>
      </w:r>
      <w:r>
        <w:rPr>
          <w:rFonts w:ascii="Arial" w:hAnsi="Arial"/>
          <w:i/>
          <w:color w:val="4C4D4F"/>
          <w:w w:val="105"/>
          <w:sz w:val="18"/>
        </w:rPr>
        <w:t>International</w:t>
      </w:r>
      <w:r>
        <w:rPr>
          <w:rFonts w:ascii="Arial" w:hAnsi="Arial"/>
          <w:i/>
          <w:color w:val="4C4D4F"/>
          <w:spacing w:val="-15"/>
          <w:w w:val="105"/>
          <w:sz w:val="18"/>
        </w:rPr>
        <w:t> </w:t>
      </w:r>
      <w:r>
        <w:rPr>
          <w:rFonts w:ascii="Arial" w:hAnsi="Arial"/>
          <w:i/>
          <w:color w:val="4C4D4F"/>
          <w:w w:val="105"/>
          <w:sz w:val="18"/>
        </w:rPr>
        <w:t>Journal</w:t>
      </w:r>
      <w:r>
        <w:rPr>
          <w:rFonts w:ascii="Arial" w:hAnsi="Arial"/>
          <w:i/>
          <w:color w:val="4C4D4F"/>
          <w:spacing w:val="-14"/>
          <w:w w:val="105"/>
          <w:sz w:val="18"/>
        </w:rPr>
        <w:t> </w:t>
      </w:r>
      <w:r>
        <w:rPr>
          <w:rFonts w:ascii="Arial" w:hAnsi="Arial"/>
          <w:i/>
          <w:color w:val="4C4D4F"/>
          <w:w w:val="105"/>
          <w:sz w:val="18"/>
        </w:rPr>
        <w:t>of</w:t>
      </w:r>
      <w:r>
        <w:rPr>
          <w:rFonts w:ascii="Arial" w:hAnsi="Arial"/>
          <w:i/>
          <w:color w:val="4C4D4F"/>
          <w:spacing w:val="-14"/>
          <w:w w:val="105"/>
          <w:sz w:val="18"/>
        </w:rPr>
        <w:t> </w:t>
      </w:r>
      <w:r>
        <w:rPr>
          <w:rFonts w:ascii="Arial" w:hAnsi="Arial"/>
          <w:i/>
          <w:color w:val="4C4D4F"/>
          <w:w w:val="105"/>
          <w:sz w:val="18"/>
        </w:rPr>
        <w:t>Prisoner</w:t>
      </w:r>
      <w:r>
        <w:rPr>
          <w:rFonts w:ascii="Arial" w:hAnsi="Arial"/>
          <w:i/>
          <w:color w:val="4C4D4F"/>
          <w:spacing w:val="-14"/>
          <w:w w:val="105"/>
          <w:sz w:val="18"/>
        </w:rPr>
        <w:t> </w:t>
      </w:r>
      <w:r>
        <w:rPr>
          <w:rFonts w:ascii="Arial" w:hAnsi="Arial"/>
          <w:i/>
          <w:color w:val="4C4D4F"/>
          <w:w w:val="105"/>
          <w:sz w:val="18"/>
        </w:rPr>
        <w:t>Health,</w:t>
      </w:r>
      <w:r>
        <w:rPr>
          <w:rFonts w:ascii="Arial" w:hAnsi="Arial"/>
          <w:i/>
          <w:color w:val="4C4D4F"/>
          <w:spacing w:val="-14"/>
          <w:w w:val="105"/>
          <w:sz w:val="18"/>
        </w:rPr>
        <w:t> </w:t>
      </w:r>
      <w:r>
        <w:rPr>
          <w:rFonts w:ascii="Arial" w:hAnsi="Arial"/>
          <w:i/>
          <w:color w:val="4C4D4F"/>
          <w:w w:val="105"/>
          <w:sz w:val="18"/>
        </w:rPr>
        <w:t>3</w:t>
      </w:r>
      <w:r>
        <w:rPr>
          <w:color w:val="4C4D4F"/>
          <w:w w:val="105"/>
          <w:sz w:val="18"/>
        </w:rPr>
        <w:t>(3),</w:t>
      </w:r>
      <w:r>
        <w:rPr>
          <w:color w:val="4C4D4F"/>
          <w:spacing w:val="-14"/>
          <w:w w:val="105"/>
          <w:sz w:val="18"/>
        </w:rPr>
        <w:t> </w:t>
      </w:r>
      <w:r>
        <w:rPr>
          <w:color w:val="4C4D4F"/>
          <w:spacing w:val="-3"/>
          <w:w w:val="105"/>
          <w:sz w:val="18"/>
        </w:rPr>
        <w:t>214–224.</w:t>
      </w:r>
    </w:p>
    <w:p>
      <w:pPr>
        <w:pStyle w:val="ListParagraph"/>
        <w:numPr>
          <w:ilvl w:val="0"/>
          <w:numId w:val="51"/>
        </w:numPr>
        <w:tabs>
          <w:tab w:pos="500" w:val="left" w:leader="none"/>
        </w:tabs>
        <w:spacing w:line="247" w:lineRule="auto" w:before="73" w:after="0"/>
        <w:ind w:left="500" w:right="181" w:hanging="360"/>
        <w:jc w:val="left"/>
        <w:rPr>
          <w:color w:val="4C4D4F"/>
          <w:sz w:val="18"/>
        </w:rPr>
      </w:pPr>
      <w:r>
        <w:rPr>
          <w:color w:val="4C4D4F"/>
          <w:w w:val="110"/>
          <w:sz w:val="18"/>
        </w:rPr>
        <w:t>Adi, </w:t>
      </w:r>
      <w:r>
        <w:rPr>
          <w:color w:val="4C4D4F"/>
          <w:spacing w:val="-9"/>
          <w:w w:val="110"/>
          <w:sz w:val="18"/>
        </w:rPr>
        <w:t>Y., </w:t>
      </w:r>
      <w:r>
        <w:rPr>
          <w:color w:val="4C4D4F"/>
          <w:w w:val="110"/>
          <w:sz w:val="18"/>
        </w:rPr>
        <w:t>Juarez-Garcia, A., Wang, D., Jowett, S., </w:t>
      </w:r>
      <w:r>
        <w:rPr>
          <w:color w:val="4C4D4F"/>
          <w:spacing w:val="-3"/>
          <w:w w:val="110"/>
          <w:sz w:val="18"/>
        </w:rPr>
        <w:t>Frew, </w:t>
      </w:r>
      <w:r>
        <w:rPr>
          <w:color w:val="4C4D4F"/>
          <w:w w:val="110"/>
          <w:sz w:val="18"/>
        </w:rPr>
        <w:t>E., </w:t>
      </w:r>
      <w:r>
        <w:rPr>
          <w:color w:val="4C4D4F"/>
          <w:spacing w:val="-4"/>
          <w:w w:val="110"/>
          <w:sz w:val="18"/>
        </w:rPr>
        <w:t>Day, </w:t>
      </w:r>
      <w:r>
        <w:rPr>
          <w:color w:val="4C4D4F"/>
          <w:w w:val="110"/>
          <w:sz w:val="18"/>
        </w:rPr>
        <w:t>E., … Burls, A. (2007). Oral naltrexone as a treatment for relapse prevention in formerly opioid- dependent drug users: A systematic review and </w:t>
      </w:r>
      <w:r>
        <w:rPr>
          <w:color w:val="4C4D4F"/>
          <w:w w:val="105"/>
          <w:sz w:val="18"/>
        </w:rPr>
        <w:t>economic</w:t>
      </w:r>
      <w:r>
        <w:rPr>
          <w:color w:val="4C4D4F"/>
          <w:spacing w:val="-18"/>
          <w:w w:val="105"/>
          <w:sz w:val="18"/>
        </w:rPr>
        <w:t> </w:t>
      </w:r>
      <w:r>
        <w:rPr>
          <w:color w:val="4C4D4F"/>
          <w:w w:val="105"/>
          <w:sz w:val="18"/>
        </w:rPr>
        <w:t>evaluation.</w:t>
      </w:r>
      <w:r>
        <w:rPr>
          <w:color w:val="4C4D4F"/>
          <w:spacing w:val="-17"/>
          <w:w w:val="105"/>
          <w:sz w:val="18"/>
        </w:rPr>
        <w:t> </w:t>
      </w:r>
      <w:r>
        <w:rPr>
          <w:rFonts w:ascii="Arial" w:hAnsi="Arial"/>
          <w:i/>
          <w:color w:val="4C4D4F"/>
          <w:w w:val="105"/>
          <w:sz w:val="18"/>
        </w:rPr>
        <w:t>Health</w:t>
      </w:r>
      <w:r>
        <w:rPr>
          <w:rFonts w:ascii="Arial" w:hAnsi="Arial"/>
          <w:i/>
          <w:color w:val="4C4D4F"/>
          <w:spacing w:val="-17"/>
          <w:w w:val="105"/>
          <w:sz w:val="18"/>
        </w:rPr>
        <w:t> </w:t>
      </w:r>
      <w:r>
        <w:rPr>
          <w:rFonts w:ascii="Arial" w:hAnsi="Arial"/>
          <w:i/>
          <w:color w:val="4C4D4F"/>
          <w:w w:val="105"/>
          <w:sz w:val="18"/>
        </w:rPr>
        <w:t>Technology</w:t>
      </w:r>
      <w:r>
        <w:rPr>
          <w:rFonts w:ascii="Arial" w:hAnsi="Arial"/>
          <w:i/>
          <w:color w:val="4C4D4F"/>
          <w:spacing w:val="-18"/>
          <w:w w:val="105"/>
          <w:sz w:val="18"/>
        </w:rPr>
        <w:t> </w:t>
      </w:r>
      <w:r>
        <w:rPr>
          <w:rFonts w:ascii="Arial" w:hAnsi="Arial"/>
          <w:i/>
          <w:color w:val="4C4D4F"/>
          <w:w w:val="105"/>
          <w:sz w:val="18"/>
        </w:rPr>
        <w:t>Assessment, </w:t>
      </w:r>
      <w:r>
        <w:rPr>
          <w:rFonts w:ascii="Arial" w:hAnsi="Arial"/>
          <w:i/>
          <w:color w:val="4C4D4F"/>
          <w:w w:val="110"/>
          <w:sz w:val="18"/>
        </w:rPr>
        <w:t>11</w:t>
      </w:r>
      <w:r>
        <w:rPr>
          <w:color w:val="4C4D4F"/>
          <w:w w:val="110"/>
          <w:sz w:val="18"/>
        </w:rPr>
        <w:t>(6), iii–iv,</w:t>
      </w:r>
      <w:r>
        <w:rPr>
          <w:color w:val="4C4D4F"/>
          <w:spacing w:val="-12"/>
          <w:w w:val="110"/>
          <w:sz w:val="18"/>
        </w:rPr>
        <w:t> </w:t>
      </w:r>
      <w:r>
        <w:rPr>
          <w:color w:val="4C4D4F"/>
          <w:w w:val="110"/>
          <w:sz w:val="18"/>
        </w:rPr>
        <w:t>1–85.</w:t>
      </w:r>
    </w:p>
    <w:p>
      <w:pPr>
        <w:pStyle w:val="ListParagraph"/>
        <w:numPr>
          <w:ilvl w:val="0"/>
          <w:numId w:val="51"/>
        </w:numPr>
        <w:tabs>
          <w:tab w:pos="500" w:val="left" w:leader="none"/>
        </w:tabs>
        <w:spacing w:line="247" w:lineRule="auto" w:before="75" w:after="0"/>
        <w:ind w:left="500" w:right="48" w:hanging="360"/>
        <w:jc w:val="left"/>
        <w:rPr>
          <w:color w:val="4C4D4F"/>
          <w:sz w:val="18"/>
        </w:rPr>
      </w:pPr>
      <w:r>
        <w:rPr>
          <w:color w:val="4C4D4F"/>
          <w:w w:val="110"/>
          <w:sz w:val="18"/>
        </w:rPr>
        <w:t>Department of Veterans Affairs &amp; Department of Defense.</w:t>
      </w:r>
      <w:r>
        <w:rPr>
          <w:color w:val="4C4D4F"/>
          <w:spacing w:val="-33"/>
          <w:w w:val="110"/>
          <w:sz w:val="18"/>
        </w:rPr>
        <w:t> </w:t>
      </w:r>
      <w:r>
        <w:rPr>
          <w:color w:val="4C4D4F"/>
          <w:w w:val="110"/>
          <w:sz w:val="18"/>
        </w:rPr>
        <w:t>(2015).</w:t>
      </w:r>
      <w:r>
        <w:rPr>
          <w:color w:val="4C4D4F"/>
          <w:spacing w:val="-33"/>
          <w:w w:val="110"/>
          <w:sz w:val="18"/>
        </w:rPr>
        <w:t> </w:t>
      </w:r>
      <w:r>
        <w:rPr>
          <w:rFonts w:ascii="Arial"/>
          <w:i/>
          <w:color w:val="4C4D4F"/>
          <w:w w:val="110"/>
          <w:sz w:val="18"/>
        </w:rPr>
        <w:t>VA/DoD</w:t>
      </w:r>
      <w:r>
        <w:rPr>
          <w:rFonts w:ascii="Arial"/>
          <w:i/>
          <w:color w:val="4C4D4F"/>
          <w:spacing w:val="-32"/>
          <w:w w:val="110"/>
          <w:sz w:val="18"/>
        </w:rPr>
        <w:t> </w:t>
      </w:r>
      <w:r>
        <w:rPr>
          <w:rFonts w:ascii="Arial"/>
          <w:i/>
          <w:color w:val="4C4D4F"/>
          <w:w w:val="110"/>
          <w:sz w:val="18"/>
        </w:rPr>
        <w:t>clinical</w:t>
      </w:r>
      <w:r>
        <w:rPr>
          <w:rFonts w:ascii="Arial"/>
          <w:i/>
          <w:color w:val="4C4D4F"/>
          <w:spacing w:val="-33"/>
          <w:w w:val="110"/>
          <w:sz w:val="18"/>
        </w:rPr>
        <w:t> </w:t>
      </w:r>
      <w:r>
        <w:rPr>
          <w:rFonts w:ascii="Arial"/>
          <w:i/>
          <w:color w:val="4C4D4F"/>
          <w:w w:val="110"/>
          <w:sz w:val="18"/>
        </w:rPr>
        <w:t>practice</w:t>
      </w:r>
      <w:r>
        <w:rPr>
          <w:rFonts w:ascii="Arial"/>
          <w:i/>
          <w:color w:val="4C4D4F"/>
          <w:spacing w:val="-32"/>
          <w:w w:val="110"/>
          <w:sz w:val="18"/>
        </w:rPr>
        <w:t> </w:t>
      </w:r>
      <w:r>
        <w:rPr>
          <w:rFonts w:ascii="Arial"/>
          <w:i/>
          <w:color w:val="4C4D4F"/>
          <w:w w:val="110"/>
          <w:sz w:val="18"/>
        </w:rPr>
        <w:t>guideline</w:t>
      </w:r>
      <w:r>
        <w:rPr>
          <w:rFonts w:ascii="Arial"/>
          <w:i/>
          <w:color w:val="4C4D4F"/>
          <w:spacing w:val="-33"/>
          <w:w w:val="110"/>
          <w:sz w:val="18"/>
        </w:rPr>
        <w:t> </w:t>
      </w:r>
      <w:r>
        <w:rPr>
          <w:rFonts w:ascii="Arial"/>
          <w:i/>
          <w:color w:val="4C4D4F"/>
          <w:w w:val="110"/>
          <w:sz w:val="18"/>
        </w:rPr>
        <w:t>for </w:t>
      </w:r>
      <w:r>
        <w:rPr>
          <w:rFonts w:ascii="Arial"/>
          <w:i/>
          <w:color w:val="4C4D4F"/>
          <w:w w:val="105"/>
          <w:sz w:val="18"/>
        </w:rPr>
        <w:t>the</w:t>
      </w:r>
      <w:r>
        <w:rPr>
          <w:rFonts w:ascii="Arial"/>
          <w:i/>
          <w:color w:val="4C4D4F"/>
          <w:spacing w:val="-23"/>
          <w:w w:val="105"/>
          <w:sz w:val="18"/>
        </w:rPr>
        <w:t> </w:t>
      </w:r>
      <w:r>
        <w:rPr>
          <w:rFonts w:ascii="Arial"/>
          <w:i/>
          <w:color w:val="4C4D4F"/>
          <w:w w:val="105"/>
          <w:sz w:val="18"/>
        </w:rPr>
        <w:t>management</w:t>
      </w:r>
      <w:r>
        <w:rPr>
          <w:rFonts w:ascii="Arial"/>
          <w:i/>
          <w:color w:val="4C4D4F"/>
          <w:spacing w:val="-23"/>
          <w:w w:val="105"/>
          <w:sz w:val="18"/>
        </w:rPr>
        <w:t> </w:t>
      </w:r>
      <w:r>
        <w:rPr>
          <w:rFonts w:ascii="Arial"/>
          <w:i/>
          <w:color w:val="4C4D4F"/>
          <w:w w:val="105"/>
          <w:sz w:val="18"/>
        </w:rPr>
        <w:t>of</w:t>
      </w:r>
      <w:r>
        <w:rPr>
          <w:rFonts w:ascii="Arial"/>
          <w:i/>
          <w:color w:val="4C4D4F"/>
          <w:spacing w:val="-22"/>
          <w:w w:val="105"/>
          <w:sz w:val="18"/>
        </w:rPr>
        <w:t> </w:t>
      </w:r>
      <w:r>
        <w:rPr>
          <w:rFonts w:ascii="Arial"/>
          <w:i/>
          <w:color w:val="4C4D4F"/>
          <w:w w:val="105"/>
          <w:sz w:val="18"/>
        </w:rPr>
        <w:t>substance</w:t>
      </w:r>
      <w:r>
        <w:rPr>
          <w:rFonts w:ascii="Arial"/>
          <w:i/>
          <w:color w:val="4C4D4F"/>
          <w:spacing w:val="-23"/>
          <w:w w:val="105"/>
          <w:sz w:val="18"/>
        </w:rPr>
        <w:t> </w:t>
      </w:r>
      <w:r>
        <w:rPr>
          <w:rFonts w:ascii="Arial"/>
          <w:i/>
          <w:color w:val="4C4D4F"/>
          <w:w w:val="105"/>
          <w:sz w:val="18"/>
        </w:rPr>
        <w:t>use</w:t>
      </w:r>
      <w:r>
        <w:rPr>
          <w:rFonts w:ascii="Arial"/>
          <w:i/>
          <w:color w:val="4C4D4F"/>
          <w:spacing w:val="-22"/>
          <w:w w:val="105"/>
          <w:sz w:val="18"/>
        </w:rPr>
        <w:t> </w:t>
      </w:r>
      <w:r>
        <w:rPr>
          <w:rFonts w:ascii="Arial"/>
          <w:i/>
          <w:color w:val="4C4D4F"/>
          <w:w w:val="105"/>
          <w:sz w:val="18"/>
        </w:rPr>
        <w:t>disorders.</w:t>
      </w:r>
      <w:r>
        <w:rPr>
          <w:rFonts w:ascii="Arial"/>
          <w:i/>
          <w:color w:val="4C4D4F"/>
          <w:spacing w:val="-23"/>
          <w:w w:val="105"/>
          <w:sz w:val="18"/>
        </w:rPr>
        <w:t> </w:t>
      </w:r>
      <w:r>
        <w:rPr>
          <w:color w:val="4C4D4F"/>
          <w:w w:val="105"/>
          <w:sz w:val="18"/>
        </w:rPr>
        <w:t>Retrieved </w:t>
      </w:r>
      <w:r>
        <w:rPr>
          <w:color w:val="4C4D4F"/>
          <w:w w:val="110"/>
          <w:sz w:val="18"/>
        </w:rPr>
        <w:t>October 16, 2017, from</w:t>
      </w:r>
      <w:r>
        <w:rPr>
          <w:color w:val="205E9E"/>
          <w:spacing w:val="-15"/>
          <w:w w:val="110"/>
          <w:sz w:val="18"/>
        </w:rPr>
        <w:t> </w:t>
      </w:r>
      <w:hyperlink r:id="rId93">
        <w:r>
          <w:rPr>
            <w:color w:val="205E9E"/>
            <w:w w:val="110"/>
            <w:sz w:val="18"/>
            <w:u w:val="single" w:color="205E9E"/>
          </w:rPr>
          <w:t>www.healthquality.va.gov</w:t>
        </w:r>
      </w:hyperlink>
    </w:p>
    <w:p>
      <w:pPr>
        <w:spacing w:before="1"/>
        <w:ind w:left="500" w:right="0" w:firstLine="0"/>
        <w:jc w:val="left"/>
        <w:rPr>
          <w:sz w:val="18"/>
        </w:rPr>
      </w:pPr>
      <w:r>
        <w:rPr>
          <w:color w:val="205E9E"/>
          <w:w w:val="110"/>
          <w:sz w:val="18"/>
          <w:u w:val="single" w:color="205E9E"/>
        </w:rPr>
        <w:t>/guidelines/MH/sud/VADoDSUDCPGRevised22216.pdf</w:t>
      </w:r>
    </w:p>
    <w:p>
      <w:pPr>
        <w:pStyle w:val="ListParagraph"/>
        <w:numPr>
          <w:ilvl w:val="0"/>
          <w:numId w:val="51"/>
        </w:numPr>
        <w:tabs>
          <w:tab w:pos="500" w:val="left" w:leader="none"/>
        </w:tabs>
        <w:spacing w:line="247" w:lineRule="auto" w:before="79" w:after="0"/>
        <w:ind w:left="500" w:right="324" w:hanging="360"/>
        <w:jc w:val="left"/>
        <w:rPr>
          <w:color w:val="4C4D4F"/>
          <w:sz w:val="18"/>
        </w:rPr>
      </w:pPr>
      <w:r>
        <w:rPr>
          <w:color w:val="4C4D4F"/>
          <w:w w:val="115"/>
          <w:sz w:val="18"/>
        </w:rPr>
        <w:t>Minozzi, S., Amato, L., Vecchi, S., Davoli, M., </w:t>
      </w:r>
      <w:r>
        <w:rPr>
          <w:color w:val="4C4D4F"/>
          <w:w w:val="110"/>
          <w:sz w:val="18"/>
        </w:rPr>
        <w:t>Kirchmayer,</w:t>
      </w:r>
      <w:r>
        <w:rPr>
          <w:color w:val="4C4D4F"/>
          <w:spacing w:val="-18"/>
          <w:w w:val="110"/>
          <w:sz w:val="18"/>
        </w:rPr>
        <w:t> </w:t>
      </w:r>
      <w:r>
        <w:rPr>
          <w:color w:val="4C4D4F"/>
          <w:w w:val="110"/>
          <w:sz w:val="18"/>
        </w:rPr>
        <w:t>U.,</w:t>
      </w:r>
      <w:r>
        <w:rPr>
          <w:color w:val="4C4D4F"/>
          <w:spacing w:val="-17"/>
          <w:w w:val="110"/>
          <w:sz w:val="18"/>
        </w:rPr>
        <w:t> </w:t>
      </w:r>
      <w:r>
        <w:rPr>
          <w:color w:val="4C4D4F"/>
          <w:w w:val="110"/>
          <w:sz w:val="18"/>
        </w:rPr>
        <w:t>&amp;</w:t>
      </w:r>
      <w:r>
        <w:rPr>
          <w:color w:val="4C4D4F"/>
          <w:spacing w:val="-17"/>
          <w:w w:val="110"/>
          <w:sz w:val="18"/>
        </w:rPr>
        <w:t> </w:t>
      </w:r>
      <w:r>
        <w:rPr>
          <w:color w:val="4C4D4F"/>
          <w:spacing w:val="-4"/>
          <w:w w:val="110"/>
          <w:sz w:val="18"/>
        </w:rPr>
        <w:t>Verster,</w:t>
      </w:r>
      <w:r>
        <w:rPr>
          <w:color w:val="4C4D4F"/>
          <w:spacing w:val="-17"/>
          <w:w w:val="110"/>
          <w:sz w:val="18"/>
        </w:rPr>
        <w:t> </w:t>
      </w:r>
      <w:r>
        <w:rPr>
          <w:color w:val="4C4D4F"/>
          <w:w w:val="110"/>
          <w:sz w:val="18"/>
        </w:rPr>
        <w:t>A.</w:t>
      </w:r>
      <w:r>
        <w:rPr>
          <w:color w:val="4C4D4F"/>
          <w:spacing w:val="-17"/>
          <w:w w:val="110"/>
          <w:sz w:val="18"/>
        </w:rPr>
        <w:t> </w:t>
      </w:r>
      <w:r>
        <w:rPr>
          <w:color w:val="4C4D4F"/>
          <w:w w:val="110"/>
          <w:sz w:val="18"/>
        </w:rPr>
        <w:t>(2011).</w:t>
      </w:r>
      <w:r>
        <w:rPr>
          <w:color w:val="4C4D4F"/>
          <w:spacing w:val="-17"/>
          <w:w w:val="110"/>
          <w:sz w:val="18"/>
        </w:rPr>
        <w:t> </w:t>
      </w:r>
      <w:r>
        <w:rPr>
          <w:color w:val="4C4D4F"/>
          <w:w w:val="110"/>
          <w:sz w:val="18"/>
        </w:rPr>
        <w:t>Oral</w:t>
      </w:r>
      <w:r>
        <w:rPr>
          <w:color w:val="4C4D4F"/>
          <w:spacing w:val="-18"/>
          <w:w w:val="110"/>
          <w:sz w:val="18"/>
        </w:rPr>
        <w:t> </w:t>
      </w:r>
      <w:r>
        <w:rPr>
          <w:color w:val="4C4D4F"/>
          <w:spacing w:val="-3"/>
          <w:w w:val="110"/>
          <w:sz w:val="18"/>
        </w:rPr>
        <w:t>naltrexone </w:t>
      </w:r>
      <w:r>
        <w:rPr>
          <w:color w:val="4C4D4F"/>
          <w:w w:val="115"/>
          <w:sz w:val="18"/>
        </w:rPr>
        <w:t>maintenance</w:t>
      </w:r>
      <w:r>
        <w:rPr>
          <w:color w:val="4C4D4F"/>
          <w:spacing w:val="-15"/>
          <w:w w:val="115"/>
          <w:sz w:val="18"/>
        </w:rPr>
        <w:t> </w:t>
      </w:r>
      <w:r>
        <w:rPr>
          <w:color w:val="4C4D4F"/>
          <w:w w:val="115"/>
          <w:sz w:val="18"/>
        </w:rPr>
        <w:t>treatment</w:t>
      </w:r>
      <w:r>
        <w:rPr>
          <w:color w:val="4C4D4F"/>
          <w:spacing w:val="-14"/>
          <w:w w:val="115"/>
          <w:sz w:val="18"/>
        </w:rPr>
        <w:t> </w:t>
      </w:r>
      <w:r>
        <w:rPr>
          <w:color w:val="4C4D4F"/>
          <w:w w:val="115"/>
          <w:sz w:val="18"/>
        </w:rPr>
        <w:t>for</w:t>
      </w:r>
      <w:r>
        <w:rPr>
          <w:color w:val="4C4D4F"/>
          <w:spacing w:val="-15"/>
          <w:w w:val="115"/>
          <w:sz w:val="18"/>
        </w:rPr>
        <w:t> </w:t>
      </w:r>
      <w:r>
        <w:rPr>
          <w:color w:val="4C4D4F"/>
          <w:w w:val="115"/>
          <w:sz w:val="18"/>
        </w:rPr>
        <w:t>opioid</w:t>
      </w:r>
      <w:r>
        <w:rPr>
          <w:color w:val="4C4D4F"/>
          <w:spacing w:val="-14"/>
          <w:w w:val="115"/>
          <w:sz w:val="18"/>
        </w:rPr>
        <w:t> </w:t>
      </w:r>
      <w:r>
        <w:rPr>
          <w:color w:val="4C4D4F"/>
          <w:w w:val="115"/>
          <w:sz w:val="18"/>
        </w:rPr>
        <w:t>dependence.</w:t>
      </w:r>
    </w:p>
    <w:p>
      <w:pPr>
        <w:spacing w:line="247" w:lineRule="auto" w:before="2"/>
        <w:ind w:left="500" w:right="173" w:firstLine="0"/>
        <w:jc w:val="left"/>
        <w:rPr>
          <w:sz w:val="18"/>
        </w:rPr>
      </w:pPr>
      <w:r>
        <w:rPr>
          <w:rFonts w:ascii="Arial" w:hAnsi="Arial"/>
          <w:i/>
          <w:color w:val="4C4D4F"/>
          <w:sz w:val="18"/>
        </w:rPr>
        <w:t>Cochrane Database of Systematic Reviews, 2011</w:t>
      </w:r>
      <w:r>
        <w:rPr>
          <w:color w:val="4C4D4F"/>
          <w:sz w:val="18"/>
        </w:rPr>
        <w:t>(2), 1–45.</w:t>
      </w:r>
    </w:p>
    <w:p>
      <w:pPr>
        <w:pStyle w:val="ListParagraph"/>
        <w:numPr>
          <w:ilvl w:val="0"/>
          <w:numId w:val="51"/>
        </w:numPr>
        <w:tabs>
          <w:tab w:pos="500" w:val="left" w:leader="none"/>
        </w:tabs>
        <w:spacing w:line="247" w:lineRule="auto" w:before="74" w:after="0"/>
        <w:ind w:left="500" w:right="53" w:hanging="360"/>
        <w:jc w:val="left"/>
        <w:rPr>
          <w:color w:val="4C4D4F"/>
          <w:sz w:val="18"/>
        </w:rPr>
      </w:pPr>
      <w:r>
        <w:rPr>
          <w:color w:val="4C4D4F"/>
          <w:w w:val="110"/>
          <w:sz w:val="18"/>
        </w:rPr>
        <w:t>Ling,</w:t>
      </w:r>
      <w:r>
        <w:rPr>
          <w:color w:val="4C4D4F"/>
          <w:spacing w:val="-13"/>
          <w:w w:val="110"/>
          <w:sz w:val="18"/>
        </w:rPr>
        <w:t> </w:t>
      </w:r>
      <w:r>
        <w:rPr>
          <w:color w:val="4C4D4F"/>
          <w:spacing w:val="-5"/>
          <w:w w:val="110"/>
          <w:sz w:val="18"/>
        </w:rPr>
        <w:t>W.,</w:t>
      </w:r>
      <w:r>
        <w:rPr>
          <w:color w:val="4C4D4F"/>
          <w:spacing w:val="-13"/>
          <w:w w:val="110"/>
          <w:sz w:val="18"/>
        </w:rPr>
        <w:t> </w:t>
      </w:r>
      <w:r>
        <w:rPr>
          <w:color w:val="4C4D4F"/>
          <w:w w:val="110"/>
          <w:sz w:val="18"/>
        </w:rPr>
        <w:t>&amp;</w:t>
      </w:r>
      <w:r>
        <w:rPr>
          <w:color w:val="4C4D4F"/>
          <w:spacing w:val="-13"/>
          <w:w w:val="110"/>
          <w:sz w:val="18"/>
        </w:rPr>
        <w:t> </w:t>
      </w:r>
      <w:r>
        <w:rPr>
          <w:color w:val="4C4D4F"/>
          <w:w w:val="110"/>
          <w:sz w:val="18"/>
        </w:rPr>
        <w:t>Wesson,</w:t>
      </w:r>
      <w:r>
        <w:rPr>
          <w:color w:val="4C4D4F"/>
          <w:spacing w:val="-13"/>
          <w:w w:val="110"/>
          <w:sz w:val="18"/>
        </w:rPr>
        <w:t> </w:t>
      </w:r>
      <w:r>
        <w:rPr>
          <w:color w:val="4C4D4F"/>
          <w:w w:val="110"/>
          <w:sz w:val="18"/>
        </w:rPr>
        <w:t>D.</w:t>
      </w:r>
      <w:r>
        <w:rPr>
          <w:color w:val="4C4D4F"/>
          <w:spacing w:val="-12"/>
          <w:w w:val="110"/>
          <w:sz w:val="18"/>
        </w:rPr>
        <w:t> </w:t>
      </w:r>
      <w:r>
        <w:rPr>
          <w:color w:val="4C4D4F"/>
          <w:w w:val="110"/>
          <w:sz w:val="18"/>
        </w:rPr>
        <w:t>R.</w:t>
      </w:r>
      <w:r>
        <w:rPr>
          <w:color w:val="4C4D4F"/>
          <w:spacing w:val="-13"/>
          <w:w w:val="110"/>
          <w:sz w:val="18"/>
        </w:rPr>
        <w:t> </w:t>
      </w:r>
      <w:r>
        <w:rPr>
          <w:color w:val="4C4D4F"/>
          <w:w w:val="110"/>
          <w:sz w:val="18"/>
        </w:rPr>
        <w:t>(1984).</w:t>
      </w:r>
      <w:r>
        <w:rPr>
          <w:color w:val="4C4D4F"/>
          <w:spacing w:val="-13"/>
          <w:w w:val="110"/>
          <w:sz w:val="18"/>
        </w:rPr>
        <w:t> </w:t>
      </w:r>
      <w:r>
        <w:rPr>
          <w:color w:val="4C4D4F"/>
          <w:w w:val="110"/>
          <w:sz w:val="18"/>
        </w:rPr>
        <w:t>Naltrexone</w:t>
      </w:r>
      <w:r>
        <w:rPr>
          <w:color w:val="4C4D4F"/>
          <w:spacing w:val="-13"/>
          <w:w w:val="110"/>
          <w:sz w:val="18"/>
        </w:rPr>
        <w:t> </w:t>
      </w:r>
      <w:r>
        <w:rPr>
          <w:color w:val="4C4D4F"/>
          <w:spacing w:val="-3"/>
          <w:w w:val="110"/>
          <w:sz w:val="18"/>
        </w:rPr>
        <w:t>treatment </w:t>
      </w:r>
      <w:r>
        <w:rPr>
          <w:color w:val="4C4D4F"/>
          <w:w w:val="110"/>
          <w:sz w:val="18"/>
        </w:rPr>
        <w:t>for addicted health-care professionals: A collaborative private practice experience. </w:t>
      </w:r>
      <w:r>
        <w:rPr>
          <w:rFonts w:ascii="Arial" w:hAnsi="Arial"/>
          <w:i/>
          <w:color w:val="4C4D4F"/>
          <w:w w:val="110"/>
          <w:sz w:val="18"/>
        </w:rPr>
        <w:t>Journal of Clinical </w:t>
      </w:r>
      <w:r>
        <w:rPr>
          <w:rFonts w:ascii="Arial" w:hAnsi="Arial"/>
          <w:i/>
          <w:color w:val="4C4D4F"/>
          <w:w w:val="110"/>
          <w:sz w:val="18"/>
        </w:rPr>
        <w:t>Psychiatry, 45</w:t>
      </w:r>
      <w:r>
        <w:rPr>
          <w:color w:val="4C4D4F"/>
          <w:w w:val="110"/>
          <w:sz w:val="18"/>
        </w:rPr>
        <w:t>(9 Pt. 2),</w:t>
      </w:r>
      <w:r>
        <w:rPr>
          <w:color w:val="4C4D4F"/>
          <w:spacing w:val="-34"/>
          <w:w w:val="110"/>
          <w:sz w:val="18"/>
        </w:rPr>
        <w:t> </w:t>
      </w:r>
      <w:r>
        <w:rPr>
          <w:color w:val="4C4D4F"/>
          <w:w w:val="110"/>
          <w:sz w:val="18"/>
        </w:rPr>
        <w:t>46–48.</w:t>
      </w:r>
    </w:p>
    <w:p>
      <w:pPr>
        <w:pStyle w:val="ListParagraph"/>
        <w:numPr>
          <w:ilvl w:val="0"/>
          <w:numId w:val="51"/>
        </w:numPr>
        <w:tabs>
          <w:tab w:pos="500" w:val="left" w:leader="none"/>
        </w:tabs>
        <w:spacing w:line="247" w:lineRule="auto" w:before="72" w:after="0"/>
        <w:ind w:left="500" w:right="244" w:hanging="360"/>
        <w:jc w:val="left"/>
        <w:rPr>
          <w:color w:val="4C4D4F"/>
          <w:sz w:val="18"/>
        </w:rPr>
      </w:pPr>
      <w:r>
        <w:rPr>
          <w:color w:val="4C4D4F"/>
          <w:w w:val="110"/>
          <w:sz w:val="18"/>
        </w:rPr>
        <w:t>Washton, A. M., Gold, M. S., &amp; Pottash, A. C. </w:t>
      </w:r>
      <w:r>
        <w:rPr>
          <w:color w:val="4C4D4F"/>
          <w:spacing w:val="-3"/>
          <w:w w:val="110"/>
          <w:sz w:val="18"/>
        </w:rPr>
        <w:t>(1984). </w:t>
      </w:r>
      <w:r>
        <w:rPr>
          <w:color w:val="4C4D4F"/>
          <w:w w:val="110"/>
          <w:sz w:val="18"/>
        </w:rPr>
        <w:t>Successful use of naltrexone in addicted physicians and business executives. </w:t>
      </w:r>
      <w:r>
        <w:rPr>
          <w:rFonts w:ascii="Arial" w:hAnsi="Arial"/>
          <w:i/>
          <w:color w:val="4C4D4F"/>
          <w:w w:val="110"/>
          <w:sz w:val="18"/>
        </w:rPr>
        <w:t>Advances in Alcohol and </w:t>
      </w:r>
      <w:r>
        <w:rPr>
          <w:rFonts w:ascii="Arial" w:hAnsi="Arial"/>
          <w:i/>
          <w:color w:val="4C4D4F"/>
          <w:w w:val="110"/>
          <w:sz w:val="18"/>
        </w:rPr>
        <w:t>Substance Abuse, 4</w:t>
      </w:r>
      <w:r>
        <w:rPr>
          <w:color w:val="4C4D4F"/>
          <w:w w:val="110"/>
          <w:sz w:val="18"/>
        </w:rPr>
        <w:t>(2),</w:t>
      </w:r>
      <w:r>
        <w:rPr>
          <w:color w:val="4C4D4F"/>
          <w:spacing w:val="-30"/>
          <w:w w:val="110"/>
          <w:sz w:val="18"/>
        </w:rPr>
        <w:t> </w:t>
      </w:r>
      <w:r>
        <w:rPr>
          <w:color w:val="4C4D4F"/>
          <w:w w:val="110"/>
          <w:sz w:val="18"/>
        </w:rPr>
        <w:t>89–96.</w:t>
      </w:r>
    </w:p>
    <w:p>
      <w:pPr>
        <w:pStyle w:val="ListParagraph"/>
        <w:numPr>
          <w:ilvl w:val="0"/>
          <w:numId w:val="51"/>
        </w:numPr>
        <w:tabs>
          <w:tab w:pos="500" w:val="left" w:leader="none"/>
        </w:tabs>
        <w:spacing w:line="247" w:lineRule="auto" w:before="73" w:after="0"/>
        <w:ind w:left="500" w:right="91" w:hanging="360"/>
        <w:jc w:val="left"/>
        <w:rPr>
          <w:color w:val="4C4D4F"/>
          <w:sz w:val="18"/>
        </w:rPr>
      </w:pPr>
      <w:r>
        <w:rPr>
          <w:color w:val="4C4D4F"/>
          <w:w w:val="120"/>
          <w:sz w:val="18"/>
        </w:rPr>
        <w:t>Sullivan, M. A., Rothenberg, </w:t>
      </w:r>
      <w:r>
        <w:rPr>
          <w:color w:val="4C4D4F"/>
          <w:w w:val="135"/>
          <w:sz w:val="18"/>
        </w:rPr>
        <w:t>J. </w:t>
      </w:r>
      <w:r>
        <w:rPr>
          <w:color w:val="4C4D4F"/>
          <w:w w:val="120"/>
          <w:sz w:val="18"/>
        </w:rPr>
        <w:t>L., Vosburg, S. K., Church,</w:t>
      </w:r>
      <w:r>
        <w:rPr>
          <w:color w:val="4C4D4F"/>
          <w:spacing w:val="-31"/>
          <w:w w:val="120"/>
          <w:sz w:val="18"/>
        </w:rPr>
        <w:t> </w:t>
      </w:r>
      <w:r>
        <w:rPr>
          <w:color w:val="4C4D4F"/>
          <w:w w:val="120"/>
          <w:sz w:val="18"/>
        </w:rPr>
        <w:t>S.</w:t>
      </w:r>
      <w:r>
        <w:rPr>
          <w:color w:val="4C4D4F"/>
          <w:spacing w:val="-31"/>
          <w:w w:val="120"/>
          <w:sz w:val="18"/>
        </w:rPr>
        <w:t> </w:t>
      </w:r>
      <w:r>
        <w:rPr>
          <w:color w:val="4C4D4F"/>
          <w:w w:val="120"/>
          <w:sz w:val="18"/>
        </w:rPr>
        <w:t>H.,</w:t>
      </w:r>
      <w:r>
        <w:rPr>
          <w:color w:val="4C4D4F"/>
          <w:spacing w:val="-30"/>
          <w:w w:val="120"/>
          <w:sz w:val="18"/>
        </w:rPr>
        <w:t> </w:t>
      </w:r>
      <w:r>
        <w:rPr>
          <w:color w:val="4C4D4F"/>
          <w:w w:val="120"/>
          <w:sz w:val="18"/>
        </w:rPr>
        <w:t>Feldman,</w:t>
      </w:r>
      <w:r>
        <w:rPr>
          <w:color w:val="4C4D4F"/>
          <w:spacing w:val="-31"/>
          <w:w w:val="120"/>
          <w:sz w:val="18"/>
        </w:rPr>
        <w:t> </w:t>
      </w:r>
      <w:r>
        <w:rPr>
          <w:color w:val="4C4D4F"/>
          <w:w w:val="120"/>
          <w:sz w:val="18"/>
        </w:rPr>
        <w:t>S.</w:t>
      </w:r>
      <w:r>
        <w:rPr>
          <w:color w:val="4C4D4F"/>
          <w:spacing w:val="-30"/>
          <w:w w:val="120"/>
          <w:sz w:val="18"/>
        </w:rPr>
        <w:t> </w:t>
      </w:r>
      <w:r>
        <w:rPr>
          <w:color w:val="4C4D4F"/>
          <w:w w:val="135"/>
          <w:sz w:val="18"/>
        </w:rPr>
        <w:t>J.,</w:t>
      </w:r>
      <w:r>
        <w:rPr>
          <w:color w:val="4C4D4F"/>
          <w:spacing w:val="-38"/>
          <w:w w:val="135"/>
          <w:sz w:val="18"/>
        </w:rPr>
        <w:t> </w:t>
      </w:r>
      <w:r>
        <w:rPr>
          <w:color w:val="4C4D4F"/>
          <w:w w:val="120"/>
          <w:sz w:val="18"/>
        </w:rPr>
        <w:t>Epstein,</w:t>
      </w:r>
      <w:r>
        <w:rPr>
          <w:color w:val="4C4D4F"/>
          <w:spacing w:val="-31"/>
          <w:w w:val="120"/>
          <w:sz w:val="18"/>
        </w:rPr>
        <w:t> </w:t>
      </w:r>
      <w:r>
        <w:rPr>
          <w:color w:val="4C4D4F"/>
          <w:w w:val="120"/>
          <w:sz w:val="18"/>
        </w:rPr>
        <w:t>E.</w:t>
      </w:r>
      <w:r>
        <w:rPr>
          <w:color w:val="4C4D4F"/>
          <w:spacing w:val="-30"/>
          <w:w w:val="120"/>
          <w:sz w:val="18"/>
        </w:rPr>
        <w:t> </w:t>
      </w:r>
      <w:r>
        <w:rPr>
          <w:color w:val="4C4D4F"/>
          <w:w w:val="120"/>
          <w:sz w:val="18"/>
        </w:rPr>
        <w:t>M.,</w:t>
      </w:r>
      <w:r>
        <w:rPr>
          <w:color w:val="4C4D4F"/>
          <w:spacing w:val="-31"/>
          <w:w w:val="120"/>
          <w:sz w:val="18"/>
        </w:rPr>
        <w:t> </w:t>
      </w:r>
      <w:r>
        <w:rPr>
          <w:color w:val="4C4D4F"/>
          <w:w w:val="120"/>
          <w:sz w:val="18"/>
        </w:rPr>
        <w:t>…</w:t>
      </w:r>
      <w:r>
        <w:rPr>
          <w:color w:val="4C4D4F"/>
          <w:spacing w:val="-30"/>
          <w:w w:val="120"/>
          <w:sz w:val="18"/>
        </w:rPr>
        <w:t> </w:t>
      </w:r>
      <w:r>
        <w:rPr>
          <w:color w:val="4C4D4F"/>
          <w:spacing w:val="-3"/>
          <w:w w:val="120"/>
          <w:sz w:val="18"/>
        </w:rPr>
        <w:t>Nunes,</w:t>
      </w:r>
    </w:p>
    <w:p>
      <w:pPr>
        <w:spacing w:line="247" w:lineRule="auto" w:before="2"/>
        <w:ind w:left="500" w:right="334" w:firstLine="0"/>
        <w:jc w:val="left"/>
        <w:rPr>
          <w:sz w:val="18"/>
        </w:rPr>
      </w:pPr>
      <w:r>
        <w:rPr>
          <w:color w:val="4C4D4F"/>
          <w:w w:val="110"/>
          <w:sz w:val="18"/>
        </w:rPr>
        <w:t>E. </w:t>
      </w:r>
      <w:r>
        <w:rPr>
          <w:color w:val="4C4D4F"/>
          <w:spacing w:val="-12"/>
          <w:w w:val="110"/>
          <w:sz w:val="18"/>
        </w:rPr>
        <w:t>V. </w:t>
      </w:r>
      <w:r>
        <w:rPr>
          <w:color w:val="4C4D4F"/>
          <w:w w:val="110"/>
          <w:sz w:val="18"/>
        </w:rPr>
        <w:t>(2006). Predictors of retention in naltrexone maintenance for opioid dependence: Analysis of a Stage</w:t>
      </w:r>
      <w:r>
        <w:rPr>
          <w:color w:val="4C4D4F"/>
          <w:spacing w:val="-31"/>
          <w:w w:val="110"/>
          <w:sz w:val="18"/>
        </w:rPr>
        <w:t> </w:t>
      </w:r>
      <w:r>
        <w:rPr>
          <w:color w:val="4C4D4F"/>
          <w:w w:val="110"/>
          <w:sz w:val="18"/>
        </w:rPr>
        <w:t>I</w:t>
      </w:r>
      <w:r>
        <w:rPr>
          <w:color w:val="4C4D4F"/>
          <w:spacing w:val="-30"/>
          <w:w w:val="110"/>
          <w:sz w:val="18"/>
        </w:rPr>
        <w:t> </w:t>
      </w:r>
      <w:r>
        <w:rPr>
          <w:color w:val="4C4D4F"/>
          <w:w w:val="110"/>
          <w:sz w:val="18"/>
        </w:rPr>
        <w:t>trial.</w:t>
      </w:r>
      <w:r>
        <w:rPr>
          <w:color w:val="4C4D4F"/>
          <w:spacing w:val="-30"/>
          <w:w w:val="110"/>
          <w:sz w:val="18"/>
        </w:rPr>
        <w:t> </w:t>
      </w:r>
      <w:r>
        <w:rPr>
          <w:rFonts w:ascii="Arial" w:hAnsi="Arial"/>
          <w:i/>
          <w:color w:val="4C4D4F"/>
          <w:w w:val="110"/>
          <w:sz w:val="18"/>
        </w:rPr>
        <w:t>American</w:t>
      </w:r>
      <w:r>
        <w:rPr>
          <w:rFonts w:ascii="Arial" w:hAnsi="Arial"/>
          <w:i/>
          <w:color w:val="4C4D4F"/>
          <w:spacing w:val="-31"/>
          <w:w w:val="110"/>
          <w:sz w:val="18"/>
        </w:rPr>
        <w:t> </w:t>
      </w:r>
      <w:r>
        <w:rPr>
          <w:rFonts w:ascii="Arial" w:hAnsi="Arial"/>
          <w:i/>
          <w:color w:val="4C4D4F"/>
          <w:w w:val="110"/>
          <w:sz w:val="18"/>
        </w:rPr>
        <w:t>Journal</w:t>
      </w:r>
      <w:r>
        <w:rPr>
          <w:rFonts w:ascii="Arial" w:hAnsi="Arial"/>
          <w:i/>
          <w:color w:val="4C4D4F"/>
          <w:spacing w:val="-30"/>
          <w:w w:val="110"/>
          <w:sz w:val="18"/>
        </w:rPr>
        <w:t> </w:t>
      </w:r>
      <w:r>
        <w:rPr>
          <w:rFonts w:ascii="Arial" w:hAnsi="Arial"/>
          <w:i/>
          <w:color w:val="4C4D4F"/>
          <w:w w:val="110"/>
          <w:sz w:val="18"/>
        </w:rPr>
        <w:t>on</w:t>
      </w:r>
      <w:r>
        <w:rPr>
          <w:rFonts w:ascii="Arial" w:hAnsi="Arial"/>
          <w:i/>
          <w:color w:val="4C4D4F"/>
          <w:spacing w:val="-30"/>
          <w:w w:val="110"/>
          <w:sz w:val="18"/>
        </w:rPr>
        <w:t> </w:t>
      </w:r>
      <w:r>
        <w:rPr>
          <w:rFonts w:ascii="Arial" w:hAnsi="Arial"/>
          <w:i/>
          <w:color w:val="4C4D4F"/>
          <w:w w:val="110"/>
          <w:sz w:val="18"/>
        </w:rPr>
        <w:t>Addictions,</w:t>
      </w:r>
      <w:r>
        <w:rPr>
          <w:rFonts w:ascii="Arial" w:hAnsi="Arial"/>
          <w:i/>
          <w:color w:val="4C4D4F"/>
          <w:spacing w:val="-31"/>
          <w:w w:val="110"/>
          <w:sz w:val="18"/>
        </w:rPr>
        <w:t> </w:t>
      </w:r>
      <w:r>
        <w:rPr>
          <w:rFonts w:ascii="Arial" w:hAnsi="Arial"/>
          <w:i/>
          <w:color w:val="4C4D4F"/>
          <w:spacing w:val="-3"/>
          <w:w w:val="110"/>
          <w:sz w:val="18"/>
        </w:rPr>
        <w:t>15</w:t>
      </w:r>
      <w:r>
        <w:rPr>
          <w:color w:val="4C4D4F"/>
          <w:spacing w:val="-3"/>
          <w:w w:val="110"/>
          <w:sz w:val="18"/>
        </w:rPr>
        <w:t>(2), </w:t>
      </w:r>
      <w:r>
        <w:rPr>
          <w:color w:val="4C4D4F"/>
          <w:w w:val="110"/>
          <w:sz w:val="18"/>
        </w:rPr>
        <w:t>150–159.</w:t>
      </w:r>
    </w:p>
    <w:p>
      <w:pPr>
        <w:pStyle w:val="ListParagraph"/>
        <w:numPr>
          <w:ilvl w:val="0"/>
          <w:numId w:val="51"/>
        </w:numPr>
        <w:tabs>
          <w:tab w:pos="500" w:val="left" w:leader="none"/>
        </w:tabs>
        <w:spacing w:line="247" w:lineRule="auto" w:before="75" w:after="0"/>
        <w:ind w:left="500" w:right="114" w:hanging="360"/>
        <w:jc w:val="left"/>
        <w:rPr>
          <w:color w:val="4C4D4F"/>
          <w:sz w:val="18"/>
        </w:rPr>
      </w:pPr>
      <w:r>
        <w:rPr>
          <w:color w:val="4C4D4F"/>
          <w:w w:val="115"/>
          <w:sz w:val="18"/>
        </w:rPr>
        <w:t>Sullivan, M. A., Garawi, </w:t>
      </w:r>
      <w:r>
        <w:rPr>
          <w:color w:val="4C4D4F"/>
          <w:spacing w:val="-10"/>
          <w:w w:val="115"/>
          <w:sz w:val="18"/>
        </w:rPr>
        <w:t>F., </w:t>
      </w:r>
      <w:r>
        <w:rPr>
          <w:color w:val="4C4D4F"/>
          <w:w w:val="115"/>
          <w:sz w:val="18"/>
        </w:rPr>
        <w:t>Bisaga, A., </w:t>
      </w:r>
      <w:r>
        <w:rPr>
          <w:color w:val="4C4D4F"/>
          <w:spacing w:val="-3"/>
          <w:w w:val="115"/>
          <w:sz w:val="18"/>
        </w:rPr>
        <w:t>Comer, </w:t>
      </w:r>
      <w:r>
        <w:rPr>
          <w:color w:val="4C4D4F"/>
          <w:w w:val="115"/>
          <w:sz w:val="18"/>
        </w:rPr>
        <w:t>S. D., Carpenter, K., </w:t>
      </w:r>
      <w:r>
        <w:rPr>
          <w:color w:val="4C4D4F"/>
          <w:spacing w:val="-3"/>
          <w:w w:val="115"/>
          <w:sz w:val="18"/>
        </w:rPr>
        <w:t>Raby, </w:t>
      </w:r>
      <w:r>
        <w:rPr>
          <w:color w:val="4C4D4F"/>
          <w:spacing w:val="-7"/>
          <w:w w:val="115"/>
          <w:sz w:val="18"/>
        </w:rPr>
        <w:t>W. </w:t>
      </w:r>
      <w:r>
        <w:rPr>
          <w:color w:val="4C4D4F"/>
          <w:w w:val="115"/>
          <w:sz w:val="18"/>
        </w:rPr>
        <w:t>N., … Nunes, E. </w:t>
      </w:r>
      <w:r>
        <w:rPr>
          <w:color w:val="4C4D4F"/>
          <w:spacing w:val="-12"/>
          <w:w w:val="115"/>
          <w:sz w:val="18"/>
        </w:rPr>
        <w:t>V. </w:t>
      </w:r>
      <w:r>
        <w:rPr>
          <w:color w:val="4C4D4F"/>
          <w:w w:val="115"/>
          <w:sz w:val="18"/>
        </w:rPr>
        <w:t>(2007). Management</w:t>
      </w:r>
      <w:r>
        <w:rPr>
          <w:color w:val="4C4D4F"/>
          <w:spacing w:val="-22"/>
          <w:w w:val="115"/>
          <w:sz w:val="18"/>
        </w:rPr>
        <w:t> </w:t>
      </w:r>
      <w:r>
        <w:rPr>
          <w:color w:val="4C4D4F"/>
          <w:w w:val="115"/>
          <w:sz w:val="18"/>
        </w:rPr>
        <w:t>of</w:t>
      </w:r>
      <w:r>
        <w:rPr>
          <w:color w:val="4C4D4F"/>
          <w:spacing w:val="-22"/>
          <w:w w:val="115"/>
          <w:sz w:val="18"/>
        </w:rPr>
        <w:t> </w:t>
      </w:r>
      <w:r>
        <w:rPr>
          <w:color w:val="4C4D4F"/>
          <w:w w:val="115"/>
          <w:sz w:val="18"/>
        </w:rPr>
        <w:t>relapse</w:t>
      </w:r>
      <w:r>
        <w:rPr>
          <w:color w:val="4C4D4F"/>
          <w:spacing w:val="-22"/>
          <w:w w:val="115"/>
          <w:sz w:val="18"/>
        </w:rPr>
        <w:t> </w:t>
      </w:r>
      <w:r>
        <w:rPr>
          <w:color w:val="4C4D4F"/>
          <w:w w:val="115"/>
          <w:sz w:val="18"/>
        </w:rPr>
        <w:t>in</w:t>
      </w:r>
      <w:r>
        <w:rPr>
          <w:color w:val="4C4D4F"/>
          <w:spacing w:val="-22"/>
          <w:w w:val="115"/>
          <w:sz w:val="18"/>
        </w:rPr>
        <w:t> </w:t>
      </w:r>
      <w:r>
        <w:rPr>
          <w:color w:val="4C4D4F"/>
          <w:w w:val="115"/>
          <w:sz w:val="18"/>
        </w:rPr>
        <w:t>naltrexone</w:t>
      </w:r>
      <w:r>
        <w:rPr>
          <w:color w:val="4C4D4F"/>
          <w:spacing w:val="-21"/>
          <w:w w:val="115"/>
          <w:sz w:val="18"/>
        </w:rPr>
        <w:t> </w:t>
      </w:r>
      <w:r>
        <w:rPr>
          <w:color w:val="4C4D4F"/>
          <w:w w:val="115"/>
          <w:sz w:val="18"/>
        </w:rPr>
        <w:t>maintenance</w:t>
      </w:r>
      <w:r>
        <w:rPr>
          <w:color w:val="4C4D4F"/>
          <w:spacing w:val="-22"/>
          <w:w w:val="115"/>
          <w:sz w:val="18"/>
        </w:rPr>
        <w:t> </w:t>
      </w:r>
      <w:r>
        <w:rPr>
          <w:color w:val="4C4D4F"/>
          <w:spacing w:val="-6"/>
          <w:w w:val="115"/>
          <w:sz w:val="18"/>
        </w:rPr>
        <w:t>for </w:t>
      </w:r>
      <w:r>
        <w:rPr>
          <w:color w:val="4C4D4F"/>
          <w:w w:val="110"/>
          <w:sz w:val="18"/>
        </w:rPr>
        <w:t>heroin</w:t>
      </w:r>
      <w:r>
        <w:rPr>
          <w:color w:val="4C4D4F"/>
          <w:spacing w:val="-22"/>
          <w:w w:val="110"/>
          <w:sz w:val="18"/>
        </w:rPr>
        <w:t> </w:t>
      </w:r>
      <w:r>
        <w:rPr>
          <w:color w:val="4C4D4F"/>
          <w:w w:val="110"/>
          <w:sz w:val="18"/>
        </w:rPr>
        <w:t>dependence.</w:t>
      </w:r>
      <w:r>
        <w:rPr>
          <w:color w:val="4C4D4F"/>
          <w:spacing w:val="-21"/>
          <w:w w:val="110"/>
          <w:sz w:val="18"/>
        </w:rPr>
        <w:t> </w:t>
      </w:r>
      <w:r>
        <w:rPr>
          <w:rFonts w:ascii="Arial" w:hAnsi="Arial"/>
          <w:i/>
          <w:color w:val="4C4D4F"/>
          <w:w w:val="110"/>
          <w:sz w:val="18"/>
        </w:rPr>
        <w:t>Drug</w:t>
      </w:r>
      <w:r>
        <w:rPr>
          <w:rFonts w:ascii="Arial" w:hAnsi="Arial"/>
          <w:i/>
          <w:color w:val="4C4D4F"/>
          <w:spacing w:val="-21"/>
          <w:w w:val="110"/>
          <w:sz w:val="18"/>
        </w:rPr>
        <w:t> </w:t>
      </w:r>
      <w:r>
        <w:rPr>
          <w:rFonts w:ascii="Arial" w:hAnsi="Arial"/>
          <w:i/>
          <w:color w:val="4C4D4F"/>
          <w:w w:val="110"/>
          <w:sz w:val="18"/>
        </w:rPr>
        <w:t>and</w:t>
      </w:r>
      <w:r>
        <w:rPr>
          <w:rFonts w:ascii="Arial" w:hAnsi="Arial"/>
          <w:i/>
          <w:color w:val="4C4D4F"/>
          <w:spacing w:val="-21"/>
          <w:w w:val="110"/>
          <w:sz w:val="18"/>
        </w:rPr>
        <w:t> </w:t>
      </w:r>
      <w:r>
        <w:rPr>
          <w:rFonts w:ascii="Arial" w:hAnsi="Arial"/>
          <w:i/>
          <w:color w:val="4C4D4F"/>
          <w:w w:val="110"/>
          <w:sz w:val="18"/>
        </w:rPr>
        <w:t>Alcohol</w:t>
      </w:r>
      <w:r>
        <w:rPr>
          <w:rFonts w:ascii="Arial" w:hAnsi="Arial"/>
          <w:i/>
          <w:color w:val="4C4D4F"/>
          <w:spacing w:val="-21"/>
          <w:w w:val="110"/>
          <w:sz w:val="18"/>
        </w:rPr>
        <w:t> </w:t>
      </w:r>
      <w:r>
        <w:rPr>
          <w:rFonts w:ascii="Arial" w:hAnsi="Arial"/>
          <w:i/>
          <w:color w:val="4C4D4F"/>
          <w:w w:val="110"/>
          <w:sz w:val="18"/>
        </w:rPr>
        <w:t>Dependence, </w:t>
      </w:r>
      <w:r>
        <w:rPr>
          <w:rFonts w:ascii="Arial" w:hAnsi="Arial"/>
          <w:i/>
          <w:color w:val="4C4D4F"/>
          <w:w w:val="115"/>
          <w:sz w:val="18"/>
        </w:rPr>
        <w:t>91</w:t>
      </w:r>
      <w:r>
        <w:rPr>
          <w:color w:val="4C4D4F"/>
          <w:w w:val="115"/>
          <w:sz w:val="18"/>
        </w:rPr>
        <w:t>(2–3),</w:t>
      </w:r>
      <w:r>
        <w:rPr>
          <w:color w:val="4C4D4F"/>
          <w:spacing w:val="-10"/>
          <w:w w:val="115"/>
          <w:sz w:val="18"/>
        </w:rPr>
        <w:t> </w:t>
      </w:r>
      <w:r>
        <w:rPr>
          <w:color w:val="4C4D4F"/>
          <w:w w:val="115"/>
          <w:sz w:val="18"/>
        </w:rPr>
        <w:t>289–292.</w:t>
      </w:r>
    </w:p>
    <w:p>
      <w:pPr>
        <w:pStyle w:val="ListParagraph"/>
        <w:numPr>
          <w:ilvl w:val="0"/>
          <w:numId w:val="51"/>
        </w:numPr>
        <w:tabs>
          <w:tab w:pos="500" w:val="left" w:leader="none"/>
        </w:tabs>
        <w:spacing w:line="247" w:lineRule="auto" w:before="100" w:after="0"/>
        <w:ind w:left="500" w:right="271" w:hanging="360"/>
        <w:jc w:val="left"/>
        <w:rPr>
          <w:color w:val="4C4D4F"/>
          <w:sz w:val="18"/>
        </w:rPr>
      </w:pPr>
      <w:r>
        <w:rPr>
          <w:color w:val="4C4D4F"/>
          <w:w w:val="114"/>
          <w:sz w:val="18"/>
        </w:rPr>
        <w:br w:type="column"/>
      </w:r>
      <w:r>
        <w:rPr>
          <w:color w:val="4C4D4F"/>
          <w:w w:val="115"/>
          <w:sz w:val="18"/>
        </w:rPr>
        <w:t>Sullivan, M. A., Garawi, </w:t>
      </w:r>
      <w:r>
        <w:rPr>
          <w:color w:val="4C4D4F"/>
          <w:spacing w:val="-10"/>
          <w:w w:val="115"/>
          <w:sz w:val="18"/>
        </w:rPr>
        <w:t>F., </w:t>
      </w:r>
      <w:r>
        <w:rPr>
          <w:color w:val="4C4D4F"/>
          <w:w w:val="115"/>
          <w:sz w:val="18"/>
        </w:rPr>
        <w:t>Bisaga, A., </w:t>
      </w:r>
      <w:r>
        <w:rPr>
          <w:color w:val="4C4D4F"/>
          <w:spacing w:val="-3"/>
          <w:w w:val="115"/>
          <w:sz w:val="18"/>
        </w:rPr>
        <w:t>Comer, </w:t>
      </w:r>
      <w:r>
        <w:rPr>
          <w:color w:val="4C4D4F"/>
          <w:w w:val="115"/>
          <w:sz w:val="18"/>
        </w:rPr>
        <w:t>S. D., Carpenter, K., </w:t>
      </w:r>
      <w:r>
        <w:rPr>
          <w:color w:val="4C4D4F"/>
          <w:spacing w:val="-3"/>
          <w:w w:val="115"/>
          <w:sz w:val="18"/>
        </w:rPr>
        <w:t>Raby, </w:t>
      </w:r>
      <w:r>
        <w:rPr>
          <w:color w:val="4C4D4F"/>
          <w:spacing w:val="-7"/>
          <w:w w:val="115"/>
          <w:sz w:val="18"/>
        </w:rPr>
        <w:t>W. </w:t>
      </w:r>
      <w:r>
        <w:rPr>
          <w:color w:val="4C4D4F"/>
          <w:w w:val="115"/>
          <w:sz w:val="18"/>
        </w:rPr>
        <w:t>N., … Nunes, E. </w:t>
      </w:r>
      <w:r>
        <w:rPr>
          <w:color w:val="4C4D4F"/>
          <w:spacing w:val="-12"/>
          <w:w w:val="115"/>
          <w:sz w:val="18"/>
        </w:rPr>
        <w:t>V. </w:t>
      </w:r>
      <w:r>
        <w:rPr>
          <w:color w:val="4C4D4F"/>
          <w:w w:val="115"/>
          <w:sz w:val="18"/>
        </w:rPr>
        <w:t>(2007). Management</w:t>
      </w:r>
      <w:r>
        <w:rPr>
          <w:color w:val="4C4D4F"/>
          <w:spacing w:val="-22"/>
          <w:w w:val="115"/>
          <w:sz w:val="18"/>
        </w:rPr>
        <w:t> </w:t>
      </w:r>
      <w:r>
        <w:rPr>
          <w:color w:val="4C4D4F"/>
          <w:w w:val="115"/>
          <w:sz w:val="18"/>
        </w:rPr>
        <w:t>of</w:t>
      </w:r>
      <w:r>
        <w:rPr>
          <w:color w:val="4C4D4F"/>
          <w:spacing w:val="-22"/>
          <w:w w:val="115"/>
          <w:sz w:val="18"/>
        </w:rPr>
        <w:t> </w:t>
      </w:r>
      <w:r>
        <w:rPr>
          <w:color w:val="4C4D4F"/>
          <w:w w:val="115"/>
          <w:sz w:val="18"/>
        </w:rPr>
        <w:t>relapse</w:t>
      </w:r>
      <w:r>
        <w:rPr>
          <w:color w:val="4C4D4F"/>
          <w:spacing w:val="-22"/>
          <w:w w:val="115"/>
          <w:sz w:val="18"/>
        </w:rPr>
        <w:t> </w:t>
      </w:r>
      <w:r>
        <w:rPr>
          <w:color w:val="4C4D4F"/>
          <w:w w:val="115"/>
          <w:sz w:val="18"/>
        </w:rPr>
        <w:t>in</w:t>
      </w:r>
      <w:r>
        <w:rPr>
          <w:color w:val="4C4D4F"/>
          <w:spacing w:val="-21"/>
          <w:w w:val="115"/>
          <w:sz w:val="18"/>
        </w:rPr>
        <w:t> </w:t>
      </w:r>
      <w:r>
        <w:rPr>
          <w:color w:val="4C4D4F"/>
          <w:w w:val="115"/>
          <w:sz w:val="18"/>
        </w:rPr>
        <w:t>naltrexone</w:t>
      </w:r>
      <w:r>
        <w:rPr>
          <w:color w:val="4C4D4F"/>
          <w:spacing w:val="-22"/>
          <w:w w:val="115"/>
          <w:sz w:val="18"/>
        </w:rPr>
        <w:t> </w:t>
      </w:r>
      <w:r>
        <w:rPr>
          <w:color w:val="4C4D4F"/>
          <w:w w:val="115"/>
          <w:sz w:val="18"/>
        </w:rPr>
        <w:t>maintenance</w:t>
      </w:r>
      <w:r>
        <w:rPr>
          <w:color w:val="4C4D4F"/>
          <w:spacing w:val="-22"/>
          <w:w w:val="115"/>
          <w:sz w:val="18"/>
        </w:rPr>
        <w:t> </w:t>
      </w:r>
      <w:r>
        <w:rPr>
          <w:color w:val="4C4D4F"/>
          <w:spacing w:val="-6"/>
          <w:w w:val="115"/>
          <w:sz w:val="18"/>
        </w:rPr>
        <w:t>for </w:t>
      </w:r>
      <w:r>
        <w:rPr>
          <w:color w:val="4C4D4F"/>
          <w:w w:val="110"/>
          <w:sz w:val="18"/>
        </w:rPr>
        <w:t>heroin</w:t>
      </w:r>
      <w:r>
        <w:rPr>
          <w:color w:val="4C4D4F"/>
          <w:spacing w:val="-22"/>
          <w:w w:val="110"/>
          <w:sz w:val="18"/>
        </w:rPr>
        <w:t> </w:t>
      </w:r>
      <w:r>
        <w:rPr>
          <w:color w:val="4C4D4F"/>
          <w:w w:val="110"/>
          <w:sz w:val="18"/>
        </w:rPr>
        <w:t>dependence.</w:t>
      </w:r>
      <w:r>
        <w:rPr>
          <w:color w:val="4C4D4F"/>
          <w:spacing w:val="-21"/>
          <w:w w:val="110"/>
          <w:sz w:val="18"/>
        </w:rPr>
        <w:t> </w:t>
      </w:r>
      <w:r>
        <w:rPr>
          <w:rFonts w:ascii="Arial" w:hAnsi="Arial"/>
          <w:i/>
          <w:color w:val="4C4D4F"/>
          <w:w w:val="110"/>
          <w:sz w:val="18"/>
        </w:rPr>
        <w:t>Drug</w:t>
      </w:r>
      <w:r>
        <w:rPr>
          <w:rFonts w:ascii="Arial" w:hAnsi="Arial"/>
          <w:i/>
          <w:color w:val="4C4D4F"/>
          <w:spacing w:val="-21"/>
          <w:w w:val="110"/>
          <w:sz w:val="18"/>
        </w:rPr>
        <w:t> </w:t>
      </w:r>
      <w:r>
        <w:rPr>
          <w:rFonts w:ascii="Arial" w:hAnsi="Arial"/>
          <w:i/>
          <w:color w:val="4C4D4F"/>
          <w:w w:val="110"/>
          <w:sz w:val="18"/>
        </w:rPr>
        <w:t>and</w:t>
      </w:r>
      <w:r>
        <w:rPr>
          <w:rFonts w:ascii="Arial" w:hAnsi="Arial"/>
          <w:i/>
          <w:color w:val="4C4D4F"/>
          <w:spacing w:val="-21"/>
          <w:w w:val="110"/>
          <w:sz w:val="18"/>
        </w:rPr>
        <w:t> </w:t>
      </w:r>
      <w:r>
        <w:rPr>
          <w:rFonts w:ascii="Arial" w:hAnsi="Arial"/>
          <w:i/>
          <w:color w:val="4C4D4F"/>
          <w:w w:val="110"/>
          <w:sz w:val="18"/>
        </w:rPr>
        <w:t>Alcohol</w:t>
      </w:r>
      <w:r>
        <w:rPr>
          <w:rFonts w:ascii="Arial" w:hAnsi="Arial"/>
          <w:i/>
          <w:color w:val="4C4D4F"/>
          <w:spacing w:val="-21"/>
          <w:w w:val="110"/>
          <w:sz w:val="18"/>
        </w:rPr>
        <w:t> </w:t>
      </w:r>
      <w:r>
        <w:rPr>
          <w:rFonts w:ascii="Arial" w:hAnsi="Arial"/>
          <w:i/>
          <w:color w:val="4C4D4F"/>
          <w:w w:val="110"/>
          <w:sz w:val="18"/>
        </w:rPr>
        <w:t>Dependence, </w:t>
      </w:r>
      <w:r>
        <w:rPr>
          <w:rFonts w:ascii="Arial" w:hAnsi="Arial"/>
          <w:i/>
          <w:color w:val="4C4D4F"/>
          <w:w w:val="115"/>
          <w:sz w:val="18"/>
        </w:rPr>
        <w:t>91</w:t>
      </w:r>
      <w:r>
        <w:rPr>
          <w:color w:val="4C4D4F"/>
          <w:w w:val="115"/>
          <w:sz w:val="18"/>
        </w:rPr>
        <w:t>(2–3),</w:t>
      </w:r>
      <w:r>
        <w:rPr>
          <w:color w:val="4C4D4F"/>
          <w:spacing w:val="-10"/>
          <w:w w:val="115"/>
          <w:sz w:val="18"/>
        </w:rPr>
        <w:t> </w:t>
      </w:r>
      <w:r>
        <w:rPr>
          <w:color w:val="4C4D4F"/>
          <w:w w:val="115"/>
          <w:sz w:val="18"/>
        </w:rPr>
        <w:t>289–292.</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American Society of Addiction Medicine.</w:t>
      </w:r>
      <w:r>
        <w:rPr>
          <w:color w:val="4C4D4F"/>
          <w:spacing w:val="-16"/>
          <w:w w:val="110"/>
          <w:sz w:val="18"/>
        </w:rPr>
        <w:t> </w:t>
      </w:r>
      <w:r>
        <w:rPr>
          <w:color w:val="4C4D4F"/>
          <w:w w:val="110"/>
          <w:sz w:val="18"/>
        </w:rPr>
        <w:t>(2017).</w:t>
      </w:r>
    </w:p>
    <w:p>
      <w:pPr>
        <w:spacing w:line="247" w:lineRule="auto" w:before="7"/>
        <w:ind w:left="500" w:right="0" w:firstLine="0"/>
        <w:jc w:val="left"/>
        <w:rPr>
          <w:sz w:val="18"/>
        </w:rPr>
      </w:pPr>
      <w:r>
        <w:rPr>
          <w:color w:val="4C4D4F"/>
          <w:w w:val="110"/>
          <w:sz w:val="18"/>
        </w:rPr>
        <w:t>Sample treatment agreement. Retrieved October 19, 2017, from </w:t>
      </w:r>
      <w:hyperlink r:id="rId104">
        <w:r>
          <w:rPr>
            <w:color w:val="205E9E"/>
            <w:w w:val="110"/>
            <w:sz w:val="18"/>
            <w:u w:val="single" w:color="205E9E"/>
          </w:rPr>
          <w:t>www.asam.org/docs/default-source</w:t>
        </w:r>
      </w:hyperlink>
    </w:p>
    <w:p>
      <w:pPr>
        <w:spacing w:line="247" w:lineRule="auto" w:before="2"/>
        <w:ind w:left="500" w:right="0" w:firstLine="0"/>
        <w:jc w:val="left"/>
        <w:rPr>
          <w:sz w:val="18"/>
        </w:rPr>
      </w:pPr>
      <w:r>
        <w:rPr>
          <w:color w:val="205E9E"/>
          <w:w w:val="110"/>
          <w:sz w:val="18"/>
          <w:u w:val="single" w:color="205E9E"/>
        </w:rPr>
        <w:t>/advocacy/sample-treatment-agreement30fa159472bc</w:t>
      </w:r>
      <w:r>
        <w:rPr>
          <w:color w:val="205E9E"/>
          <w:w w:val="110"/>
          <w:sz w:val="18"/>
        </w:rPr>
        <w:t> </w:t>
      </w:r>
      <w:r>
        <w:rPr>
          <w:color w:val="205E9E"/>
          <w:w w:val="115"/>
          <w:sz w:val="18"/>
          <w:u w:val="single" w:color="205E9E"/>
        </w:rPr>
        <w:t>604ca5b7ff000030b21a.pdf?sfvrsn=0</w:t>
      </w:r>
    </w:p>
    <w:p>
      <w:pPr>
        <w:pStyle w:val="ListParagraph"/>
        <w:numPr>
          <w:ilvl w:val="0"/>
          <w:numId w:val="51"/>
        </w:numPr>
        <w:tabs>
          <w:tab w:pos="500" w:val="left" w:leader="none"/>
        </w:tabs>
        <w:spacing w:line="247" w:lineRule="auto" w:before="74" w:after="0"/>
        <w:ind w:left="500" w:right="192" w:hanging="360"/>
        <w:jc w:val="left"/>
        <w:rPr>
          <w:color w:val="4C4D4F"/>
          <w:sz w:val="18"/>
        </w:rPr>
      </w:pPr>
      <w:r>
        <w:rPr>
          <w:color w:val="4C4D4F"/>
          <w:w w:val="110"/>
          <w:sz w:val="18"/>
        </w:rPr>
        <w:t>Alkermes. (2013). Patient counseling tool: VIVITROL (naltrexone for extended-release injectable suspension. Retrieved January 9, 2018, from</w:t>
      </w:r>
      <w:r>
        <w:rPr>
          <w:color w:val="205E9E"/>
          <w:spacing w:val="-40"/>
          <w:w w:val="110"/>
          <w:sz w:val="18"/>
        </w:rPr>
        <w:t> </w:t>
      </w:r>
      <w:hyperlink r:id="rId105">
        <w:r>
          <w:rPr>
            <w:color w:val="205E9E"/>
            <w:w w:val="110"/>
            <w:sz w:val="18"/>
            <w:u w:val="single" w:color="205E9E"/>
          </w:rPr>
          <w:t>www.vivitrolrems.com</w:t>
        </w:r>
      </w:hyperlink>
    </w:p>
    <w:p>
      <w:pPr>
        <w:spacing w:before="3"/>
        <w:ind w:left="500" w:right="0" w:firstLine="0"/>
        <w:jc w:val="left"/>
        <w:rPr>
          <w:sz w:val="18"/>
        </w:rPr>
      </w:pPr>
      <w:r>
        <w:rPr>
          <w:color w:val="205E9E"/>
          <w:w w:val="115"/>
          <w:sz w:val="18"/>
          <w:u w:val="single" w:color="205E9E"/>
        </w:rPr>
        <w:t>/content/pdf/patinfo-counseling-tool.pdf</w:t>
      </w:r>
    </w:p>
    <w:p>
      <w:pPr>
        <w:pStyle w:val="ListParagraph"/>
        <w:numPr>
          <w:ilvl w:val="0"/>
          <w:numId w:val="51"/>
        </w:numPr>
        <w:tabs>
          <w:tab w:pos="500" w:val="left" w:leader="none"/>
        </w:tabs>
        <w:spacing w:line="247" w:lineRule="auto" w:before="79" w:after="0"/>
        <w:ind w:left="500" w:right="401" w:hanging="360"/>
        <w:jc w:val="left"/>
        <w:rPr>
          <w:color w:val="4C4D4F"/>
          <w:sz w:val="18"/>
        </w:rPr>
      </w:pPr>
      <w:r>
        <w:rPr>
          <w:color w:val="4C4D4F"/>
          <w:w w:val="110"/>
          <w:sz w:val="18"/>
        </w:rPr>
        <w:t>Alkermes. (2015). Key techniques to reduce severe injection site reactions: VIVITROL (naltrexone for extended</w:t>
      </w:r>
      <w:r>
        <w:rPr>
          <w:color w:val="4C4D4F"/>
          <w:spacing w:val="-14"/>
          <w:w w:val="110"/>
          <w:sz w:val="18"/>
        </w:rPr>
        <w:t> </w:t>
      </w:r>
      <w:r>
        <w:rPr>
          <w:color w:val="4C4D4F"/>
          <w:spacing w:val="-3"/>
          <w:w w:val="110"/>
          <w:sz w:val="18"/>
        </w:rPr>
        <w:t>release</w:t>
      </w:r>
      <w:r>
        <w:rPr>
          <w:color w:val="4C4D4F"/>
          <w:spacing w:val="-13"/>
          <w:w w:val="110"/>
          <w:sz w:val="18"/>
        </w:rPr>
        <w:t> </w:t>
      </w:r>
      <w:r>
        <w:rPr>
          <w:color w:val="4C4D4F"/>
          <w:w w:val="110"/>
          <w:sz w:val="18"/>
        </w:rPr>
        <w:t>injectable</w:t>
      </w:r>
      <w:r>
        <w:rPr>
          <w:color w:val="4C4D4F"/>
          <w:spacing w:val="-13"/>
          <w:w w:val="110"/>
          <w:sz w:val="18"/>
        </w:rPr>
        <w:t> </w:t>
      </w:r>
      <w:r>
        <w:rPr>
          <w:color w:val="4C4D4F"/>
          <w:w w:val="110"/>
          <w:sz w:val="18"/>
        </w:rPr>
        <w:t>suspension)</w:t>
      </w:r>
      <w:r>
        <w:rPr>
          <w:color w:val="4C4D4F"/>
          <w:spacing w:val="-13"/>
          <w:w w:val="110"/>
          <w:sz w:val="18"/>
        </w:rPr>
        <w:t> </w:t>
      </w:r>
      <w:r>
        <w:rPr>
          <w:color w:val="4C4D4F"/>
          <w:w w:val="110"/>
          <w:sz w:val="18"/>
        </w:rPr>
        <w:t>intramuscular injection. Retrieved January 9, 2018, from</w:t>
      </w:r>
      <w:r>
        <w:rPr>
          <w:color w:val="205E9E"/>
          <w:spacing w:val="-21"/>
          <w:w w:val="110"/>
          <w:sz w:val="18"/>
        </w:rPr>
        <w:t> </w:t>
      </w:r>
      <w:r>
        <w:rPr>
          <w:color w:val="205E9E"/>
          <w:w w:val="110"/>
          <w:sz w:val="18"/>
          <w:u w:val="single" w:color="205E9E"/>
        </w:rPr>
        <w:t>www</w:t>
      </w:r>
    </w:p>
    <w:p>
      <w:pPr>
        <w:spacing w:before="4"/>
        <w:ind w:left="500" w:right="0" w:firstLine="0"/>
        <w:jc w:val="left"/>
        <w:rPr>
          <w:sz w:val="18"/>
        </w:rPr>
      </w:pPr>
      <w:r>
        <w:rPr>
          <w:color w:val="205E9E"/>
          <w:w w:val="110"/>
          <w:sz w:val="18"/>
          <w:u w:val="single" w:color="205E9E"/>
        </w:rPr>
        <w:t>.vivitrolrems.com/content/pdf/patinfo-injection</w:t>
      </w:r>
    </w:p>
    <w:p>
      <w:pPr>
        <w:spacing w:before="8"/>
        <w:ind w:left="500" w:right="0" w:firstLine="0"/>
        <w:jc w:val="left"/>
        <w:rPr>
          <w:sz w:val="18"/>
        </w:rPr>
      </w:pPr>
      <w:r>
        <w:rPr>
          <w:color w:val="205E9E"/>
          <w:w w:val="115"/>
          <w:sz w:val="18"/>
          <w:u w:val="single" w:color="205E9E"/>
        </w:rPr>
        <w:t>-poster.pdf</w:t>
      </w:r>
    </w:p>
    <w:p>
      <w:pPr>
        <w:pStyle w:val="ListParagraph"/>
        <w:numPr>
          <w:ilvl w:val="0"/>
          <w:numId w:val="51"/>
        </w:numPr>
        <w:tabs>
          <w:tab w:pos="500" w:val="left" w:leader="none"/>
        </w:tabs>
        <w:spacing w:line="247" w:lineRule="auto" w:before="79" w:after="0"/>
        <w:ind w:left="500" w:right="461" w:hanging="360"/>
        <w:jc w:val="left"/>
        <w:rPr>
          <w:color w:val="4C4D4F"/>
          <w:sz w:val="18"/>
        </w:rPr>
      </w:pPr>
      <w:r>
        <w:rPr>
          <w:color w:val="4C4D4F"/>
          <w:w w:val="110"/>
          <w:sz w:val="18"/>
        </w:rPr>
        <w:t>Mattick, R. </w:t>
      </w:r>
      <w:r>
        <w:rPr>
          <w:color w:val="4C4D4F"/>
          <w:spacing w:val="-11"/>
          <w:w w:val="110"/>
          <w:sz w:val="18"/>
        </w:rPr>
        <w:t>P., </w:t>
      </w:r>
      <w:r>
        <w:rPr>
          <w:color w:val="4C4D4F"/>
          <w:w w:val="110"/>
          <w:sz w:val="18"/>
        </w:rPr>
        <w:t>Breen, C., </w:t>
      </w:r>
      <w:r>
        <w:rPr>
          <w:color w:val="4C4D4F"/>
          <w:spacing w:val="-3"/>
          <w:w w:val="110"/>
          <w:sz w:val="18"/>
        </w:rPr>
        <w:t>Kimber, </w:t>
      </w:r>
      <w:r>
        <w:rPr>
          <w:color w:val="4C4D4F"/>
          <w:w w:val="120"/>
          <w:sz w:val="18"/>
        </w:rPr>
        <w:t>J., </w:t>
      </w:r>
      <w:r>
        <w:rPr>
          <w:color w:val="4C4D4F"/>
          <w:w w:val="110"/>
          <w:sz w:val="18"/>
        </w:rPr>
        <w:t>&amp; Davoli, M. (2014). Buprenorphine maintenance versus placebo or methadone maintenance for opioid dependence. </w:t>
      </w:r>
      <w:r>
        <w:rPr>
          <w:rFonts w:ascii="Arial" w:hAnsi="Arial"/>
          <w:i/>
          <w:color w:val="4C4D4F"/>
          <w:sz w:val="18"/>
        </w:rPr>
        <w:t>Cochrane Database of Systematic Reviews,</w:t>
      </w:r>
      <w:r>
        <w:rPr>
          <w:rFonts w:ascii="Arial" w:hAnsi="Arial"/>
          <w:i/>
          <w:color w:val="4C4D4F"/>
          <w:spacing w:val="-32"/>
          <w:sz w:val="18"/>
        </w:rPr>
        <w:t> </w:t>
      </w:r>
      <w:r>
        <w:rPr>
          <w:rFonts w:ascii="Arial" w:hAnsi="Arial"/>
          <w:i/>
          <w:color w:val="4C4D4F"/>
          <w:sz w:val="18"/>
        </w:rPr>
        <w:t>2014</w:t>
      </w:r>
      <w:r>
        <w:rPr>
          <w:color w:val="4C4D4F"/>
          <w:sz w:val="18"/>
        </w:rPr>
        <w:t>(2), </w:t>
      </w:r>
      <w:r>
        <w:rPr>
          <w:color w:val="4C4D4F"/>
          <w:w w:val="110"/>
          <w:sz w:val="18"/>
        </w:rPr>
        <w:t>1–84.</w:t>
      </w:r>
    </w:p>
    <w:p>
      <w:pPr>
        <w:pStyle w:val="ListParagraph"/>
        <w:numPr>
          <w:ilvl w:val="0"/>
          <w:numId w:val="51"/>
        </w:numPr>
        <w:tabs>
          <w:tab w:pos="500" w:val="left" w:leader="none"/>
        </w:tabs>
        <w:spacing w:line="247" w:lineRule="auto" w:before="75" w:after="0"/>
        <w:ind w:left="500" w:right="368" w:hanging="360"/>
        <w:jc w:val="left"/>
        <w:rPr>
          <w:color w:val="4C4D4F"/>
          <w:sz w:val="18"/>
        </w:rPr>
      </w:pPr>
      <w:r>
        <w:rPr>
          <w:color w:val="4C4D4F"/>
          <w:w w:val="110"/>
          <w:sz w:val="18"/>
        </w:rPr>
        <w:t>Caldiero, R. M., Parran, </w:t>
      </w:r>
      <w:r>
        <w:rPr>
          <w:color w:val="4C4D4F"/>
          <w:spacing w:val="-10"/>
          <w:w w:val="110"/>
          <w:sz w:val="18"/>
        </w:rPr>
        <w:t>T.  </w:t>
      </w:r>
      <w:r>
        <w:rPr>
          <w:color w:val="4C4D4F"/>
          <w:w w:val="120"/>
          <w:sz w:val="18"/>
        </w:rPr>
        <w:t>J., </w:t>
      </w:r>
      <w:r>
        <w:rPr>
          <w:color w:val="4C4D4F"/>
          <w:w w:val="110"/>
          <w:sz w:val="18"/>
        </w:rPr>
        <w:t>Adelman, C. L., &amp; Piche, B. (2006). Inpatient initiation of </w:t>
      </w:r>
      <w:r>
        <w:rPr>
          <w:color w:val="4C4D4F"/>
          <w:spacing w:val="-3"/>
          <w:w w:val="110"/>
          <w:sz w:val="18"/>
        </w:rPr>
        <w:t>buprenorphine </w:t>
      </w:r>
      <w:r>
        <w:rPr>
          <w:color w:val="4C4D4F"/>
          <w:w w:val="110"/>
          <w:sz w:val="18"/>
        </w:rPr>
        <w:t>maintenance vs. detoxiﬁcation: Can retention</w:t>
      </w:r>
      <w:r>
        <w:rPr>
          <w:color w:val="4C4D4F"/>
          <w:spacing w:val="-13"/>
          <w:w w:val="110"/>
          <w:sz w:val="18"/>
        </w:rPr>
        <w:t> </w:t>
      </w:r>
      <w:r>
        <w:rPr>
          <w:color w:val="4C4D4F"/>
          <w:w w:val="110"/>
          <w:sz w:val="18"/>
        </w:rPr>
        <w:t>of</w:t>
      </w:r>
    </w:p>
    <w:p>
      <w:pPr>
        <w:spacing w:line="247" w:lineRule="auto" w:before="3"/>
        <w:ind w:left="500" w:right="0" w:firstLine="0"/>
        <w:jc w:val="left"/>
        <w:rPr>
          <w:sz w:val="18"/>
        </w:rPr>
      </w:pPr>
      <w:r>
        <w:rPr>
          <w:color w:val="4C4D4F"/>
          <w:w w:val="110"/>
          <w:sz w:val="18"/>
        </w:rPr>
        <w:t>opioid-dependent patients in outpatient counseling </w:t>
      </w:r>
      <w:r>
        <w:rPr>
          <w:color w:val="4C4D4F"/>
          <w:spacing w:val="-9"/>
          <w:w w:val="110"/>
          <w:sz w:val="18"/>
        </w:rPr>
        <w:t>be </w:t>
      </w:r>
      <w:r>
        <w:rPr>
          <w:color w:val="4C4D4F"/>
          <w:w w:val="105"/>
          <w:sz w:val="18"/>
        </w:rPr>
        <w:t>improved? </w:t>
      </w:r>
      <w:r>
        <w:rPr>
          <w:rFonts w:ascii="Arial" w:hAnsi="Arial"/>
          <w:i/>
          <w:color w:val="4C4D4F"/>
          <w:w w:val="105"/>
          <w:sz w:val="18"/>
        </w:rPr>
        <w:t>American Journal on Addictions, 15</w:t>
      </w:r>
      <w:r>
        <w:rPr>
          <w:color w:val="4C4D4F"/>
          <w:w w:val="105"/>
          <w:sz w:val="18"/>
        </w:rPr>
        <w:t>(1),</w:t>
      </w:r>
      <w:r>
        <w:rPr>
          <w:color w:val="4C4D4F"/>
          <w:spacing w:val="-22"/>
          <w:w w:val="105"/>
          <w:sz w:val="18"/>
        </w:rPr>
        <w:t> </w:t>
      </w:r>
      <w:r>
        <w:rPr>
          <w:color w:val="4C4D4F"/>
          <w:spacing w:val="-3"/>
          <w:w w:val="105"/>
          <w:sz w:val="18"/>
        </w:rPr>
        <w:t>1–7.</w:t>
      </w:r>
    </w:p>
    <w:p>
      <w:pPr>
        <w:pStyle w:val="ListParagraph"/>
        <w:numPr>
          <w:ilvl w:val="0"/>
          <w:numId w:val="51"/>
        </w:numPr>
        <w:tabs>
          <w:tab w:pos="500" w:val="left" w:leader="none"/>
        </w:tabs>
        <w:spacing w:line="247" w:lineRule="auto" w:before="73" w:after="0"/>
        <w:ind w:left="500" w:right="181" w:hanging="360"/>
        <w:jc w:val="left"/>
        <w:rPr>
          <w:color w:val="4C4D4F"/>
          <w:sz w:val="18"/>
        </w:rPr>
      </w:pPr>
      <w:r>
        <w:rPr>
          <w:color w:val="4C4D4F"/>
          <w:w w:val="110"/>
          <w:sz w:val="18"/>
        </w:rPr>
        <w:t>Weiss, R. D., </w:t>
      </w:r>
      <w:r>
        <w:rPr>
          <w:color w:val="4C4D4F"/>
          <w:spacing w:val="-3"/>
          <w:w w:val="110"/>
          <w:sz w:val="18"/>
        </w:rPr>
        <w:t>Potter, </w:t>
      </w:r>
      <w:r>
        <w:rPr>
          <w:color w:val="4C4D4F"/>
          <w:w w:val="130"/>
          <w:sz w:val="18"/>
        </w:rPr>
        <w:t>J. </w:t>
      </w:r>
      <w:r>
        <w:rPr>
          <w:color w:val="4C4D4F"/>
          <w:w w:val="110"/>
          <w:sz w:val="18"/>
        </w:rPr>
        <w:t>S., Fiellin, D. A., Byrne, M., Connery, H. S., Dickinson, </w:t>
      </w:r>
      <w:r>
        <w:rPr>
          <w:color w:val="4C4D4F"/>
          <w:spacing w:val="-5"/>
          <w:w w:val="110"/>
          <w:sz w:val="18"/>
        </w:rPr>
        <w:t>W., </w:t>
      </w:r>
      <w:r>
        <w:rPr>
          <w:color w:val="4C4D4F"/>
          <w:w w:val="110"/>
          <w:sz w:val="18"/>
        </w:rPr>
        <w:t>… Ling, </w:t>
      </w:r>
      <w:r>
        <w:rPr>
          <w:color w:val="4C4D4F"/>
          <w:spacing w:val="-7"/>
          <w:w w:val="110"/>
          <w:sz w:val="18"/>
        </w:rPr>
        <w:t>W. </w:t>
      </w:r>
      <w:r>
        <w:rPr>
          <w:color w:val="4C4D4F"/>
          <w:w w:val="110"/>
          <w:sz w:val="18"/>
        </w:rPr>
        <w:t>(2011). Adjunctive counseling during brief and extended buprenorphine-naloxone treatment for prescription opioid dependence: A 2-phase randomized controlled </w:t>
      </w:r>
      <w:r>
        <w:rPr>
          <w:color w:val="4C4D4F"/>
          <w:w w:val="105"/>
          <w:sz w:val="18"/>
        </w:rPr>
        <w:t>trial.</w:t>
      </w:r>
      <w:r>
        <w:rPr>
          <w:color w:val="4C4D4F"/>
          <w:spacing w:val="-23"/>
          <w:w w:val="105"/>
          <w:sz w:val="18"/>
        </w:rPr>
        <w:t> </w:t>
      </w:r>
      <w:r>
        <w:rPr>
          <w:rFonts w:ascii="Arial" w:hAnsi="Arial"/>
          <w:i/>
          <w:color w:val="4C4D4F"/>
          <w:w w:val="105"/>
          <w:sz w:val="18"/>
        </w:rPr>
        <w:t>Archives</w:t>
      </w:r>
      <w:r>
        <w:rPr>
          <w:rFonts w:ascii="Arial" w:hAnsi="Arial"/>
          <w:i/>
          <w:color w:val="4C4D4F"/>
          <w:spacing w:val="-22"/>
          <w:w w:val="105"/>
          <w:sz w:val="18"/>
        </w:rPr>
        <w:t> </w:t>
      </w:r>
      <w:r>
        <w:rPr>
          <w:rFonts w:ascii="Arial" w:hAnsi="Arial"/>
          <w:i/>
          <w:color w:val="4C4D4F"/>
          <w:w w:val="105"/>
          <w:sz w:val="18"/>
        </w:rPr>
        <w:t>of</w:t>
      </w:r>
      <w:r>
        <w:rPr>
          <w:rFonts w:ascii="Arial" w:hAnsi="Arial"/>
          <w:i/>
          <w:color w:val="4C4D4F"/>
          <w:spacing w:val="-22"/>
          <w:w w:val="105"/>
          <w:sz w:val="18"/>
        </w:rPr>
        <w:t> </w:t>
      </w:r>
      <w:r>
        <w:rPr>
          <w:rFonts w:ascii="Arial" w:hAnsi="Arial"/>
          <w:i/>
          <w:color w:val="4C4D4F"/>
          <w:w w:val="105"/>
          <w:sz w:val="18"/>
        </w:rPr>
        <w:t>General</w:t>
      </w:r>
      <w:r>
        <w:rPr>
          <w:rFonts w:ascii="Arial" w:hAnsi="Arial"/>
          <w:i/>
          <w:color w:val="4C4D4F"/>
          <w:spacing w:val="-22"/>
          <w:w w:val="105"/>
          <w:sz w:val="18"/>
        </w:rPr>
        <w:t> </w:t>
      </w:r>
      <w:r>
        <w:rPr>
          <w:rFonts w:ascii="Arial" w:hAnsi="Arial"/>
          <w:i/>
          <w:color w:val="4C4D4F"/>
          <w:w w:val="105"/>
          <w:sz w:val="18"/>
        </w:rPr>
        <w:t>Psychiatry,</w:t>
      </w:r>
      <w:r>
        <w:rPr>
          <w:rFonts w:ascii="Arial" w:hAnsi="Arial"/>
          <w:i/>
          <w:color w:val="4C4D4F"/>
          <w:spacing w:val="-22"/>
          <w:w w:val="105"/>
          <w:sz w:val="18"/>
        </w:rPr>
        <w:t> </w:t>
      </w:r>
      <w:r>
        <w:rPr>
          <w:rFonts w:ascii="Arial" w:hAnsi="Arial"/>
          <w:i/>
          <w:color w:val="4C4D4F"/>
          <w:w w:val="105"/>
          <w:sz w:val="18"/>
        </w:rPr>
        <w:t>68</w:t>
      </w:r>
      <w:r>
        <w:rPr>
          <w:color w:val="4C4D4F"/>
          <w:w w:val="105"/>
          <w:sz w:val="18"/>
        </w:rPr>
        <w:t>(12),</w:t>
      </w:r>
      <w:r>
        <w:rPr>
          <w:color w:val="4C4D4F"/>
          <w:spacing w:val="-22"/>
          <w:w w:val="105"/>
          <w:sz w:val="18"/>
        </w:rPr>
        <w:t> </w:t>
      </w:r>
      <w:r>
        <w:rPr>
          <w:color w:val="4C4D4F"/>
          <w:w w:val="105"/>
          <w:sz w:val="18"/>
        </w:rPr>
        <w:t>1238–1246.</w:t>
      </w:r>
    </w:p>
    <w:p>
      <w:pPr>
        <w:pStyle w:val="ListParagraph"/>
        <w:numPr>
          <w:ilvl w:val="0"/>
          <w:numId w:val="51"/>
        </w:numPr>
        <w:tabs>
          <w:tab w:pos="500" w:val="left" w:leader="none"/>
        </w:tabs>
        <w:spacing w:line="247" w:lineRule="auto" w:before="76" w:after="0"/>
        <w:ind w:left="500" w:right="302" w:hanging="360"/>
        <w:jc w:val="left"/>
        <w:rPr>
          <w:color w:val="4C4D4F"/>
          <w:sz w:val="18"/>
        </w:rPr>
      </w:pPr>
      <w:r>
        <w:rPr>
          <w:color w:val="4C4D4F"/>
          <w:w w:val="115"/>
          <w:sz w:val="18"/>
        </w:rPr>
        <w:t>Fiellin,</w:t>
      </w:r>
      <w:r>
        <w:rPr>
          <w:color w:val="4C4D4F"/>
          <w:spacing w:val="-17"/>
          <w:w w:val="115"/>
          <w:sz w:val="18"/>
        </w:rPr>
        <w:t> </w:t>
      </w:r>
      <w:r>
        <w:rPr>
          <w:color w:val="4C4D4F"/>
          <w:w w:val="115"/>
          <w:sz w:val="18"/>
        </w:rPr>
        <w:t>D.</w:t>
      </w:r>
      <w:r>
        <w:rPr>
          <w:color w:val="4C4D4F"/>
          <w:spacing w:val="-16"/>
          <w:w w:val="115"/>
          <w:sz w:val="18"/>
        </w:rPr>
        <w:t> </w:t>
      </w:r>
      <w:r>
        <w:rPr>
          <w:color w:val="4C4D4F"/>
          <w:w w:val="115"/>
          <w:sz w:val="18"/>
        </w:rPr>
        <w:t>A.,</w:t>
      </w:r>
      <w:r>
        <w:rPr>
          <w:color w:val="4C4D4F"/>
          <w:spacing w:val="-16"/>
          <w:w w:val="115"/>
          <w:sz w:val="18"/>
        </w:rPr>
        <w:t> </w:t>
      </w:r>
      <w:r>
        <w:rPr>
          <w:color w:val="4C4D4F"/>
          <w:w w:val="115"/>
          <w:sz w:val="18"/>
        </w:rPr>
        <w:t>Moore,</w:t>
      </w:r>
      <w:r>
        <w:rPr>
          <w:color w:val="4C4D4F"/>
          <w:spacing w:val="-16"/>
          <w:w w:val="115"/>
          <w:sz w:val="18"/>
        </w:rPr>
        <w:t> </w:t>
      </w:r>
      <w:r>
        <w:rPr>
          <w:color w:val="4C4D4F"/>
          <w:w w:val="115"/>
          <w:sz w:val="18"/>
        </w:rPr>
        <w:t>B.</w:t>
      </w:r>
      <w:r>
        <w:rPr>
          <w:color w:val="4C4D4F"/>
          <w:spacing w:val="-16"/>
          <w:w w:val="115"/>
          <w:sz w:val="18"/>
        </w:rPr>
        <w:t> </w:t>
      </w:r>
      <w:r>
        <w:rPr>
          <w:color w:val="4C4D4F"/>
          <w:w w:val="115"/>
          <w:sz w:val="18"/>
        </w:rPr>
        <w:t>A.,</w:t>
      </w:r>
      <w:r>
        <w:rPr>
          <w:color w:val="4C4D4F"/>
          <w:spacing w:val="-17"/>
          <w:w w:val="115"/>
          <w:sz w:val="18"/>
        </w:rPr>
        <w:t> </w:t>
      </w:r>
      <w:r>
        <w:rPr>
          <w:color w:val="4C4D4F"/>
          <w:w w:val="115"/>
          <w:sz w:val="18"/>
        </w:rPr>
        <w:t>Sullivan,</w:t>
      </w:r>
      <w:r>
        <w:rPr>
          <w:color w:val="4C4D4F"/>
          <w:spacing w:val="-16"/>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spacing w:val="-3"/>
          <w:w w:val="115"/>
          <w:sz w:val="18"/>
        </w:rPr>
        <w:t>Becker,</w:t>
      </w:r>
      <w:r>
        <w:rPr>
          <w:color w:val="4C4D4F"/>
          <w:spacing w:val="-16"/>
          <w:w w:val="115"/>
          <w:sz w:val="18"/>
        </w:rPr>
        <w:t> </w:t>
      </w:r>
      <w:r>
        <w:rPr>
          <w:color w:val="4C4D4F"/>
          <w:spacing w:val="-7"/>
          <w:w w:val="115"/>
          <w:sz w:val="18"/>
        </w:rPr>
        <w:t>W. </w:t>
      </w:r>
      <w:r>
        <w:rPr>
          <w:color w:val="4C4D4F"/>
          <w:w w:val="115"/>
          <w:sz w:val="18"/>
        </w:rPr>
        <w:t>C.,</w:t>
      </w:r>
      <w:r>
        <w:rPr>
          <w:color w:val="4C4D4F"/>
          <w:spacing w:val="-20"/>
          <w:w w:val="115"/>
          <w:sz w:val="18"/>
        </w:rPr>
        <w:t> </w:t>
      </w:r>
      <w:r>
        <w:rPr>
          <w:color w:val="4C4D4F"/>
          <w:w w:val="115"/>
          <w:sz w:val="18"/>
        </w:rPr>
        <w:t>Pantalon,</w:t>
      </w:r>
      <w:r>
        <w:rPr>
          <w:color w:val="4C4D4F"/>
          <w:spacing w:val="-20"/>
          <w:w w:val="115"/>
          <w:sz w:val="18"/>
        </w:rPr>
        <w:t> </w:t>
      </w:r>
      <w:r>
        <w:rPr>
          <w:color w:val="4C4D4F"/>
          <w:w w:val="115"/>
          <w:sz w:val="18"/>
        </w:rPr>
        <w:t>M.</w:t>
      </w:r>
      <w:r>
        <w:rPr>
          <w:color w:val="4C4D4F"/>
          <w:spacing w:val="-20"/>
          <w:w w:val="115"/>
          <w:sz w:val="18"/>
        </w:rPr>
        <w:t> </w:t>
      </w:r>
      <w:r>
        <w:rPr>
          <w:color w:val="4C4D4F"/>
          <w:spacing w:val="-8"/>
          <w:w w:val="115"/>
          <w:sz w:val="18"/>
        </w:rPr>
        <w:t>V.,</w:t>
      </w:r>
      <w:r>
        <w:rPr>
          <w:color w:val="4C4D4F"/>
          <w:spacing w:val="-20"/>
          <w:w w:val="115"/>
          <w:sz w:val="18"/>
        </w:rPr>
        <w:t> </w:t>
      </w:r>
      <w:r>
        <w:rPr>
          <w:color w:val="4C4D4F"/>
          <w:w w:val="115"/>
          <w:sz w:val="18"/>
        </w:rPr>
        <w:t>Chawarski,</w:t>
      </w:r>
      <w:r>
        <w:rPr>
          <w:color w:val="4C4D4F"/>
          <w:spacing w:val="-20"/>
          <w:w w:val="115"/>
          <w:sz w:val="18"/>
        </w:rPr>
        <w:t> </w:t>
      </w:r>
      <w:r>
        <w:rPr>
          <w:color w:val="4C4D4F"/>
          <w:w w:val="115"/>
          <w:sz w:val="18"/>
        </w:rPr>
        <w:t>M.</w:t>
      </w:r>
      <w:r>
        <w:rPr>
          <w:color w:val="4C4D4F"/>
          <w:spacing w:val="-20"/>
          <w:w w:val="115"/>
          <w:sz w:val="18"/>
        </w:rPr>
        <w:t> </w:t>
      </w:r>
      <w:r>
        <w:rPr>
          <w:color w:val="4C4D4F"/>
          <w:w w:val="115"/>
          <w:sz w:val="18"/>
        </w:rPr>
        <w:t>C.,</w:t>
      </w:r>
      <w:r>
        <w:rPr>
          <w:color w:val="4C4D4F"/>
          <w:spacing w:val="-20"/>
          <w:w w:val="115"/>
          <w:sz w:val="18"/>
        </w:rPr>
        <w:t> </w:t>
      </w:r>
      <w:r>
        <w:rPr>
          <w:color w:val="4C4D4F"/>
          <w:w w:val="115"/>
          <w:sz w:val="18"/>
        </w:rPr>
        <w:t>…</w:t>
      </w:r>
      <w:r>
        <w:rPr>
          <w:color w:val="4C4D4F"/>
          <w:spacing w:val="-20"/>
          <w:w w:val="115"/>
          <w:sz w:val="18"/>
        </w:rPr>
        <w:t> </w:t>
      </w:r>
      <w:r>
        <w:rPr>
          <w:color w:val="4C4D4F"/>
          <w:spacing w:val="-2"/>
          <w:w w:val="115"/>
          <w:sz w:val="18"/>
        </w:rPr>
        <w:t>Schottenfeld,</w:t>
      </w:r>
    </w:p>
    <w:p>
      <w:pPr>
        <w:spacing w:line="247" w:lineRule="auto" w:before="2"/>
        <w:ind w:left="500" w:right="101" w:firstLine="0"/>
        <w:jc w:val="left"/>
        <w:rPr>
          <w:sz w:val="18"/>
        </w:rPr>
      </w:pPr>
      <w:r>
        <w:rPr>
          <w:color w:val="4C4D4F"/>
          <w:w w:val="110"/>
          <w:sz w:val="18"/>
        </w:rPr>
        <w:t>R. S. (2008). Long-term treatment with buprenorphine/ naloxone in primary care: Results at 2–5 years. </w:t>
      </w:r>
      <w:r>
        <w:rPr>
          <w:rFonts w:ascii="Arial" w:hAnsi="Arial"/>
          <w:i/>
          <w:color w:val="4C4D4F"/>
          <w:w w:val="110"/>
          <w:sz w:val="18"/>
        </w:rPr>
        <w:t>American Journal on Addictions, 17</w:t>
      </w:r>
      <w:r>
        <w:rPr>
          <w:color w:val="4C4D4F"/>
          <w:w w:val="110"/>
          <w:sz w:val="18"/>
        </w:rPr>
        <w:t>(2), 116–120.</w:t>
      </w:r>
    </w:p>
    <w:p>
      <w:pPr>
        <w:pStyle w:val="ListParagraph"/>
        <w:numPr>
          <w:ilvl w:val="0"/>
          <w:numId w:val="51"/>
        </w:numPr>
        <w:tabs>
          <w:tab w:pos="500" w:val="left" w:leader="none"/>
        </w:tabs>
        <w:spacing w:line="247" w:lineRule="auto" w:before="73" w:after="0"/>
        <w:ind w:left="500" w:right="268" w:hanging="360"/>
        <w:jc w:val="left"/>
        <w:rPr>
          <w:color w:val="4C4D4F"/>
          <w:sz w:val="18"/>
        </w:rPr>
      </w:pPr>
      <w:r>
        <w:rPr>
          <w:color w:val="4C4D4F"/>
          <w:w w:val="110"/>
          <w:sz w:val="18"/>
        </w:rPr>
        <w:t>Edelman, E. </w:t>
      </w:r>
      <w:r>
        <w:rPr>
          <w:color w:val="4C4D4F"/>
          <w:w w:val="120"/>
          <w:sz w:val="18"/>
        </w:rPr>
        <w:t>J., </w:t>
      </w:r>
      <w:r>
        <w:rPr>
          <w:color w:val="4C4D4F"/>
          <w:w w:val="110"/>
          <w:sz w:val="18"/>
        </w:rPr>
        <w:t>Chantarat, </w:t>
      </w:r>
      <w:r>
        <w:rPr>
          <w:color w:val="4C4D4F"/>
          <w:spacing w:val="-7"/>
          <w:w w:val="110"/>
          <w:sz w:val="18"/>
        </w:rPr>
        <w:t>T., </w:t>
      </w:r>
      <w:r>
        <w:rPr>
          <w:color w:val="4C4D4F"/>
          <w:spacing w:val="-3"/>
          <w:w w:val="110"/>
          <w:sz w:val="18"/>
        </w:rPr>
        <w:t>Caffrey, </w:t>
      </w:r>
      <w:r>
        <w:rPr>
          <w:color w:val="4C4D4F"/>
          <w:w w:val="110"/>
          <w:sz w:val="18"/>
        </w:rPr>
        <w:t>S., Chaudhry, </w:t>
      </w:r>
      <w:r>
        <w:rPr>
          <w:color w:val="4C4D4F"/>
          <w:spacing w:val="-5"/>
          <w:w w:val="110"/>
          <w:sz w:val="18"/>
        </w:rPr>
        <w:t>A., </w:t>
      </w:r>
      <w:r>
        <w:rPr>
          <w:color w:val="4C4D4F"/>
          <w:w w:val="110"/>
          <w:sz w:val="18"/>
        </w:rPr>
        <w:t>O’Connor, </w:t>
      </w:r>
      <w:r>
        <w:rPr>
          <w:color w:val="4C4D4F"/>
          <w:spacing w:val="-17"/>
          <w:w w:val="110"/>
          <w:sz w:val="18"/>
        </w:rPr>
        <w:t>P. </w:t>
      </w:r>
      <w:r>
        <w:rPr>
          <w:color w:val="4C4D4F"/>
          <w:w w:val="110"/>
          <w:sz w:val="18"/>
        </w:rPr>
        <w:t>G., Weiss, L., … Fiellin, L. E. (2014). The impact of buprenorphine/naloxone treatment on HIV risk behaviors among HIV-infected, opioid-dependent patients.</w:t>
      </w:r>
      <w:r>
        <w:rPr>
          <w:color w:val="4C4D4F"/>
          <w:spacing w:val="-28"/>
          <w:w w:val="110"/>
          <w:sz w:val="18"/>
        </w:rPr>
        <w:t> </w:t>
      </w:r>
      <w:r>
        <w:rPr>
          <w:rFonts w:ascii="Arial" w:hAnsi="Arial"/>
          <w:i/>
          <w:color w:val="4C4D4F"/>
          <w:w w:val="110"/>
          <w:sz w:val="18"/>
        </w:rPr>
        <w:t>Drug</w:t>
      </w:r>
      <w:r>
        <w:rPr>
          <w:rFonts w:ascii="Arial" w:hAnsi="Arial"/>
          <w:i/>
          <w:color w:val="4C4D4F"/>
          <w:spacing w:val="-28"/>
          <w:w w:val="110"/>
          <w:sz w:val="18"/>
        </w:rPr>
        <w:t> </w:t>
      </w:r>
      <w:r>
        <w:rPr>
          <w:rFonts w:ascii="Arial" w:hAnsi="Arial"/>
          <w:i/>
          <w:color w:val="4C4D4F"/>
          <w:w w:val="110"/>
          <w:sz w:val="18"/>
        </w:rPr>
        <w:t>and</w:t>
      </w:r>
      <w:r>
        <w:rPr>
          <w:rFonts w:ascii="Arial" w:hAnsi="Arial"/>
          <w:i/>
          <w:color w:val="4C4D4F"/>
          <w:spacing w:val="-28"/>
          <w:w w:val="110"/>
          <w:sz w:val="18"/>
        </w:rPr>
        <w:t> </w:t>
      </w:r>
      <w:r>
        <w:rPr>
          <w:rFonts w:ascii="Arial" w:hAnsi="Arial"/>
          <w:i/>
          <w:color w:val="4C4D4F"/>
          <w:w w:val="110"/>
          <w:sz w:val="18"/>
        </w:rPr>
        <w:t>Alcohol</w:t>
      </w:r>
      <w:r>
        <w:rPr>
          <w:rFonts w:ascii="Arial" w:hAnsi="Arial"/>
          <w:i/>
          <w:color w:val="4C4D4F"/>
          <w:spacing w:val="-28"/>
          <w:w w:val="110"/>
          <w:sz w:val="18"/>
        </w:rPr>
        <w:t> </w:t>
      </w:r>
      <w:r>
        <w:rPr>
          <w:rFonts w:ascii="Arial" w:hAnsi="Arial"/>
          <w:i/>
          <w:color w:val="4C4D4F"/>
          <w:w w:val="110"/>
          <w:sz w:val="18"/>
        </w:rPr>
        <w:t>Dependence,</w:t>
      </w:r>
      <w:r>
        <w:rPr>
          <w:rFonts w:ascii="Arial" w:hAnsi="Arial"/>
          <w:i/>
          <w:color w:val="4C4D4F"/>
          <w:spacing w:val="-28"/>
          <w:w w:val="110"/>
          <w:sz w:val="18"/>
        </w:rPr>
        <w:t> </w:t>
      </w:r>
      <w:r>
        <w:rPr>
          <w:rFonts w:ascii="Arial" w:hAnsi="Arial"/>
          <w:i/>
          <w:color w:val="4C4D4F"/>
          <w:w w:val="110"/>
          <w:sz w:val="18"/>
        </w:rPr>
        <w:t>139,</w:t>
      </w:r>
      <w:r>
        <w:rPr>
          <w:rFonts w:ascii="Arial" w:hAnsi="Arial"/>
          <w:i/>
          <w:color w:val="4C4D4F"/>
          <w:spacing w:val="-28"/>
          <w:w w:val="110"/>
          <w:sz w:val="18"/>
        </w:rPr>
        <w:t> </w:t>
      </w:r>
      <w:r>
        <w:rPr>
          <w:color w:val="4C4D4F"/>
          <w:w w:val="110"/>
          <w:sz w:val="18"/>
        </w:rPr>
        <w:t>79–85.</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15"/>
          <w:sz w:val="18"/>
        </w:rPr>
        <w:t>Sullivan,</w:t>
      </w:r>
      <w:r>
        <w:rPr>
          <w:color w:val="4C4D4F"/>
          <w:spacing w:val="-17"/>
          <w:w w:val="115"/>
          <w:sz w:val="18"/>
        </w:rPr>
        <w:t> </w:t>
      </w:r>
      <w:r>
        <w:rPr>
          <w:color w:val="4C4D4F"/>
          <w:w w:val="115"/>
          <w:sz w:val="18"/>
        </w:rPr>
        <w:t>L.</w:t>
      </w:r>
      <w:r>
        <w:rPr>
          <w:color w:val="4C4D4F"/>
          <w:spacing w:val="-16"/>
          <w:w w:val="115"/>
          <w:sz w:val="18"/>
        </w:rPr>
        <w:t> </w:t>
      </w:r>
      <w:r>
        <w:rPr>
          <w:color w:val="4C4D4F"/>
          <w:w w:val="115"/>
          <w:sz w:val="18"/>
        </w:rPr>
        <w:t>E.,</w:t>
      </w:r>
      <w:r>
        <w:rPr>
          <w:color w:val="4C4D4F"/>
          <w:spacing w:val="-16"/>
          <w:w w:val="115"/>
          <w:sz w:val="18"/>
        </w:rPr>
        <w:t> </w:t>
      </w:r>
      <w:r>
        <w:rPr>
          <w:color w:val="4C4D4F"/>
          <w:w w:val="115"/>
          <w:sz w:val="18"/>
        </w:rPr>
        <w:t>Moore,</w:t>
      </w:r>
      <w:r>
        <w:rPr>
          <w:color w:val="4C4D4F"/>
          <w:spacing w:val="-16"/>
          <w:w w:val="115"/>
          <w:sz w:val="18"/>
        </w:rPr>
        <w:t> </w:t>
      </w:r>
      <w:r>
        <w:rPr>
          <w:color w:val="4C4D4F"/>
          <w:w w:val="115"/>
          <w:sz w:val="18"/>
        </w:rPr>
        <w:t>B.</w:t>
      </w:r>
      <w:r>
        <w:rPr>
          <w:color w:val="4C4D4F"/>
          <w:spacing w:val="-16"/>
          <w:w w:val="115"/>
          <w:sz w:val="18"/>
        </w:rPr>
        <w:t> </w:t>
      </w:r>
      <w:r>
        <w:rPr>
          <w:color w:val="4C4D4F"/>
          <w:w w:val="115"/>
          <w:sz w:val="18"/>
        </w:rPr>
        <w:t>A.,</w:t>
      </w:r>
      <w:r>
        <w:rPr>
          <w:color w:val="4C4D4F"/>
          <w:spacing w:val="-16"/>
          <w:w w:val="115"/>
          <w:sz w:val="18"/>
        </w:rPr>
        <w:t> </w:t>
      </w:r>
      <w:r>
        <w:rPr>
          <w:color w:val="4C4D4F"/>
          <w:w w:val="115"/>
          <w:sz w:val="18"/>
        </w:rPr>
        <w:t>Chawarski,</w:t>
      </w:r>
      <w:r>
        <w:rPr>
          <w:color w:val="4C4D4F"/>
          <w:spacing w:val="-16"/>
          <w:w w:val="115"/>
          <w:sz w:val="18"/>
        </w:rPr>
        <w:t> </w:t>
      </w:r>
      <w:r>
        <w:rPr>
          <w:color w:val="4C4D4F"/>
          <w:w w:val="115"/>
          <w:sz w:val="18"/>
        </w:rPr>
        <w:t>M.</w:t>
      </w:r>
      <w:r>
        <w:rPr>
          <w:color w:val="4C4D4F"/>
          <w:spacing w:val="-16"/>
          <w:w w:val="115"/>
          <w:sz w:val="18"/>
        </w:rPr>
        <w:t> </w:t>
      </w:r>
      <w:r>
        <w:rPr>
          <w:color w:val="4C4D4F"/>
          <w:w w:val="115"/>
          <w:sz w:val="18"/>
        </w:rPr>
        <w:t>C.,</w:t>
      </w:r>
      <w:r>
        <w:rPr>
          <w:color w:val="4C4D4F"/>
          <w:spacing w:val="-16"/>
          <w:w w:val="115"/>
          <w:sz w:val="18"/>
        </w:rPr>
        <w:t> </w:t>
      </w:r>
      <w:r>
        <w:rPr>
          <w:color w:val="4C4D4F"/>
          <w:w w:val="115"/>
          <w:sz w:val="18"/>
        </w:rPr>
        <w:t>Pantalon,</w:t>
      </w:r>
    </w:p>
    <w:p>
      <w:pPr>
        <w:spacing w:line="247" w:lineRule="auto" w:before="7"/>
        <w:ind w:left="500" w:right="138" w:firstLine="0"/>
        <w:jc w:val="left"/>
        <w:rPr>
          <w:sz w:val="18"/>
        </w:rPr>
      </w:pPr>
      <w:r>
        <w:rPr>
          <w:color w:val="4C4D4F"/>
          <w:w w:val="110"/>
          <w:sz w:val="18"/>
        </w:rPr>
        <w:t>M. </w:t>
      </w:r>
      <w:r>
        <w:rPr>
          <w:color w:val="4C4D4F"/>
          <w:spacing w:val="-8"/>
          <w:w w:val="110"/>
          <w:sz w:val="18"/>
        </w:rPr>
        <w:t>V., </w:t>
      </w:r>
      <w:r>
        <w:rPr>
          <w:color w:val="4C4D4F"/>
          <w:spacing w:val="-3"/>
          <w:w w:val="110"/>
          <w:sz w:val="18"/>
        </w:rPr>
        <w:t>Barry, </w:t>
      </w:r>
      <w:r>
        <w:rPr>
          <w:color w:val="4C4D4F"/>
          <w:w w:val="110"/>
          <w:sz w:val="18"/>
        </w:rPr>
        <w:t>D., O’Connor, </w:t>
      </w:r>
      <w:r>
        <w:rPr>
          <w:color w:val="4C4D4F"/>
          <w:spacing w:val="-17"/>
          <w:w w:val="110"/>
          <w:sz w:val="18"/>
        </w:rPr>
        <w:t>P. </w:t>
      </w:r>
      <w:r>
        <w:rPr>
          <w:color w:val="4C4D4F"/>
          <w:w w:val="110"/>
          <w:sz w:val="18"/>
        </w:rPr>
        <w:t>G., … Fiellin, D. A. </w:t>
      </w:r>
      <w:r>
        <w:rPr>
          <w:color w:val="4C4D4F"/>
          <w:spacing w:val="-3"/>
          <w:w w:val="110"/>
          <w:sz w:val="18"/>
        </w:rPr>
        <w:t>(2008). </w:t>
      </w:r>
      <w:r>
        <w:rPr>
          <w:color w:val="4C4D4F"/>
          <w:w w:val="110"/>
          <w:sz w:val="18"/>
        </w:rPr>
        <w:t>Buprenorphine/naloxone treatment in primary care is associated with decreased human immunodeﬁciency virus risk behaviors. </w:t>
      </w:r>
      <w:r>
        <w:rPr>
          <w:rFonts w:ascii="Arial" w:hAnsi="Arial"/>
          <w:i/>
          <w:color w:val="4C4D4F"/>
          <w:w w:val="110"/>
          <w:sz w:val="18"/>
        </w:rPr>
        <w:t>Journal of Substance Abuse </w:t>
      </w:r>
      <w:r>
        <w:rPr>
          <w:rFonts w:ascii="Arial" w:hAnsi="Arial"/>
          <w:i/>
          <w:color w:val="4C4D4F"/>
          <w:spacing w:val="-3"/>
          <w:w w:val="110"/>
          <w:sz w:val="18"/>
        </w:rPr>
        <w:t>Treatment, </w:t>
      </w:r>
      <w:r>
        <w:rPr>
          <w:rFonts w:ascii="Arial" w:hAnsi="Arial"/>
          <w:i/>
          <w:color w:val="4C4D4F"/>
          <w:w w:val="110"/>
          <w:sz w:val="18"/>
        </w:rPr>
        <w:t>35</w:t>
      </w:r>
      <w:r>
        <w:rPr>
          <w:color w:val="4C4D4F"/>
          <w:w w:val="110"/>
          <w:sz w:val="18"/>
        </w:rPr>
        <w:t>(1), 87–92.</w:t>
      </w:r>
    </w:p>
    <w:p>
      <w:pPr>
        <w:spacing w:after="0" w:line="247" w:lineRule="auto"/>
        <w:jc w:val="left"/>
        <w:rPr>
          <w:sz w:val="18"/>
        </w:rPr>
        <w:sectPr>
          <w:type w:val="continuous"/>
          <w:pgSz w:w="12240" w:h="15840"/>
          <w:pgMar w:top="540" w:bottom="280" w:left="940" w:right="920"/>
          <w:cols w:num="2" w:equalWidth="0">
            <w:col w:w="5003" w:space="217"/>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20"/>
          <w:sz w:val="18"/>
        </w:rPr>
        <w:t>Auriacombe,</w:t>
      </w:r>
      <w:r>
        <w:rPr>
          <w:color w:val="4C4D4F"/>
          <w:spacing w:val="-41"/>
          <w:w w:val="120"/>
          <w:sz w:val="18"/>
        </w:rPr>
        <w:t> </w:t>
      </w:r>
      <w:r>
        <w:rPr>
          <w:color w:val="4C4D4F"/>
          <w:w w:val="120"/>
          <w:sz w:val="18"/>
        </w:rPr>
        <w:t>M.,</w:t>
      </w:r>
      <w:r>
        <w:rPr>
          <w:color w:val="4C4D4F"/>
          <w:spacing w:val="-40"/>
          <w:w w:val="120"/>
          <w:sz w:val="18"/>
        </w:rPr>
        <w:t> </w:t>
      </w:r>
      <w:r>
        <w:rPr>
          <w:color w:val="4C4D4F"/>
          <w:w w:val="120"/>
          <w:sz w:val="18"/>
        </w:rPr>
        <w:t>Fatséas,</w:t>
      </w:r>
      <w:r>
        <w:rPr>
          <w:color w:val="4C4D4F"/>
          <w:spacing w:val="-40"/>
          <w:w w:val="120"/>
          <w:sz w:val="18"/>
        </w:rPr>
        <w:t> </w:t>
      </w:r>
      <w:r>
        <w:rPr>
          <w:color w:val="4C4D4F"/>
          <w:w w:val="120"/>
          <w:sz w:val="18"/>
        </w:rPr>
        <w:t>M.,</w:t>
      </w:r>
      <w:r>
        <w:rPr>
          <w:color w:val="4C4D4F"/>
          <w:spacing w:val="-41"/>
          <w:w w:val="120"/>
          <w:sz w:val="18"/>
        </w:rPr>
        <w:t> </w:t>
      </w:r>
      <w:r>
        <w:rPr>
          <w:color w:val="4C4D4F"/>
          <w:w w:val="120"/>
          <w:sz w:val="18"/>
        </w:rPr>
        <w:t>Dubernet,</w:t>
      </w:r>
      <w:r>
        <w:rPr>
          <w:color w:val="4C4D4F"/>
          <w:spacing w:val="-40"/>
          <w:w w:val="120"/>
          <w:sz w:val="18"/>
        </w:rPr>
        <w:t> </w:t>
      </w:r>
      <w:r>
        <w:rPr>
          <w:color w:val="4C4D4F"/>
          <w:w w:val="120"/>
          <w:sz w:val="18"/>
        </w:rPr>
        <w:t>J.,</w:t>
      </w:r>
      <w:r>
        <w:rPr>
          <w:color w:val="4C4D4F"/>
          <w:spacing w:val="-40"/>
          <w:w w:val="120"/>
          <w:sz w:val="18"/>
        </w:rPr>
        <w:t> </w:t>
      </w:r>
      <w:r>
        <w:rPr>
          <w:color w:val="4C4D4F"/>
          <w:w w:val="120"/>
          <w:sz w:val="18"/>
        </w:rPr>
        <w:t>Daulouède,</w:t>
      </w:r>
    </w:p>
    <w:p>
      <w:pPr>
        <w:spacing w:line="247" w:lineRule="auto" w:before="7"/>
        <w:ind w:left="500" w:right="227" w:firstLine="0"/>
        <w:jc w:val="left"/>
        <w:rPr>
          <w:sz w:val="18"/>
        </w:rPr>
      </w:pPr>
      <w:r>
        <w:rPr>
          <w:color w:val="4C4D4F"/>
          <w:w w:val="135"/>
          <w:sz w:val="18"/>
        </w:rPr>
        <w:t>J.</w:t>
      </w:r>
      <w:r>
        <w:rPr>
          <w:color w:val="4C4D4F"/>
          <w:spacing w:val="-27"/>
          <w:w w:val="135"/>
          <w:sz w:val="18"/>
        </w:rPr>
        <w:t> </w:t>
      </w:r>
      <w:r>
        <w:rPr>
          <w:color w:val="4C4D4F"/>
          <w:spacing w:val="-11"/>
          <w:w w:val="115"/>
          <w:sz w:val="18"/>
        </w:rPr>
        <w:t>P.,</w:t>
      </w:r>
      <w:r>
        <w:rPr>
          <w:color w:val="4C4D4F"/>
          <w:spacing w:val="-17"/>
          <w:w w:val="115"/>
          <w:sz w:val="18"/>
        </w:rPr>
        <w:t> </w:t>
      </w:r>
      <w:r>
        <w:rPr>
          <w:color w:val="4C4D4F"/>
          <w:w w:val="115"/>
          <w:sz w:val="18"/>
        </w:rPr>
        <w:t>&amp;</w:t>
      </w:r>
      <w:r>
        <w:rPr>
          <w:color w:val="4C4D4F"/>
          <w:spacing w:val="-17"/>
          <w:w w:val="115"/>
          <w:sz w:val="18"/>
        </w:rPr>
        <w:t> </w:t>
      </w:r>
      <w:r>
        <w:rPr>
          <w:color w:val="4C4D4F"/>
          <w:w w:val="115"/>
          <w:sz w:val="18"/>
        </w:rPr>
        <w:t>Tignol,</w:t>
      </w:r>
      <w:r>
        <w:rPr>
          <w:color w:val="4C4D4F"/>
          <w:spacing w:val="-17"/>
          <w:w w:val="115"/>
          <w:sz w:val="18"/>
        </w:rPr>
        <w:t> </w:t>
      </w:r>
      <w:r>
        <w:rPr>
          <w:color w:val="4C4D4F"/>
          <w:w w:val="135"/>
          <w:sz w:val="18"/>
        </w:rPr>
        <w:t>J.</w:t>
      </w:r>
      <w:r>
        <w:rPr>
          <w:color w:val="4C4D4F"/>
          <w:spacing w:val="-26"/>
          <w:w w:val="135"/>
          <w:sz w:val="18"/>
        </w:rPr>
        <w:t> </w:t>
      </w:r>
      <w:r>
        <w:rPr>
          <w:color w:val="4C4D4F"/>
          <w:w w:val="115"/>
          <w:sz w:val="18"/>
        </w:rPr>
        <w:t>(2004).</w:t>
      </w:r>
      <w:r>
        <w:rPr>
          <w:color w:val="4C4D4F"/>
          <w:spacing w:val="-17"/>
          <w:w w:val="115"/>
          <w:sz w:val="18"/>
        </w:rPr>
        <w:t> </w:t>
      </w:r>
      <w:r>
        <w:rPr>
          <w:color w:val="4C4D4F"/>
          <w:w w:val="115"/>
          <w:sz w:val="18"/>
        </w:rPr>
        <w:t>French</w:t>
      </w:r>
      <w:r>
        <w:rPr>
          <w:color w:val="4C4D4F"/>
          <w:spacing w:val="-17"/>
          <w:w w:val="115"/>
          <w:sz w:val="18"/>
        </w:rPr>
        <w:t> </w:t>
      </w:r>
      <w:r>
        <w:rPr>
          <w:color w:val="4C4D4F"/>
          <w:w w:val="115"/>
          <w:sz w:val="18"/>
        </w:rPr>
        <w:t>ﬁeld</w:t>
      </w:r>
      <w:r>
        <w:rPr>
          <w:color w:val="4C4D4F"/>
          <w:spacing w:val="-17"/>
          <w:w w:val="115"/>
          <w:sz w:val="18"/>
        </w:rPr>
        <w:t> </w:t>
      </w:r>
      <w:r>
        <w:rPr>
          <w:color w:val="4C4D4F"/>
          <w:w w:val="115"/>
          <w:sz w:val="18"/>
        </w:rPr>
        <w:t>experience</w:t>
      </w:r>
      <w:r>
        <w:rPr>
          <w:color w:val="4C4D4F"/>
          <w:spacing w:val="-17"/>
          <w:w w:val="115"/>
          <w:sz w:val="18"/>
        </w:rPr>
        <w:t> </w:t>
      </w:r>
      <w:r>
        <w:rPr>
          <w:color w:val="4C4D4F"/>
          <w:spacing w:val="-4"/>
          <w:w w:val="115"/>
          <w:sz w:val="18"/>
        </w:rPr>
        <w:t>with </w:t>
      </w:r>
      <w:r>
        <w:rPr>
          <w:color w:val="4C4D4F"/>
          <w:w w:val="115"/>
          <w:sz w:val="18"/>
        </w:rPr>
        <w:t>buprenorphine.</w:t>
      </w:r>
      <w:r>
        <w:rPr>
          <w:color w:val="4C4D4F"/>
          <w:spacing w:val="-41"/>
          <w:w w:val="115"/>
          <w:sz w:val="18"/>
        </w:rPr>
        <w:t> </w:t>
      </w:r>
      <w:r>
        <w:rPr>
          <w:rFonts w:ascii="Arial" w:hAnsi="Arial"/>
          <w:i/>
          <w:color w:val="4C4D4F"/>
          <w:w w:val="115"/>
          <w:sz w:val="18"/>
        </w:rPr>
        <w:t>American</w:t>
      </w:r>
      <w:r>
        <w:rPr>
          <w:rFonts w:ascii="Arial" w:hAnsi="Arial"/>
          <w:i/>
          <w:color w:val="4C4D4F"/>
          <w:spacing w:val="-40"/>
          <w:w w:val="115"/>
          <w:sz w:val="18"/>
        </w:rPr>
        <w:t> </w:t>
      </w:r>
      <w:r>
        <w:rPr>
          <w:rFonts w:ascii="Arial" w:hAnsi="Arial"/>
          <w:i/>
          <w:color w:val="4C4D4F"/>
          <w:w w:val="115"/>
          <w:sz w:val="18"/>
        </w:rPr>
        <w:t>Journal</w:t>
      </w:r>
      <w:r>
        <w:rPr>
          <w:rFonts w:ascii="Arial" w:hAnsi="Arial"/>
          <w:i/>
          <w:color w:val="4C4D4F"/>
          <w:spacing w:val="-41"/>
          <w:w w:val="115"/>
          <w:sz w:val="18"/>
        </w:rPr>
        <w:t> </w:t>
      </w:r>
      <w:r>
        <w:rPr>
          <w:rFonts w:ascii="Arial" w:hAnsi="Arial"/>
          <w:i/>
          <w:color w:val="4C4D4F"/>
          <w:w w:val="115"/>
          <w:sz w:val="18"/>
        </w:rPr>
        <w:t>on</w:t>
      </w:r>
      <w:r>
        <w:rPr>
          <w:rFonts w:ascii="Arial" w:hAnsi="Arial"/>
          <w:i/>
          <w:color w:val="4C4D4F"/>
          <w:spacing w:val="-40"/>
          <w:w w:val="115"/>
          <w:sz w:val="18"/>
        </w:rPr>
        <w:t> </w:t>
      </w:r>
      <w:r>
        <w:rPr>
          <w:rFonts w:ascii="Arial" w:hAnsi="Arial"/>
          <w:i/>
          <w:color w:val="4C4D4F"/>
          <w:w w:val="115"/>
          <w:sz w:val="18"/>
        </w:rPr>
        <w:t>Addictions, </w:t>
      </w:r>
      <w:r>
        <w:rPr>
          <w:rFonts w:ascii="Arial" w:hAnsi="Arial"/>
          <w:i/>
          <w:color w:val="4C4D4F"/>
          <w:w w:val="115"/>
          <w:sz w:val="18"/>
        </w:rPr>
        <w:t>13</w:t>
      </w:r>
      <w:r>
        <w:rPr>
          <w:color w:val="4C4D4F"/>
          <w:w w:val="115"/>
          <w:sz w:val="18"/>
        </w:rPr>
        <w:t>(Suppl. 1),</w:t>
      </w:r>
      <w:r>
        <w:rPr>
          <w:color w:val="4C4D4F"/>
          <w:spacing w:val="-18"/>
          <w:w w:val="115"/>
          <w:sz w:val="18"/>
        </w:rPr>
        <w:t> </w:t>
      </w:r>
      <w:r>
        <w:rPr>
          <w:color w:val="4C4D4F"/>
          <w:w w:val="115"/>
          <w:sz w:val="18"/>
        </w:rPr>
        <w:t>S17–S28.</w:t>
      </w:r>
    </w:p>
    <w:p>
      <w:pPr>
        <w:pStyle w:val="ListParagraph"/>
        <w:numPr>
          <w:ilvl w:val="0"/>
          <w:numId w:val="51"/>
        </w:numPr>
        <w:tabs>
          <w:tab w:pos="500" w:val="left" w:leader="none"/>
        </w:tabs>
        <w:spacing w:line="247" w:lineRule="auto" w:before="72" w:after="0"/>
        <w:ind w:left="500" w:right="204" w:hanging="360"/>
        <w:jc w:val="left"/>
        <w:rPr>
          <w:color w:val="4C4D4F"/>
          <w:sz w:val="18"/>
        </w:rPr>
      </w:pPr>
      <w:r>
        <w:rPr>
          <w:color w:val="4C4D4F"/>
          <w:w w:val="110"/>
          <w:sz w:val="18"/>
        </w:rPr>
        <w:t>Degenhardt, L., Randall, D., Hall, </w:t>
      </w:r>
      <w:r>
        <w:rPr>
          <w:color w:val="4C4D4F"/>
          <w:spacing w:val="-5"/>
          <w:w w:val="110"/>
          <w:sz w:val="18"/>
        </w:rPr>
        <w:t>W., </w:t>
      </w:r>
      <w:r>
        <w:rPr>
          <w:color w:val="4C4D4F"/>
          <w:spacing w:val="-3"/>
          <w:w w:val="110"/>
          <w:sz w:val="18"/>
        </w:rPr>
        <w:t>Law, </w:t>
      </w:r>
      <w:r>
        <w:rPr>
          <w:color w:val="4C4D4F"/>
          <w:w w:val="110"/>
          <w:sz w:val="18"/>
        </w:rPr>
        <w:t>M., </w:t>
      </w:r>
      <w:r>
        <w:rPr>
          <w:color w:val="4C4D4F"/>
          <w:spacing w:val="-3"/>
          <w:w w:val="110"/>
          <w:sz w:val="18"/>
        </w:rPr>
        <w:t>Butler, </w:t>
      </w:r>
      <w:r>
        <w:rPr>
          <w:color w:val="4C4D4F"/>
          <w:spacing w:val="-7"/>
          <w:w w:val="110"/>
          <w:sz w:val="18"/>
        </w:rPr>
        <w:t>T., </w:t>
      </w:r>
      <w:r>
        <w:rPr>
          <w:color w:val="4C4D4F"/>
          <w:w w:val="110"/>
          <w:sz w:val="18"/>
        </w:rPr>
        <w:t>&amp; Burns, L. (2009). Mortality among clients of a state-wide opioid pharmacotherapy program over </w:t>
      </w:r>
      <w:r>
        <w:rPr>
          <w:color w:val="4C4D4F"/>
          <w:spacing w:val="-9"/>
          <w:w w:val="110"/>
          <w:sz w:val="18"/>
        </w:rPr>
        <w:t>20 </w:t>
      </w:r>
      <w:r>
        <w:rPr>
          <w:color w:val="4C4D4F"/>
          <w:w w:val="110"/>
          <w:sz w:val="18"/>
        </w:rPr>
        <w:t>years:</w:t>
      </w:r>
      <w:r>
        <w:rPr>
          <w:color w:val="4C4D4F"/>
          <w:spacing w:val="-10"/>
          <w:w w:val="110"/>
          <w:sz w:val="18"/>
        </w:rPr>
        <w:t> </w:t>
      </w:r>
      <w:r>
        <w:rPr>
          <w:color w:val="4C4D4F"/>
          <w:w w:val="110"/>
          <w:sz w:val="18"/>
        </w:rPr>
        <w:t>Risk</w:t>
      </w:r>
      <w:r>
        <w:rPr>
          <w:color w:val="4C4D4F"/>
          <w:spacing w:val="-9"/>
          <w:w w:val="110"/>
          <w:sz w:val="18"/>
        </w:rPr>
        <w:t> </w:t>
      </w:r>
      <w:r>
        <w:rPr>
          <w:color w:val="4C4D4F"/>
          <w:w w:val="110"/>
          <w:sz w:val="18"/>
        </w:rPr>
        <w:t>factors</w:t>
      </w:r>
      <w:r>
        <w:rPr>
          <w:color w:val="4C4D4F"/>
          <w:spacing w:val="-10"/>
          <w:w w:val="110"/>
          <w:sz w:val="18"/>
        </w:rPr>
        <w:t> </w:t>
      </w:r>
      <w:r>
        <w:rPr>
          <w:color w:val="4C4D4F"/>
          <w:w w:val="110"/>
          <w:sz w:val="18"/>
        </w:rPr>
        <w:t>and</w:t>
      </w:r>
      <w:r>
        <w:rPr>
          <w:color w:val="4C4D4F"/>
          <w:spacing w:val="-9"/>
          <w:w w:val="110"/>
          <w:sz w:val="18"/>
        </w:rPr>
        <w:t> </w:t>
      </w:r>
      <w:r>
        <w:rPr>
          <w:color w:val="4C4D4F"/>
          <w:w w:val="110"/>
          <w:sz w:val="18"/>
        </w:rPr>
        <w:t>lives</w:t>
      </w:r>
      <w:r>
        <w:rPr>
          <w:color w:val="4C4D4F"/>
          <w:spacing w:val="-10"/>
          <w:w w:val="110"/>
          <w:sz w:val="18"/>
        </w:rPr>
        <w:t> </w:t>
      </w:r>
      <w:r>
        <w:rPr>
          <w:color w:val="4C4D4F"/>
          <w:w w:val="110"/>
          <w:sz w:val="18"/>
        </w:rPr>
        <w:t>saved.</w:t>
      </w:r>
      <w:r>
        <w:rPr>
          <w:color w:val="4C4D4F"/>
          <w:spacing w:val="-9"/>
          <w:w w:val="110"/>
          <w:sz w:val="18"/>
        </w:rPr>
        <w:t> </w:t>
      </w:r>
      <w:r>
        <w:rPr>
          <w:rFonts w:ascii="Arial" w:hAnsi="Arial"/>
          <w:i/>
          <w:color w:val="4C4D4F"/>
          <w:w w:val="110"/>
          <w:sz w:val="18"/>
        </w:rPr>
        <w:t>Drug</w:t>
      </w:r>
      <w:r>
        <w:rPr>
          <w:rFonts w:ascii="Arial" w:hAnsi="Arial"/>
          <w:i/>
          <w:color w:val="4C4D4F"/>
          <w:spacing w:val="-10"/>
          <w:w w:val="110"/>
          <w:sz w:val="18"/>
        </w:rPr>
        <w:t> </w:t>
      </w:r>
      <w:r>
        <w:rPr>
          <w:rFonts w:ascii="Arial" w:hAnsi="Arial"/>
          <w:i/>
          <w:color w:val="4C4D4F"/>
          <w:w w:val="110"/>
          <w:sz w:val="18"/>
        </w:rPr>
        <w:t>and</w:t>
      </w:r>
      <w:r>
        <w:rPr>
          <w:rFonts w:ascii="Arial" w:hAnsi="Arial"/>
          <w:i/>
          <w:color w:val="4C4D4F"/>
          <w:spacing w:val="-9"/>
          <w:w w:val="110"/>
          <w:sz w:val="18"/>
        </w:rPr>
        <w:t> </w:t>
      </w:r>
      <w:r>
        <w:rPr>
          <w:rFonts w:ascii="Arial" w:hAnsi="Arial"/>
          <w:i/>
          <w:color w:val="4C4D4F"/>
          <w:w w:val="110"/>
          <w:sz w:val="18"/>
        </w:rPr>
        <w:t>Alcohol </w:t>
      </w:r>
      <w:r>
        <w:rPr>
          <w:rFonts w:ascii="Arial" w:hAnsi="Arial"/>
          <w:i/>
          <w:color w:val="4C4D4F"/>
          <w:w w:val="110"/>
          <w:sz w:val="18"/>
        </w:rPr>
        <w:t>Dependence, 105</w:t>
      </w:r>
      <w:r>
        <w:rPr>
          <w:color w:val="4C4D4F"/>
          <w:w w:val="110"/>
          <w:sz w:val="18"/>
        </w:rPr>
        <w:t>(1–2),</w:t>
      </w:r>
      <w:r>
        <w:rPr>
          <w:color w:val="4C4D4F"/>
          <w:spacing w:val="-18"/>
          <w:w w:val="110"/>
          <w:sz w:val="18"/>
        </w:rPr>
        <w:t> </w:t>
      </w:r>
      <w:r>
        <w:rPr>
          <w:color w:val="4C4D4F"/>
          <w:w w:val="110"/>
          <w:sz w:val="18"/>
        </w:rPr>
        <w:t>9–15.</w:t>
      </w:r>
    </w:p>
    <w:p>
      <w:pPr>
        <w:pStyle w:val="ListParagraph"/>
        <w:numPr>
          <w:ilvl w:val="0"/>
          <w:numId w:val="51"/>
        </w:numPr>
        <w:tabs>
          <w:tab w:pos="500" w:val="left" w:leader="none"/>
        </w:tabs>
        <w:spacing w:line="247" w:lineRule="auto" w:before="74" w:after="0"/>
        <w:ind w:left="500" w:right="382" w:hanging="360"/>
        <w:jc w:val="left"/>
        <w:rPr>
          <w:color w:val="4C4D4F"/>
          <w:sz w:val="18"/>
        </w:rPr>
      </w:pPr>
      <w:r>
        <w:rPr>
          <w:color w:val="4C4D4F"/>
          <w:w w:val="110"/>
          <w:sz w:val="18"/>
        </w:rPr>
        <w:t>Herget, G. (2005). Methadone and buprenorphine added</w:t>
      </w:r>
      <w:r>
        <w:rPr>
          <w:color w:val="4C4D4F"/>
          <w:spacing w:val="-6"/>
          <w:w w:val="110"/>
          <w:sz w:val="18"/>
        </w:rPr>
        <w:t> </w:t>
      </w:r>
      <w:r>
        <w:rPr>
          <w:color w:val="4C4D4F"/>
          <w:w w:val="110"/>
          <w:sz w:val="18"/>
        </w:rPr>
        <w:t>to</w:t>
      </w:r>
      <w:r>
        <w:rPr>
          <w:color w:val="4C4D4F"/>
          <w:spacing w:val="-5"/>
          <w:w w:val="110"/>
          <w:sz w:val="18"/>
        </w:rPr>
        <w:t> </w:t>
      </w:r>
      <w:r>
        <w:rPr>
          <w:color w:val="4C4D4F"/>
          <w:w w:val="110"/>
          <w:sz w:val="18"/>
        </w:rPr>
        <w:t>the</w:t>
      </w:r>
      <w:r>
        <w:rPr>
          <w:color w:val="4C4D4F"/>
          <w:spacing w:val="-5"/>
          <w:w w:val="110"/>
          <w:sz w:val="18"/>
        </w:rPr>
        <w:t> </w:t>
      </w:r>
      <w:r>
        <w:rPr>
          <w:color w:val="4C4D4F"/>
          <w:w w:val="110"/>
          <w:sz w:val="18"/>
        </w:rPr>
        <w:t>WHO</w:t>
      </w:r>
      <w:r>
        <w:rPr>
          <w:color w:val="4C4D4F"/>
          <w:spacing w:val="-5"/>
          <w:w w:val="110"/>
          <w:sz w:val="18"/>
        </w:rPr>
        <w:t> </w:t>
      </w:r>
      <w:r>
        <w:rPr>
          <w:color w:val="4C4D4F"/>
          <w:w w:val="110"/>
          <w:sz w:val="18"/>
        </w:rPr>
        <w:t>list</w:t>
      </w:r>
      <w:r>
        <w:rPr>
          <w:color w:val="4C4D4F"/>
          <w:spacing w:val="-5"/>
          <w:w w:val="110"/>
          <w:sz w:val="18"/>
        </w:rPr>
        <w:t> </w:t>
      </w:r>
      <w:r>
        <w:rPr>
          <w:color w:val="4C4D4F"/>
          <w:w w:val="110"/>
          <w:sz w:val="18"/>
        </w:rPr>
        <w:t>of</w:t>
      </w:r>
      <w:r>
        <w:rPr>
          <w:color w:val="4C4D4F"/>
          <w:spacing w:val="-5"/>
          <w:w w:val="110"/>
          <w:sz w:val="18"/>
        </w:rPr>
        <w:t> </w:t>
      </w:r>
      <w:r>
        <w:rPr>
          <w:color w:val="4C4D4F"/>
          <w:w w:val="110"/>
          <w:sz w:val="18"/>
        </w:rPr>
        <w:t>essential</w:t>
      </w:r>
      <w:r>
        <w:rPr>
          <w:color w:val="4C4D4F"/>
          <w:spacing w:val="-5"/>
          <w:w w:val="110"/>
          <w:sz w:val="18"/>
        </w:rPr>
        <w:t> </w:t>
      </w:r>
      <w:r>
        <w:rPr>
          <w:color w:val="4C4D4F"/>
          <w:w w:val="110"/>
          <w:sz w:val="18"/>
        </w:rPr>
        <w:t>medicines.</w:t>
      </w:r>
      <w:r>
        <w:rPr>
          <w:color w:val="4C4D4F"/>
          <w:spacing w:val="-5"/>
          <w:w w:val="110"/>
          <w:sz w:val="18"/>
        </w:rPr>
        <w:t> </w:t>
      </w:r>
      <w:r>
        <w:rPr>
          <w:rFonts w:ascii="Arial" w:hAnsi="Arial"/>
          <w:i/>
          <w:color w:val="4C4D4F"/>
          <w:spacing w:val="-5"/>
          <w:w w:val="110"/>
          <w:sz w:val="18"/>
        </w:rPr>
        <w:t>HIV/ </w:t>
      </w:r>
      <w:r>
        <w:rPr>
          <w:rFonts w:ascii="Arial" w:hAnsi="Arial"/>
          <w:i/>
          <w:color w:val="4C4D4F"/>
          <w:w w:val="110"/>
          <w:sz w:val="18"/>
        </w:rPr>
        <w:t>AIDS</w:t>
      </w:r>
      <w:r>
        <w:rPr>
          <w:rFonts w:ascii="Arial" w:hAnsi="Arial"/>
          <w:i/>
          <w:color w:val="4C4D4F"/>
          <w:spacing w:val="-21"/>
          <w:w w:val="110"/>
          <w:sz w:val="18"/>
        </w:rPr>
        <w:t> </w:t>
      </w:r>
      <w:r>
        <w:rPr>
          <w:rFonts w:ascii="Arial" w:hAnsi="Arial"/>
          <w:i/>
          <w:color w:val="4C4D4F"/>
          <w:w w:val="110"/>
          <w:sz w:val="18"/>
        </w:rPr>
        <w:t>Policy</w:t>
      </w:r>
      <w:r>
        <w:rPr>
          <w:rFonts w:ascii="Arial" w:hAnsi="Arial"/>
          <w:i/>
          <w:color w:val="4C4D4F"/>
          <w:spacing w:val="-20"/>
          <w:w w:val="110"/>
          <w:sz w:val="18"/>
        </w:rPr>
        <w:t> </w:t>
      </w:r>
      <w:r>
        <w:rPr>
          <w:rFonts w:ascii="Arial" w:hAnsi="Arial"/>
          <w:i/>
          <w:color w:val="4C4D4F"/>
          <w:w w:val="110"/>
          <w:sz w:val="18"/>
        </w:rPr>
        <w:t>and</w:t>
      </w:r>
      <w:r>
        <w:rPr>
          <w:rFonts w:ascii="Arial" w:hAnsi="Arial"/>
          <w:i/>
          <w:color w:val="4C4D4F"/>
          <w:spacing w:val="-21"/>
          <w:w w:val="110"/>
          <w:sz w:val="18"/>
        </w:rPr>
        <w:t> </w:t>
      </w:r>
      <w:r>
        <w:rPr>
          <w:rFonts w:ascii="Arial" w:hAnsi="Arial"/>
          <w:i/>
          <w:color w:val="4C4D4F"/>
          <w:w w:val="110"/>
          <w:sz w:val="18"/>
        </w:rPr>
        <w:t>Law</w:t>
      </w:r>
      <w:r>
        <w:rPr>
          <w:rFonts w:ascii="Arial" w:hAnsi="Arial"/>
          <w:i/>
          <w:color w:val="4C4D4F"/>
          <w:spacing w:val="-20"/>
          <w:w w:val="110"/>
          <w:sz w:val="18"/>
        </w:rPr>
        <w:t> </w:t>
      </w:r>
      <w:r>
        <w:rPr>
          <w:rFonts w:ascii="Arial" w:hAnsi="Arial"/>
          <w:i/>
          <w:color w:val="4C4D4F"/>
          <w:w w:val="110"/>
          <w:sz w:val="18"/>
        </w:rPr>
        <w:t>Review,</w:t>
      </w:r>
      <w:r>
        <w:rPr>
          <w:rFonts w:ascii="Arial" w:hAnsi="Arial"/>
          <w:i/>
          <w:color w:val="4C4D4F"/>
          <w:spacing w:val="-21"/>
          <w:w w:val="110"/>
          <w:sz w:val="18"/>
        </w:rPr>
        <w:t> </w:t>
      </w:r>
      <w:r>
        <w:rPr>
          <w:rFonts w:ascii="Arial" w:hAnsi="Arial"/>
          <w:i/>
          <w:color w:val="4C4D4F"/>
          <w:w w:val="110"/>
          <w:sz w:val="18"/>
        </w:rPr>
        <w:t>10</w:t>
      </w:r>
      <w:r>
        <w:rPr>
          <w:color w:val="4C4D4F"/>
          <w:w w:val="110"/>
          <w:sz w:val="18"/>
        </w:rPr>
        <w:t>(3),</w:t>
      </w:r>
      <w:r>
        <w:rPr>
          <w:color w:val="4C4D4F"/>
          <w:spacing w:val="-20"/>
          <w:w w:val="110"/>
          <w:sz w:val="18"/>
        </w:rPr>
        <w:t> </w:t>
      </w:r>
      <w:r>
        <w:rPr>
          <w:color w:val="4C4D4F"/>
          <w:w w:val="110"/>
          <w:sz w:val="18"/>
        </w:rPr>
        <w:t>23–24.</w:t>
      </w:r>
    </w:p>
    <w:p>
      <w:pPr>
        <w:pStyle w:val="ListParagraph"/>
        <w:numPr>
          <w:ilvl w:val="0"/>
          <w:numId w:val="51"/>
        </w:numPr>
        <w:tabs>
          <w:tab w:pos="500" w:val="left" w:leader="none"/>
        </w:tabs>
        <w:spacing w:line="247" w:lineRule="auto" w:before="72" w:after="0"/>
        <w:ind w:left="500" w:right="44" w:hanging="360"/>
        <w:jc w:val="left"/>
        <w:rPr>
          <w:color w:val="4C4D4F"/>
          <w:sz w:val="18"/>
        </w:rPr>
      </w:pPr>
      <w:r>
        <w:rPr>
          <w:color w:val="4C4D4F"/>
          <w:w w:val="110"/>
          <w:sz w:val="18"/>
        </w:rPr>
        <w:t>Department of Veterans Affairs &amp; Department of Defense. (2015). </w:t>
      </w:r>
      <w:r>
        <w:rPr>
          <w:rFonts w:ascii="Arial"/>
          <w:i/>
          <w:color w:val="4C4D4F"/>
          <w:w w:val="110"/>
          <w:sz w:val="18"/>
        </w:rPr>
        <w:t>VA/DoD </w:t>
      </w:r>
      <w:r>
        <w:rPr>
          <w:color w:val="4C4D4F"/>
          <w:w w:val="110"/>
          <w:sz w:val="18"/>
        </w:rPr>
        <w:t>clinical practice guideline for the management of substance use disorders. Retrieved October 16, 2017, from</w:t>
      </w:r>
      <w:r>
        <w:rPr>
          <w:color w:val="205E9E"/>
          <w:w w:val="110"/>
          <w:sz w:val="18"/>
        </w:rPr>
        <w:t> </w:t>
      </w:r>
      <w:hyperlink r:id="rId93">
        <w:r>
          <w:rPr>
            <w:color w:val="205E9E"/>
            <w:w w:val="110"/>
            <w:sz w:val="18"/>
            <w:u w:val="single" w:color="205E9E"/>
          </w:rPr>
          <w:t>www.healthquality.va.gov/</w:t>
        </w:r>
      </w:hyperlink>
      <w:r>
        <w:rPr>
          <w:color w:val="205E9E"/>
          <w:w w:val="110"/>
          <w:sz w:val="18"/>
          <w:u w:val="single" w:color="205E9E"/>
        </w:rPr>
        <w:t> guidelines/MH/sud/VADoDSUDCPGRevised22216.pdf</w:t>
      </w:r>
    </w:p>
    <w:p>
      <w:pPr>
        <w:pStyle w:val="ListParagraph"/>
        <w:numPr>
          <w:ilvl w:val="0"/>
          <w:numId w:val="51"/>
        </w:numPr>
        <w:tabs>
          <w:tab w:pos="500" w:val="left" w:leader="none"/>
        </w:tabs>
        <w:spacing w:line="247" w:lineRule="auto" w:before="75" w:after="0"/>
        <w:ind w:left="500" w:right="638" w:hanging="360"/>
        <w:jc w:val="left"/>
        <w:rPr>
          <w:color w:val="4C4D4F"/>
          <w:sz w:val="18"/>
        </w:rPr>
      </w:pPr>
      <w:r>
        <w:rPr>
          <w:color w:val="4C4D4F"/>
          <w:w w:val="110"/>
          <w:sz w:val="18"/>
        </w:rPr>
        <w:t>Orexo US. (2016). Zubsolv (buprenorphine and naloxone) sublingual tablets: Full prescribing information. Retrieved October 16, 2017, from</w:t>
      </w:r>
      <w:r>
        <w:rPr>
          <w:color w:val="205E9E"/>
          <w:w w:val="110"/>
          <w:sz w:val="18"/>
          <w:u w:val="single" w:color="205E9E"/>
        </w:rPr>
        <w:t> </w:t>
      </w:r>
      <w:hyperlink r:id="rId106">
        <w:r>
          <w:rPr>
            <w:color w:val="205E9E"/>
            <w:spacing w:val="-1"/>
            <w:w w:val="110"/>
            <w:sz w:val="18"/>
            <w:u w:val="single" w:color="205E9E"/>
          </w:rPr>
          <w:t>www.zubsolv.com/wp-content/uploads/2015/01</w:t>
        </w:r>
      </w:hyperlink>
    </w:p>
    <w:p>
      <w:pPr>
        <w:spacing w:before="4"/>
        <w:ind w:left="500" w:right="0" w:firstLine="0"/>
        <w:jc w:val="left"/>
        <w:rPr>
          <w:sz w:val="18"/>
        </w:rPr>
      </w:pPr>
      <w:r>
        <w:rPr>
          <w:color w:val="205E9E"/>
          <w:w w:val="110"/>
          <w:sz w:val="18"/>
          <w:u w:val="single" w:color="205E9E"/>
        </w:rPr>
        <w:t>/ZubsolvFullPrescribingInformation.pdf</w:t>
      </w:r>
    </w:p>
    <w:p>
      <w:pPr>
        <w:pStyle w:val="ListParagraph"/>
        <w:numPr>
          <w:ilvl w:val="0"/>
          <w:numId w:val="51"/>
        </w:numPr>
        <w:tabs>
          <w:tab w:pos="500" w:val="left" w:leader="none"/>
        </w:tabs>
        <w:spacing w:line="247" w:lineRule="auto" w:before="79" w:after="0"/>
        <w:ind w:left="500" w:right="48" w:hanging="360"/>
        <w:jc w:val="left"/>
        <w:rPr>
          <w:color w:val="4C4D4F"/>
          <w:sz w:val="18"/>
        </w:rPr>
      </w:pPr>
      <w:r>
        <w:rPr>
          <w:color w:val="4C4D4F"/>
          <w:w w:val="110"/>
          <w:sz w:val="18"/>
        </w:rPr>
        <w:t>BioDelivery Sciences International. (2015). Bunavail (buprenorphine and naloxone) buccal ﬁlm: Full prescribing information. Retrieved October 16, 2017, from</w:t>
      </w:r>
      <w:r>
        <w:rPr>
          <w:color w:val="205E9E"/>
          <w:w w:val="110"/>
          <w:sz w:val="18"/>
        </w:rPr>
        <w:t> </w:t>
      </w:r>
      <w:r>
        <w:rPr>
          <w:color w:val="205E9E"/>
          <w:w w:val="110"/>
          <w:sz w:val="18"/>
          <w:u w:val="single" w:color="205E9E"/>
        </w:rPr>
        <w:t>https://bunavail.com/hcp/assets/pdfs/BUNAVAIL_ Full_Prescribing_Information.pdf</w:t>
      </w:r>
    </w:p>
    <w:p>
      <w:pPr>
        <w:pStyle w:val="ListParagraph"/>
        <w:numPr>
          <w:ilvl w:val="0"/>
          <w:numId w:val="51"/>
        </w:numPr>
        <w:tabs>
          <w:tab w:pos="500" w:val="left" w:leader="none"/>
        </w:tabs>
        <w:spacing w:line="247" w:lineRule="auto" w:before="77" w:after="0"/>
        <w:ind w:left="500" w:right="138" w:hanging="360"/>
        <w:jc w:val="left"/>
        <w:rPr>
          <w:color w:val="4C4D4F"/>
          <w:sz w:val="18"/>
        </w:rPr>
      </w:pPr>
      <w:r>
        <w:rPr>
          <w:color w:val="4C4D4F"/>
          <w:w w:val="110"/>
          <w:sz w:val="18"/>
        </w:rPr>
        <w:t>BioDelivery Sciences International. (2015). Bunavail (buprenorphine and naloxone) buccal ﬁlm: Full prescribing information. Retrieved October 16, 2017, from</w:t>
      </w:r>
      <w:r>
        <w:rPr>
          <w:color w:val="205E9E"/>
          <w:spacing w:val="41"/>
          <w:w w:val="110"/>
          <w:sz w:val="18"/>
        </w:rPr>
        <w:t> </w:t>
      </w:r>
      <w:r>
        <w:rPr>
          <w:color w:val="205E9E"/>
          <w:w w:val="110"/>
          <w:sz w:val="18"/>
          <w:u w:val="single" w:color="205E9E"/>
        </w:rPr>
        <w:t>https://bunavail.com/hcp/assets/pdfs/BUNAVAIL</w:t>
      </w:r>
    </w:p>
    <w:p>
      <w:pPr>
        <w:spacing w:before="4"/>
        <w:ind w:left="500" w:right="0" w:firstLine="0"/>
        <w:jc w:val="left"/>
        <w:rPr>
          <w:sz w:val="18"/>
        </w:rPr>
      </w:pPr>
      <w:r>
        <w:rPr>
          <w:color w:val="205E9E"/>
          <w:w w:val="110"/>
          <w:sz w:val="18"/>
          <w:u w:val="single" w:color="205E9E"/>
        </w:rPr>
        <w:t>_Full_Prescribing_Information.pdf</w:t>
      </w:r>
    </w:p>
    <w:p>
      <w:pPr>
        <w:pStyle w:val="ListParagraph"/>
        <w:numPr>
          <w:ilvl w:val="0"/>
          <w:numId w:val="51"/>
        </w:numPr>
        <w:tabs>
          <w:tab w:pos="500" w:val="left" w:leader="none"/>
        </w:tabs>
        <w:spacing w:line="247" w:lineRule="auto" w:before="80" w:after="0"/>
        <w:ind w:left="500" w:right="204" w:hanging="360"/>
        <w:jc w:val="left"/>
        <w:rPr>
          <w:color w:val="4C4D4F"/>
          <w:sz w:val="18"/>
        </w:rPr>
      </w:pPr>
      <w:r>
        <w:rPr>
          <w:color w:val="4C4D4F"/>
          <w:w w:val="115"/>
          <w:sz w:val="18"/>
        </w:rPr>
        <w:t>Food</w:t>
      </w:r>
      <w:r>
        <w:rPr>
          <w:color w:val="4C4D4F"/>
          <w:spacing w:val="-33"/>
          <w:w w:val="115"/>
          <w:sz w:val="18"/>
        </w:rPr>
        <w:t> </w:t>
      </w:r>
      <w:r>
        <w:rPr>
          <w:color w:val="4C4D4F"/>
          <w:w w:val="115"/>
          <w:sz w:val="18"/>
        </w:rPr>
        <w:t>and</w:t>
      </w:r>
      <w:r>
        <w:rPr>
          <w:color w:val="4C4D4F"/>
          <w:spacing w:val="-33"/>
          <w:w w:val="115"/>
          <w:sz w:val="18"/>
        </w:rPr>
        <w:t> </w:t>
      </w:r>
      <w:r>
        <w:rPr>
          <w:color w:val="4C4D4F"/>
          <w:w w:val="115"/>
          <w:sz w:val="18"/>
        </w:rPr>
        <w:t>Drug</w:t>
      </w:r>
      <w:r>
        <w:rPr>
          <w:color w:val="4C4D4F"/>
          <w:spacing w:val="-32"/>
          <w:w w:val="115"/>
          <w:sz w:val="18"/>
        </w:rPr>
        <w:t> </w:t>
      </w:r>
      <w:r>
        <w:rPr>
          <w:color w:val="4C4D4F"/>
          <w:w w:val="115"/>
          <w:sz w:val="18"/>
        </w:rPr>
        <w:t>Administration.</w:t>
      </w:r>
      <w:r>
        <w:rPr>
          <w:color w:val="4C4D4F"/>
          <w:spacing w:val="-33"/>
          <w:w w:val="115"/>
          <w:sz w:val="18"/>
        </w:rPr>
        <w:t> </w:t>
      </w:r>
      <w:r>
        <w:rPr>
          <w:color w:val="4C4D4F"/>
          <w:w w:val="115"/>
          <w:sz w:val="18"/>
        </w:rPr>
        <w:t>(n.d.).</w:t>
      </w:r>
      <w:r>
        <w:rPr>
          <w:color w:val="4C4D4F"/>
          <w:spacing w:val="-33"/>
          <w:w w:val="115"/>
          <w:sz w:val="18"/>
        </w:rPr>
        <w:t> </w:t>
      </w:r>
      <w:r>
        <w:rPr>
          <w:color w:val="4C4D4F"/>
          <w:w w:val="115"/>
          <w:sz w:val="18"/>
        </w:rPr>
        <w:t>Drugs@FDA: FDA</w:t>
      </w:r>
      <w:r>
        <w:rPr>
          <w:color w:val="4C4D4F"/>
          <w:spacing w:val="-32"/>
          <w:w w:val="115"/>
          <w:sz w:val="18"/>
        </w:rPr>
        <w:t> </w:t>
      </w:r>
      <w:r>
        <w:rPr>
          <w:color w:val="4C4D4F"/>
          <w:w w:val="115"/>
          <w:sz w:val="18"/>
        </w:rPr>
        <w:t>approved</w:t>
      </w:r>
      <w:r>
        <w:rPr>
          <w:color w:val="4C4D4F"/>
          <w:spacing w:val="-31"/>
          <w:w w:val="115"/>
          <w:sz w:val="18"/>
        </w:rPr>
        <w:t> </w:t>
      </w:r>
      <w:r>
        <w:rPr>
          <w:color w:val="4C4D4F"/>
          <w:w w:val="115"/>
          <w:sz w:val="18"/>
        </w:rPr>
        <w:t>drug</w:t>
      </w:r>
      <w:r>
        <w:rPr>
          <w:color w:val="4C4D4F"/>
          <w:spacing w:val="-32"/>
          <w:w w:val="115"/>
          <w:sz w:val="18"/>
        </w:rPr>
        <w:t> </w:t>
      </w:r>
      <w:r>
        <w:rPr>
          <w:color w:val="4C4D4F"/>
          <w:w w:val="115"/>
          <w:sz w:val="18"/>
        </w:rPr>
        <w:t>products.</w:t>
      </w:r>
      <w:r>
        <w:rPr>
          <w:color w:val="4C4D4F"/>
          <w:spacing w:val="-31"/>
          <w:w w:val="115"/>
          <w:sz w:val="18"/>
        </w:rPr>
        <w:t> </w:t>
      </w:r>
      <w:r>
        <w:rPr>
          <w:color w:val="4C4D4F"/>
          <w:w w:val="115"/>
          <w:sz w:val="18"/>
        </w:rPr>
        <w:t>Retrieved</w:t>
      </w:r>
      <w:r>
        <w:rPr>
          <w:color w:val="4C4D4F"/>
          <w:spacing w:val="-31"/>
          <w:w w:val="115"/>
          <w:sz w:val="18"/>
        </w:rPr>
        <w:t> </w:t>
      </w:r>
      <w:r>
        <w:rPr>
          <w:color w:val="4C4D4F"/>
          <w:w w:val="115"/>
          <w:sz w:val="18"/>
        </w:rPr>
        <w:t>October</w:t>
      </w:r>
      <w:r>
        <w:rPr>
          <w:color w:val="4C4D4F"/>
          <w:spacing w:val="-32"/>
          <w:w w:val="115"/>
          <w:sz w:val="18"/>
        </w:rPr>
        <w:t> </w:t>
      </w:r>
      <w:r>
        <w:rPr>
          <w:color w:val="4C4D4F"/>
          <w:spacing w:val="-6"/>
          <w:w w:val="115"/>
          <w:sz w:val="18"/>
        </w:rPr>
        <w:t>16, </w:t>
      </w:r>
      <w:r>
        <w:rPr>
          <w:color w:val="4C4D4F"/>
          <w:w w:val="115"/>
          <w:sz w:val="18"/>
        </w:rPr>
        <w:t>2017, from</w:t>
      </w:r>
      <w:r>
        <w:rPr>
          <w:color w:val="205E9E"/>
          <w:spacing w:val="-34"/>
          <w:w w:val="115"/>
          <w:sz w:val="18"/>
          <w:u w:val="single" w:color="205E9E"/>
        </w:rPr>
        <w:t> </w:t>
      </w:r>
      <w:hyperlink r:id="rId62">
        <w:r>
          <w:rPr>
            <w:color w:val="205E9E"/>
            <w:w w:val="115"/>
            <w:sz w:val="18"/>
            <w:u w:val="single" w:color="205E9E"/>
          </w:rPr>
          <w:t>www.accessdata.fda.gov/scripts/cder</w:t>
        </w:r>
      </w:hyperlink>
    </w:p>
    <w:p>
      <w:pPr>
        <w:spacing w:before="3"/>
        <w:ind w:left="500" w:right="0" w:firstLine="0"/>
        <w:jc w:val="left"/>
        <w:rPr>
          <w:sz w:val="18"/>
        </w:rPr>
      </w:pPr>
      <w:r>
        <w:rPr>
          <w:color w:val="205E9E"/>
          <w:w w:val="115"/>
          <w:sz w:val="18"/>
          <w:u w:val="single" w:color="205E9E"/>
        </w:rPr>
        <w:t>/drugsatfda/index.cfm</w:t>
      </w:r>
    </w:p>
    <w:p>
      <w:pPr>
        <w:pStyle w:val="ListParagraph"/>
        <w:numPr>
          <w:ilvl w:val="0"/>
          <w:numId w:val="51"/>
        </w:numPr>
        <w:tabs>
          <w:tab w:pos="500" w:val="left" w:leader="none"/>
        </w:tabs>
        <w:spacing w:line="247" w:lineRule="auto" w:before="79" w:after="0"/>
        <w:ind w:left="500" w:right="592" w:hanging="360"/>
        <w:jc w:val="left"/>
        <w:rPr>
          <w:color w:val="4C4D4F"/>
          <w:sz w:val="18"/>
        </w:rPr>
      </w:pPr>
      <w:r>
        <w:rPr>
          <w:color w:val="4C4D4F"/>
          <w:w w:val="110"/>
          <w:sz w:val="18"/>
        </w:rPr>
        <w:t>Roxane Laboratories. (2015). Buprenorphine and naloxone sublingual tablets: Full </w:t>
      </w:r>
      <w:r>
        <w:rPr>
          <w:color w:val="4C4D4F"/>
          <w:spacing w:val="-3"/>
          <w:w w:val="110"/>
          <w:sz w:val="18"/>
        </w:rPr>
        <w:t>prescribing </w:t>
      </w:r>
      <w:r>
        <w:rPr>
          <w:color w:val="4C4D4F"/>
          <w:w w:val="110"/>
          <w:sz w:val="18"/>
        </w:rPr>
        <w:t>information. Retrieved October 16, 2017,</w:t>
      </w:r>
      <w:r>
        <w:rPr>
          <w:color w:val="4C4D4F"/>
          <w:spacing w:val="-32"/>
          <w:w w:val="110"/>
          <w:sz w:val="18"/>
        </w:rPr>
        <w:t> </w:t>
      </w:r>
      <w:r>
        <w:rPr>
          <w:color w:val="4C4D4F"/>
          <w:w w:val="110"/>
          <w:sz w:val="18"/>
        </w:rPr>
        <w:t>from</w:t>
      </w:r>
    </w:p>
    <w:p>
      <w:pPr>
        <w:spacing w:before="3"/>
        <w:ind w:left="500" w:right="0" w:firstLine="0"/>
        <w:jc w:val="left"/>
        <w:rPr>
          <w:sz w:val="18"/>
        </w:rPr>
      </w:pPr>
      <w:hyperlink r:id="rId107">
        <w:r>
          <w:rPr>
            <w:color w:val="205E9E"/>
            <w:w w:val="115"/>
            <w:sz w:val="18"/>
            <w:u w:val="single" w:color="205E9E"/>
          </w:rPr>
          <w:t>http://dailymed.nlm.nih.gov/dailymed/drugInfo.cfm</w:t>
        </w:r>
      </w:hyperlink>
    </w:p>
    <w:p>
      <w:pPr>
        <w:spacing w:before="7"/>
        <w:ind w:left="500" w:right="0" w:firstLine="0"/>
        <w:jc w:val="left"/>
        <w:rPr>
          <w:sz w:val="18"/>
        </w:rPr>
      </w:pPr>
      <w:r>
        <w:rPr>
          <w:color w:val="205E9E"/>
          <w:w w:val="115"/>
          <w:sz w:val="18"/>
          <w:u w:val="single" w:color="205E9E"/>
        </w:rPr>
        <w:t>?setid=713db2c6-0544-4633-b874-cfbeaf93db89</w:t>
      </w:r>
    </w:p>
    <w:p>
      <w:pPr>
        <w:pStyle w:val="ListParagraph"/>
        <w:numPr>
          <w:ilvl w:val="0"/>
          <w:numId w:val="51"/>
        </w:numPr>
        <w:tabs>
          <w:tab w:pos="500" w:val="left" w:leader="none"/>
        </w:tabs>
        <w:spacing w:line="247" w:lineRule="auto" w:before="79" w:after="0"/>
        <w:ind w:left="500" w:right="204" w:hanging="360"/>
        <w:jc w:val="left"/>
        <w:rPr>
          <w:color w:val="4C4D4F"/>
          <w:sz w:val="18"/>
        </w:rPr>
      </w:pPr>
      <w:r>
        <w:rPr>
          <w:color w:val="4C4D4F"/>
          <w:w w:val="115"/>
          <w:sz w:val="18"/>
        </w:rPr>
        <w:t>Food</w:t>
      </w:r>
      <w:r>
        <w:rPr>
          <w:color w:val="4C4D4F"/>
          <w:spacing w:val="-33"/>
          <w:w w:val="115"/>
          <w:sz w:val="18"/>
        </w:rPr>
        <w:t> </w:t>
      </w:r>
      <w:r>
        <w:rPr>
          <w:color w:val="4C4D4F"/>
          <w:w w:val="115"/>
          <w:sz w:val="18"/>
        </w:rPr>
        <w:t>and</w:t>
      </w:r>
      <w:r>
        <w:rPr>
          <w:color w:val="4C4D4F"/>
          <w:spacing w:val="-33"/>
          <w:w w:val="115"/>
          <w:sz w:val="18"/>
        </w:rPr>
        <w:t> </w:t>
      </w:r>
      <w:r>
        <w:rPr>
          <w:color w:val="4C4D4F"/>
          <w:w w:val="115"/>
          <w:sz w:val="18"/>
        </w:rPr>
        <w:t>Drug</w:t>
      </w:r>
      <w:r>
        <w:rPr>
          <w:color w:val="4C4D4F"/>
          <w:spacing w:val="-32"/>
          <w:w w:val="115"/>
          <w:sz w:val="18"/>
        </w:rPr>
        <w:t> </w:t>
      </w:r>
      <w:r>
        <w:rPr>
          <w:color w:val="4C4D4F"/>
          <w:w w:val="115"/>
          <w:sz w:val="18"/>
        </w:rPr>
        <w:t>Administration.</w:t>
      </w:r>
      <w:r>
        <w:rPr>
          <w:color w:val="4C4D4F"/>
          <w:spacing w:val="-33"/>
          <w:w w:val="115"/>
          <w:sz w:val="18"/>
        </w:rPr>
        <w:t> </w:t>
      </w:r>
      <w:r>
        <w:rPr>
          <w:color w:val="4C4D4F"/>
          <w:w w:val="115"/>
          <w:sz w:val="18"/>
        </w:rPr>
        <w:t>(n.d.).</w:t>
      </w:r>
      <w:r>
        <w:rPr>
          <w:color w:val="4C4D4F"/>
          <w:spacing w:val="-33"/>
          <w:w w:val="115"/>
          <w:sz w:val="18"/>
        </w:rPr>
        <w:t> </w:t>
      </w:r>
      <w:r>
        <w:rPr>
          <w:color w:val="4C4D4F"/>
          <w:w w:val="115"/>
          <w:sz w:val="18"/>
        </w:rPr>
        <w:t>Drugs@FDA: FDA</w:t>
      </w:r>
      <w:r>
        <w:rPr>
          <w:color w:val="4C4D4F"/>
          <w:spacing w:val="-32"/>
          <w:w w:val="115"/>
          <w:sz w:val="18"/>
        </w:rPr>
        <w:t> </w:t>
      </w:r>
      <w:r>
        <w:rPr>
          <w:color w:val="4C4D4F"/>
          <w:w w:val="115"/>
          <w:sz w:val="18"/>
        </w:rPr>
        <w:t>approved</w:t>
      </w:r>
      <w:r>
        <w:rPr>
          <w:color w:val="4C4D4F"/>
          <w:spacing w:val="-31"/>
          <w:w w:val="115"/>
          <w:sz w:val="18"/>
        </w:rPr>
        <w:t> </w:t>
      </w:r>
      <w:r>
        <w:rPr>
          <w:color w:val="4C4D4F"/>
          <w:w w:val="115"/>
          <w:sz w:val="18"/>
        </w:rPr>
        <w:t>drug</w:t>
      </w:r>
      <w:r>
        <w:rPr>
          <w:color w:val="4C4D4F"/>
          <w:spacing w:val="-32"/>
          <w:w w:val="115"/>
          <w:sz w:val="18"/>
        </w:rPr>
        <w:t> </w:t>
      </w:r>
      <w:r>
        <w:rPr>
          <w:color w:val="4C4D4F"/>
          <w:w w:val="115"/>
          <w:sz w:val="18"/>
        </w:rPr>
        <w:t>products.</w:t>
      </w:r>
      <w:r>
        <w:rPr>
          <w:color w:val="4C4D4F"/>
          <w:spacing w:val="-31"/>
          <w:w w:val="115"/>
          <w:sz w:val="18"/>
        </w:rPr>
        <w:t> </w:t>
      </w:r>
      <w:r>
        <w:rPr>
          <w:color w:val="4C4D4F"/>
          <w:w w:val="115"/>
          <w:sz w:val="18"/>
        </w:rPr>
        <w:t>Retrieved</w:t>
      </w:r>
      <w:r>
        <w:rPr>
          <w:color w:val="4C4D4F"/>
          <w:spacing w:val="-31"/>
          <w:w w:val="115"/>
          <w:sz w:val="18"/>
        </w:rPr>
        <w:t> </w:t>
      </w:r>
      <w:r>
        <w:rPr>
          <w:color w:val="4C4D4F"/>
          <w:w w:val="115"/>
          <w:sz w:val="18"/>
        </w:rPr>
        <w:t>October</w:t>
      </w:r>
      <w:r>
        <w:rPr>
          <w:color w:val="4C4D4F"/>
          <w:spacing w:val="-32"/>
          <w:w w:val="115"/>
          <w:sz w:val="18"/>
        </w:rPr>
        <w:t> </w:t>
      </w:r>
      <w:r>
        <w:rPr>
          <w:color w:val="4C4D4F"/>
          <w:spacing w:val="-6"/>
          <w:w w:val="115"/>
          <w:sz w:val="18"/>
        </w:rPr>
        <w:t>16, </w:t>
      </w:r>
      <w:r>
        <w:rPr>
          <w:color w:val="4C4D4F"/>
          <w:w w:val="115"/>
          <w:sz w:val="18"/>
        </w:rPr>
        <w:t>2017, from</w:t>
      </w:r>
      <w:r>
        <w:rPr>
          <w:color w:val="205E9E"/>
          <w:spacing w:val="-34"/>
          <w:w w:val="115"/>
          <w:sz w:val="18"/>
        </w:rPr>
        <w:t> </w:t>
      </w:r>
      <w:hyperlink r:id="rId62">
        <w:r>
          <w:rPr>
            <w:color w:val="205E9E"/>
            <w:w w:val="115"/>
            <w:sz w:val="18"/>
            <w:u w:val="single" w:color="205E9E"/>
          </w:rPr>
          <w:t>www.accessdata.fda.gov/scripts/cder</w:t>
        </w:r>
      </w:hyperlink>
    </w:p>
    <w:p>
      <w:pPr>
        <w:spacing w:before="3"/>
        <w:ind w:left="500" w:right="0" w:firstLine="0"/>
        <w:jc w:val="left"/>
        <w:rPr>
          <w:sz w:val="18"/>
        </w:rPr>
      </w:pPr>
      <w:r>
        <w:rPr>
          <w:color w:val="205E9E"/>
          <w:w w:val="115"/>
          <w:sz w:val="18"/>
          <w:u w:val="single" w:color="205E9E"/>
        </w:rPr>
        <w:t>/drugsatfda/index.cfm</w:t>
      </w:r>
    </w:p>
    <w:p>
      <w:pPr>
        <w:pStyle w:val="ListParagraph"/>
        <w:numPr>
          <w:ilvl w:val="0"/>
          <w:numId w:val="51"/>
        </w:numPr>
        <w:tabs>
          <w:tab w:pos="500" w:val="left" w:leader="none"/>
        </w:tabs>
        <w:spacing w:line="247" w:lineRule="auto" w:before="80" w:after="0"/>
        <w:ind w:left="500" w:right="451" w:hanging="360"/>
        <w:jc w:val="left"/>
        <w:rPr>
          <w:color w:val="4C4D4F"/>
          <w:sz w:val="18"/>
        </w:rPr>
      </w:pPr>
      <w:r>
        <w:rPr>
          <w:color w:val="4C4D4F"/>
          <w:w w:val="110"/>
          <w:sz w:val="18"/>
        </w:rPr>
        <w:t>Roxane Laboratories. (2015). Buprenorphine HCl sublingual tablets: Full prescribing information. Retrieved October 16, 2017, from</w:t>
      </w:r>
      <w:r>
        <w:rPr>
          <w:color w:val="205E9E"/>
          <w:spacing w:val="38"/>
          <w:w w:val="110"/>
          <w:sz w:val="18"/>
        </w:rPr>
        <w:t> </w:t>
      </w:r>
      <w:hyperlink r:id="rId108">
        <w:r>
          <w:rPr>
            <w:color w:val="205E9E"/>
            <w:spacing w:val="-2"/>
            <w:w w:val="110"/>
            <w:sz w:val="18"/>
            <w:u w:val="single" w:color="205E9E"/>
          </w:rPr>
          <w:t>http://dailymed</w:t>
        </w:r>
      </w:hyperlink>
    </w:p>
    <w:p>
      <w:pPr>
        <w:spacing w:before="3"/>
        <w:ind w:left="500" w:right="0" w:firstLine="0"/>
        <w:jc w:val="left"/>
        <w:rPr>
          <w:sz w:val="18"/>
        </w:rPr>
      </w:pPr>
      <w:r>
        <w:rPr>
          <w:color w:val="205E9E"/>
          <w:w w:val="115"/>
          <w:sz w:val="18"/>
          <w:u w:val="single" w:color="205E9E"/>
        </w:rPr>
        <w:t>.nlm.nih.gov/dailymed/drugInfo.cfm?setid=1bf8b35a</w:t>
      </w:r>
    </w:p>
    <w:p>
      <w:pPr>
        <w:spacing w:before="7"/>
        <w:ind w:left="500" w:right="0" w:firstLine="0"/>
        <w:jc w:val="left"/>
        <w:rPr>
          <w:sz w:val="18"/>
        </w:rPr>
      </w:pPr>
      <w:r>
        <w:rPr>
          <w:color w:val="205E9E"/>
          <w:w w:val="115"/>
          <w:sz w:val="18"/>
          <w:u w:val="single" w:color="205E9E"/>
        </w:rPr>
        <w:t>-b769-465c-a2f8-099868dfcd2f</w:t>
      </w:r>
    </w:p>
    <w:p>
      <w:pPr>
        <w:pStyle w:val="ListParagraph"/>
        <w:numPr>
          <w:ilvl w:val="0"/>
          <w:numId w:val="51"/>
        </w:numPr>
        <w:tabs>
          <w:tab w:pos="500" w:val="left" w:leader="none"/>
        </w:tabs>
        <w:spacing w:line="247" w:lineRule="auto" w:before="79" w:after="0"/>
        <w:ind w:left="500" w:right="292" w:hanging="360"/>
        <w:jc w:val="left"/>
        <w:rPr>
          <w:color w:val="4C4D4F"/>
          <w:sz w:val="18"/>
        </w:rPr>
      </w:pPr>
      <w:r>
        <w:rPr>
          <w:color w:val="4C4D4F"/>
          <w:w w:val="115"/>
          <w:sz w:val="18"/>
        </w:rPr>
        <w:t>Food</w:t>
      </w:r>
      <w:r>
        <w:rPr>
          <w:color w:val="4C4D4F"/>
          <w:spacing w:val="-40"/>
          <w:w w:val="115"/>
          <w:sz w:val="18"/>
        </w:rPr>
        <w:t> </w:t>
      </w:r>
      <w:r>
        <w:rPr>
          <w:color w:val="4C4D4F"/>
          <w:w w:val="115"/>
          <w:sz w:val="18"/>
        </w:rPr>
        <w:t>and</w:t>
      </w:r>
      <w:r>
        <w:rPr>
          <w:color w:val="4C4D4F"/>
          <w:spacing w:val="-39"/>
          <w:w w:val="115"/>
          <w:sz w:val="18"/>
        </w:rPr>
        <w:t> </w:t>
      </w:r>
      <w:r>
        <w:rPr>
          <w:color w:val="4C4D4F"/>
          <w:w w:val="115"/>
          <w:sz w:val="18"/>
        </w:rPr>
        <w:t>Drug</w:t>
      </w:r>
      <w:r>
        <w:rPr>
          <w:color w:val="4C4D4F"/>
          <w:spacing w:val="-39"/>
          <w:w w:val="115"/>
          <w:sz w:val="18"/>
        </w:rPr>
        <w:t> </w:t>
      </w:r>
      <w:r>
        <w:rPr>
          <w:color w:val="4C4D4F"/>
          <w:w w:val="115"/>
          <w:sz w:val="18"/>
        </w:rPr>
        <w:t>Administration.</w:t>
      </w:r>
      <w:r>
        <w:rPr>
          <w:color w:val="4C4D4F"/>
          <w:spacing w:val="-39"/>
          <w:w w:val="115"/>
          <w:sz w:val="18"/>
        </w:rPr>
        <w:t> </w:t>
      </w:r>
      <w:r>
        <w:rPr>
          <w:color w:val="4C4D4F"/>
          <w:w w:val="115"/>
          <w:sz w:val="18"/>
        </w:rPr>
        <w:t>(n.d.).</w:t>
      </w:r>
      <w:r>
        <w:rPr>
          <w:color w:val="4C4D4F"/>
          <w:spacing w:val="-39"/>
          <w:w w:val="115"/>
          <w:sz w:val="18"/>
        </w:rPr>
        <w:t> </w:t>
      </w:r>
      <w:r>
        <w:rPr>
          <w:color w:val="4C4D4F"/>
          <w:w w:val="115"/>
          <w:sz w:val="18"/>
        </w:rPr>
        <w:t>Drugs@FDA: FDA</w:t>
      </w:r>
      <w:r>
        <w:rPr>
          <w:color w:val="4C4D4F"/>
          <w:spacing w:val="-39"/>
          <w:w w:val="115"/>
          <w:sz w:val="18"/>
        </w:rPr>
        <w:t> </w:t>
      </w:r>
      <w:r>
        <w:rPr>
          <w:color w:val="4C4D4F"/>
          <w:spacing w:val="-3"/>
          <w:w w:val="115"/>
          <w:sz w:val="18"/>
        </w:rPr>
        <w:t>approved</w:t>
      </w:r>
      <w:r>
        <w:rPr>
          <w:color w:val="4C4D4F"/>
          <w:spacing w:val="-39"/>
          <w:w w:val="115"/>
          <w:sz w:val="18"/>
        </w:rPr>
        <w:t> </w:t>
      </w:r>
      <w:r>
        <w:rPr>
          <w:color w:val="4C4D4F"/>
          <w:w w:val="115"/>
          <w:sz w:val="18"/>
        </w:rPr>
        <w:t>drug</w:t>
      </w:r>
      <w:r>
        <w:rPr>
          <w:color w:val="4C4D4F"/>
          <w:spacing w:val="-39"/>
          <w:w w:val="115"/>
          <w:sz w:val="18"/>
        </w:rPr>
        <w:t> </w:t>
      </w:r>
      <w:r>
        <w:rPr>
          <w:color w:val="4C4D4F"/>
          <w:spacing w:val="-3"/>
          <w:w w:val="115"/>
          <w:sz w:val="18"/>
        </w:rPr>
        <w:t>products.</w:t>
      </w:r>
      <w:r>
        <w:rPr>
          <w:color w:val="4C4D4F"/>
          <w:spacing w:val="-38"/>
          <w:w w:val="115"/>
          <w:sz w:val="18"/>
        </w:rPr>
        <w:t> </w:t>
      </w:r>
      <w:r>
        <w:rPr>
          <w:color w:val="4C4D4F"/>
          <w:w w:val="115"/>
          <w:sz w:val="18"/>
        </w:rPr>
        <w:t>Retrieved</w:t>
      </w:r>
      <w:r>
        <w:rPr>
          <w:color w:val="4C4D4F"/>
          <w:spacing w:val="-39"/>
          <w:w w:val="115"/>
          <w:sz w:val="18"/>
        </w:rPr>
        <w:t> </w:t>
      </w:r>
      <w:r>
        <w:rPr>
          <w:color w:val="4C4D4F"/>
          <w:w w:val="115"/>
          <w:sz w:val="18"/>
        </w:rPr>
        <w:t>October</w:t>
      </w:r>
      <w:r>
        <w:rPr>
          <w:color w:val="4C4D4F"/>
          <w:spacing w:val="-39"/>
          <w:w w:val="115"/>
          <w:sz w:val="18"/>
        </w:rPr>
        <w:t> </w:t>
      </w:r>
      <w:r>
        <w:rPr>
          <w:color w:val="4C4D4F"/>
          <w:spacing w:val="-2"/>
          <w:w w:val="115"/>
          <w:sz w:val="18"/>
        </w:rPr>
        <w:t>16, </w:t>
      </w:r>
      <w:r>
        <w:rPr>
          <w:color w:val="4C4D4F"/>
          <w:w w:val="115"/>
          <w:sz w:val="18"/>
        </w:rPr>
        <w:t>2017, from</w:t>
      </w:r>
      <w:r>
        <w:rPr>
          <w:color w:val="205E9E"/>
          <w:spacing w:val="-38"/>
          <w:w w:val="115"/>
          <w:sz w:val="18"/>
        </w:rPr>
        <w:t> </w:t>
      </w:r>
      <w:hyperlink r:id="rId62">
        <w:r>
          <w:rPr>
            <w:color w:val="205E9E"/>
            <w:w w:val="115"/>
            <w:sz w:val="18"/>
            <w:u w:val="single" w:color="205E9E"/>
          </w:rPr>
          <w:t>www.accessdata.fda.gov/scripts/cder</w:t>
        </w:r>
      </w:hyperlink>
    </w:p>
    <w:p>
      <w:pPr>
        <w:spacing w:before="3"/>
        <w:ind w:left="500" w:right="0" w:firstLine="0"/>
        <w:jc w:val="left"/>
        <w:rPr>
          <w:sz w:val="18"/>
        </w:rPr>
      </w:pPr>
      <w:r>
        <w:rPr>
          <w:color w:val="205E9E"/>
          <w:w w:val="115"/>
          <w:sz w:val="18"/>
          <w:u w:val="single" w:color="205E9E"/>
        </w:rPr>
        <w:t>/drugsatfda/index.cfm</w:t>
      </w:r>
    </w:p>
    <w:p>
      <w:pPr>
        <w:pStyle w:val="ListParagraph"/>
        <w:numPr>
          <w:ilvl w:val="0"/>
          <w:numId w:val="51"/>
        </w:numPr>
        <w:tabs>
          <w:tab w:pos="500" w:val="left" w:leader="none"/>
        </w:tabs>
        <w:spacing w:line="247" w:lineRule="auto" w:before="100" w:after="0"/>
        <w:ind w:left="500" w:right="283" w:hanging="360"/>
        <w:jc w:val="left"/>
        <w:rPr>
          <w:color w:val="4C4D4F"/>
          <w:sz w:val="18"/>
        </w:rPr>
      </w:pPr>
      <w:r>
        <w:rPr>
          <w:color w:val="4C4D4F"/>
          <w:w w:val="108"/>
          <w:sz w:val="18"/>
        </w:rPr>
        <w:br w:type="column"/>
      </w:r>
      <w:r>
        <w:rPr>
          <w:color w:val="4C4D4F"/>
          <w:w w:val="110"/>
          <w:sz w:val="18"/>
        </w:rPr>
        <w:t>Indivior. (2015).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7" w:lineRule="auto" w:before="76" w:after="0"/>
        <w:ind w:left="500" w:right="799" w:hanging="360"/>
        <w:jc w:val="left"/>
        <w:rPr>
          <w:color w:val="4C4D4F"/>
          <w:sz w:val="18"/>
        </w:rPr>
      </w:pPr>
      <w:r>
        <w:rPr>
          <w:color w:val="4C4D4F"/>
          <w:w w:val="110"/>
          <w:sz w:val="18"/>
        </w:rPr>
        <w:t>Orexo US. (2015). Zubsolv (buprenorphine and naloxone) sublingual tablets: Full prescribing information. Retrieved October 16, 2017, from</w:t>
      </w:r>
      <w:r>
        <w:rPr>
          <w:color w:val="205E9E"/>
          <w:w w:val="110"/>
          <w:sz w:val="18"/>
          <w:u w:val="single" w:color="205E9E"/>
        </w:rPr>
        <w:t> </w:t>
      </w:r>
      <w:hyperlink r:id="rId106">
        <w:r>
          <w:rPr>
            <w:color w:val="205E9E"/>
            <w:spacing w:val="-1"/>
            <w:w w:val="110"/>
            <w:sz w:val="18"/>
            <w:u w:val="single" w:color="205E9E"/>
          </w:rPr>
          <w:t>www.zubsolv.com/wp-content/uploads/2015/01</w:t>
        </w:r>
      </w:hyperlink>
    </w:p>
    <w:p>
      <w:pPr>
        <w:spacing w:before="4"/>
        <w:ind w:left="500" w:right="0" w:firstLine="0"/>
        <w:jc w:val="left"/>
        <w:rPr>
          <w:sz w:val="18"/>
        </w:rPr>
      </w:pPr>
      <w:r>
        <w:rPr>
          <w:color w:val="205E9E"/>
          <w:w w:val="110"/>
          <w:sz w:val="18"/>
          <w:u w:val="single" w:color="205E9E"/>
        </w:rPr>
        <w:t>/ZubsolvFullPrescribingInformation.pdf</w:t>
      </w:r>
    </w:p>
    <w:p>
      <w:pPr>
        <w:pStyle w:val="ListParagraph"/>
        <w:numPr>
          <w:ilvl w:val="0"/>
          <w:numId w:val="51"/>
        </w:numPr>
        <w:tabs>
          <w:tab w:pos="500" w:val="left" w:leader="none"/>
        </w:tabs>
        <w:spacing w:line="247" w:lineRule="auto" w:before="79" w:after="0"/>
        <w:ind w:left="500" w:right="453" w:hanging="360"/>
        <w:jc w:val="left"/>
        <w:rPr>
          <w:color w:val="4C4D4F"/>
          <w:sz w:val="18"/>
        </w:rPr>
      </w:pPr>
      <w:r>
        <w:rPr>
          <w:color w:val="4C4D4F"/>
          <w:w w:val="115"/>
          <w:sz w:val="18"/>
        </w:rPr>
        <w:t>Food</w:t>
      </w:r>
      <w:r>
        <w:rPr>
          <w:color w:val="4C4D4F"/>
          <w:spacing w:val="-40"/>
          <w:w w:val="115"/>
          <w:sz w:val="18"/>
        </w:rPr>
        <w:t> </w:t>
      </w:r>
      <w:r>
        <w:rPr>
          <w:color w:val="4C4D4F"/>
          <w:w w:val="115"/>
          <w:sz w:val="18"/>
        </w:rPr>
        <w:t>and</w:t>
      </w:r>
      <w:r>
        <w:rPr>
          <w:color w:val="4C4D4F"/>
          <w:spacing w:val="-39"/>
          <w:w w:val="115"/>
          <w:sz w:val="18"/>
        </w:rPr>
        <w:t> </w:t>
      </w:r>
      <w:r>
        <w:rPr>
          <w:color w:val="4C4D4F"/>
          <w:w w:val="115"/>
          <w:sz w:val="18"/>
        </w:rPr>
        <w:t>Drug</w:t>
      </w:r>
      <w:r>
        <w:rPr>
          <w:color w:val="4C4D4F"/>
          <w:spacing w:val="-39"/>
          <w:w w:val="115"/>
          <w:sz w:val="18"/>
        </w:rPr>
        <w:t> </w:t>
      </w:r>
      <w:r>
        <w:rPr>
          <w:color w:val="4C4D4F"/>
          <w:w w:val="115"/>
          <w:sz w:val="18"/>
        </w:rPr>
        <w:t>Administration.</w:t>
      </w:r>
      <w:r>
        <w:rPr>
          <w:color w:val="4C4D4F"/>
          <w:spacing w:val="-40"/>
          <w:w w:val="115"/>
          <w:sz w:val="18"/>
        </w:rPr>
        <w:t> </w:t>
      </w:r>
      <w:r>
        <w:rPr>
          <w:color w:val="4C4D4F"/>
          <w:w w:val="115"/>
          <w:sz w:val="18"/>
        </w:rPr>
        <w:t>(n.d.).</w:t>
      </w:r>
      <w:r>
        <w:rPr>
          <w:color w:val="4C4D4F"/>
          <w:spacing w:val="-39"/>
          <w:w w:val="115"/>
          <w:sz w:val="18"/>
        </w:rPr>
        <w:t> </w:t>
      </w:r>
      <w:r>
        <w:rPr>
          <w:color w:val="4C4D4F"/>
          <w:w w:val="115"/>
          <w:sz w:val="18"/>
        </w:rPr>
        <w:t>Drugs@FDA: FDA</w:t>
      </w:r>
      <w:r>
        <w:rPr>
          <w:color w:val="4C4D4F"/>
          <w:spacing w:val="-39"/>
          <w:w w:val="115"/>
          <w:sz w:val="18"/>
        </w:rPr>
        <w:t> </w:t>
      </w:r>
      <w:r>
        <w:rPr>
          <w:color w:val="4C4D4F"/>
          <w:spacing w:val="-3"/>
          <w:w w:val="115"/>
          <w:sz w:val="18"/>
        </w:rPr>
        <w:t>approved</w:t>
      </w:r>
      <w:r>
        <w:rPr>
          <w:color w:val="4C4D4F"/>
          <w:spacing w:val="-39"/>
          <w:w w:val="115"/>
          <w:sz w:val="18"/>
        </w:rPr>
        <w:t> </w:t>
      </w:r>
      <w:r>
        <w:rPr>
          <w:color w:val="4C4D4F"/>
          <w:w w:val="115"/>
          <w:sz w:val="18"/>
        </w:rPr>
        <w:t>drug</w:t>
      </w:r>
      <w:r>
        <w:rPr>
          <w:color w:val="4C4D4F"/>
          <w:spacing w:val="-39"/>
          <w:w w:val="115"/>
          <w:sz w:val="18"/>
        </w:rPr>
        <w:t> </w:t>
      </w:r>
      <w:r>
        <w:rPr>
          <w:color w:val="4C4D4F"/>
          <w:spacing w:val="-3"/>
          <w:w w:val="115"/>
          <w:sz w:val="18"/>
        </w:rPr>
        <w:t>products.</w:t>
      </w:r>
      <w:r>
        <w:rPr>
          <w:color w:val="4C4D4F"/>
          <w:spacing w:val="-39"/>
          <w:w w:val="115"/>
          <w:sz w:val="18"/>
        </w:rPr>
        <w:t> </w:t>
      </w:r>
      <w:r>
        <w:rPr>
          <w:color w:val="4C4D4F"/>
          <w:w w:val="115"/>
          <w:sz w:val="18"/>
        </w:rPr>
        <w:t>Retrieved</w:t>
      </w:r>
      <w:r>
        <w:rPr>
          <w:color w:val="4C4D4F"/>
          <w:spacing w:val="-39"/>
          <w:w w:val="115"/>
          <w:sz w:val="18"/>
        </w:rPr>
        <w:t> </w:t>
      </w:r>
      <w:r>
        <w:rPr>
          <w:color w:val="4C4D4F"/>
          <w:w w:val="115"/>
          <w:sz w:val="18"/>
        </w:rPr>
        <w:t>October</w:t>
      </w:r>
      <w:r>
        <w:rPr>
          <w:color w:val="4C4D4F"/>
          <w:spacing w:val="-38"/>
          <w:w w:val="115"/>
          <w:sz w:val="18"/>
        </w:rPr>
        <w:t> </w:t>
      </w:r>
      <w:r>
        <w:rPr>
          <w:color w:val="4C4D4F"/>
          <w:spacing w:val="-2"/>
          <w:w w:val="115"/>
          <w:sz w:val="18"/>
        </w:rPr>
        <w:t>16, </w:t>
      </w:r>
      <w:r>
        <w:rPr>
          <w:color w:val="4C4D4F"/>
          <w:w w:val="115"/>
          <w:sz w:val="18"/>
        </w:rPr>
        <w:t>2017, from</w:t>
      </w:r>
      <w:r>
        <w:rPr>
          <w:color w:val="205E9E"/>
          <w:spacing w:val="-38"/>
          <w:w w:val="115"/>
          <w:sz w:val="18"/>
        </w:rPr>
        <w:t> </w:t>
      </w:r>
      <w:hyperlink r:id="rId62">
        <w:r>
          <w:rPr>
            <w:color w:val="205E9E"/>
            <w:w w:val="115"/>
            <w:sz w:val="18"/>
            <w:u w:val="single" w:color="205E9E"/>
          </w:rPr>
          <w:t>www.accessdata.fda.gov/scripts/cder</w:t>
        </w:r>
      </w:hyperlink>
    </w:p>
    <w:p>
      <w:pPr>
        <w:spacing w:before="3"/>
        <w:ind w:left="500" w:right="0" w:firstLine="0"/>
        <w:jc w:val="left"/>
        <w:rPr>
          <w:sz w:val="18"/>
        </w:rPr>
      </w:pPr>
      <w:r>
        <w:rPr>
          <w:color w:val="205E9E"/>
          <w:w w:val="115"/>
          <w:sz w:val="18"/>
          <w:u w:val="single" w:color="205E9E"/>
        </w:rPr>
        <w:t>/drugsatfda/index.cfm</w:t>
      </w:r>
    </w:p>
    <w:p>
      <w:pPr>
        <w:pStyle w:val="ListParagraph"/>
        <w:numPr>
          <w:ilvl w:val="0"/>
          <w:numId w:val="51"/>
        </w:numPr>
        <w:tabs>
          <w:tab w:pos="500" w:val="left" w:leader="none"/>
        </w:tabs>
        <w:spacing w:line="247" w:lineRule="auto" w:before="79" w:after="0"/>
        <w:ind w:left="500" w:right="612" w:hanging="360"/>
        <w:jc w:val="left"/>
        <w:rPr>
          <w:color w:val="4C4D4F"/>
          <w:sz w:val="18"/>
        </w:rPr>
      </w:pPr>
      <w:r>
        <w:rPr>
          <w:color w:val="4C4D4F"/>
          <w:w w:val="110"/>
          <w:sz w:val="18"/>
        </w:rPr>
        <w:t>Roxane Laboratories. (2015). Buprenorphine HCl sublingual tablets: Full prescribing information. Retrieved October 16, 2017, from</w:t>
      </w:r>
      <w:r>
        <w:rPr>
          <w:color w:val="205E9E"/>
          <w:spacing w:val="38"/>
          <w:w w:val="110"/>
          <w:sz w:val="18"/>
        </w:rPr>
        <w:t> </w:t>
      </w:r>
      <w:hyperlink r:id="rId108">
        <w:r>
          <w:rPr>
            <w:color w:val="205E9E"/>
            <w:spacing w:val="-2"/>
            <w:w w:val="110"/>
            <w:sz w:val="18"/>
            <w:u w:val="single" w:color="205E9E"/>
          </w:rPr>
          <w:t>http://dailymed</w:t>
        </w:r>
      </w:hyperlink>
    </w:p>
    <w:p>
      <w:pPr>
        <w:spacing w:before="3"/>
        <w:ind w:left="500" w:right="0" w:firstLine="0"/>
        <w:jc w:val="left"/>
        <w:rPr>
          <w:sz w:val="18"/>
        </w:rPr>
      </w:pPr>
      <w:r>
        <w:rPr>
          <w:color w:val="205E9E"/>
          <w:w w:val="115"/>
          <w:sz w:val="18"/>
          <w:u w:val="single" w:color="205E9E"/>
        </w:rPr>
        <w:t>.nlm.nih.gov/dailymed/drugInfo.cfm?setid=1bf8b35a</w:t>
      </w:r>
    </w:p>
    <w:p>
      <w:pPr>
        <w:spacing w:before="8"/>
        <w:ind w:left="500" w:right="0" w:firstLine="0"/>
        <w:jc w:val="left"/>
        <w:rPr>
          <w:sz w:val="18"/>
        </w:rPr>
      </w:pPr>
      <w:r>
        <w:rPr>
          <w:color w:val="205E9E"/>
          <w:w w:val="115"/>
          <w:sz w:val="18"/>
          <w:u w:val="single" w:color="205E9E"/>
        </w:rPr>
        <w:t>-b769-465c-a2f8-099868dfcd2f</w:t>
      </w:r>
    </w:p>
    <w:p>
      <w:pPr>
        <w:pStyle w:val="ListParagraph"/>
        <w:numPr>
          <w:ilvl w:val="0"/>
          <w:numId w:val="51"/>
        </w:numPr>
        <w:tabs>
          <w:tab w:pos="500" w:val="left" w:leader="none"/>
        </w:tabs>
        <w:spacing w:line="247" w:lineRule="auto" w:before="79" w:after="0"/>
        <w:ind w:left="500" w:right="283" w:hanging="360"/>
        <w:jc w:val="left"/>
        <w:rPr>
          <w:color w:val="4C4D4F"/>
          <w:sz w:val="18"/>
        </w:rPr>
      </w:pPr>
      <w:r>
        <w:rPr>
          <w:color w:val="4C4D4F"/>
          <w:w w:val="110"/>
          <w:sz w:val="18"/>
        </w:rPr>
        <w:t>Indivior. (2015).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7" w:lineRule="auto" w:before="76" w:after="0"/>
        <w:ind w:left="500" w:right="466" w:hanging="360"/>
        <w:jc w:val="left"/>
        <w:rPr>
          <w:color w:val="4C4D4F"/>
          <w:sz w:val="18"/>
        </w:rPr>
      </w:pPr>
      <w:r>
        <w:rPr>
          <w:color w:val="4C4D4F"/>
          <w:w w:val="110"/>
          <w:sz w:val="18"/>
        </w:rPr>
        <w:t>Substance Abuse and Mental Health Services Administration. (2016). Sublingual and </w:t>
      </w:r>
      <w:r>
        <w:rPr>
          <w:color w:val="4C4D4F"/>
          <w:spacing w:val="-2"/>
          <w:w w:val="110"/>
          <w:sz w:val="18"/>
        </w:rPr>
        <w:t>transmucosal </w:t>
      </w:r>
      <w:r>
        <w:rPr>
          <w:color w:val="4C4D4F"/>
          <w:w w:val="110"/>
          <w:sz w:val="18"/>
        </w:rPr>
        <w:t>buprenorphine for opioid use disorder:</w:t>
      </w:r>
      <w:r>
        <w:rPr>
          <w:color w:val="4C4D4F"/>
          <w:spacing w:val="-22"/>
          <w:w w:val="110"/>
          <w:sz w:val="18"/>
        </w:rPr>
        <w:t> </w:t>
      </w:r>
      <w:r>
        <w:rPr>
          <w:color w:val="4C4D4F"/>
          <w:w w:val="110"/>
          <w:sz w:val="18"/>
        </w:rPr>
        <w:t>Review</w:t>
      </w:r>
    </w:p>
    <w:p>
      <w:pPr>
        <w:spacing w:line="247" w:lineRule="auto" w:before="1"/>
        <w:ind w:left="500" w:right="594" w:firstLine="0"/>
        <w:jc w:val="left"/>
        <w:rPr>
          <w:sz w:val="18"/>
        </w:rPr>
      </w:pPr>
      <w:r>
        <w:rPr>
          <w:color w:val="4C4D4F"/>
          <w:w w:val="110"/>
          <w:sz w:val="18"/>
        </w:rPr>
        <w:t>and update. </w:t>
      </w:r>
      <w:r>
        <w:rPr>
          <w:rFonts w:ascii="Arial"/>
          <w:i/>
          <w:color w:val="4C4D4F"/>
          <w:w w:val="110"/>
          <w:sz w:val="18"/>
        </w:rPr>
        <w:t>Advisory, </w:t>
      </w:r>
      <w:r>
        <w:rPr>
          <w:color w:val="4C4D4F"/>
          <w:w w:val="110"/>
          <w:sz w:val="18"/>
        </w:rPr>
        <w:t>Vol. 15, Issue 1. Rockville, MD: Substance Abuse and Mental Health Services Administration.</w:t>
      </w:r>
    </w:p>
    <w:p>
      <w:pPr>
        <w:pStyle w:val="ListParagraph"/>
        <w:numPr>
          <w:ilvl w:val="0"/>
          <w:numId w:val="51"/>
        </w:numPr>
        <w:tabs>
          <w:tab w:pos="500" w:val="left" w:leader="none"/>
        </w:tabs>
        <w:spacing w:line="247" w:lineRule="auto" w:before="75" w:after="0"/>
        <w:ind w:left="500" w:right="398" w:hanging="360"/>
        <w:jc w:val="left"/>
        <w:rPr>
          <w:color w:val="4C4D4F"/>
          <w:sz w:val="18"/>
        </w:rPr>
      </w:pPr>
      <w:r>
        <w:rPr>
          <w:color w:val="4C4D4F"/>
          <w:spacing w:val="-3"/>
          <w:w w:val="110"/>
          <w:sz w:val="18"/>
        </w:rPr>
        <w:t>Indivor. </w:t>
      </w:r>
      <w:r>
        <w:rPr>
          <w:color w:val="4C4D4F"/>
          <w:w w:val="110"/>
          <w:sz w:val="18"/>
        </w:rPr>
        <w:t>(2017). Label: Sublocade (buprenorphine extended-release injection, for subcutaneous use. Retrieved January 9, 2018, from</w:t>
      </w:r>
      <w:r>
        <w:rPr>
          <w:color w:val="205E9E"/>
          <w:spacing w:val="38"/>
          <w:w w:val="110"/>
          <w:sz w:val="18"/>
        </w:rPr>
        <w:t> </w:t>
      </w:r>
      <w:hyperlink r:id="rId109">
        <w:r>
          <w:rPr>
            <w:color w:val="205E9E"/>
            <w:w w:val="110"/>
            <w:sz w:val="18"/>
            <w:u w:val="single" w:color="205E9E"/>
          </w:rPr>
          <w:t>www.accessdata.fda</w:t>
        </w:r>
      </w:hyperlink>
    </w:p>
    <w:p>
      <w:pPr>
        <w:spacing w:before="3"/>
        <w:ind w:left="500" w:right="0" w:firstLine="0"/>
        <w:jc w:val="left"/>
        <w:rPr>
          <w:sz w:val="18"/>
        </w:rPr>
      </w:pPr>
      <w:r>
        <w:rPr>
          <w:color w:val="205E9E"/>
          <w:w w:val="115"/>
          <w:sz w:val="18"/>
          <w:u w:val="single" w:color="205E9E"/>
        </w:rPr>
        <w:t>.gov/drugsatfda_docs/label/2017/209819s000lbl.pdf</w:t>
      </w:r>
    </w:p>
    <w:p>
      <w:pPr>
        <w:pStyle w:val="ListParagraph"/>
        <w:numPr>
          <w:ilvl w:val="0"/>
          <w:numId w:val="51"/>
        </w:numPr>
        <w:tabs>
          <w:tab w:pos="500" w:val="left" w:leader="none"/>
        </w:tabs>
        <w:spacing w:line="240" w:lineRule="auto" w:before="80" w:after="0"/>
        <w:ind w:left="500" w:right="0" w:hanging="360"/>
        <w:jc w:val="left"/>
        <w:rPr>
          <w:color w:val="4C4D4F"/>
          <w:sz w:val="18"/>
        </w:rPr>
      </w:pPr>
      <w:r>
        <w:rPr>
          <w:color w:val="4C4D4F"/>
          <w:w w:val="115"/>
          <w:sz w:val="18"/>
        </w:rPr>
        <w:t>Amass,</w:t>
      </w:r>
      <w:r>
        <w:rPr>
          <w:color w:val="4C4D4F"/>
          <w:spacing w:val="-11"/>
          <w:w w:val="115"/>
          <w:sz w:val="18"/>
        </w:rPr>
        <w:t> </w:t>
      </w:r>
      <w:r>
        <w:rPr>
          <w:color w:val="4C4D4F"/>
          <w:w w:val="115"/>
          <w:sz w:val="18"/>
        </w:rPr>
        <w:t>L.,</w:t>
      </w:r>
      <w:r>
        <w:rPr>
          <w:color w:val="4C4D4F"/>
          <w:spacing w:val="-11"/>
          <w:w w:val="115"/>
          <w:sz w:val="18"/>
        </w:rPr>
        <w:t> </w:t>
      </w:r>
      <w:r>
        <w:rPr>
          <w:color w:val="4C4D4F"/>
          <w:w w:val="115"/>
          <w:sz w:val="18"/>
        </w:rPr>
        <w:t>Kamien,</w:t>
      </w:r>
      <w:r>
        <w:rPr>
          <w:color w:val="4C4D4F"/>
          <w:spacing w:val="-11"/>
          <w:w w:val="115"/>
          <w:sz w:val="18"/>
        </w:rPr>
        <w:t> </w:t>
      </w:r>
      <w:r>
        <w:rPr>
          <w:color w:val="4C4D4F"/>
          <w:w w:val="135"/>
          <w:sz w:val="18"/>
        </w:rPr>
        <w:t>J.</w:t>
      </w:r>
      <w:r>
        <w:rPr>
          <w:color w:val="4C4D4F"/>
          <w:spacing w:val="-21"/>
          <w:w w:val="135"/>
          <w:sz w:val="18"/>
        </w:rPr>
        <w:t> </w:t>
      </w:r>
      <w:r>
        <w:rPr>
          <w:color w:val="4C4D4F"/>
          <w:w w:val="115"/>
          <w:sz w:val="18"/>
        </w:rPr>
        <w:t>B.,</w:t>
      </w:r>
      <w:r>
        <w:rPr>
          <w:color w:val="4C4D4F"/>
          <w:spacing w:val="-11"/>
          <w:w w:val="115"/>
          <w:sz w:val="18"/>
        </w:rPr>
        <w:t> </w:t>
      </w:r>
      <w:r>
        <w:rPr>
          <w:color w:val="4C4D4F"/>
          <w:w w:val="115"/>
          <w:sz w:val="18"/>
        </w:rPr>
        <w:t>&amp;</w:t>
      </w:r>
      <w:r>
        <w:rPr>
          <w:color w:val="4C4D4F"/>
          <w:spacing w:val="-11"/>
          <w:w w:val="115"/>
          <w:sz w:val="18"/>
        </w:rPr>
        <w:t> </w:t>
      </w:r>
      <w:r>
        <w:rPr>
          <w:color w:val="4C4D4F"/>
          <w:w w:val="115"/>
          <w:sz w:val="18"/>
        </w:rPr>
        <w:t>Mikulich,</w:t>
      </w:r>
      <w:r>
        <w:rPr>
          <w:color w:val="4C4D4F"/>
          <w:spacing w:val="-11"/>
          <w:w w:val="115"/>
          <w:sz w:val="18"/>
        </w:rPr>
        <w:t> </w:t>
      </w:r>
      <w:r>
        <w:rPr>
          <w:color w:val="4C4D4F"/>
          <w:w w:val="115"/>
          <w:sz w:val="18"/>
        </w:rPr>
        <w:t>S.</w:t>
      </w:r>
      <w:r>
        <w:rPr>
          <w:color w:val="4C4D4F"/>
          <w:spacing w:val="-11"/>
          <w:w w:val="115"/>
          <w:sz w:val="18"/>
        </w:rPr>
        <w:t> </w:t>
      </w:r>
      <w:r>
        <w:rPr>
          <w:color w:val="4C4D4F"/>
          <w:w w:val="115"/>
          <w:sz w:val="18"/>
        </w:rPr>
        <w:t>K.</w:t>
      </w:r>
      <w:r>
        <w:rPr>
          <w:color w:val="4C4D4F"/>
          <w:spacing w:val="-11"/>
          <w:w w:val="115"/>
          <w:sz w:val="18"/>
        </w:rPr>
        <w:t> </w:t>
      </w:r>
      <w:r>
        <w:rPr>
          <w:color w:val="4C4D4F"/>
          <w:w w:val="115"/>
          <w:sz w:val="18"/>
        </w:rPr>
        <w:t>(2001).</w:t>
      </w:r>
    </w:p>
    <w:p>
      <w:pPr>
        <w:spacing w:line="247" w:lineRule="auto" w:before="7"/>
        <w:ind w:left="500" w:right="242" w:firstLine="0"/>
        <w:jc w:val="left"/>
        <w:rPr>
          <w:sz w:val="18"/>
        </w:rPr>
      </w:pPr>
      <w:r>
        <w:rPr>
          <w:color w:val="4C4D4F"/>
          <w:w w:val="110"/>
          <w:sz w:val="18"/>
        </w:rPr>
        <w:t>Thrice-weekly supervised dosing with the combination buprenorphine-naloxone tablet is preferred to daily supervised dosing by opioid-dependent humans. </w:t>
      </w:r>
      <w:r>
        <w:rPr>
          <w:rFonts w:ascii="Arial" w:hAnsi="Arial"/>
          <w:i/>
          <w:color w:val="4C4D4F"/>
          <w:w w:val="110"/>
          <w:sz w:val="18"/>
        </w:rPr>
        <w:t>Drug </w:t>
      </w:r>
      <w:r>
        <w:rPr>
          <w:rFonts w:ascii="Arial" w:hAnsi="Arial"/>
          <w:i/>
          <w:color w:val="4C4D4F"/>
          <w:w w:val="110"/>
          <w:sz w:val="18"/>
        </w:rPr>
        <w:t>and Alcohol Dependence, 61</w:t>
      </w:r>
      <w:r>
        <w:rPr>
          <w:color w:val="4C4D4F"/>
          <w:w w:val="110"/>
          <w:sz w:val="18"/>
        </w:rPr>
        <w:t>(2), 173–181.</w:t>
      </w:r>
    </w:p>
    <w:p>
      <w:pPr>
        <w:pStyle w:val="ListParagraph"/>
        <w:numPr>
          <w:ilvl w:val="0"/>
          <w:numId w:val="51"/>
        </w:numPr>
        <w:tabs>
          <w:tab w:pos="500" w:val="left" w:leader="none"/>
        </w:tabs>
        <w:spacing w:line="247" w:lineRule="auto" w:before="73" w:after="0"/>
        <w:ind w:left="500" w:right="280" w:hanging="360"/>
        <w:jc w:val="left"/>
        <w:rPr>
          <w:color w:val="4C4D4F"/>
          <w:sz w:val="18"/>
        </w:rPr>
      </w:pPr>
      <w:r>
        <w:rPr>
          <w:color w:val="4C4D4F"/>
          <w:w w:val="110"/>
          <w:sz w:val="18"/>
        </w:rPr>
        <w:t>Schottenfeld, R. S., Pakes, </w:t>
      </w:r>
      <w:r>
        <w:rPr>
          <w:color w:val="4C4D4F"/>
          <w:w w:val="120"/>
          <w:sz w:val="18"/>
        </w:rPr>
        <w:t>J., </w:t>
      </w:r>
      <w:r>
        <w:rPr>
          <w:color w:val="4C4D4F"/>
          <w:w w:val="110"/>
          <w:sz w:val="18"/>
        </w:rPr>
        <w:t>O’Connor, </w:t>
      </w:r>
      <w:r>
        <w:rPr>
          <w:color w:val="4C4D4F"/>
          <w:spacing w:val="-11"/>
          <w:w w:val="110"/>
          <w:sz w:val="18"/>
        </w:rPr>
        <w:t>P., </w:t>
      </w:r>
      <w:r>
        <w:rPr>
          <w:color w:val="4C4D4F"/>
          <w:w w:val="110"/>
          <w:sz w:val="18"/>
        </w:rPr>
        <w:t>Chawarski, M., Oliveto, A., &amp; Kosten, </w:t>
      </w:r>
      <w:r>
        <w:rPr>
          <w:color w:val="4C4D4F"/>
          <w:spacing w:val="-10"/>
          <w:w w:val="110"/>
          <w:sz w:val="18"/>
        </w:rPr>
        <w:t>T. </w:t>
      </w:r>
      <w:r>
        <w:rPr>
          <w:color w:val="4C4D4F"/>
          <w:w w:val="110"/>
          <w:sz w:val="18"/>
        </w:rPr>
        <w:t>R. (2000). Thrice-weekly versus daily buprenorphine maintenance. </w:t>
      </w:r>
      <w:r>
        <w:rPr>
          <w:rFonts w:ascii="Arial" w:hAnsi="Arial"/>
          <w:i/>
          <w:color w:val="4C4D4F"/>
          <w:w w:val="110"/>
          <w:sz w:val="18"/>
        </w:rPr>
        <w:t>Biological </w:t>
      </w:r>
      <w:r>
        <w:rPr>
          <w:rFonts w:ascii="Arial" w:hAnsi="Arial"/>
          <w:i/>
          <w:color w:val="4C4D4F"/>
          <w:w w:val="110"/>
          <w:sz w:val="18"/>
        </w:rPr>
        <w:t>Psychiatry, 47</w:t>
      </w:r>
      <w:r>
        <w:rPr>
          <w:color w:val="4C4D4F"/>
          <w:w w:val="110"/>
          <w:sz w:val="18"/>
        </w:rPr>
        <w:t>(12),</w:t>
      </w:r>
      <w:r>
        <w:rPr>
          <w:color w:val="4C4D4F"/>
          <w:spacing w:val="-18"/>
          <w:w w:val="110"/>
          <w:sz w:val="18"/>
        </w:rPr>
        <w:t> </w:t>
      </w:r>
      <w:r>
        <w:rPr>
          <w:color w:val="4C4D4F"/>
          <w:w w:val="110"/>
          <w:sz w:val="18"/>
        </w:rPr>
        <w:t>1072–1079.</w:t>
      </w:r>
    </w:p>
    <w:p>
      <w:pPr>
        <w:pStyle w:val="ListParagraph"/>
        <w:numPr>
          <w:ilvl w:val="0"/>
          <w:numId w:val="51"/>
        </w:numPr>
        <w:tabs>
          <w:tab w:pos="500" w:val="left" w:leader="none"/>
        </w:tabs>
        <w:spacing w:line="240" w:lineRule="auto" w:before="72" w:after="0"/>
        <w:ind w:left="500" w:right="0" w:hanging="360"/>
        <w:jc w:val="left"/>
        <w:rPr>
          <w:color w:val="4C4D4F"/>
          <w:sz w:val="18"/>
        </w:rPr>
      </w:pPr>
      <w:r>
        <w:rPr>
          <w:color w:val="4C4D4F"/>
          <w:w w:val="110"/>
          <w:sz w:val="18"/>
        </w:rPr>
        <w:t>Walsh, S. L., Preston, K. L., </w:t>
      </w:r>
      <w:r>
        <w:rPr>
          <w:color w:val="4C4D4F"/>
          <w:spacing w:val="-3"/>
          <w:w w:val="110"/>
          <w:sz w:val="18"/>
        </w:rPr>
        <w:t>Stitzer, </w:t>
      </w:r>
      <w:r>
        <w:rPr>
          <w:color w:val="4C4D4F"/>
          <w:w w:val="110"/>
          <w:sz w:val="18"/>
        </w:rPr>
        <w:t>M. L., Cone,</w:t>
      </w:r>
      <w:r>
        <w:rPr>
          <w:color w:val="4C4D4F"/>
          <w:spacing w:val="-35"/>
          <w:w w:val="110"/>
          <w:sz w:val="18"/>
        </w:rPr>
        <w:t> </w:t>
      </w:r>
      <w:r>
        <w:rPr>
          <w:color w:val="4C4D4F"/>
          <w:w w:val="110"/>
          <w:sz w:val="18"/>
        </w:rPr>
        <w:t>E.</w:t>
      </w:r>
    </w:p>
    <w:p>
      <w:pPr>
        <w:spacing w:line="247" w:lineRule="auto" w:before="8"/>
        <w:ind w:left="500" w:right="0" w:firstLine="0"/>
        <w:jc w:val="left"/>
        <w:rPr>
          <w:sz w:val="18"/>
        </w:rPr>
      </w:pPr>
      <w:r>
        <w:rPr>
          <w:color w:val="4C4D4F"/>
          <w:w w:val="120"/>
          <w:sz w:val="18"/>
        </w:rPr>
        <w:t>J., </w:t>
      </w:r>
      <w:r>
        <w:rPr>
          <w:color w:val="4C4D4F"/>
          <w:w w:val="110"/>
          <w:sz w:val="18"/>
        </w:rPr>
        <w:t>&amp; Bigelow, G. E. (1994). Clinical pharmacology of buprenorphine: Ceiling effects at high doses. </w:t>
      </w:r>
      <w:r>
        <w:rPr>
          <w:rFonts w:ascii="Arial" w:hAnsi="Arial"/>
          <w:i/>
          <w:color w:val="4C4D4F"/>
          <w:w w:val="110"/>
          <w:sz w:val="18"/>
        </w:rPr>
        <w:t>Clinical </w:t>
      </w:r>
      <w:r>
        <w:rPr>
          <w:rFonts w:ascii="Arial" w:hAnsi="Arial"/>
          <w:i/>
          <w:color w:val="4C4D4F"/>
          <w:w w:val="110"/>
          <w:sz w:val="18"/>
        </w:rPr>
        <w:t>Pharmacology and Therapeutics, 55</w:t>
      </w:r>
      <w:r>
        <w:rPr>
          <w:color w:val="4C4D4F"/>
          <w:w w:val="110"/>
          <w:sz w:val="18"/>
        </w:rPr>
        <w:t>(5), 569–580.</w:t>
      </w:r>
    </w:p>
    <w:p>
      <w:pPr>
        <w:pStyle w:val="ListParagraph"/>
        <w:numPr>
          <w:ilvl w:val="0"/>
          <w:numId w:val="51"/>
        </w:numPr>
        <w:tabs>
          <w:tab w:pos="500" w:val="left" w:leader="none"/>
        </w:tabs>
        <w:spacing w:line="247" w:lineRule="auto" w:before="72" w:after="0"/>
        <w:ind w:left="500" w:right="162" w:hanging="360"/>
        <w:jc w:val="left"/>
        <w:rPr>
          <w:color w:val="4C4D4F"/>
          <w:sz w:val="18"/>
        </w:rPr>
      </w:pPr>
      <w:r>
        <w:rPr>
          <w:color w:val="4C4D4F"/>
          <w:spacing w:val="-3"/>
          <w:w w:val="110"/>
          <w:sz w:val="18"/>
        </w:rPr>
        <w:t>Elkader, </w:t>
      </w:r>
      <w:r>
        <w:rPr>
          <w:color w:val="4C4D4F"/>
          <w:w w:val="110"/>
          <w:sz w:val="18"/>
        </w:rPr>
        <w:t>A., &amp; Sproule, B. (2005). Buprenorphine: Clinical pharmacokinetics in the treatment of opioid </w:t>
      </w:r>
      <w:r>
        <w:rPr>
          <w:color w:val="4C4D4F"/>
          <w:w w:val="105"/>
          <w:sz w:val="18"/>
        </w:rPr>
        <w:t>dependence. </w:t>
      </w:r>
      <w:r>
        <w:rPr>
          <w:rFonts w:ascii="Arial" w:hAnsi="Arial"/>
          <w:i/>
          <w:color w:val="4C4D4F"/>
          <w:w w:val="105"/>
          <w:sz w:val="18"/>
        </w:rPr>
        <w:t>Clinical Pharmacokinetics, 44</w:t>
      </w:r>
      <w:r>
        <w:rPr>
          <w:color w:val="4C4D4F"/>
          <w:w w:val="105"/>
          <w:sz w:val="18"/>
        </w:rPr>
        <w:t>(7),</w:t>
      </w:r>
      <w:r>
        <w:rPr>
          <w:color w:val="4C4D4F"/>
          <w:spacing w:val="3"/>
          <w:w w:val="105"/>
          <w:sz w:val="18"/>
        </w:rPr>
        <w:t> </w:t>
      </w:r>
      <w:r>
        <w:rPr>
          <w:color w:val="4C4D4F"/>
          <w:spacing w:val="-3"/>
          <w:w w:val="105"/>
          <w:sz w:val="18"/>
        </w:rPr>
        <w:t>661–680.</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20"/>
          <w:sz w:val="18"/>
        </w:rPr>
        <w:t>Kuhlman,</w:t>
      </w:r>
      <w:r>
        <w:rPr>
          <w:color w:val="4C4D4F"/>
          <w:spacing w:val="-16"/>
          <w:w w:val="120"/>
          <w:sz w:val="18"/>
        </w:rPr>
        <w:t> </w:t>
      </w:r>
      <w:r>
        <w:rPr>
          <w:color w:val="4C4D4F"/>
          <w:w w:val="140"/>
          <w:sz w:val="18"/>
        </w:rPr>
        <w:t>J.</w:t>
      </w:r>
      <w:r>
        <w:rPr>
          <w:color w:val="4C4D4F"/>
          <w:spacing w:val="-26"/>
          <w:w w:val="140"/>
          <w:sz w:val="18"/>
        </w:rPr>
        <w:t> </w:t>
      </w:r>
      <w:r>
        <w:rPr>
          <w:color w:val="4C4D4F"/>
          <w:w w:val="140"/>
          <w:sz w:val="18"/>
        </w:rPr>
        <w:t>J.,</w:t>
      </w:r>
      <w:r>
        <w:rPr>
          <w:color w:val="4C4D4F"/>
          <w:spacing w:val="-25"/>
          <w:w w:val="140"/>
          <w:sz w:val="18"/>
        </w:rPr>
        <w:t> </w:t>
      </w:r>
      <w:r>
        <w:rPr>
          <w:color w:val="4C4D4F"/>
          <w:spacing w:val="-5"/>
          <w:w w:val="120"/>
          <w:sz w:val="18"/>
        </w:rPr>
        <w:t>Jr.,</w:t>
      </w:r>
      <w:r>
        <w:rPr>
          <w:color w:val="4C4D4F"/>
          <w:spacing w:val="-16"/>
          <w:w w:val="120"/>
          <w:sz w:val="18"/>
        </w:rPr>
        <w:t> </w:t>
      </w:r>
      <w:r>
        <w:rPr>
          <w:color w:val="4C4D4F"/>
          <w:w w:val="120"/>
          <w:sz w:val="18"/>
        </w:rPr>
        <w:t>Levine,</w:t>
      </w:r>
      <w:r>
        <w:rPr>
          <w:color w:val="4C4D4F"/>
          <w:spacing w:val="-15"/>
          <w:w w:val="120"/>
          <w:sz w:val="18"/>
        </w:rPr>
        <w:t> </w:t>
      </w:r>
      <w:r>
        <w:rPr>
          <w:color w:val="4C4D4F"/>
          <w:w w:val="120"/>
          <w:sz w:val="18"/>
        </w:rPr>
        <w:t>B.,</w:t>
      </w:r>
      <w:r>
        <w:rPr>
          <w:color w:val="4C4D4F"/>
          <w:spacing w:val="-16"/>
          <w:w w:val="120"/>
          <w:sz w:val="18"/>
        </w:rPr>
        <w:t> </w:t>
      </w:r>
      <w:r>
        <w:rPr>
          <w:color w:val="4C4D4F"/>
          <w:w w:val="120"/>
          <w:sz w:val="18"/>
        </w:rPr>
        <w:t>Johnson,</w:t>
      </w:r>
      <w:r>
        <w:rPr>
          <w:color w:val="4C4D4F"/>
          <w:spacing w:val="-16"/>
          <w:w w:val="120"/>
          <w:sz w:val="18"/>
        </w:rPr>
        <w:t> </w:t>
      </w:r>
      <w:r>
        <w:rPr>
          <w:color w:val="4C4D4F"/>
          <w:w w:val="120"/>
          <w:sz w:val="18"/>
        </w:rPr>
        <w:t>R.</w:t>
      </w:r>
      <w:r>
        <w:rPr>
          <w:color w:val="4C4D4F"/>
          <w:spacing w:val="-15"/>
          <w:w w:val="120"/>
          <w:sz w:val="18"/>
        </w:rPr>
        <w:t> </w:t>
      </w:r>
      <w:r>
        <w:rPr>
          <w:color w:val="4C4D4F"/>
          <w:w w:val="120"/>
          <w:sz w:val="18"/>
        </w:rPr>
        <w:t>E.,</w:t>
      </w:r>
      <w:r>
        <w:rPr>
          <w:color w:val="4C4D4F"/>
          <w:spacing w:val="-16"/>
          <w:w w:val="120"/>
          <w:sz w:val="18"/>
        </w:rPr>
        <w:t> </w:t>
      </w:r>
      <w:r>
        <w:rPr>
          <w:color w:val="4C4D4F"/>
          <w:w w:val="120"/>
          <w:sz w:val="18"/>
        </w:rPr>
        <w:t>Fudala,</w:t>
      </w:r>
    </w:p>
    <w:p>
      <w:pPr>
        <w:spacing w:line="247" w:lineRule="auto" w:before="7"/>
        <w:ind w:left="500" w:right="211" w:firstLine="0"/>
        <w:jc w:val="left"/>
        <w:rPr>
          <w:sz w:val="18"/>
        </w:rPr>
      </w:pPr>
      <w:r>
        <w:rPr>
          <w:color w:val="4C4D4F"/>
          <w:w w:val="115"/>
          <w:sz w:val="18"/>
        </w:rPr>
        <w:t>P. </w:t>
      </w:r>
      <w:r>
        <w:rPr>
          <w:color w:val="4C4D4F"/>
          <w:w w:val="135"/>
          <w:sz w:val="18"/>
        </w:rPr>
        <w:t>J., </w:t>
      </w:r>
      <w:r>
        <w:rPr>
          <w:color w:val="4C4D4F"/>
          <w:w w:val="115"/>
          <w:sz w:val="18"/>
        </w:rPr>
        <w:t>&amp; Cone, E. </w:t>
      </w:r>
      <w:r>
        <w:rPr>
          <w:color w:val="4C4D4F"/>
          <w:w w:val="135"/>
          <w:sz w:val="18"/>
        </w:rPr>
        <w:t>J. </w:t>
      </w:r>
      <w:r>
        <w:rPr>
          <w:color w:val="4C4D4F"/>
          <w:w w:val="115"/>
          <w:sz w:val="18"/>
        </w:rPr>
        <w:t>(1998). Relationship of plasma buprenorphine and norbuprenorphine to withdrawal symptoms during dose induction, maintenance and </w:t>
      </w:r>
      <w:r>
        <w:rPr>
          <w:color w:val="4C4D4F"/>
          <w:w w:val="110"/>
          <w:sz w:val="18"/>
        </w:rPr>
        <w:t>withdrawal from sublingual buprenorphine. </w:t>
      </w:r>
      <w:r>
        <w:rPr>
          <w:rFonts w:ascii="Arial" w:hAnsi="Arial"/>
          <w:i/>
          <w:color w:val="4C4D4F"/>
          <w:w w:val="110"/>
          <w:sz w:val="18"/>
        </w:rPr>
        <w:t>Addiction, </w:t>
      </w:r>
      <w:r>
        <w:rPr>
          <w:rFonts w:ascii="Arial" w:hAnsi="Arial"/>
          <w:i/>
          <w:color w:val="4C4D4F"/>
          <w:w w:val="115"/>
          <w:sz w:val="18"/>
        </w:rPr>
        <w:t>93</w:t>
      </w:r>
      <w:r>
        <w:rPr>
          <w:color w:val="4C4D4F"/>
          <w:w w:val="115"/>
          <w:sz w:val="18"/>
        </w:rPr>
        <w:t>(4), 549–559.</w:t>
      </w:r>
    </w:p>
    <w:p>
      <w:pPr>
        <w:spacing w:after="0" w:line="247" w:lineRule="auto"/>
        <w:jc w:val="left"/>
        <w:rPr>
          <w:sz w:val="18"/>
        </w:rPr>
        <w:sectPr>
          <w:type w:val="continuous"/>
          <w:pgSz w:w="12240" w:h="15840"/>
          <w:pgMar w:top="540" w:bottom="280" w:left="940" w:right="920"/>
          <w:cols w:num="2" w:equalWidth="0">
            <w:col w:w="5000" w:space="220"/>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337" w:hanging="360"/>
        <w:jc w:val="left"/>
        <w:rPr>
          <w:color w:val="4C4D4F"/>
          <w:sz w:val="18"/>
        </w:rPr>
      </w:pPr>
      <w:r>
        <w:rPr>
          <w:color w:val="4C4D4F"/>
          <w:spacing w:val="-3"/>
          <w:w w:val="110"/>
          <w:sz w:val="18"/>
        </w:rPr>
        <w:t>Indivor. </w:t>
      </w:r>
      <w:r>
        <w:rPr>
          <w:color w:val="4C4D4F"/>
          <w:w w:val="110"/>
          <w:sz w:val="18"/>
        </w:rPr>
        <w:t>(2016). Label: Suboxone – buprenorphine hydrochloride, naloxone hydrochloride ﬁlm,</w:t>
      </w:r>
      <w:r>
        <w:rPr>
          <w:color w:val="4C4D4F"/>
          <w:spacing w:val="-27"/>
          <w:w w:val="110"/>
          <w:sz w:val="18"/>
        </w:rPr>
        <w:t> </w:t>
      </w:r>
      <w:r>
        <w:rPr>
          <w:color w:val="4C4D4F"/>
          <w:w w:val="110"/>
          <w:sz w:val="18"/>
        </w:rPr>
        <w:t>soluble. Retrieved January 9, 2018, from</w:t>
      </w:r>
      <w:r>
        <w:rPr>
          <w:color w:val="205E9E"/>
          <w:spacing w:val="31"/>
          <w:w w:val="110"/>
          <w:sz w:val="18"/>
        </w:rPr>
        <w:t> </w:t>
      </w:r>
      <w:r>
        <w:rPr>
          <w:color w:val="205E9E"/>
          <w:w w:val="110"/>
          <w:sz w:val="18"/>
          <w:u w:val="single" w:color="205E9E"/>
        </w:rPr>
        <w:t>https://dailymed</w:t>
      </w:r>
    </w:p>
    <w:p>
      <w:pPr>
        <w:spacing w:before="3"/>
        <w:ind w:left="500" w:right="0" w:firstLine="0"/>
        <w:jc w:val="left"/>
        <w:rPr>
          <w:sz w:val="18"/>
        </w:rPr>
      </w:pPr>
      <w:r>
        <w:rPr>
          <w:color w:val="205E9E"/>
          <w:w w:val="115"/>
          <w:sz w:val="18"/>
          <w:u w:val="single" w:color="205E9E"/>
        </w:rPr>
        <w:t>.nlm.nih.gov/dailymed/drugInfo.cfm?setid</w:t>
      </w:r>
    </w:p>
    <w:p>
      <w:pPr>
        <w:spacing w:before="7"/>
        <w:ind w:left="500" w:right="0" w:firstLine="0"/>
        <w:jc w:val="left"/>
        <w:rPr>
          <w:sz w:val="18"/>
        </w:rPr>
      </w:pPr>
      <w:r>
        <w:rPr>
          <w:color w:val="205E9E"/>
          <w:w w:val="115"/>
          <w:sz w:val="18"/>
          <w:u w:val="single" w:color="205E9E"/>
        </w:rPr>
        <w:t>=8a5edcf9-828c-4f97-b671-268ab13a8ecd</w:t>
      </w:r>
    </w:p>
    <w:p>
      <w:pPr>
        <w:pStyle w:val="ListParagraph"/>
        <w:numPr>
          <w:ilvl w:val="0"/>
          <w:numId w:val="51"/>
        </w:numPr>
        <w:tabs>
          <w:tab w:pos="500" w:val="left" w:leader="none"/>
        </w:tabs>
        <w:spacing w:line="240" w:lineRule="auto" w:before="79" w:after="0"/>
        <w:ind w:left="500" w:right="0" w:hanging="360"/>
        <w:jc w:val="left"/>
        <w:rPr>
          <w:color w:val="4C4D4F"/>
          <w:sz w:val="18"/>
        </w:rPr>
      </w:pPr>
      <w:r>
        <w:rPr>
          <w:color w:val="4C4D4F"/>
          <w:w w:val="115"/>
          <w:sz w:val="18"/>
        </w:rPr>
        <w:t>Marsch,</w:t>
      </w:r>
      <w:r>
        <w:rPr>
          <w:color w:val="4C4D4F"/>
          <w:spacing w:val="-9"/>
          <w:w w:val="115"/>
          <w:sz w:val="18"/>
        </w:rPr>
        <w:t> </w:t>
      </w:r>
      <w:r>
        <w:rPr>
          <w:color w:val="4C4D4F"/>
          <w:w w:val="115"/>
          <w:sz w:val="18"/>
        </w:rPr>
        <w:t>L.</w:t>
      </w:r>
      <w:r>
        <w:rPr>
          <w:color w:val="4C4D4F"/>
          <w:spacing w:val="-8"/>
          <w:w w:val="115"/>
          <w:sz w:val="18"/>
        </w:rPr>
        <w:t> </w:t>
      </w:r>
      <w:r>
        <w:rPr>
          <w:color w:val="4C4D4F"/>
          <w:w w:val="115"/>
          <w:sz w:val="18"/>
        </w:rPr>
        <w:t>A.,</w:t>
      </w:r>
      <w:r>
        <w:rPr>
          <w:color w:val="4C4D4F"/>
          <w:spacing w:val="-8"/>
          <w:w w:val="115"/>
          <w:sz w:val="18"/>
        </w:rPr>
        <w:t> </w:t>
      </w:r>
      <w:r>
        <w:rPr>
          <w:color w:val="4C4D4F"/>
          <w:w w:val="115"/>
          <w:sz w:val="18"/>
        </w:rPr>
        <w:t>Bickel,</w:t>
      </w:r>
      <w:r>
        <w:rPr>
          <w:color w:val="4C4D4F"/>
          <w:spacing w:val="-8"/>
          <w:w w:val="115"/>
          <w:sz w:val="18"/>
        </w:rPr>
        <w:t> </w:t>
      </w:r>
      <w:r>
        <w:rPr>
          <w:color w:val="4C4D4F"/>
          <w:spacing w:val="-7"/>
          <w:w w:val="115"/>
          <w:sz w:val="18"/>
        </w:rPr>
        <w:t>W.</w:t>
      </w:r>
      <w:r>
        <w:rPr>
          <w:color w:val="4C4D4F"/>
          <w:spacing w:val="-9"/>
          <w:w w:val="115"/>
          <w:sz w:val="18"/>
        </w:rPr>
        <w:t> </w:t>
      </w:r>
      <w:r>
        <w:rPr>
          <w:color w:val="4C4D4F"/>
          <w:w w:val="115"/>
          <w:sz w:val="18"/>
        </w:rPr>
        <w:t>K.,</w:t>
      </w:r>
      <w:r>
        <w:rPr>
          <w:color w:val="4C4D4F"/>
          <w:spacing w:val="-8"/>
          <w:w w:val="115"/>
          <w:sz w:val="18"/>
        </w:rPr>
        <w:t> </w:t>
      </w:r>
      <w:r>
        <w:rPr>
          <w:color w:val="4C4D4F"/>
          <w:spacing w:val="-3"/>
          <w:w w:val="115"/>
          <w:sz w:val="18"/>
        </w:rPr>
        <w:t>Badger,</w:t>
      </w:r>
      <w:r>
        <w:rPr>
          <w:color w:val="4C4D4F"/>
          <w:spacing w:val="-8"/>
          <w:w w:val="115"/>
          <w:sz w:val="18"/>
        </w:rPr>
        <w:t> </w:t>
      </w:r>
      <w:r>
        <w:rPr>
          <w:color w:val="4C4D4F"/>
          <w:w w:val="115"/>
          <w:sz w:val="18"/>
        </w:rPr>
        <w:t>G.</w:t>
      </w:r>
      <w:r>
        <w:rPr>
          <w:color w:val="4C4D4F"/>
          <w:spacing w:val="-8"/>
          <w:w w:val="115"/>
          <w:sz w:val="18"/>
        </w:rPr>
        <w:t> </w:t>
      </w:r>
      <w:r>
        <w:rPr>
          <w:color w:val="4C4D4F"/>
          <w:w w:val="125"/>
          <w:sz w:val="18"/>
        </w:rPr>
        <w:t>J.,</w:t>
      </w:r>
      <w:r>
        <w:rPr>
          <w:color w:val="4C4D4F"/>
          <w:spacing w:val="-13"/>
          <w:w w:val="125"/>
          <w:sz w:val="18"/>
        </w:rPr>
        <w:t> </w:t>
      </w:r>
      <w:r>
        <w:rPr>
          <w:color w:val="4C4D4F"/>
          <w:w w:val="115"/>
          <w:sz w:val="18"/>
        </w:rPr>
        <w:t>&amp;</w:t>
      </w:r>
      <w:r>
        <w:rPr>
          <w:color w:val="4C4D4F"/>
          <w:spacing w:val="-9"/>
          <w:w w:val="115"/>
          <w:sz w:val="18"/>
        </w:rPr>
        <w:t> </w:t>
      </w:r>
      <w:r>
        <w:rPr>
          <w:color w:val="4C4D4F"/>
          <w:w w:val="115"/>
          <w:sz w:val="18"/>
        </w:rPr>
        <w:t>Jacobs,</w:t>
      </w:r>
    </w:p>
    <w:p>
      <w:pPr>
        <w:spacing w:line="247" w:lineRule="auto" w:before="8"/>
        <w:ind w:left="500" w:right="219" w:firstLine="0"/>
        <w:jc w:val="left"/>
        <w:rPr>
          <w:sz w:val="18"/>
        </w:rPr>
      </w:pPr>
      <w:r>
        <w:rPr>
          <w:color w:val="4C4D4F"/>
          <w:w w:val="110"/>
          <w:sz w:val="18"/>
        </w:rPr>
        <w:t>E. A. (2005). Buprenorphine treatment for opioid dependence: The relative efﬁcacy of daily, twice and thrice weekly dosing. </w:t>
      </w:r>
      <w:r>
        <w:rPr>
          <w:rFonts w:ascii="Arial" w:hAnsi="Arial"/>
          <w:i/>
          <w:color w:val="4C4D4F"/>
          <w:w w:val="110"/>
          <w:sz w:val="18"/>
        </w:rPr>
        <w:t>Drug &amp; Alcohol Dependence, </w:t>
      </w:r>
      <w:r>
        <w:rPr>
          <w:rFonts w:ascii="Arial" w:hAnsi="Arial"/>
          <w:i/>
          <w:color w:val="4C4D4F"/>
          <w:w w:val="110"/>
          <w:sz w:val="18"/>
        </w:rPr>
        <w:t>77</w:t>
      </w:r>
      <w:r>
        <w:rPr>
          <w:color w:val="4C4D4F"/>
          <w:w w:val="110"/>
          <w:sz w:val="18"/>
        </w:rPr>
        <w:t>(2), 195–204.</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20"/>
          <w:sz w:val="18"/>
        </w:rPr>
        <w:t>Jones,</w:t>
      </w:r>
      <w:r>
        <w:rPr>
          <w:color w:val="4C4D4F"/>
          <w:spacing w:val="-22"/>
          <w:w w:val="120"/>
          <w:sz w:val="18"/>
        </w:rPr>
        <w:t> </w:t>
      </w:r>
      <w:r>
        <w:rPr>
          <w:color w:val="4C4D4F"/>
          <w:w w:val="135"/>
          <w:sz w:val="18"/>
        </w:rPr>
        <w:t>J.</w:t>
      </w:r>
      <w:r>
        <w:rPr>
          <w:color w:val="4C4D4F"/>
          <w:spacing w:val="-29"/>
          <w:w w:val="135"/>
          <w:sz w:val="18"/>
        </w:rPr>
        <w:t> </w:t>
      </w:r>
      <w:r>
        <w:rPr>
          <w:color w:val="4C4D4F"/>
          <w:w w:val="120"/>
          <w:sz w:val="18"/>
        </w:rPr>
        <w:t>D.,</w:t>
      </w:r>
      <w:r>
        <w:rPr>
          <w:color w:val="4C4D4F"/>
          <w:spacing w:val="-21"/>
          <w:w w:val="120"/>
          <w:sz w:val="18"/>
        </w:rPr>
        <w:t> </w:t>
      </w:r>
      <w:r>
        <w:rPr>
          <w:color w:val="4C4D4F"/>
          <w:w w:val="120"/>
          <w:sz w:val="18"/>
        </w:rPr>
        <w:t>Sullivan,</w:t>
      </w:r>
      <w:r>
        <w:rPr>
          <w:color w:val="4C4D4F"/>
          <w:spacing w:val="-21"/>
          <w:w w:val="120"/>
          <w:sz w:val="18"/>
        </w:rPr>
        <w:t> </w:t>
      </w:r>
      <w:r>
        <w:rPr>
          <w:color w:val="4C4D4F"/>
          <w:w w:val="120"/>
          <w:sz w:val="18"/>
        </w:rPr>
        <w:t>M.</w:t>
      </w:r>
      <w:r>
        <w:rPr>
          <w:color w:val="4C4D4F"/>
          <w:spacing w:val="-22"/>
          <w:w w:val="120"/>
          <w:sz w:val="18"/>
        </w:rPr>
        <w:t> </w:t>
      </w:r>
      <w:r>
        <w:rPr>
          <w:color w:val="4C4D4F"/>
          <w:w w:val="120"/>
          <w:sz w:val="18"/>
        </w:rPr>
        <w:t>A.,</w:t>
      </w:r>
      <w:r>
        <w:rPr>
          <w:color w:val="4C4D4F"/>
          <w:spacing w:val="-21"/>
          <w:w w:val="120"/>
          <w:sz w:val="18"/>
        </w:rPr>
        <w:t> </w:t>
      </w:r>
      <w:r>
        <w:rPr>
          <w:color w:val="4C4D4F"/>
          <w:w w:val="120"/>
          <w:sz w:val="18"/>
        </w:rPr>
        <w:t>Vosburg,</w:t>
      </w:r>
      <w:r>
        <w:rPr>
          <w:color w:val="4C4D4F"/>
          <w:spacing w:val="-22"/>
          <w:w w:val="120"/>
          <w:sz w:val="18"/>
        </w:rPr>
        <w:t> </w:t>
      </w:r>
      <w:r>
        <w:rPr>
          <w:color w:val="4C4D4F"/>
          <w:w w:val="120"/>
          <w:sz w:val="18"/>
        </w:rPr>
        <w:t>S.</w:t>
      </w:r>
      <w:r>
        <w:rPr>
          <w:color w:val="4C4D4F"/>
          <w:spacing w:val="-21"/>
          <w:w w:val="120"/>
          <w:sz w:val="18"/>
        </w:rPr>
        <w:t> </w:t>
      </w:r>
      <w:r>
        <w:rPr>
          <w:color w:val="4C4D4F"/>
          <w:w w:val="120"/>
          <w:sz w:val="18"/>
        </w:rPr>
        <w:t>K.,</w:t>
      </w:r>
      <w:r>
        <w:rPr>
          <w:color w:val="4C4D4F"/>
          <w:spacing w:val="-21"/>
          <w:w w:val="120"/>
          <w:sz w:val="18"/>
        </w:rPr>
        <w:t> </w:t>
      </w:r>
      <w:r>
        <w:rPr>
          <w:color w:val="4C4D4F"/>
          <w:w w:val="120"/>
          <w:sz w:val="18"/>
        </w:rPr>
        <w:t>Manubay,</w:t>
      </w:r>
    </w:p>
    <w:p>
      <w:pPr>
        <w:spacing w:line="247" w:lineRule="auto" w:before="7"/>
        <w:ind w:left="500" w:right="137" w:firstLine="0"/>
        <w:jc w:val="left"/>
        <w:rPr>
          <w:sz w:val="18"/>
        </w:rPr>
      </w:pPr>
      <w:r>
        <w:rPr>
          <w:color w:val="4C4D4F"/>
          <w:w w:val="130"/>
          <w:sz w:val="18"/>
        </w:rPr>
        <w:t>J. </w:t>
      </w:r>
      <w:r>
        <w:rPr>
          <w:color w:val="4C4D4F"/>
          <w:w w:val="110"/>
          <w:sz w:val="18"/>
        </w:rPr>
        <w:t>M., Mogali, S., Metz, </w:t>
      </w:r>
      <w:r>
        <w:rPr>
          <w:color w:val="4C4D4F"/>
          <w:spacing w:val="-8"/>
          <w:w w:val="110"/>
          <w:sz w:val="18"/>
        </w:rPr>
        <w:t>V., </w:t>
      </w:r>
      <w:r>
        <w:rPr>
          <w:color w:val="4C4D4F"/>
          <w:w w:val="110"/>
          <w:sz w:val="18"/>
        </w:rPr>
        <w:t>&amp; </w:t>
      </w:r>
      <w:r>
        <w:rPr>
          <w:color w:val="4C4D4F"/>
          <w:spacing w:val="-3"/>
          <w:w w:val="110"/>
          <w:sz w:val="18"/>
        </w:rPr>
        <w:t>Comer, </w:t>
      </w:r>
      <w:r>
        <w:rPr>
          <w:color w:val="4C4D4F"/>
          <w:w w:val="110"/>
          <w:sz w:val="18"/>
        </w:rPr>
        <w:t>S. D. (2015). Abuse potential of intranasal buprenorphine versus buprenorphine/naloxone in buprenorphine-maintained heroin</w:t>
      </w:r>
      <w:r>
        <w:rPr>
          <w:color w:val="4C4D4F"/>
          <w:spacing w:val="-14"/>
          <w:w w:val="110"/>
          <w:sz w:val="18"/>
        </w:rPr>
        <w:t> </w:t>
      </w:r>
      <w:r>
        <w:rPr>
          <w:color w:val="4C4D4F"/>
          <w:w w:val="110"/>
          <w:sz w:val="18"/>
        </w:rPr>
        <w:t>users.</w:t>
      </w:r>
      <w:r>
        <w:rPr>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Biology,</w:t>
      </w:r>
      <w:r>
        <w:rPr>
          <w:rFonts w:ascii="Arial" w:hAnsi="Arial"/>
          <w:i/>
          <w:color w:val="4C4D4F"/>
          <w:spacing w:val="-13"/>
          <w:w w:val="110"/>
          <w:sz w:val="18"/>
        </w:rPr>
        <w:t> </w:t>
      </w:r>
      <w:r>
        <w:rPr>
          <w:rFonts w:ascii="Arial" w:hAnsi="Arial"/>
          <w:i/>
          <w:color w:val="4C4D4F"/>
          <w:w w:val="110"/>
          <w:sz w:val="18"/>
        </w:rPr>
        <w:t>20</w:t>
      </w:r>
      <w:r>
        <w:rPr>
          <w:color w:val="4C4D4F"/>
          <w:w w:val="110"/>
          <w:sz w:val="18"/>
        </w:rPr>
        <w:t>(4),</w:t>
      </w:r>
      <w:r>
        <w:rPr>
          <w:color w:val="4C4D4F"/>
          <w:spacing w:val="-14"/>
          <w:w w:val="110"/>
          <w:sz w:val="18"/>
        </w:rPr>
        <w:t> </w:t>
      </w:r>
      <w:r>
        <w:rPr>
          <w:color w:val="4C4D4F"/>
          <w:w w:val="110"/>
          <w:sz w:val="18"/>
        </w:rPr>
        <w:t>784–798.</w:t>
      </w:r>
    </w:p>
    <w:p>
      <w:pPr>
        <w:pStyle w:val="ListParagraph"/>
        <w:numPr>
          <w:ilvl w:val="0"/>
          <w:numId w:val="51"/>
        </w:numPr>
        <w:tabs>
          <w:tab w:pos="500" w:val="left" w:leader="none"/>
        </w:tabs>
        <w:spacing w:line="247" w:lineRule="auto" w:before="74" w:after="0"/>
        <w:ind w:left="500" w:right="94" w:hanging="360"/>
        <w:jc w:val="left"/>
        <w:rPr>
          <w:color w:val="4C4D4F"/>
          <w:sz w:val="18"/>
        </w:rPr>
      </w:pPr>
      <w:r>
        <w:rPr>
          <w:color w:val="4C4D4F"/>
          <w:w w:val="110"/>
          <w:sz w:val="18"/>
        </w:rPr>
        <w:t>Walsh, S. L., Nuzzo, </w:t>
      </w:r>
      <w:r>
        <w:rPr>
          <w:color w:val="4C4D4F"/>
          <w:spacing w:val="-17"/>
          <w:w w:val="110"/>
          <w:sz w:val="18"/>
        </w:rPr>
        <w:t>P. </w:t>
      </w:r>
      <w:r>
        <w:rPr>
          <w:color w:val="4C4D4F"/>
          <w:w w:val="110"/>
          <w:sz w:val="18"/>
        </w:rPr>
        <w:t>A., Babalonis, S., Casselton, </w:t>
      </w:r>
      <w:r>
        <w:rPr>
          <w:color w:val="4C4D4F"/>
          <w:spacing w:val="-8"/>
          <w:w w:val="110"/>
          <w:sz w:val="18"/>
        </w:rPr>
        <w:t>V.,  </w:t>
      </w:r>
      <w:r>
        <w:rPr>
          <w:color w:val="4C4D4F"/>
          <w:w w:val="110"/>
          <w:sz w:val="18"/>
        </w:rPr>
        <w:t>&amp; Lofwall, M. R. (2016). Intranasal buprenorphine </w:t>
      </w:r>
      <w:r>
        <w:rPr>
          <w:color w:val="4C4D4F"/>
          <w:spacing w:val="-4"/>
          <w:w w:val="110"/>
          <w:sz w:val="18"/>
        </w:rPr>
        <w:t>alone </w:t>
      </w:r>
      <w:r>
        <w:rPr>
          <w:color w:val="4C4D4F"/>
          <w:w w:val="110"/>
          <w:sz w:val="18"/>
        </w:rPr>
        <w:t>and in combination with naloxone: Abuse liability and reinforcing efﬁcacy in physically dependent</w:t>
      </w:r>
      <w:r>
        <w:rPr>
          <w:color w:val="4C4D4F"/>
          <w:spacing w:val="11"/>
          <w:w w:val="110"/>
          <w:sz w:val="18"/>
        </w:rPr>
        <w:t> </w:t>
      </w:r>
      <w:r>
        <w:rPr>
          <w:color w:val="4C4D4F"/>
          <w:w w:val="110"/>
          <w:sz w:val="18"/>
        </w:rPr>
        <w:t>opioid</w:t>
      </w:r>
    </w:p>
    <w:p>
      <w:pPr>
        <w:spacing w:before="3"/>
        <w:ind w:left="500" w:right="0" w:firstLine="0"/>
        <w:jc w:val="left"/>
        <w:rPr>
          <w:sz w:val="18"/>
        </w:rPr>
      </w:pPr>
      <w:r>
        <w:rPr>
          <w:color w:val="4C4D4F"/>
          <w:w w:val="105"/>
          <w:sz w:val="18"/>
        </w:rPr>
        <w:t>abusers. </w:t>
      </w:r>
      <w:r>
        <w:rPr>
          <w:rFonts w:ascii="Arial" w:hAnsi="Arial"/>
          <w:i/>
          <w:color w:val="4C4D4F"/>
          <w:w w:val="105"/>
          <w:sz w:val="18"/>
        </w:rPr>
        <w:t>Drug and Alcohol Dependence, 162, </w:t>
      </w:r>
      <w:r>
        <w:rPr>
          <w:color w:val="4C4D4F"/>
          <w:w w:val="105"/>
          <w:sz w:val="18"/>
        </w:rPr>
        <w:t>190–198.</w:t>
      </w:r>
    </w:p>
    <w:p>
      <w:pPr>
        <w:pStyle w:val="ListParagraph"/>
        <w:numPr>
          <w:ilvl w:val="0"/>
          <w:numId w:val="51"/>
        </w:numPr>
        <w:tabs>
          <w:tab w:pos="500" w:val="left" w:leader="none"/>
        </w:tabs>
        <w:spacing w:line="247" w:lineRule="auto" w:before="79" w:after="0"/>
        <w:ind w:left="500" w:right="214" w:hanging="360"/>
        <w:jc w:val="left"/>
        <w:rPr>
          <w:color w:val="4C4D4F"/>
          <w:sz w:val="18"/>
        </w:rPr>
      </w:pPr>
      <w:r>
        <w:rPr>
          <w:color w:val="4C4D4F"/>
          <w:w w:val="110"/>
          <w:sz w:val="18"/>
        </w:rPr>
        <w:t>Indivior. (2017). Sublocade (buprenorphine extended- release) injection: Full prescribing</w:t>
      </w:r>
      <w:r>
        <w:rPr>
          <w:color w:val="4C4D4F"/>
          <w:spacing w:val="-13"/>
          <w:w w:val="110"/>
          <w:sz w:val="18"/>
        </w:rPr>
        <w:t> </w:t>
      </w:r>
      <w:r>
        <w:rPr>
          <w:color w:val="4C4D4F"/>
          <w:w w:val="110"/>
          <w:sz w:val="18"/>
        </w:rPr>
        <w:t>information.</w:t>
      </w:r>
    </w:p>
    <w:p>
      <w:pPr>
        <w:spacing w:before="2"/>
        <w:ind w:left="500" w:right="0" w:firstLine="0"/>
        <w:jc w:val="left"/>
        <w:rPr>
          <w:sz w:val="18"/>
        </w:rPr>
      </w:pPr>
      <w:r>
        <w:rPr>
          <w:color w:val="4C4D4F"/>
          <w:w w:val="110"/>
          <w:sz w:val="18"/>
        </w:rPr>
        <w:t>Retrieved December 18, 2017, from</w:t>
      </w:r>
      <w:r>
        <w:rPr>
          <w:color w:val="4C4D4F"/>
          <w:spacing w:val="-17"/>
          <w:w w:val="110"/>
          <w:sz w:val="18"/>
        </w:rPr>
        <w:t> </w:t>
      </w:r>
      <w:r>
        <w:rPr>
          <w:color w:val="205E9E"/>
          <w:w w:val="110"/>
          <w:sz w:val="18"/>
          <w:u w:val="single" w:color="205E9E"/>
        </w:rPr>
        <w:t>www.accessdata</w:t>
      </w:r>
    </w:p>
    <w:p>
      <w:pPr>
        <w:spacing w:before="7"/>
        <w:ind w:left="500" w:right="0" w:firstLine="0"/>
        <w:jc w:val="left"/>
        <w:rPr>
          <w:sz w:val="18"/>
        </w:rPr>
      </w:pPr>
      <w:r>
        <w:rPr>
          <w:color w:val="205E9E"/>
          <w:w w:val="115"/>
          <w:sz w:val="18"/>
          <w:u w:val="single" w:color="205E9E"/>
        </w:rPr>
        <w:t>.fda.gov/drugsatfda_docs/label/2017/209819s000lbl</w:t>
      </w:r>
    </w:p>
    <w:p>
      <w:pPr>
        <w:spacing w:before="7"/>
        <w:ind w:left="500" w:right="0" w:firstLine="0"/>
        <w:jc w:val="left"/>
        <w:rPr>
          <w:sz w:val="18"/>
        </w:rPr>
      </w:pPr>
      <w:r>
        <w:rPr>
          <w:color w:val="205E9E"/>
          <w:w w:val="125"/>
          <w:sz w:val="18"/>
          <w:u w:val="single" w:color="205E9E"/>
        </w:rPr>
        <w:t>.pdf</w:t>
      </w:r>
    </w:p>
    <w:p>
      <w:pPr>
        <w:pStyle w:val="ListParagraph"/>
        <w:numPr>
          <w:ilvl w:val="0"/>
          <w:numId w:val="51"/>
        </w:numPr>
        <w:tabs>
          <w:tab w:pos="500" w:val="left" w:leader="none"/>
        </w:tabs>
        <w:spacing w:line="247" w:lineRule="auto" w:before="80" w:after="0"/>
        <w:ind w:left="500" w:right="41" w:hanging="360"/>
        <w:jc w:val="left"/>
        <w:rPr>
          <w:color w:val="4C4D4F"/>
          <w:sz w:val="18"/>
        </w:rPr>
      </w:pPr>
      <w:r>
        <w:rPr>
          <w:color w:val="4C4D4F"/>
          <w:spacing w:val="-3"/>
          <w:w w:val="110"/>
          <w:sz w:val="18"/>
        </w:rPr>
        <w:t>Elkader, </w:t>
      </w:r>
      <w:r>
        <w:rPr>
          <w:color w:val="4C4D4F"/>
          <w:w w:val="110"/>
          <w:sz w:val="18"/>
        </w:rPr>
        <w:t>A., &amp; Sproule, B. (2005). Buprenorphine: Clinical pharmacokinetics in the treatment of opioid </w:t>
      </w:r>
      <w:r>
        <w:rPr>
          <w:color w:val="4C4D4F"/>
          <w:w w:val="105"/>
          <w:sz w:val="18"/>
        </w:rPr>
        <w:t>dependence. </w:t>
      </w:r>
      <w:r>
        <w:rPr>
          <w:rFonts w:ascii="Arial" w:hAnsi="Arial"/>
          <w:i/>
          <w:color w:val="4C4D4F"/>
          <w:w w:val="105"/>
          <w:sz w:val="18"/>
        </w:rPr>
        <w:t>Clinical Pharmacokinetics, 44</w:t>
      </w:r>
      <w:r>
        <w:rPr>
          <w:color w:val="4C4D4F"/>
          <w:w w:val="105"/>
          <w:sz w:val="18"/>
        </w:rPr>
        <w:t>(7),</w:t>
      </w:r>
      <w:r>
        <w:rPr>
          <w:color w:val="4C4D4F"/>
          <w:spacing w:val="3"/>
          <w:w w:val="105"/>
          <w:sz w:val="18"/>
        </w:rPr>
        <w:t> </w:t>
      </w:r>
      <w:r>
        <w:rPr>
          <w:color w:val="4C4D4F"/>
          <w:spacing w:val="-3"/>
          <w:w w:val="105"/>
          <w:sz w:val="18"/>
        </w:rPr>
        <w:t>661–680.</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10"/>
          <w:sz w:val="18"/>
        </w:rPr>
        <w:t>Zhang, </w:t>
      </w:r>
      <w:r>
        <w:rPr>
          <w:color w:val="4C4D4F"/>
          <w:spacing w:val="-5"/>
          <w:w w:val="110"/>
          <w:sz w:val="18"/>
        </w:rPr>
        <w:t>W., </w:t>
      </w:r>
      <w:r>
        <w:rPr>
          <w:color w:val="4C4D4F"/>
          <w:w w:val="110"/>
          <w:sz w:val="18"/>
        </w:rPr>
        <w:t>Ramamoorthy, </w:t>
      </w:r>
      <w:r>
        <w:rPr>
          <w:color w:val="4C4D4F"/>
          <w:spacing w:val="-9"/>
          <w:w w:val="110"/>
          <w:sz w:val="18"/>
        </w:rPr>
        <w:t>Y., </w:t>
      </w:r>
      <w:r>
        <w:rPr>
          <w:color w:val="4C4D4F"/>
          <w:spacing w:val="-3"/>
          <w:w w:val="110"/>
          <w:sz w:val="18"/>
        </w:rPr>
        <w:t>Tyndale, </w:t>
      </w:r>
      <w:r>
        <w:rPr>
          <w:color w:val="4C4D4F"/>
          <w:w w:val="110"/>
          <w:sz w:val="18"/>
        </w:rPr>
        <w:t>R. </w:t>
      </w:r>
      <w:r>
        <w:rPr>
          <w:color w:val="4C4D4F"/>
          <w:spacing w:val="-10"/>
          <w:w w:val="110"/>
          <w:sz w:val="18"/>
        </w:rPr>
        <w:t>F., </w:t>
      </w:r>
      <w:r>
        <w:rPr>
          <w:color w:val="4C4D4F"/>
          <w:w w:val="110"/>
          <w:sz w:val="18"/>
        </w:rPr>
        <w:t>&amp;</w:t>
      </w:r>
      <w:r>
        <w:rPr>
          <w:color w:val="4C4D4F"/>
          <w:spacing w:val="9"/>
          <w:w w:val="110"/>
          <w:sz w:val="18"/>
        </w:rPr>
        <w:t> </w:t>
      </w:r>
      <w:r>
        <w:rPr>
          <w:color w:val="4C4D4F"/>
          <w:w w:val="110"/>
          <w:sz w:val="18"/>
        </w:rPr>
        <w:t>Sellers,</w:t>
      </w:r>
    </w:p>
    <w:p>
      <w:pPr>
        <w:spacing w:line="247" w:lineRule="auto" w:before="7"/>
        <w:ind w:left="500" w:right="290" w:firstLine="0"/>
        <w:jc w:val="left"/>
        <w:rPr>
          <w:sz w:val="18"/>
        </w:rPr>
      </w:pPr>
      <w:r>
        <w:rPr>
          <w:color w:val="4C4D4F"/>
          <w:w w:val="110"/>
          <w:sz w:val="18"/>
        </w:rPr>
        <w:t>E. M. (2003). Interaction of buprenorphine and its metabolite norbuprenorphine with cytochromes p450</w:t>
      </w:r>
      <w:r>
        <w:rPr>
          <w:color w:val="4C4D4F"/>
          <w:spacing w:val="-35"/>
          <w:w w:val="110"/>
          <w:sz w:val="18"/>
        </w:rPr>
        <w:t> </w:t>
      </w:r>
      <w:r>
        <w:rPr>
          <w:color w:val="4C4D4F"/>
          <w:w w:val="110"/>
          <w:sz w:val="18"/>
        </w:rPr>
        <w:t>in</w:t>
      </w:r>
      <w:r>
        <w:rPr>
          <w:color w:val="4C4D4F"/>
          <w:spacing w:val="-34"/>
          <w:w w:val="110"/>
          <w:sz w:val="18"/>
        </w:rPr>
        <w:t> </w:t>
      </w:r>
      <w:r>
        <w:rPr>
          <w:color w:val="4C4D4F"/>
          <w:w w:val="110"/>
          <w:sz w:val="18"/>
        </w:rPr>
        <w:t>vitro.</w:t>
      </w:r>
      <w:r>
        <w:rPr>
          <w:color w:val="4C4D4F"/>
          <w:spacing w:val="-34"/>
          <w:w w:val="110"/>
          <w:sz w:val="18"/>
        </w:rPr>
        <w:t> </w:t>
      </w:r>
      <w:r>
        <w:rPr>
          <w:rFonts w:ascii="Arial" w:hAnsi="Arial"/>
          <w:i/>
          <w:color w:val="4C4D4F"/>
          <w:w w:val="110"/>
          <w:sz w:val="18"/>
        </w:rPr>
        <w:t>Drug</w:t>
      </w:r>
      <w:r>
        <w:rPr>
          <w:rFonts w:ascii="Arial" w:hAnsi="Arial"/>
          <w:i/>
          <w:color w:val="4C4D4F"/>
          <w:spacing w:val="-34"/>
          <w:w w:val="110"/>
          <w:sz w:val="18"/>
        </w:rPr>
        <w:t> </w:t>
      </w:r>
      <w:r>
        <w:rPr>
          <w:rFonts w:ascii="Arial" w:hAnsi="Arial"/>
          <w:i/>
          <w:color w:val="4C4D4F"/>
          <w:w w:val="110"/>
          <w:sz w:val="18"/>
        </w:rPr>
        <w:t>Metabolism</w:t>
      </w:r>
      <w:r>
        <w:rPr>
          <w:rFonts w:ascii="Arial" w:hAnsi="Arial"/>
          <w:i/>
          <w:color w:val="4C4D4F"/>
          <w:spacing w:val="-35"/>
          <w:w w:val="110"/>
          <w:sz w:val="18"/>
        </w:rPr>
        <w:t> </w:t>
      </w:r>
      <w:r>
        <w:rPr>
          <w:rFonts w:ascii="Arial" w:hAnsi="Arial"/>
          <w:i/>
          <w:color w:val="4C4D4F"/>
          <w:w w:val="110"/>
          <w:sz w:val="18"/>
        </w:rPr>
        <w:t>and</w:t>
      </w:r>
      <w:r>
        <w:rPr>
          <w:rFonts w:ascii="Arial" w:hAnsi="Arial"/>
          <w:i/>
          <w:color w:val="4C4D4F"/>
          <w:spacing w:val="-34"/>
          <w:w w:val="110"/>
          <w:sz w:val="18"/>
        </w:rPr>
        <w:t> </w:t>
      </w:r>
      <w:r>
        <w:rPr>
          <w:rFonts w:ascii="Arial" w:hAnsi="Arial"/>
          <w:i/>
          <w:color w:val="4C4D4F"/>
          <w:w w:val="110"/>
          <w:sz w:val="18"/>
        </w:rPr>
        <w:t>Disposition:</w:t>
      </w:r>
      <w:r>
        <w:rPr>
          <w:rFonts w:ascii="Arial" w:hAnsi="Arial"/>
          <w:i/>
          <w:color w:val="4C4D4F"/>
          <w:spacing w:val="-34"/>
          <w:w w:val="110"/>
          <w:sz w:val="18"/>
        </w:rPr>
        <w:t> </w:t>
      </w:r>
      <w:r>
        <w:rPr>
          <w:rFonts w:ascii="Arial" w:hAnsi="Arial"/>
          <w:i/>
          <w:color w:val="4C4D4F"/>
          <w:spacing w:val="-6"/>
          <w:w w:val="110"/>
          <w:sz w:val="18"/>
        </w:rPr>
        <w:t>The </w:t>
      </w:r>
      <w:r>
        <w:rPr>
          <w:rFonts w:ascii="Arial" w:hAnsi="Arial"/>
          <w:i/>
          <w:color w:val="4C4D4F"/>
          <w:w w:val="110"/>
          <w:sz w:val="18"/>
        </w:rPr>
        <w:t>Biological</w:t>
      </w:r>
      <w:r>
        <w:rPr>
          <w:rFonts w:ascii="Arial" w:hAnsi="Arial"/>
          <w:i/>
          <w:color w:val="4C4D4F"/>
          <w:spacing w:val="-19"/>
          <w:w w:val="110"/>
          <w:sz w:val="18"/>
        </w:rPr>
        <w:t> </w:t>
      </w:r>
      <w:r>
        <w:rPr>
          <w:rFonts w:ascii="Arial" w:hAnsi="Arial"/>
          <w:i/>
          <w:color w:val="4C4D4F"/>
          <w:w w:val="110"/>
          <w:sz w:val="18"/>
        </w:rPr>
        <w:t>Fate</w:t>
      </w:r>
      <w:r>
        <w:rPr>
          <w:rFonts w:ascii="Arial" w:hAnsi="Arial"/>
          <w:i/>
          <w:color w:val="4C4D4F"/>
          <w:spacing w:val="-19"/>
          <w:w w:val="110"/>
          <w:sz w:val="18"/>
        </w:rPr>
        <w:t> </w:t>
      </w:r>
      <w:r>
        <w:rPr>
          <w:rFonts w:ascii="Arial" w:hAnsi="Arial"/>
          <w:i/>
          <w:color w:val="4C4D4F"/>
          <w:w w:val="110"/>
          <w:sz w:val="18"/>
        </w:rPr>
        <w:t>of</w:t>
      </w:r>
      <w:r>
        <w:rPr>
          <w:rFonts w:ascii="Arial" w:hAnsi="Arial"/>
          <w:i/>
          <w:color w:val="4C4D4F"/>
          <w:spacing w:val="-19"/>
          <w:w w:val="110"/>
          <w:sz w:val="18"/>
        </w:rPr>
        <w:t> </w:t>
      </w:r>
      <w:r>
        <w:rPr>
          <w:rFonts w:ascii="Arial" w:hAnsi="Arial"/>
          <w:i/>
          <w:color w:val="4C4D4F"/>
          <w:w w:val="110"/>
          <w:sz w:val="18"/>
        </w:rPr>
        <w:t>Chemicals,</w:t>
      </w:r>
      <w:r>
        <w:rPr>
          <w:rFonts w:ascii="Arial" w:hAnsi="Arial"/>
          <w:i/>
          <w:color w:val="4C4D4F"/>
          <w:spacing w:val="-19"/>
          <w:w w:val="110"/>
          <w:sz w:val="18"/>
        </w:rPr>
        <w:t> </w:t>
      </w:r>
      <w:r>
        <w:rPr>
          <w:rFonts w:ascii="Arial" w:hAnsi="Arial"/>
          <w:i/>
          <w:color w:val="4C4D4F"/>
          <w:w w:val="110"/>
          <w:sz w:val="18"/>
        </w:rPr>
        <w:t>31</w:t>
      </w:r>
      <w:r>
        <w:rPr>
          <w:color w:val="4C4D4F"/>
          <w:w w:val="110"/>
          <w:sz w:val="18"/>
        </w:rPr>
        <w:t>(6),</w:t>
      </w:r>
      <w:r>
        <w:rPr>
          <w:color w:val="4C4D4F"/>
          <w:spacing w:val="-19"/>
          <w:w w:val="110"/>
          <w:sz w:val="18"/>
        </w:rPr>
        <w:t> </w:t>
      </w:r>
      <w:r>
        <w:rPr>
          <w:color w:val="4C4D4F"/>
          <w:w w:val="110"/>
          <w:sz w:val="18"/>
        </w:rPr>
        <w:t>768–772.</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10"/>
          <w:sz w:val="18"/>
        </w:rPr>
        <w:t>McCance-Katz, E. </w:t>
      </w:r>
      <w:r>
        <w:rPr>
          <w:color w:val="4C4D4F"/>
          <w:spacing w:val="-10"/>
          <w:w w:val="110"/>
          <w:sz w:val="18"/>
        </w:rPr>
        <w:t>F., </w:t>
      </w:r>
      <w:r>
        <w:rPr>
          <w:color w:val="4C4D4F"/>
          <w:w w:val="110"/>
          <w:sz w:val="18"/>
        </w:rPr>
        <w:t>Sullivan, L. E., &amp; Nallani, S.</w:t>
      </w:r>
      <w:r>
        <w:rPr>
          <w:color w:val="4C4D4F"/>
          <w:spacing w:val="45"/>
          <w:w w:val="110"/>
          <w:sz w:val="18"/>
        </w:rPr>
        <w:t> </w:t>
      </w:r>
      <w:r>
        <w:rPr>
          <w:color w:val="4C4D4F"/>
          <w:w w:val="110"/>
          <w:sz w:val="18"/>
        </w:rPr>
        <w:t>(2010).</w:t>
      </w:r>
    </w:p>
    <w:p>
      <w:pPr>
        <w:spacing w:line="247" w:lineRule="auto" w:before="7"/>
        <w:ind w:left="500" w:right="29" w:firstLine="0"/>
        <w:jc w:val="left"/>
        <w:rPr>
          <w:sz w:val="18"/>
        </w:rPr>
      </w:pPr>
      <w:r>
        <w:rPr>
          <w:color w:val="4C4D4F"/>
          <w:w w:val="110"/>
          <w:sz w:val="18"/>
        </w:rPr>
        <w:t>Drug interactions of clinical importance among the opioids, methadone and buprenorphine, and other frequently prescribed medications: A review. </w:t>
      </w:r>
      <w:r>
        <w:rPr>
          <w:rFonts w:ascii="Arial" w:hAnsi="Arial"/>
          <w:i/>
          <w:color w:val="4C4D4F"/>
          <w:w w:val="110"/>
          <w:sz w:val="18"/>
        </w:rPr>
        <w:t>American </w:t>
      </w:r>
      <w:r>
        <w:rPr>
          <w:rFonts w:ascii="Arial" w:hAnsi="Arial"/>
          <w:i/>
          <w:color w:val="4C4D4F"/>
          <w:w w:val="110"/>
          <w:sz w:val="18"/>
        </w:rPr>
        <w:t>Journal on Addictions, 19</w:t>
      </w:r>
      <w:r>
        <w:rPr>
          <w:color w:val="4C4D4F"/>
          <w:w w:val="110"/>
          <w:sz w:val="18"/>
        </w:rPr>
        <w:t>(1), 4–16.</w:t>
      </w:r>
    </w:p>
    <w:p>
      <w:pPr>
        <w:pStyle w:val="ListParagraph"/>
        <w:numPr>
          <w:ilvl w:val="0"/>
          <w:numId w:val="51"/>
        </w:numPr>
        <w:tabs>
          <w:tab w:pos="500" w:val="left" w:leader="none"/>
        </w:tabs>
        <w:spacing w:line="247" w:lineRule="auto" w:before="73" w:after="0"/>
        <w:ind w:left="500" w:right="87" w:hanging="360"/>
        <w:jc w:val="left"/>
        <w:rPr>
          <w:color w:val="4C4D4F"/>
          <w:sz w:val="18"/>
        </w:rPr>
      </w:pPr>
      <w:r>
        <w:rPr>
          <w:color w:val="4C4D4F"/>
          <w:w w:val="110"/>
          <w:sz w:val="18"/>
        </w:rPr>
        <w:t>Lofwall, M. R., &amp; Walsh, S. L. (2014). A review of buprenorphine diversion and misuse: The current evidence base and experiences from around the </w:t>
      </w:r>
      <w:r>
        <w:rPr>
          <w:color w:val="4C4D4F"/>
          <w:spacing w:val="-3"/>
          <w:w w:val="110"/>
          <w:sz w:val="18"/>
        </w:rPr>
        <w:t>world. </w:t>
      </w:r>
      <w:r>
        <w:rPr>
          <w:rFonts w:ascii="Arial" w:hAnsi="Arial"/>
          <w:i/>
          <w:color w:val="4C4D4F"/>
          <w:w w:val="110"/>
          <w:sz w:val="18"/>
        </w:rPr>
        <w:t>Journal</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Medicine,</w:t>
      </w:r>
      <w:r>
        <w:rPr>
          <w:rFonts w:ascii="Arial" w:hAnsi="Arial"/>
          <w:i/>
          <w:color w:val="4C4D4F"/>
          <w:spacing w:val="-13"/>
          <w:w w:val="110"/>
          <w:sz w:val="18"/>
        </w:rPr>
        <w:t> </w:t>
      </w:r>
      <w:r>
        <w:rPr>
          <w:rFonts w:ascii="Arial" w:hAnsi="Arial"/>
          <w:i/>
          <w:color w:val="4C4D4F"/>
          <w:w w:val="110"/>
          <w:sz w:val="18"/>
        </w:rPr>
        <w:t>8</w:t>
      </w:r>
      <w:r>
        <w:rPr>
          <w:color w:val="4C4D4F"/>
          <w:w w:val="110"/>
          <w:sz w:val="18"/>
        </w:rPr>
        <w:t>(5),</w:t>
      </w:r>
      <w:r>
        <w:rPr>
          <w:color w:val="4C4D4F"/>
          <w:spacing w:val="-12"/>
          <w:w w:val="110"/>
          <w:sz w:val="18"/>
        </w:rPr>
        <w:t> </w:t>
      </w:r>
      <w:r>
        <w:rPr>
          <w:color w:val="4C4D4F"/>
          <w:w w:val="110"/>
          <w:sz w:val="18"/>
        </w:rPr>
        <w:t>315–326.</w:t>
      </w:r>
    </w:p>
    <w:p>
      <w:pPr>
        <w:pStyle w:val="ListParagraph"/>
        <w:numPr>
          <w:ilvl w:val="0"/>
          <w:numId w:val="51"/>
        </w:numPr>
        <w:tabs>
          <w:tab w:pos="500" w:val="left" w:leader="none"/>
        </w:tabs>
        <w:spacing w:line="247" w:lineRule="auto" w:before="75" w:after="0"/>
        <w:ind w:left="500" w:right="87" w:hanging="360"/>
        <w:jc w:val="left"/>
        <w:rPr>
          <w:color w:val="4C4D4F"/>
          <w:sz w:val="18"/>
        </w:rPr>
      </w:pPr>
      <w:r>
        <w:rPr>
          <w:color w:val="4C4D4F"/>
          <w:w w:val="110"/>
          <w:sz w:val="18"/>
        </w:rPr>
        <w:t>Lofwall, M. R., &amp; Walsh, S. L. (2014). A review of buprenorphine diversion and misuse: The current evidence base and experiences from around the </w:t>
      </w:r>
      <w:r>
        <w:rPr>
          <w:color w:val="4C4D4F"/>
          <w:spacing w:val="-3"/>
          <w:w w:val="110"/>
          <w:sz w:val="18"/>
        </w:rPr>
        <w:t>world. </w:t>
      </w:r>
      <w:r>
        <w:rPr>
          <w:rFonts w:ascii="Arial" w:hAnsi="Arial"/>
          <w:i/>
          <w:color w:val="4C4D4F"/>
          <w:w w:val="110"/>
          <w:sz w:val="18"/>
        </w:rPr>
        <w:t>Journal</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Medicine,</w:t>
      </w:r>
      <w:r>
        <w:rPr>
          <w:rFonts w:ascii="Arial" w:hAnsi="Arial"/>
          <w:i/>
          <w:color w:val="4C4D4F"/>
          <w:spacing w:val="-13"/>
          <w:w w:val="110"/>
          <w:sz w:val="18"/>
        </w:rPr>
        <w:t> </w:t>
      </w:r>
      <w:r>
        <w:rPr>
          <w:rFonts w:ascii="Arial" w:hAnsi="Arial"/>
          <w:i/>
          <w:color w:val="4C4D4F"/>
          <w:w w:val="110"/>
          <w:sz w:val="18"/>
        </w:rPr>
        <w:t>8</w:t>
      </w:r>
      <w:r>
        <w:rPr>
          <w:color w:val="4C4D4F"/>
          <w:w w:val="110"/>
          <w:sz w:val="18"/>
        </w:rPr>
        <w:t>(5),</w:t>
      </w:r>
      <w:r>
        <w:rPr>
          <w:color w:val="4C4D4F"/>
          <w:spacing w:val="-12"/>
          <w:w w:val="110"/>
          <w:sz w:val="18"/>
        </w:rPr>
        <w:t> </w:t>
      </w:r>
      <w:r>
        <w:rPr>
          <w:color w:val="4C4D4F"/>
          <w:w w:val="110"/>
          <w:sz w:val="18"/>
        </w:rPr>
        <w:t>315–326.</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5"/>
          <w:sz w:val="18"/>
        </w:rPr>
        <w:t>Selden,</w:t>
      </w:r>
      <w:r>
        <w:rPr>
          <w:color w:val="4C4D4F"/>
          <w:spacing w:val="-25"/>
          <w:w w:val="115"/>
          <w:sz w:val="18"/>
        </w:rPr>
        <w:t> </w:t>
      </w:r>
      <w:r>
        <w:rPr>
          <w:color w:val="4C4D4F"/>
          <w:spacing w:val="-7"/>
          <w:w w:val="115"/>
          <w:sz w:val="18"/>
        </w:rPr>
        <w:t>T.,</w:t>
      </w:r>
      <w:r>
        <w:rPr>
          <w:color w:val="4C4D4F"/>
          <w:spacing w:val="-24"/>
          <w:w w:val="115"/>
          <w:sz w:val="18"/>
        </w:rPr>
        <w:t> </w:t>
      </w:r>
      <w:r>
        <w:rPr>
          <w:color w:val="4C4D4F"/>
          <w:spacing w:val="-3"/>
          <w:w w:val="115"/>
          <w:sz w:val="18"/>
        </w:rPr>
        <w:t>Ahlner,</w:t>
      </w:r>
      <w:r>
        <w:rPr>
          <w:color w:val="4C4D4F"/>
          <w:spacing w:val="-24"/>
          <w:w w:val="115"/>
          <w:sz w:val="18"/>
        </w:rPr>
        <w:t> </w:t>
      </w:r>
      <w:r>
        <w:rPr>
          <w:color w:val="4C4D4F"/>
          <w:w w:val="120"/>
          <w:sz w:val="18"/>
        </w:rPr>
        <w:t>J.,</w:t>
      </w:r>
      <w:r>
        <w:rPr>
          <w:color w:val="4C4D4F"/>
          <w:spacing w:val="-27"/>
          <w:w w:val="120"/>
          <w:sz w:val="18"/>
        </w:rPr>
        <w:t> </w:t>
      </w:r>
      <w:r>
        <w:rPr>
          <w:color w:val="4C4D4F"/>
          <w:w w:val="115"/>
          <w:sz w:val="18"/>
        </w:rPr>
        <w:t>Druid,</w:t>
      </w:r>
      <w:r>
        <w:rPr>
          <w:color w:val="4C4D4F"/>
          <w:spacing w:val="-24"/>
          <w:w w:val="115"/>
          <w:sz w:val="18"/>
        </w:rPr>
        <w:t> </w:t>
      </w:r>
      <w:r>
        <w:rPr>
          <w:color w:val="4C4D4F"/>
          <w:w w:val="115"/>
          <w:sz w:val="18"/>
        </w:rPr>
        <w:t>H.,</w:t>
      </w:r>
      <w:r>
        <w:rPr>
          <w:color w:val="4C4D4F"/>
          <w:spacing w:val="-25"/>
          <w:w w:val="115"/>
          <w:sz w:val="18"/>
        </w:rPr>
        <w:t> </w:t>
      </w:r>
      <w:r>
        <w:rPr>
          <w:color w:val="4C4D4F"/>
          <w:w w:val="115"/>
          <w:sz w:val="18"/>
        </w:rPr>
        <w:t>&amp;</w:t>
      </w:r>
      <w:r>
        <w:rPr>
          <w:color w:val="4C4D4F"/>
          <w:spacing w:val="-24"/>
          <w:w w:val="115"/>
          <w:sz w:val="18"/>
        </w:rPr>
        <w:t> </w:t>
      </w:r>
      <w:r>
        <w:rPr>
          <w:color w:val="4C4D4F"/>
          <w:w w:val="115"/>
          <w:sz w:val="18"/>
        </w:rPr>
        <w:t>Kronstrand,</w:t>
      </w:r>
      <w:r>
        <w:rPr>
          <w:color w:val="4C4D4F"/>
          <w:spacing w:val="-24"/>
          <w:w w:val="115"/>
          <w:sz w:val="18"/>
        </w:rPr>
        <w:t> </w:t>
      </w:r>
      <w:r>
        <w:rPr>
          <w:color w:val="4C4D4F"/>
          <w:w w:val="115"/>
          <w:sz w:val="18"/>
        </w:rPr>
        <w:t>R.</w:t>
      </w:r>
      <w:r>
        <w:rPr>
          <w:color w:val="4C4D4F"/>
          <w:spacing w:val="-25"/>
          <w:w w:val="115"/>
          <w:sz w:val="18"/>
        </w:rPr>
        <w:t> </w:t>
      </w:r>
      <w:r>
        <w:rPr>
          <w:color w:val="4C4D4F"/>
          <w:w w:val="115"/>
          <w:sz w:val="18"/>
        </w:rPr>
        <w:t>(2012).</w:t>
      </w:r>
    </w:p>
    <w:p>
      <w:pPr>
        <w:spacing w:line="247" w:lineRule="auto" w:before="7"/>
        <w:ind w:left="500" w:right="63" w:firstLine="0"/>
        <w:jc w:val="left"/>
        <w:rPr>
          <w:sz w:val="18"/>
        </w:rPr>
      </w:pPr>
      <w:r>
        <w:rPr>
          <w:color w:val="4C4D4F"/>
          <w:w w:val="110"/>
          <w:sz w:val="18"/>
        </w:rPr>
        <w:t>Toxicological and pathological ﬁndings in a series of buprenorphine related deaths. Possible risk factors for </w:t>
      </w:r>
      <w:r>
        <w:rPr>
          <w:color w:val="4C4D4F"/>
          <w:w w:val="105"/>
          <w:sz w:val="18"/>
        </w:rPr>
        <w:t>fatal</w:t>
      </w:r>
      <w:r>
        <w:rPr>
          <w:color w:val="4C4D4F"/>
          <w:spacing w:val="-20"/>
          <w:w w:val="105"/>
          <w:sz w:val="18"/>
        </w:rPr>
        <w:t> </w:t>
      </w:r>
      <w:r>
        <w:rPr>
          <w:color w:val="4C4D4F"/>
          <w:w w:val="105"/>
          <w:sz w:val="18"/>
        </w:rPr>
        <w:t>outcome.</w:t>
      </w:r>
      <w:r>
        <w:rPr>
          <w:color w:val="4C4D4F"/>
          <w:spacing w:val="-20"/>
          <w:w w:val="105"/>
          <w:sz w:val="18"/>
        </w:rPr>
        <w:t> </w:t>
      </w:r>
      <w:r>
        <w:rPr>
          <w:rFonts w:ascii="Arial" w:hAnsi="Arial"/>
          <w:i/>
          <w:color w:val="4C4D4F"/>
          <w:w w:val="105"/>
          <w:sz w:val="18"/>
        </w:rPr>
        <w:t>Forensic</w:t>
      </w:r>
      <w:r>
        <w:rPr>
          <w:rFonts w:ascii="Arial" w:hAnsi="Arial"/>
          <w:i/>
          <w:color w:val="4C4D4F"/>
          <w:spacing w:val="-19"/>
          <w:w w:val="105"/>
          <w:sz w:val="18"/>
        </w:rPr>
        <w:t> </w:t>
      </w:r>
      <w:r>
        <w:rPr>
          <w:rFonts w:ascii="Arial" w:hAnsi="Arial"/>
          <w:i/>
          <w:color w:val="4C4D4F"/>
          <w:w w:val="105"/>
          <w:sz w:val="18"/>
        </w:rPr>
        <w:t>Science</w:t>
      </w:r>
      <w:r>
        <w:rPr>
          <w:rFonts w:ascii="Arial" w:hAnsi="Arial"/>
          <w:i/>
          <w:color w:val="4C4D4F"/>
          <w:spacing w:val="-20"/>
          <w:w w:val="105"/>
          <w:sz w:val="18"/>
        </w:rPr>
        <w:t> </w:t>
      </w:r>
      <w:r>
        <w:rPr>
          <w:rFonts w:ascii="Arial" w:hAnsi="Arial"/>
          <w:i/>
          <w:color w:val="4C4D4F"/>
          <w:w w:val="105"/>
          <w:sz w:val="18"/>
        </w:rPr>
        <w:t>International,</w:t>
      </w:r>
      <w:r>
        <w:rPr>
          <w:rFonts w:ascii="Arial" w:hAnsi="Arial"/>
          <w:i/>
          <w:color w:val="4C4D4F"/>
          <w:spacing w:val="-19"/>
          <w:w w:val="105"/>
          <w:sz w:val="18"/>
        </w:rPr>
        <w:t> </w:t>
      </w:r>
      <w:r>
        <w:rPr>
          <w:rFonts w:ascii="Arial" w:hAnsi="Arial"/>
          <w:i/>
          <w:color w:val="4C4D4F"/>
          <w:w w:val="105"/>
          <w:sz w:val="18"/>
        </w:rPr>
        <w:t>220</w:t>
      </w:r>
      <w:r>
        <w:rPr>
          <w:color w:val="4C4D4F"/>
          <w:w w:val="105"/>
          <w:sz w:val="18"/>
        </w:rPr>
        <w:t>(1–3), </w:t>
      </w:r>
      <w:r>
        <w:rPr>
          <w:color w:val="4C4D4F"/>
          <w:w w:val="110"/>
          <w:sz w:val="18"/>
        </w:rPr>
        <w:t>284–290.</w:t>
      </w:r>
    </w:p>
    <w:p>
      <w:pPr>
        <w:pStyle w:val="ListParagraph"/>
        <w:numPr>
          <w:ilvl w:val="0"/>
          <w:numId w:val="51"/>
        </w:numPr>
        <w:tabs>
          <w:tab w:pos="500" w:val="left" w:leader="none"/>
        </w:tabs>
        <w:spacing w:line="247" w:lineRule="auto" w:before="75" w:after="0"/>
        <w:ind w:left="500" w:right="121" w:hanging="360"/>
        <w:jc w:val="left"/>
        <w:rPr>
          <w:color w:val="4C4D4F"/>
          <w:sz w:val="18"/>
        </w:rPr>
      </w:pPr>
      <w:r>
        <w:rPr>
          <w:color w:val="4C4D4F"/>
          <w:w w:val="115"/>
          <w:sz w:val="18"/>
        </w:rPr>
        <w:t>Hakkinen,</w:t>
      </w:r>
      <w:r>
        <w:rPr>
          <w:color w:val="4C4D4F"/>
          <w:spacing w:val="-18"/>
          <w:w w:val="115"/>
          <w:sz w:val="18"/>
        </w:rPr>
        <w:t> </w:t>
      </w:r>
      <w:r>
        <w:rPr>
          <w:color w:val="4C4D4F"/>
          <w:w w:val="115"/>
          <w:sz w:val="18"/>
        </w:rPr>
        <w:t>M.,</w:t>
      </w:r>
      <w:r>
        <w:rPr>
          <w:color w:val="4C4D4F"/>
          <w:spacing w:val="-17"/>
          <w:w w:val="115"/>
          <w:sz w:val="18"/>
        </w:rPr>
        <w:t> </w:t>
      </w:r>
      <w:r>
        <w:rPr>
          <w:color w:val="4C4D4F"/>
          <w:w w:val="115"/>
          <w:sz w:val="18"/>
        </w:rPr>
        <w:t>Launiainen,</w:t>
      </w:r>
      <w:r>
        <w:rPr>
          <w:color w:val="4C4D4F"/>
          <w:spacing w:val="-18"/>
          <w:w w:val="115"/>
          <w:sz w:val="18"/>
        </w:rPr>
        <w:t> </w:t>
      </w:r>
      <w:r>
        <w:rPr>
          <w:color w:val="4C4D4F"/>
          <w:spacing w:val="-7"/>
          <w:w w:val="115"/>
          <w:sz w:val="18"/>
        </w:rPr>
        <w:t>T.,</w:t>
      </w:r>
      <w:r>
        <w:rPr>
          <w:color w:val="4C4D4F"/>
          <w:spacing w:val="-17"/>
          <w:w w:val="115"/>
          <w:sz w:val="18"/>
        </w:rPr>
        <w:t> </w:t>
      </w:r>
      <w:r>
        <w:rPr>
          <w:color w:val="4C4D4F"/>
          <w:w w:val="115"/>
          <w:sz w:val="18"/>
        </w:rPr>
        <w:t>Vuori,</w:t>
      </w:r>
      <w:r>
        <w:rPr>
          <w:color w:val="4C4D4F"/>
          <w:spacing w:val="-17"/>
          <w:w w:val="115"/>
          <w:sz w:val="18"/>
        </w:rPr>
        <w:t> </w:t>
      </w:r>
      <w:r>
        <w:rPr>
          <w:color w:val="4C4D4F"/>
          <w:w w:val="115"/>
          <w:sz w:val="18"/>
        </w:rPr>
        <w:t>E.,</w:t>
      </w:r>
      <w:r>
        <w:rPr>
          <w:color w:val="4C4D4F"/>
          <w:spacing w:val="-18"/>
          <w:w w:val="115"/>
          <w:sz w:val="18"/>
        </w:rPr>
        <w:t> </w:t>
      </w:r>
      <w:r>
        <w:rPr>
          <w:color w:val="4C4D4F"/>
          <w:w w:val="115"/>
          <w:sz w:val="18"/>
        </w:rPr>
        <w:t>&amp;</w:t>
      </w:r>
      <w:r>
        <w:rPr>
          <w:color w:val="4C4D4F"/>
          <w:spacing w:val="-17"/>
          <w:w w:val="115"/>
          <w:sz w:val="18"/>
        </w:rPr>
        <w:t> </w:t>
      </w:r>
      <w:r>
        <w:rPr>
          <w:color w:val="4C4D4F"/>
          <w:w w:val="115"/>
          <w:sz w:val="18"/>
        </w:rPr>
        <w:t>Ojanpera,</w:t>
      </w:r>
      <w:r>
        <w:rPr>
          <w:color w:val="4C4D4F"/>
          <w:spacing w:val="-18"/>
          <w:w w:val="115"/>
          <w:sz w:val="18"/>
        </w:rPr>
        <w:t> </w:t>
      </w:r>
      <w:r>
        <w:rPr>
          <w:color w:val="4C4D4F"/>
          <w:w w:val="115"/>
          <w:sz w:val="18"/>
        </w:rPr>
        <w:t>I. (2012). Benzodiazepines and alcohol are associated with</w:t>
      </w:r>
      <w:r>
        <w:rPr>
          <w:color w:val="4C4D4F"/>
          <w:spacing w:val="-36"/>
          <w:w w:val="115"/>
          <w:sz w:val="18"/>
        </w:rPr>
        <w:t> </w:t>
      </w:r>
      <w:r>
        <w:rPr>
          <w:color w:val="4C4D4F"/>
          <w:w w:val="115"/>
          <w:sz w:val="18"/>
        </w:rPr>
        <w:t>cases</w:t>
      </w:r>
      <w:r>
        <w:rPr>
          <w:color w:val="4C4D4F"/>
          <w:spacing w:val="-35"/>
          <w:w w:val="115"/>
          <w:sz w:val="18"/>
        </w:rPr>
        <w:t> </w:t>
      </w:r>
      <w:r>
        <w:rPr>
          <w:color w:val="4C4D4F"/>
          <w:w w:val="115"/>
          <w:sz w:val="18"/>
        </w:rPr>
        <w:t>of</w:t>
      </w:r>
      <w:r>
        <w:rPr>
          <w:color w:val="4C4D4F"/>
          <w:spacing w:val="-35"/>
          <w:w w:val="115"/>
          <w:sz w:val="18"/>
        </w:rPr>
        <w:t> </w:t>
      </w:r>
      <w:r>
        <w:rPr>
          <w:color w:val="4C4D4F"/>
          <w:w w:val="115"/>
          <w:sz w:val="18"/>
        </w:rPr>
        <w:t>fatal</w:t>
      </w:r>
      <w:r>
        <w:rPr>
          <w:color w:val="4C4D4F"/>
          <w:spacing w:val="-35"/>
          <w:w w:val="115"/>
          <w:sz w:val="18"/>
        </w:rPr>
        <w:t> </w:t>
      </w:r>
      <w:r>
        <w:rPr>
          <w:color w:val="4C4D4F"/>
          <w:w w:val="115"/>
          <w:sz w:val="18"/>
        </w:rPr>
        <w:t>buprenorphine</w:t>
      </w:r>
      <w:r>
        <w:rPr>
          <w:color w:val="4C4D4F"/>
          <w:spacing w:val="-35"/>
          <w:w w:val="115"/>
          <w:sz w:val="18"/>
        </w:rPr>
        <w:t> </w:t>
      </w:r>
      <w:r>
        <w:rPr>
          <w:color w:val="4C4D4F"/>
          <w:w w:val="115"/>
          <w:sz w:val="18"/>
        </w:rPr>
        <w:t>poisoning.</w:t>
      </w:r>
      <w:r>
        <w:rPr>
          <w:color w:val="4C4D4F"/>
          <w:spacing w:val="-36"/>
          <w:w w:val="115"/>
          <w:sz w:val="18"/>
        </w:rPr>
        <w:t> </w:t>
      </w:r>
      <w:r>
        <w:rPr>
          <w:rFonts w:ascii="Arial" w:hAnsi="Arial"/>
          <w:i/>
          <w:color w:val="4C4D4F"/>
          <w:spacing w:val="-3"/>
          <w:w w:val="115"/>
          <w:sz w:val="18"/>
        </w:rPr>
        <w:t>European </w:t>
      </w:r>
      <w:r>
        <w:rPr>
          <w:rFonts w:ascii="Arial" w:hAnsi="Arial"/>
          <w:i/>
          <w:color w:val="4C4D4F"/>
          <w:w w:val="115"/>
          <w:sz w:val="18"/>
        </w:rPr>
        <w:t>Journal</w:t>
      </w:r>
      <w:r>
        <w:rPr>
          <w:rFonts w:ascii="Arial" w:hAnsi="Arial"/>
          <w:i/>
          <w:color w:val="4C4D4F"/>
          <w:spacing w:val="-41"/>
          <w:w w:val="115"/>
          <w:sz w:val="18"/>
        </w:rPr>
        <w:t> </w:t>
      </w:r>
      <w:r>
        <w:rPr>
          <w:rFonts w:ascii="Arial" w:hAnsi="Arial"/>
          <w:i/>
          <w:color w:val="4C4D4F"/>
          <w:w w:val="115"/>
          <w:sz w:val="18"/>
        </w:rPr>
        <w:t>of</w:t>
      </w:r>
      <w:r>
        <w:rPr>
          <w:rFonts w:ascii="Arial" w:hAnsi="Arial"/>
          <w:i/>
          <w:color w:val="4C4D4F"/>
          <w:spacing w:val="-41"/>
          <w:w w:val="115"/>
          <w:sz w:val="18"/>
        </w:rPr>
        <w:t> </w:t>
      </w:r>
      <w:r>
        <w:rPr>
          <w:rFonts w:ascii="Arial" w:hAnsi="Arial"/>
          <w:i/>
          <w:color w:val="4C4D4F"/>
          <w:w w:val="115"/>
          <w:sz w:val="18"/>
        </w:rPr>
        <w:t>Clinical</w:t>
      </w:r>
      <w:r>
        <w:rPr>
          <w:rFonts w:ascii="Arial" w:hAnsi="Arial"/>
          <w:i/>
          <w:color w:val="4C4D4F"/>
          <w:spacing w:val="-41"/>
          <w:w w:val="115"/>
          <w:sz w:val="18"/>
        </w:rPr>
        <w:t> </w:t>
      </w:r>
      <w:r>
        <w:rPr>
          <w:rFonts w:ascii="Arial" w:hAnsi="Arial"/>
          <w:i/>
          <w:color w:val="4C4D4F"/>
          <w:w w:val="115"/>
          <w:sz w:val="18"/>
        </w:rPr>
        <w:t>Pharmacology,</w:t>
      </w:r>
      <w:r>
        <w:rPr>
          <w:rFonts w:ascii="Arial" w:hAnsi="Arial"/>
          <w:i/>
          <w:color w:val="4C4D4F"/>
          <w:spacing w:val="-40"/>
          <w:w w:val="115"/>
          <w:sz w:val="18"/>
        </w:rPr>
        <w:t> </w:t>
      </w:r>
      <w:r>
        <w:rPr>
          <w:rFonts w:ascii="Arial" w:hAnsi="Arial"/>
          <w:i/>
          <w:color w:val="4C4D4F"/>
          <w:w w:val="115"/>
          <w:sz w:val="18"/>
        </w:rPr>
        <w:t>68</w:t>
      </w:r>
      <w:r>
        <w:rPr>
          <w:color w:val="4C4D4F"/>
          <w:w w:val="115"/>
          <w:sz w:val="18"/>
        </w:rPr>
        <w:t>(3),</w:t>
      </w:r>
      <w:r>
        <w:rPr>
          <w:color w:val="4C4D4F"/>
          <w:spacing w:val="-41"/>
          <w:w w:val="115"/>
          <w:sz w:val="18"/>
        </w:rPr>
        <w:t> </w:t>
      </w:r>
      <w:r>
        <w:rPr>
          <w:color w:val="4C4D4F"/>
          <w:w w:val="115"/>
          <w:sz w:val="18"/>
        </w:rPr>
        <w:t>301–309.</w:t>
      </w:r>
    </w:p>
    <w:p>
      <w:pPr>
        <w:pStyle w:val="ListParagraph"/>
        <w:numPr>
          <w:ilvl w:val="0"/>
          <w:numId w:val="51"/>
        </w:numPr>
        <w:tabs>
          <w:tab w:pos="500" w:val="left" w:leader="none"/>
        </w:tabs>
        <w:spacing w:line="247" w:lineRule="auto" w:before="100" w:after="0"/>
        <w:ind w:left="500" w:right="283" w:hanging="360"/>
        <w:jc w:val="left"/>
        <w:rPr>
          <w:color w:val="4C4D4F"/>
          <w:sz w:val="18"/>
        </w:rPr>
      </w:pPr>
      <w:r>
        <w:rPr>
          <w:color w:val="4C4D4F"/>
          <w:w w:val="108"/>
          <w:sz w:val="18"/>
        </w:rPr>
        <w:br w:type="column"/>
      </w:r>
      <w:r>
        <w:rPr>
          <w:color w:val="4C4D4F"/>
          <w:w w:val="110"/>
          <w:sz w:val="18"/>
        </w:rPr>
        <w:t>Indivior. (2015).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spacing w:val="-4"/>
          <w:w w:val="110"/>
          <w:sz w:val="18"/>
        </w:rPr>
        <w:t>Toce, </w:t>
      </w:r>
      <w:r>
        <w:rPr>
          <w:color w:val="4C4D4F"/>
          <w:w w:val="110"/>
          <w:sz w:val="18"/>
        </w:rPr>
        <w:t>M. S., Burns, M. M., &amp; O’Donnell, K. A.</w:t>
      </w:r>
      <w:r>
        <w:rPr>
          <w:color w:val="4C4D4F"/>
          <w:spacing w:val="-28"/>
          <w:w w:val="110"/>
          <w:sz w:val="18"/>
        </w:rPr>
        <w:t> </w:t>
      </w:r>
      <w:r>
        <w:rPr>
          <w:color w:val="4C4D4F"/>
          <w:w w:val="110"/>
          <w:sz w:val="18"/>
        </w:rPr>
        <w:t>(2017).</w:t>
      </w:r>
    </w:p>
    <w:p>
      <w:pPr>
        <w:spacing w:line="247" w:lineRule="auto" w:before="7"/>
        <w:ind w:left="500" w:right="0" w:firstLine="0"/>
        <w:jc w:val="left"/>
        <w:rPr>
          <w:sz w:val="18"/>
        </w:rPr>
      </w:pPr>
      <w:r>
        <w:rPr>
          <w:color w:val="4C4D4F"/>
          <w:w w:val="110"/>
          <w:sz w:val="18"/>
        </w:rPr>
        <w:t>Clinical effects of unintentional pediatric buprenorphine exposures: Experience at a single tertiary care center. </w:t>
      </w:r>
      <w:r>
        <w:rPr>
          <w:rFonts w:ascii="Arial" w:hAnsi="Arial"/>
          <w:i/>
          <w:color w:val="4C4D4F"/>
          <w:w w:val="110"/>
          <w:sz w:val="18"/>
        </w:rPr>
        <w:t>Clinical Toxicology (Philadelphia, Pa.), 55</w:t>
      </w:r>
      <w:r>
        <w:rPr>
          <w:color w:val="4C4D4F"/>
          <w:w w:val="110"/>
          <w:sz w:val="18"/>
        </w:rPr>
        <w:t>(1), 12–17.</w:t>
      </w:r>
    </w:p>
    <w:p>
      <w:pPr>
        <w:pStyle w:val="ListParagraph"/>
        <w:numPr>
          <w:ilvl w:val="0"/>
          <w:numId w:val="51"/>
        </w:numPr>
        <w:tabs>
          <w:tab w:pos="500" w:val="left" w:leader="none"/>
        </w:tabs>
        <w:spacing w:line="247" w:lineRule="auto" w:before="74" w:after="0"/>
        <w:ind w:left="500" w:right="1009" w:hanging="360"/>
        <w:jc w:val="left"/>
        <w:rPr>
          <w:color w:val="4C4D4F"/>
          <w:sz w:val="18"/>
        </w:rPr>
      </w:pPr>
      <w:r>
        <w:rPr>
          <w:color w:val="4C4D4F"/>
          <w:w w:val="115"/>
          <w:sz w:val="18"/>
        </w:rPr>
        <w:t>Saxon,</w:t>
      </w:r>
      <w:r>
        <w:rPr>
          <w:color w:val="4C4D4F"/>
          <w:spacing w:val="-16"/>
          <w:w w:val="115"/>
          <w:sz w:val="18"/>
        </w:rPr>
        <w:t> </w:t>
      </w:r>
      <w:r>
        <w:rPr>
          <w:color w:val="4C4D4F"/>
          <w:w w:val="115"/>
          <w:sz w:val="18"/>
        </w:rPr>
        <w:t>A.</w:t>
      </w:r>
      <w:r>
        <w:rPr>
          <w:color w:val="4C4D4F"/>
          <w:spacing w:val="-16"/>
          <w:w w:val="115"/>
          <w:sz w:val="18"/>
        </w:rPr>
        <w:t> </w:t>
      </w:r>
      <w:r>
        <w:rPr>
          <w:color w:val="4C4D4F"/>
          <w:w w:val="125"/>
          <w:sz w:val="18"/>
        </w:rPr>
        <w:t>J.,</w:t>
      </w:r>
      <w:r>
        <w:rPr>
          <w:color w:val="4C4D4F"/>
          <w:spacing w:val="-21"/>
          <w:w w:val="125"/>
          <w:sz w:val="18"/>
        </w:rPr>
        <w:t> </w:t>
      </w:r>
      <w:r>
        <w:rPr>
          <w:color w:val="4C4D4F"/>
          <w:w w:val="115"/>
          <w:sz w:val="18"/>
        </w:rPr>
        <w:t>Ling,</w:t>
      </w:r>
      <w:r>
        <w:rPr>
          <w:color w:val="4C4D4F"/>
          <w:spacing w:val="-16"/>
          <w:w w:val="115"/>
          <w:sz w:val="18"/>
        </w:rPr>
        <w:t> </w:t>
      </w:r>
      <w:r>
        <w:rPr>
          <w:color w:val="4C4D4F"/>
          <w:spacing w:val="-5"/>
          <w:w w:val="115"/>
          <w:sz w:val="18"/>
        </w:rPr>
        <w:t>W.,</w:t>
      </w:r>
      <w:r>
        <w:rPr>
          <w:color w:val="4C4D4F"/>
          <w:spacing w:val="-16"/>
          <w:w w:val="115"/>
          <w:sz w:val="18"/>
        </w:rPr>
        <w:t> </w:t>
      </w:r>
      <w:r>
        <w:rPr>
          <w:color w:val="4C4D4F"/>
          <w:w w:val="115"/>
          <w:sz w:val="18"/>
        </w:rPr>
        <w:t>Hillhouse,</w:t>
      </w:r>
      <w:r>
        <w:rPr>
          <w:color w:val="4C4D4F"/>
          <w:spacing w:val="-15"/>
          <w:w w:val="115"/>
          <w:sz w:val="18"/>
        </w:rPr>
        <w:t> </w:t>
      </w:r>
      <w:r>
        <w:rPr>
          <w:color w:val="4C4D4F"/>
          <w:w w:val="115"/>
          <w:sz w:val="18"/>
        </w:rPr>
        <w:t>M.,</w:t>
      </w:r>
      <w:r>
        <w:rPr>
          <w:color w:val="4C4D4F"/>
          <w:spacing w:val="-16"/>
          <w:w w:val="115"/>
          <w:sz w:val="18"/>
        </w:rPr>
        <w:t> </w:t>
      </w:r>
      <w:r>
        <w:rPr>
          <w:color w:val="4C4D4F"/>
          <w:spacing w:val="-3"/>
          <w:w w:val="115"/>
          <w:sz w:val="18"/>
        </w:rPr>
        <w:t>Thomas, </w:t>
      </w:r>
      <w:r>
        <w:rPr>
          <w:color w:val="4C4D4F"/>
          <w:w w:val="115"/>
          <w:sz w:val="18"/>
        </w:rPr>
        <w:t>C.,</w:t>
      </w:r>
      <w:r>
        <w:rPr>
          <w:color w:val="4C4D4F"/>
          <w:spacing w:val="-14"/>
          <w:w w:val="115"/>
          <w:sz w:val="18"/>
        </w:rPr>
        <w:t> </w:t>
      </w:r>
      <w:r>
        <w:rPr>
          <w:color w:val="4C4D4F"/>
          <w:w w:val="115"/>
          <w:sz w:val="18"/>
        </w:rPr>
        <w:t>Hasson,</w:t>
      </w:r>
      <w:r>
        <w:rPr>
          <w:color w:val="4C4D4F"/>
          <w:spacing w:val="-13"/>
          <w:w w:val="115"/>
          <w:sz w:val="18"/>
        </w:rPr>
        <w:t> </w:t>
      </w:r>
      <w:r>
        <w:rPr>
          <w:color w:val="4C4D4F"/>
          <w:w w:val="115"/>
          <w:sz w:val="18"/>
        </w:rPr>
        <w:t>A.,</w:t>
      </w:r>
      <w:r>
        <w:rPr>
          <w:color w:val="4C4D4F"/>
          <w:spacing w:val="-14"/>
          <w:w w:val="115"/>
          <w:sz w:val="18"/>
        </w:rPr>
        <w:t> </w:t>
      </w:r>
      <w:r>
        <w:rPr>
          <w:color w:val="4C4D4F"/>
          <w:w w:val="115"/>
          <w:sz w:val="18"/>
        </w:rPr>
        <w:t>Ang,</w:t>
      </w:r>
      <w:r>
        <w:rPr>
          <w:color w:val="4C4D4F"/>
          <w:spacing w:val="-13"/>
          <w:w w:val="115"/>
          <w:sz w:val="18"/>
        </w:rPr>
        <w:t> </w:t>
      </w:r>
      <w:r>
        <w:rPr>
          <w:color w:val="4C4D4F"/>
          <w:w w:val="115"/>
          <w:sz w:val="18"/>
        </w:rPr>
        <w:t>A.,</w:t>
      </w:r>
      <w:r>
        <w:rPr>
          <w:color w:val="4C4D4F"/>
          <w:spacing w:val="-13"/>
          <w:w w:val="115"/>
          <w:sz w:val="18"/>
        </w:rPr>
        <w:t> </w:t>
      </w:r>
      <w:r>
        <w:rPr>
          <w:color w:val="4C4D4F"/>
          <w:w w:val="115"/>
          <w:sz w:val="18"/>
        </w:rPr>
        <w:t>…</w:t>
      </w:r>
      <w:r>
        <w:rPr>
          <w:color w:val="4C4D4F"/>
          <w:spacing w:val="-14"/>
          <w:w w:val="115"/>
          <w:sz w:val="18"/>
        </w:rPr>
        <w:t> </w:t>
      </w:r>
      <w:r>
        <w:rPr>
          <w:color w:val="4C4D4F"/>
          <w:w w:val="115"/>
          <w:sz w:val="18"/>
        </w:rPr>
        <w:t>Jacobs,</w:t>
      </w:r>
      <w:r>
        <w:rPr>
          <w:color w:val="4C4D4F"/>
          <w:spacing w:val="-13"/>
          <w:w w:val="115"/>
          <w:sz w:val="18"/>
        </w:rPr>
        <w:t> </w:t>
      </w:r>
      <w:r>
        <w:rPr>
          <w:color w:val="4C4D4F"/>
          <w:spacing w:val="-17"/>
          <w:w w:val="115"/>
          <w:sz w:val="18"/>
        </w:rPr>
        <w:t>P.</w:t>
      </w:r>
      <w:r>
        <w:rPr>
          <w:color w:val="4C4D4F"/>
          <w:spacing w:val="-13"/>
          <w:w w:val="115"/>
          <w:sz w:val="18"/>
        </w:rPr>
        <w:t> </w:t>
      </w:r>
      <w:r>
        <w:rPr>
          <w:color w:val="4C4D4F"/>
          <w:w w:val="115"/>
          <w:sz w:val="18"/>
        </w:rPr>
        <w:t>(2013).</w:t>
      </w:r>
    </w:p>
    <w:p>
      <w:pPr>
        <w:spacing w:line="247" w:lineRule="auto" w:before="2"/>
        <w:ind w:left="500" w:right="422" w:firstLine="0"/>
        <w:jc w:val="both"/>
        <w:rPr>
          <w:sz w:val="18"/>
        </w:rPr>
      </w:pPr>
      <w:r>
        <w:rPr>
          <w:color w:val="4C4D4F"/>
          <w:w w:val="110"/>
          <w:sz w:val="18"/>
        </w:rPr>
        <w:t>Buprenorphine/naloxone and methadone effects on laboratory indices of liver health: A randomized </w:t>
      </w:r>
      <w:r>
        <w:rPr>
          <w:color w:val="4C4D4F"/>
          <w:spacing w:val="-3"/>
          <w:w w:val="110"/>
          <w:sz w:val="18"/>
        </w:rPr>
        <w:t>trial. </w:t>
      </w:r>
      <w:r>
        <w:rPr>
          <w:rFonts w:ascii="Arial" w:hAnsi="Arial"/>
          <w:i/>
          <w:color w:val="4C4D4F"/>
          <w:w w:val="110"/>
          <w:sz w:val="18"/>
        </w:rPr>
        <w:t>Drug and Alcohol Dependence, 128</w:t>
      </w:r>
      <w:r>
        <w:rPr>
          <w:color w:val="4C4D4F"/>
          <w:w w:val="110"/>
          <w:sz w:val="18"/>
        </w:rPr>
        <w:t>(1–2), 71–76.</w:t>
      </w:r>
    </w:p>
    <w:p>
      <w:pPr>
        <w:pStyle w:val="ListParagraph"/>
        <w:numPr>
          <w:ilvl w:val="0"/>
          <w:numId w:val="51"/>
        </w:numPr>
        <w:tabs>
          <w:tab w:pos="500" w:val="left" w:leader="none"/>
        </w:tabs>
        <w:spacing w:line="247" w:lineRule="auto" w:before="73" w:after="0"/>
        <w:ind w:left="500" w:right="612" w:hanging="360"/>
        <w:jc w:val="left"/>
        <w:rPr>
          <w:color w:val="4C4D4F"/>
          <w:sz w:val="18"/>
        </w:rPr>
      </w:pPr>
      <w:r>
        <w:rPr>
          <w:color w:val="4C4D4F"/>
          <w:w w:val="110"/>
          <w:sz w:val="18"/>
        </w:rPr>
        <w:t>Roxane Laboratories. (2015). Buprenorphine HCl sublingual tablets: Full prescribing information. Retrieved October 16, 2017, from</w:t>
      </w:r>
      <w:r>
        <w:rPr>
          <w:color w:val="205E9E"/>
          <w:spacing w:val="38"/>
          <w:w w:val="110"/>
          <w:sz w:val="18"/>
        </w:rPr>
        <w:t> </w:t>
      </w:r>
      <w:hyperlink r:id="rId108">
        <w:r>
          <w:rPr>
            <w:color w:val="205E9E"/>
            <w:spacing w:val="-2"/>
            <w:w w:val="110"/>
            <w:sz w:val="18"/>
            <w:u w:val="single" w:color="205E9E"/>
          </w:rPr>
          <w:t>http://dailymed</w:t>
        </w:r>
      </w:hyperlink>
    </w:p>
    <w:p>
      <w:pPr>
        <w:spacing w:before="3"/>
        <w:ind w:left="500" w:right="0" w:firstLine="0"/>
        <w:jc w:val="left"/>
        <w:rPr>
          <w:sz w:val="18"/>
        </w:rPr>
      </w:pPr>
      <w:r>
        <w:rPr>
          <w:color w:val="205E9E"/>
          <w:w w:val="115"/>
          <w:sz w:val="18"/>
          <w:u w:val="single" w:color="205E9E"/>
        </w:rPr>
        <w:t>.nlm.nih.gov/dailymed/drugInfo.cfm?setid=1bf8b35a</w:t>
      </w:r>
    </w:p>
    <w:p>
      <w:pPr>
        <w:spacing w:before="7"/>
        <w:ind w:left="500" w:right="0" w:firstLine="0"/>
        <w:jc w:val="left"/>
        <w:rPr>
          <w:sz w:val="18"/>
        </w:rPr>
      </w:pPr>
      <w:r>
        <w:rPr>
          <w:color w:val="205E9E"/>
          <w:w w:val="115"/>
          <w:sz w:val="18"/>
          <w:u w:val="single" w:color="205E9E"/>
        </w:rPr>
        <w:t>-b769-465c-a2f8-099868dfcd2f</w:t>
      </w:r>
    </w:p>
    <w:p>
      <w:pPr>
        <w:pStyle w:val="ListParagraph"/>
        <w:numPr>
          <w:ilvl w:val="0"/>
          <w:numId w:val="51"/>
        </w:numPr>
        <w:tabs>
          <w:tab w:pos="500" w:val="left" w:leader="none"/>
        </w:tabs>
        <w:spacing w:line="247" w:lineRule="auto" w:before="80" w:after="0"/>
        <w:ind w:left="500" w:right="612" w:hanging="360"/>
        <w:jc w:val="left"/>
        <w:rPr>
          <w:color w:val="4C4D4F"/>
          <w:sz w:val="18"/>
        </w:rPr>
      </w:pPr>
      <w:r>
        <w:rPr>
          <w:color w:val="4C4D4F"/>
          <w:w w:val="110"/>
          <w:sz w:val="18"/>
        </w:rPr>
        <w:t>Roxane Laboratories. (2015). Buprenorphine HCl sublingual tablets: Full prescribing information. Retrieved October 16, 2017, from</w:t>
      </w:r>
      <w:r>
        <w:rPr>
          <w:color w:val="205E9E"/>
          <w:spacing w:val="38"/>
          <w:w w:val="110"/>
          <w:sz w:val="18"/>
        </w:rPr>
        <w:t> </w:t>
      </w:r>
      <w:hyperlink r:id="rId108">
        <w:r>
          <w:rPr>
            <w:color w:val="205E9E"/>
            <w:spacing w:val="-2"/>
            <w:w w:val="110"/>
            <w:sz w:val="18"/>
            <w:u w:val="single" w:color="205E9E"/>
          </w:rPr>
          <w:t>http://dailymed</w:t>
        </w:r>
      </w:hyperlink>
    </w:p>
    <w:p>
      <w:pPr>
        <w:spacing w:before="3"/>
        <w:ind w:left="500" w:right="0" w:firstLine="0"/>
        <w:jc w:val="left"/>
        <w:rPr>
          <w:sz w:val="18"/>
        </w:rPr>
      </w:pPr>
      <w:r>
        <w:rPr>
          <w:color w:val="205E9E"/>
          <w:w w:val="115"/>
          <w:sz w:val="18"/>
          <w:u w:val="single" w:color="205E9E"/>
        </w:rPr>
        <w:t>.nlm.nih.gov/dailymed/drugInfo.cfm?setid=1bf8b35a</w:t>
      </w:r>
    </w:p>
    <w:p>
      <w:pPr>
        <w:spacing w:before="7"/>
        <w:ind w:left="500" w:right="0" w:firstLine="0"/>
        <w:jc w:val="left"/>
        <w:rPr>
          <w:sz w:val="18"/>
        </w:rPr>
      </w:pPr>
      <w:r>
        <w:rPr>
          <w:color w:val="205E9E"/>
          <w:w w:val="115"/>
          <w:sz w:val="18"/>
          <w:u w:val="single" w:color="205E9E"/>
        </w:rPr>
        <w:t>-b769-465c-a2f8-099868dfcd2f</w:t>
      </w:r>
    </w:p>
    <w:p>
      <w:pPr>
        <w:pStyle w:val="ListParagraph"/>
        <w:numPr>
          <w:ilvl w:val="0"/>
          <w:numId w:val="51"/>
        </w:numPr>
        <w:tabs>
          <w:tab w:pos="500" w:val="left" w:leader="none"/>
        </w:tabs>
        <w:spacing w:line="247" w:lineRule="auto" w:before="79" w:after="0"/>
        <w:ind w:left="500" w:right="312" w:hanging="360"/>
        <w:jc w:val="left"/>
        <w:rPr>
          <w:color w:val="4C4D4F"/>
          <w:sz w:val="18"/>
        </w:rPr>
      </w:pPr>
      <w:r>
        <w:rPr>
          <w:color w:val="4C4D4F"/>
          <w:spacing w:val="-3"/>
          <w:w w:val="110"/>
          <w:sz w:val="18"/>
        </w:rPr>
        <w:t>Nasser, </w:t>
      </w:r>
      <w:r>
        <w:rPr>
          <w:color w:val="4C4D4F"/>
          <w:w w:val="110"/>
          <w:sz w:val="18"/>
        </w:rPr>
        <w:t>A. </w:t>
      </w:r>
      <w:r>
        <w:rPr>
          <w:color w:val="4C4D4F"/>
          <w:spacing w:val="-10"/>
          <w:w w:val="110"/>
          <w:sz w:val="18"/>
        </w:rPr>
        <w:t>F., </w:t>
      </w:r>
      <w:r>
        <w:rPr>
          <w:color w:val="4C4D4F"/>
          <w:w w:val="110"/>
          <w:sz w:val="18"/>
        </w:rPr>
        <w:t>Heidbreder, C., Liu, </w:t>
      </w:r>
      <w:r>
        <w:rPr>
          <w:color w:val="4C4D4F"/>
          <w:spacing w:val="-9"/>
          <w:w w:val="110"/>
          <w:sz w:val="18"/>
        </w:rPr>
        <w:t>Y., </w:t>
      </w:r>
      <w:r>
        <w:rPr>
          <w:color w:val="4C4D4F"/>
          <w:w w:val="110"/>
          <w:sz w:val="18"/>
        </w:rPr>
        <w:t>&amp; Fudala, </w:t>
      </w:r>
      <w:r>
        <w:rPr>
          <w:color w:val="4C4D4F"/>
          <w:spacing w:val="-17"/>
          <w:w w:val="110"/>
          <w:sz w:val="18"/>
        </w:rPr>
        <w:t>P. </w:t>
      </w:r>
      <w:r>
        <w:rPr>
          <w:color w:val="4C4D4F"/>
          <w:w w:val="135"/>
          <w:sz w:val="18"/>
        </w:rPr>
        <w:t>J. </w:t>
      </w:r>
      <w:r>
        <w:rPr>
          <w:color w:val="4C4D4F"/>
          <w:w w:val="110"/>
          <w:sz w:val="18"/>
        </w:rPr>
        <w:t>(2015). Pharmacokinetics of sublingual </w:t>
      </w:r>
      <w:r>
        <w:rPr>
          <w:color w:val="4C4D4F"/>
          <w:spacing w:val="-3"/>
          <w:w w:val="110"/>
          <w:sz w:val="18"/>
        </w:rPr>
        <w:t>buprenorphine </w:t>
      </w:r>
      <w:r>
        <w:rPr>
          <w:color w:val="4C4D4F"/>
          <w:w w:val="110"/>
          <w:sz w:val="18"/>
        </w:rPr>
        <w:t>and naloxone in subjects with mild to severe hepatic impairment (Child-Pugh classes A, B, and C), in hepatitis C virus-seropositive subjects, and in healthy </w:t>
      </w:r>
      <w:r>
        <w:rPr>
          <w:color w:val="4C4D4F"/>
          <w:w w:val="105"/>
          <w:sz w:val="18"/>
        </w:rPr>
        <w:t>volunteers.</w:t>
      </w:r>
      <w:r>
        <w:rPr>
          <w:color w:val="4C4D4F"/>
          <w:spacing w:val="-15"/>
          <w:w w:val="105"/>
          <w:sz w:val="18"/>
        </w:rPr>
        <w:t> </w:t>
      </w:r>
      <w:r>
        <w:rPr>
          <w:rFonts w:ascii="Arial" w:hAnsi="Arial"/>
          <w:i/>
          <w:color w:val="4C4D4F"/>
          <w:w w:val="105"/>
          <w:sz w:val="18"/>
        </w:rPr>
        <w:t>Clinical</w:t>
      </w:r>
      <w:r>
        <w:rPr>
          <w:rFonts w:ascii="Arial" w:hAnsi="Arial"/>
          <w:i/>
          <w:color w:val="4C4D4F"/>
          <w:spacing w:val="-15"/>
          <w:w w:val="105"/>
          <w:sz w:val="18"/>
        </w:rPr>
        <w:t> </w:t>
      </w:r>
      <w:r>
        <w:rPr>
          <w:rFonts w:ascii="Arial" w:hAnsi="Arial"/>
          <w:i/>
          <w:color w:val="4C4D4F"/>
          <w:w w:val="105"/>
          <w:sz w:val="18"/>
        </w:rPr>
        <w:t>Pharmacokinetics,</w:t>
      </w:r>
      <w:r>
        <w:rPr>
          <w:rFonts w:ascii="Arial" w:hAnsi="Arial"/>
          <w:i/>
          <w:color w:val="4C4D4F"/>
          <w:spacing w:val="-15"/>
          <w:w w:val="105"/>
          <w:sz w:val="18"/>
        </w:rPr>
        <w:t> </w:t>
      </w:r>
      <w:r>
        <w:rPr>
          <w:rFonts w:ascii="Arial" w:hAnsi="Arial"/>
          <w:i/>
          <w:color w:val="4C4D4F"/>
          <w:w w:val="105"/>
          <w:sz w:val="18"/>
        </w:rPr>
        <w:t>54</w:t>
      </w:r>
      <w:r>
        <w:rPr>
          <w:color w:val="4C4D4F"/>
          <w:w w:val="105"/>
          <w:sz w:val="18"/>
        </w:rPr>
        <w:t>(8),</w:t>
      </w:r>
      <w:r>
        <w:rPr>
          <w:color w:val="4C4D4F"/>
          <w:spacing w:val="-15"/>
          <w:w w:val="105"/>
          <w:sz w:val="18"/>
        </w:rPr>
        <w:t> </w:t>
      </w:r>
      <w:r>
        <w:rPr>
          <w:color w:val="4C4D4F"/>
          <w:w w:val="105"/>
          <w:sz w:val="18"/>
        </w:rPr>
        <w:t>837–849.</w:t>
      </w:r>
    </w:p>
    <w:p>
      <w:pPr>
        <w:pStyle w:val="ListParagraph"/>
        <w:numPr>
          <w:ilvl w:val="0"/>
          <w:numId w:val="51"/>
        </w:numPr>
        <w:tabs>
          <w:tab w:pos="500" w:val="left" w:leader="none"/>
        </w:tabs>
        <w:spacing w:line="247" w:lineRule="auto" w:before="76" w:after="0"/>
        <w:ind w:left="500" w:right="243" w:hanging="360"/>
        <w:jc w:val="left"/>
        <w:rPr>
          <w:color w:val="4C4D4F"/>
          <w:sz w:val="18"/>
        </w:rPr>
      </w:pPr>
      <w:r>
        <w:rPr>
          <w:color w:val="4C4D4F"/>
          <w:w w:val="105"/>
          <w:sz w:val="18"/>
        </w:rPr>
        <w:t>Durand, </w:t>
      </w:r>
      <w:r>
        <w:rPr>
          <w:color w:val="4C4D4F"/>
          <w:spacing w:val="-10"/>
          <w:w w:val="105"/>
          <w:sz w:val="18"/>
        </w:rPr>
        <w:t>F., </w:t>
      </w:r>
      <w:r>
        <w:rPr>
          <w:color w:val="4C4D4F"/>
          <w:w w:val="105"/>
          <w:sz w:val="18"/>
        </w:rPr>
        <w:t>&amp; Valla, D. (2008). Assessment of </w:t>
      </w:r>
      <w:r>
        <w:rPr>
          <w:color w:val="4C4D4F"/>
          <w:spacing w:val="-3"/>
          <w:w w:val="105"/>
          <w:sz w:val="18"/>
        </w:rPr>
        <w:t>prognosis  </w:t>
      </w:r>
      <w:r>
        <w:rPr>
          <w:color w:val="4C4D4F"/>
          <w:w w:val="105"/>
          <w:sz w:val="18"/>
        </w:rPr>
        <w:t>of</w:t>
      </w:r>
      <w:r>
        <w:rPr>
          <w:color w:val="4C4D4F"/>
          <w:spacing w:val="-17"/>
          <w:w w:val="105"/>
          <w:sz w:val="18"/>
        </w:rPr>
        <w:t> </w:t>
      </w:r>
      <w:r>
        <w:rPr>
          <w:color w:val="4C4D4F"/>
          <w:w w:val="105"/>
          <w:sz w:val="18"/>
        </w:rPr>
        <w:t>cirrhosis.</w:t>
      </w:r>
      <w:r>
        <w:rPr>
          <w:color w:val="4C4D4F"/>
          <w:spacing w:val="-17"/>
          <w:w w:val="105"/>
          <w:sz w:val="18"/>
        </w:rPr>
        <w:t> </w:t>
      </w:r>
      <w:r>
        <w:rPr>
          <w:rFonts w:ascii="Arial" w:hAnsi="Arial"/>
          <w:i/>
          <w:color w:val="4C4D4F"/>
          <w:w w:val="105"/>
          <w:sz w:val="18"/>
        </w:rPr>
        <w:t>Seminars</w:t>
      </w:r>
      <w:r>
        <w:rPr>
          <w:rFonts w:ascii="Arial" w:hAnsi="Arial"/>
          <w:i/>
          <w:color w:val="4C4D4F"/>
          <w:spacing w:val="-16"/>
          <w:w w:val="105"/>
          <w:sz w:val="18"/>
        </w:rPr>
        <w:t> </w:t>
      </w:r>
      <w:r>
        <w:rPr>
          <w:rFonts w:ascii="Arial" w:hAnsi="Arial"/>
          <w:i/>
          <w:color w:val="4C4D4F"/>
          <w:w w:val="105"/>
          <w:sz w:val="18"/>
        </w:rPr>
        <w:t>in</w:t>
      </w:r>
      <w:r>
        <w:rPr>
          <w:rFonts w:ascii="Arial" w:hAnsi="Arial"/>
          <w:i/>
          <w:color w:val="4C4D4F"/>
          <w:spacing w:val="-17"/>
          <w:w w:val="105"/>
          <w:sz w:val="18"/>
        </w:rPr>
        <w:t> </w:t>
      </w:r>
      <w:r>
        <w:rPr>
          <w:rFonts w:ascii="Arial" w:hAnsi="Arial"/>
          <w:i/>
          <w:color w:val="4C4D4F"/>
          <w:w w:val="105"/>
          <w:sz w:val="18"/>
        </w:rPr>
        <w:t>Liver</w:t>
      </w:r>
      <w:r>
        <w:rPr>
          <w:rFonts w:ascii="Arial" w:hAnsi="Arial"/>
          <w:i/>
          <w:color w:val="4C4D4F"/>
          <w:spacing w:val="-16"/>
          <w:w w:val="105"/>
          <w:sz w:val="18"/>
        </w:rPr>
        <w:t> </w:t>
      </w:r>
      <w:r>
        <w:rPr>
          <w:rFonts w:ascii="Arial" w:hAnsi="Arial"/>
          <w:i/>
          <w:color w:val="4C4D4F"/>
          <w:w w:val="105"/>
          <w:sz w:val="18"/>
        </w:rPr>
        <w:t>Disease,</w:t>
      </w:r>
      <w:r>
        <w:rPr>
          <w:rFonts w:ascii="Arial" w:hAnsi="Arial"/>
          <w:i/>
          <w:color w:val="4C4D4F"/>
          <w:spacing w:val="-17"/>
          <w:w w:val="105"/>
          <w:sz w:val="18"/>
        </w:rPr>
        <w:t> </w:t>
      </w:r>
      <w:r>
        <w:rPr>
          <w:rFonts w:ascii="Arial" w:hAnsi="Arial"/>
          <w:i/>
          <w:color w:val="4C4D4F"/>
          <w:w w:val="105"/>
          <w:sz w:val="18"/>
        </w:rPr>
        <w:t>28</w:t>
      </w:r>
      <w:r>
        <w:rPr>
          <w:color w:val="4C4D4F"/>
          <w:w w:val="105"/>
          <w:sz w:val="18"/>
        </w:rPr>
        <w:t>(1),</w:t>
      </w:r>
      <w:r>
        <w:rPr>
          <w:color w:val="4C4D4F"/>
          <w:spacing w:val="-17"/>
          <w:w w:val="105"/>
          <w:sz w:val="18"/>
        </w:rPr>
        <w:t> </w:t>
      </w:r>
      <w:r>
        <w:rPr>
          <w:color w:val="4C4D4F"/>
          <w:w w:val="105"/>
          <w:sz w:val="18"/>
        </w:rPr>
        <w:t>110–122.</w:t>
      </w:r>
    </w:p>
    <w:p>
      <w:pPr>
        <w:pStyle w:val="ListParagraph"/>
        <w:numPr>
          <w:ilvl w:val="0"/>
          <w:numId w:val="51"/>
        </w:numPr>
        <w:tabs>
          <w:tab w:pos="500" w:val="left" w:leader="none"/>
        </w:tabs>
        <w:spacing w:line="247" w:lineRule="auto" w:before="73" w:after="0"/>
        <w:ind w:left="500" w:right="243" w:hanging="360"/>
        <w:jc w:val="left"/>
        <w:rPr>
          <w:color w:val="4C4D4F"/>
          <w:sz w:val="18"/>
        </w:rPr>
      </w:pPr>
      <w:r>
        <w:rPr>
          <w:color w:val="4C4D4F"/>
          <w:w w:val="105"/>
          <w:sz w:val="18"/>
        </w:rPr>
        <w:t>Durand, </w:t>
      </w:r>
      <w:r>
        <w:rPr>
          <w:color w:val="4C4D4F"/>
          <w:spacing w:val="-10"/>
          <w:w w:val="105"/>
          <w:sz w:val="18"/>
        </w:rPr>
        <w:t>F., </w:t>
      </w:r>
      <w:r>
        <w:rPr>
          <w:color w:val="4C4D4F"/>
          <w:w w:val="105"/>
          <w:sz w:val="18"/>
        </w:rPr>
        <w:t>&amp; Valla, D. (2008). Assessment of </w:t>
      </w:r>
      <w:r>
        <w:rPr>
          <w:color w:val="4C4D4F"/>
          <w:spacing w:val="-3"/>
          <w:w w:val="105"/>
          <w:sz w:val="18"/>
        </w:rPr>
        <w:t>prognosis  </w:t>
      </w:r>
      <w:r>
        <w:rPr>
          <w:color w:val="4C4D4F"/>
          <w:w w:val="105"/>
          <w:sz w:val="18"/>
        </w:rPr>
        <w:t>of</w:t>
      </w:r>
      <w:r>
        <w:rPr>
          <w:color w:val="4C4D4F"/>
          <w:spacing w:val="-17"/>
          <w:w w:val="105"/>
          <w:sz w:val="18"/>
        </w:rPr>
        <w:t> </w:t>
      </w:r>
      <w:r>
        <w:rPr>
          <w:color w:val="4C4D4F"/>
          <w:w w:val="105"/>
          <w:sz w:val="18"/>
        </w:rPr>
        <w:t>cirrhosis.</w:t>
      </w:r>
      <w:r>
        <w:rPr>
          <w:color w:val="4C4D4F"/>
          <w:spacing w:val="-17"/>
          <w:w w:val="105"/>
          <w:sz w:val="18"/>
        </w:rPr>
        <w:t> </w:t>
      </w:r>
      <w:r>
        <w:rPr>
          <w:rFonts w:ascii="Arial" w:hAnsi="Arial"/>
          <w:i/>
          <w:color w:val="4C4D4F"/>
          <w:w w:val="105"/>
          <w:sz w:val="18"/>
        </w:rPr>
        <w:t>Seminars</w:t>
      </w:r>
      <w:r>
        <w:rPr>
          <w:rFonts w:ascii="Arial" w:hAnsi="Arial"/>
          <w:i/>
          <w:color w:val="4C4D4F"/>
          <w:spacing w:val="-16"/>
          <w:w w:val="105"/>
          <w:sz w:val="18"/>
        </w:rPr>
        <w:t> </w:t>
      </w:r>
      <w:r>
        <w:rPr>
          <w:rFonts w:ascii="Arial" w:hAnsi="Arial"/>
          <w:i/>
          <w:color w:val="4C4D4F"/>
          <w:w w:val="105"/>
          <w:sz w:val="18"/>
        </w:rPr>
        <w:t>in</w:t>
      </w:r>
      <w:r>
        <w:rPr>
          <w:rFonts w:ascii="Arial" w:hAnsi="Arial"/>
          <w:i/>
          <w:color w:val="4C4D4F"/>
          <w:spacing w:val="-17"/>
          <w:w w:val="105"/>
          <w:sz w:val="18"/>
        </w:rPr>
        <w:t> </w:t>
      </w:r>
      <w:r>
        <w:rPr>
          <w:rFonts w:ascii="Arial" w:hAnsi="Arial"/>
          <w:i/>
          <w:color w:val="4C4D4F"/>
          <w:w w:val="105"/>
          <w:sz w:val="18"/>
        </w:rPr>
        <w:t>Liver</w:t>
      </w:r>
      <w:r>
        <w:rPr>
          <w:rFonts w:ascii="Arial" w:hAnsi="Arial"/>
          <w:i/>
          <w:color w:val="4C4D4F"/>
          <w:spacing w:val="-16"/>
          <w:w w:val="105"/>
          <w:sz w:val="18"/>
        </w:rPr>
        <w:t> </w:t>
      </w:r>
      <w:r>
        <w:rPr>
          <w:rFonts w:ascii="Arial" w:hAnsi="Arial"/>
          <w:i/>
          <w:color w:val="4C4D4F"/>
          <w:w w:val="105"/>
          <w:sz w:val="18"/>
        </w:rPr>
        <w:t>Disease,</w:t>
      </w:r>
      <w:r>
        <w:rPr>
          <w:rFonts w:ascii="Arial" w:hAnsi="Arial"/>
          <w:i/>
          <w:color w:val="4C4D4F"/>
          <w:spacing w:val="-17"/>
          <w:w w:val="105"/>
          <w:sz w:val="18"/>
        </w:rPr>
        <w:t> </w:t>
      </w:r>
      <w:r>
        <w:rPr>
          <w:rFonts w:ascii="Arial" w:hAnsi="Arial"/>
          <w:i/>
          <w:color w:val="4C4D4F"/>
          <w:w w:val="105"/>
          <w:sz w:val="18"/>
        </w:rPr>
        <w:t>28</w:t>
      </w:r>
      <w:r>
        <w:rPr>
          <w:color w:val="4C4D4F"/>
          <w:w w:val="105"/>
          <w:sz w:val="18"/>
        </w:rPr>
        <w:t>(1),</w:t>
      </w:r>
      <w:r>
        <w:rPr>
          <w:color w:val="4C4D4F"/>
          <w:spacing w:val="-17"/>
          <w:w w:val="105"/>
          <w:sz w:val="18"/>
        </w:rPr>
        <w:t> </w:t>
      </w:r>
      <w:r>
        <w:rPr>
          <w:color w:val="4C4D4F"/>
          <w:w w:val="105"/>
          <w:sz w:val="18"/>
        </w:rPr>
        <w:t>110–122.</w:t>
      </w:r>
    </w:p>
    <w:p>
      <w:pPr>
        <w:pStyle w:val="ListParagraph"/>
        <w:numPr>
          <w:ilvl w:val="0"/>
          <w:numId w:val="51"/>
        </w:numPr>
        <w:tabs>
          <w:tab w:pos="500" w:val="left" w:leader="none"/>
        </w:tabs>
        <w:spacing w:line="247" w:lineRule="auto" w:before="72" w:after="0"/>
        <w:ind w:left="500" w:right="283" w:hanging="360"/>
        <w:jc w:val="left"/>
        <w:rPr>
          <w:color w:val="4C4D4F"/>
          <w:sz w:val="18"/>
        </w:rPr>
      </w:pPr>
      <w:r>
        <w:rPr>
          <w:color w:val="4C4D4F"/>
          <w:w w:val="110"/>
          <w:sz w:val="18"/>
        </w:rPr>
        <w:t>Indivior. (2015).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7" w:lineRule="auto" w:before="76" w:after="0"/>
        <w:ind w:left="500" w:right="312" w:hanging="360"/>
        <w:jc w:val="left"/>
        <w:rPr>
          <w:color w:val="4C4D4F"/>
          <w:sz w:val="18"/>
        </w:rPr>
      </w:pPr>
      <w:r>
        <w:rPr>
          <w:color w:val="4C4D4F"/>
          <w:spacing w:val="-3"/>
          <w:w w:val="110"/>
          <w:sz w:val="18"/>
        </w:rPr>
        <w:t>Nasser, </w:t>
      </w:r>
      <w:r>
        <w:rPr>
          <w:color w:val="4C4D4F"/>
          <w:w w:val="110"/>
          <w:sz w:val="18"/>
        </w:rPr>
        <w:t>A. </w:t>
      </w:r>
      <w:r>
        <w:rPr>
          <w:color w:val="4C4D4F"/>
          <w:spacing w:val="-10"/>
          <w:w w:val="110"/>
          <w:sz w:val="18"/>
        </w:rPr>
        <w:t>F., </w:t>
      </w:r>
      <w:r>
        <w:rPr>
          <w:color w:val="4C4D4F"/>
          <w:w w:val="110"/>
          <w:sz w:val="18"/>
        </w:rPr>
        <w:t>Heidbreder, C., Liu, </w:t>
      </w:r>
      <w:r>
        <w:rPr>
          <w:color w:val="4C4D4F"/>
          <w:spacing w:val="-9"/>
          <w:w w:val="110"/>
          <w:sz w:val="18"/>
        </w:rPr>
        <w:t>Y., </w:t>
      </w:r>
      <w:r>
        <w:rPr>
          <w:color w:val="4C4D4F"/>
          <w:w w:val="110"/>
          <w:sz w:val="18"/>
        </w:rPr>
        <w:t>&amp; Fudala, </w:t>
      </w:r>
      <w:r>
        <w:rPr>
          <w:color w:val="4C4D4F"/>
          <w:spacing w:val="-17"/>
          <w:w w:val="110"/>
          <w:sz w:val="18"/>
        </w:rPr>
        <w:t>P. </w:t>
      </w:r>
      <w:r>
        <w:rPr>
          <w:color w:val="4C4D4F"/>
          <w:w w:val="135"/>
          <w:sz w:val="18"/>
        </w:rPr>
        <w:t>J. </w:t>
      </w:r>
      <w:r>
        <w:rPr>
          <w:color w:val="4C4D4F"/>
          <w:w w:val="110"/>
          <w:sz w:val="18"/>
        </w:rPr>
        <w:t>(2015). Pharmacokinetics of sublingual </w:t>
      </w:r>
      <w:r>
        <w:rPr>
          <w:color w:val="4C4D4F"/>
          <w:spacing w:val="-3"/>
          <w:w w:val="110"/>
          <w:sz w:val="18"/>
        </w:rPr>
        <w:t>buprenorphine </w:t>
      </w:r>
      <w:r>
        <w:rPr>
          <w:color w:val="4C4D4F"/>
          <w:w w:val="110"/>
          <w:sz w:val="18"/>
        </w:rPr>
        <w:t>and naloxone in subjects with mild to severe hepatic impairment (Child-Pugh classes A, B, and C), in hepatitis C virus-seropositive subjects, and in healthy </w:t>
      </w:r>
      <w:r>
        <w:rPr>
          <w:color w:val="4C4D4F"/>
          <w:w w:val="105"/>
          <w:sz w:val="18"/>
        </w:rPr>
        <w:t>volunteers.</w:t>
      </w:r>
      <w:r>
        <w:rPr>
          <w:color w:val="4C4D4F"/>
          <w:spacing w:val="-15"/>
          <w:w w:val="105"/>
          <w:sz w:val="18"/>
        </w:rPr>
        <w:t> </w:t>
      </w:r>
      <w:r>
        <w:rPr>
          <w:rFonts w:ascii="Arial" w:hAnsi="Arial"/>
          <w:i/>
          <w:color w:val="4C4D4F"/>
          <w:w w:val="105"/>
          <w:sz w:val="18"/>
        </w:rPr>
        <w:t>Clinical</w:t>
      </w:r>
      <w:r>
        <w:rPr>
          <w:rFonts w:ascii="Arial" w:hAnsi="Arial"/>
          <w:i/>
          <w:color w:val="4C4D4F"/>
          <w:spacing w:val="-15"/>
          <w:w w:val="105"/>
          <w:sz w:val="18"/>
        </w:rPr>
        <w:t> </w:t>
      </w:r>
      <w:r>
        <w:rPr>
          <w:rFonts w:ascii="Arial" w:hAnsi="Arial"/>
          <w:i/>
          <w:color w:val="4C4D4F"/>
          <w:w w:val="105"/>
          <w:sz w:val="18"/>
        </w:rPr>
        <w:t>Pharmacokinetics,</w:t>
      </w:r>
      <w:r>
        <w:rPr>
          <w:rFonts w:ascii="Arial" w:hAnsi="Arial"/>
          <w:i/>
          <w:color w:val="4C4D4F"/>
          <w:spacing w:val="-15"/>
          <w:w w:val="105"/>
          <w:sz w:val="18"/>
        </w:rPr>
        <w:t> </w:t>
      </w:r>
      <w:r>
        <w:rPr>
          <w:rFonts w:ascii="Arial" w:hAnsi="Arial"/>
          <w:i/>
          <w:color w:val="4C4D4F"/>
          <w:w w:val="105"/>
          <w:sz w:val="18"/>
        </w:rPr>
        <w:t>54</w:t>
      </w:r>
      <w:r>
        <w:rPr>
          <w:color w:val="4C4D4F"/>
          <w:w w:val="105"/>
          <w:sz w:val="18"/>
        </w:rPr>
        <w:t>(8),</w:t>
      </w:r>
      <w:r>
        <w:rPr>
          <w:color w:val="4C4D4F"/>
          <w:spacing w:val="-15"/>
          <w:w w:val="105"/>
          <w:sz w:val="18"/>
        </w:rPr>
        <w:t> </w:t>
      </w:r>
      <w:r>
        <w:rPr>
          <w:color w:val="4C4D4F"/>
          <w:w w:val="105"/>
          <w:sz w:val="18"/>
        </w:rPr>
        <w:t>837–849.</w:t>
      </w:r>
    </w:p>
    <w:p>
      <w:pPr>
        <w:pStyle w:val="ListParagraph"/>
        <w:numPr>
          <w:ilvl w:val="0"/>
          <w:numId w:val="51"/>
        </w:numPr>
        <w:tabs>
          <w:tab w:pos="500" w:val="left" w:leader="none"/>
        </w:tabs>
        <w:spacing w:line="247" w:lineRule="auto" w:before="77" w:after="0"/>
        <w:ind w:left="500" w:right="612" w:hanging="360"/>
        <w:jc w:val="left"/>
        <w:rPr>
          <w:color w:val="4C4D4F"/>
          <w:sz w:val="18"/>
        </w:rPr>
      </w:pPr>
      <w:r>
        <w:rPr>
          <w:color w:val="4C4D4F"/>
          <w:w w:val="110"/>
          <w:sz w:val="18"/>
        </w:rPr>
        <w:t>Roxane Laboratories. (2015). Buprenorphine HCl sublingual tablets: Full prescribing information. Retrieved October 16, 2017, from</w:t>
      </w:r>
      <w:r>
        <w:rPr>
          <w:color w:val="205E9E"/>
          <w:spacing w:val="38"/>
          <w:w w:val="110"/>
          <w:sz w:val="18"/>
        </w:rPr>
        <w:t> </w:t>
      </w:r>
      <w:hyperlink r:id="rId108">
        <w:r>
          <w:rPr>
            <w:color w:val="205E9E"/>
            <w:spacing w:val="-2"/>
            <w:w w:val="110"/>
            <w:sz w:val="18"/>
            <w:u w:val="single" w:color="205E9E"/>
          </w:rPr>
          <w:t>http://dailymed</w:t>
        </w:r>
      </w:hyperlink>
    </w:p>
    <w:p>
      <w:pPr>
        <w:spacing w:before="3"/>
        <w:ind w:left="500" w:right="0" w:firstLine="0"/>
        <w:jc w:val="left"/>
        <w:rPr>
          <w:sz w:val="18"/>
        </w:rPr>
      </w:pPr>
      <w:r>
        <w:rPr>
          <w:color w:val="205E9E"/>
          <w:w w:val="115"/>
          <w:sz w:val="18"/>
          <w:u w:val="single" w:color="205E9E"/>
        </w:rPr>
        <w:t>.nlm.nih.gov/dailymed/drugInfo.cfm?setid=1bf8b35a</w:t>
      </w:r>
    </w:p>
    <w:p>
      <w:pPr>
        <w:spacing w:before="7"/>
        <w:ind w:left="500" w:right="0" w:firstLine="0"/>
        <w:jc w:val="left"/>
        <w:rPr>
          <w:sz w:val="18"/>
        </w:rPr>
      </w:pPr>
      <w:r>
        <w:rPr>
          <w:color w:val="205E9E"/>
          <w:w w:val="115"/>
          <w:sz w:val="18"/>
          <w:u w:val="single" w:color="205E9E"/>
        </w:rPr>
        <w:t>-b769-465c-a2f8-099868dfcd2f</w:t>
      </w:r>
    </w:p>
    <w:p>
      <w:pPr>
        <w:pStyle w:val="ListParagraph"/>
        <w:numPr>
          <w:ilvl w:val="0"/>
          <w:numId w:val="51"/>
        </w:numPr>
        <w:tabs>
          <w:tab w:pos="500" w:val="left" w:leader="none"/>
        </w:tabs>
        <w:spacing w:line="247" w:lineRule="auto" w:before="79" w:after="0"/>
        <w:ind w:left="500" w:right="283" w:hanging="360"/>
        <w:jc w:val="left"/>
        <w:rPr>
          <w:color w:val="4C4D4F"/>
          <w:sz w:val="18"/>
        </w:rPr>
      </w:pPr>
      <w:r>
        <w:rPr>
          <w:color w:val="4C4D4F"/>
          <w:w w:val="110"/>
          <w:sz w:val="18"/>
        </w:rPr>
        <w:t>Indivior. (2015).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spacing w:after="0" w:line="247" w:lineRule="auto"/>
        <w:jc w:val="left"/>
        <w:rPr>
          <w:sz w:val="18"/>
        </w:rPr>
        <w:sectPr>
          <w:type w:val="continuous"/>
          <w:pgSz w:w="12240" w:h="15840"/>
          <w:pgMar w:top="540" w:bottom="280" w:left="940" w:right="920"/>
          <w:cols w:num="2" w:equalWidth="0">
            <w:col w:w="5040" w:space="180"/>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141" w:hanging="360"/>
        <w:jc w:val="left"/>
        <w:rPr>
          <w:color w:val="4C4D4F"/>
          <w:sz w:val="18"/>
        </w:rPr>
      </w:pPr>
      <w:r>
        <w:rPr>
          <w:color w:val="4C4D4F"/>
          <w:spacing w:val="-3"/>
          <w:w w:val="110"/>
          <w:sz w:val="18"/>
        </w:rPr>
        <w:t>Nasser, </w:t>
      </w:r>
      <w:r>
        <w:rPr>
          <w:color w:val="4C4D4F"/>
          <w:w w:val="110"/>
          <w:sz w:val="18"/>
        </w:rPr>
        <w:t>A. </w:t>
      </w:r>
      <w:r>
        <w:rPr>
          <w:color w:val="4C4D4F"/>
          <w:spacing w:val="-10"/>
          <w:w w:val="110"/>
          <w:sz w:val="18"/>
        </w:rPr>
        <w:t>F., </w:t>
      </w:r>
      <w:r>
        <w:rPr>
          <w:color w:val="4C4D4F"/>
          <w:w w:val="110"/>
          <w:sz w:val="18"/>
        </w:rPr>
        <w:t>Heidbreder, C., Liu, </w:t>
      </w:r>
      <w:r>
        <w:rPr>
          <w:color w:val="4C4D4F"/>
          <w:spacing w:val="-9"/>
          <w:w w:val="110"/>
          <w:sz w:val="18"/>
        </w:rPr>
        <w:t>Y., </w:t>
      </w:r>
      <w:r>
        <w:rPr>
          <w:color w:val="4C4D4F"/>
          <w:w w:val="110"/>
          <w:sz w:val="18"/>
        </w:rPr>
        <w:t>&amp; Fudala, </w:t>
      </w:r>
      <w:r>
        <w:rPr>
          <w:color w:val="4C4D4F"/>
          <w:spacing w:val="-17"/>
          <w:w w:val="110"/>
          <w:sz w:val="18"/>
        </w:rPr>
        <w:t>P. </w:t>
      </w:r>
      <w:r>
        <w:rPr>
          <w:color w:val="4C4D4F"/>
          <w:w w:val="135"/>
          <w:sz w:val="18"/>
        </w:rPr>
        <w:t>J. </w:t>
      </w:r>
      <w:r>
        <w:rPr>
          <w:color w:val="4C4D4F"/>
          <w:w w:val="110"/>
          <w:sz w:val="18"/>
        </w:rPr>
        <w:t>(2015). Pharmacokinetics of sublingual </w:t>
      </w:r>
      <w:r>
        <w:rPr>
          <w:color w:val="4C4D4F"/>
          <w:spacing w:val="-3"/>
          <w:w w:val="110"/>
          <w:sz w:val="18"/>
        </w:rPr>
        <w:t>buprenorphine </w:t>
      </w:r>
      <w:r>
        <w:rPr>
          <w:color w:val="4C4D4F"/>
          <w:w w:val="110"/>
          <w:sz w:val="18"/>
        </w:rPr>
        <w:t>and naloxone in subjects with mild to severe hepatic impairment (Child-Pugh classes A, B, and C), in hepatitis C virus-seropositive subjects, and in healthy </w:t>
      </w:r>
      <w:r>
        <w:rPr>
          <w:color w:val="4C4D4F"/>
          <w:w w:val="105"/>
          <w:sz w:val="18"/>
        </w:rPr>
        <w:t>volunteers.</w:t>
      </w:r>
      <w:r>
        <w:rPr>
          <w:color w:val="4C4D4F"/>
          <w:spacing w:val="-15"/>
          <w:w w:val="105"/>
          <w:sz w:val="18"/>
        </w:rPr>
        <w:t> </w:t>
      </w:r>
      <w:r>
        <w:rPr>
          <w:rFonts w:ascii="Arial" w:hAnsi="Arial"/>
          <w:i/>
          <w:color w:val="4C4D4F"/>
          <w:w w:val="105"/>
          <w:sz w:val="18"/>
        </w:rPr>
        <w:t>Clinical</w:t>
      </w:r>
      <w:r>
        <w:rPr>
          <w:rFonts w:ascii="Arial" w:hAnsi="Arial"/>
          <w:i/>
          <w:color w:val="4C4D4F"/>
          <w:spacing w:val="-15"/>
          <w:w w:val="105"/>
          <w:sz w:val="18"/>
        </w:rPr>
        <w:t> </w:t>
      </w:r>
      <w:r>
        <w:rPr>
          <w:rFonts w:ascii="Arial" w:hAnsi="Arial"/>
          <w:i/>
          <w:color w:val="4C4D4F"/>
          <w:w w:val="105"/>
          <w:sz w:val="18"/>
        </w:rPr>
        <w:t>Pharmacokinetics,</w:t>
      </w:r>
      <w:r>
        <w:rPr>
          <w:rFonts w:ascii="Arial" w:hAnsi="Arial"/>
          <w:i/>
          <w:color w:val="4C4D4F"/>
          <w:spacing w:val="-15"/>
          <w:w w:val="105"/>
          <w:sz w:val="18"/>
        </w:rPr>
        <w:t> </w:t>
      </w:r>
      <w:r>
        <w:rPr>
          <w:rFonts w:ascii="Arial" w:hAnsi="Arial"/>
          <w:i/>
          <w:color w:val="4C4D4F"/>
          <w:w w:val="105"/>
          <w:sz w:val="18"/>
        </w:rPr>
        <w:t>54</w:t>
      </w:r>
      <w:r>
        <w:rPr>
          <w:color w:val="4C4D4F"/>
          <w:w w:val="105"/>
          <w:sz w:val="18"/>
        </w:rPr>
        <w:t>(8),</w:t>
      </w:r>
      <w:r>
        <w:rPr>
          <w:color w:val="4C4D4F"/>
          <w:spacing w:val="-14"/>
          <w:w w:val="105"/>
          <w:sz w:val="18"/>
        </w:rPr>
        <w:t> </w:t>
      </w:r>
      <w:r>
        <w:rPr>
          <w:color w:val="4C4D4F"/>
          <w:w w:val="105"/>
          <w:sz w:val="18"/>
        </w:rPr>
        <w:t>837–849.</w:t>
      </w:r>
    </w:p>
    <w:p>
      <w:pPr>
        <w:pStyle w:val="ListParagraph"/>
        <w:numPr>
          <w:ilvl w:val="0"/>
          <w:numId w:val="51"/>
        </w:numPr>
        <w:tabs>
          <w:tab w:pos="500" w:val="left" w:leader="none"/>
        </w:tabs>
        <w:spacing w:line="247" w:lineRule="auto" w:before="76" w:after="0"/>
        <w:ind w:left="500" w:right="73" w:hanging="360"/>
        <w:jc w:val="left"/>
        <w:rPr>
          <w:color w:val="4C4D4F"/>
          <w:sz w:val="18"/>
        </w:rPr>
      </w:pPr>
      <w:r>
        <w:rPr>
          <w:color w:val="4C4D4F"/>
          <w:w w:val="105"/>
          <w:sz w:val="18"/>
        </w:rPr>
        <w:t>Durand, </w:t>
      </w:r>
      <w:r>
        <w:rPr>
          <w:color w:val="4C4D4F"/>
          <w:spacing w:val="-10"/>
          <w:w w:val="105"/>
          <w:sz w:val="18"/>
        </w:rPr>
        <w:t>F., </w:t>
      </w:r>
      <w:r>
        <w:rPr>
          <w:color w:val="4C4D4F"/>
          <w:w w:val="105"/>
          <w:sz w:val="18"/>
        </w:rPr>
        <w:t>&amp; Valla, D. (2008). Assessment of </w:t>
      </w:r>
      <w:r>
        <w:rPr>
          <w:color w:val="4C4D4F"/>
          <w:spacing w:val="-3"/>
          <w:w w:val="105"/>
          <w:sz w:val="18"/>
        </w:rPr>
        <w:t>prognosis  </w:t>
      </w:r>
      <w:r>
        <w:rPr>
          <w:color w:val="4C4D4F"/>
          <w:w w:val="105"/>
          <w:sz w:val="18"/>
        </w:rPr>
        <w:t>of</w:t>
      </w:r>
      <w:r>
        <w:rPr>
          <w:color w:val="4C4D4F"/>
          <w:spacing w:val="-17"/>
          <w:w w:val="105"/>
          <w:sz w:val="18"/>
        </w:rPr>
        <w:t> </w:t>
      </w:r>
      <w:r>
        <w:rPr>
          <w:color w:val="4C4D4F"/>
          <w:w w:val="105"/>
          <w:sz w:val="18"/>
        </w:rPr>
        <w:t>cirrhosis.</w:t>
      </w:r>
      <w:r>
        <w:rPr>
          <w:color w:val="4C4D4F"/>
          <w:spacing w:val="-17"/>
          <w:w w:val="105"/>
          <w:sz w:val="18"/>
        </w:rPr>
        <w:t> </w:t>
      </w:r>
      <w:r>
        <w:rPr>
          <w:rFonts w:ascii="Arial" w:hAnsi="Arial"/>
          <w:i/>
          <w:color w:val="4C4D4F"/>
          <w:w w:val="105"/>
          <w:sz w:val="18"/>
        </w:rPr>
        <w:t>Seminars</w:t>
      </w:r>
      <w:r>
        <w:rPr>
          <w:rFonts w:ascii="Arial" w:hAnsi="Arial"/>
          <w:i/>
          <w:color w:val="4C4D4F"/>
          <w:spacing w:val="-16"/>
          <w:w w:val="105"/>
          <w:sz w:val="18"/>
        </w:rPr>
        <w:t> </w:t>
      </w:r>
      <w:r>
        <w:rPr>
          <w:rFonts w:ascii="Arial" w:hAnsi="Arial"/>
          <w:i/>
          <w:color w:val="4C4D4F"/>
          <w:w w:val="105"/>
          <w:sz w:val="18"/>
        </w:rPr>
        <w:t>in</w:t>
      </w:r>
      <w:r>
        <w:rPr>
          <w:rFonts w:ascii="Arial" w:hAnsi="Arial"/>
          <w:i/>
          <w:color w:val="4C4D4F"/>
          <w:spacing w:val="-17"/>
          <w:w w:val="105"/>
          <w:sz w:val="18"/>
        </w:rPr>
        <w:t> </w:t>
      </w:r>
      <w:r>
        <w:rPr>
          <w:rFonts w:ascii="Arial" w:hAnsi="Arial"/>
          <w:i/>
          <w:color w:val="4C4D4F"/>
          <w:w w:val="105"/>
          <w:sz w:val="18"/>
        </w:rPr>
        <w:t>Liver</w:t>
      </w:r>
      <w:r>
        <w:rPr>
          <w:rFonts w:ascii="Arial" w:hAnsi="Arial"/>
          <w:i/>
          <w:color w:val="4C4D4F"/>
          <w:spacing w:val="-16"/>
          <w:w w:val="105"/>
          <w:sz w:val="18"/>
        </w:rPr>
        <w:t> </w:t>
      </w:r>
      <w:r>
        <w:rPr>
          <w:rFonts w:ascii="Arial" w:hAnsi="Arial"/>
          <w:i/>
          <w:color w:val="4C4D4F"/>
          <w:w w:val="105"/>
          <w:sz w:val="18"/>
        </w:rPr>
        <w:t>Disease,</w:t>
      </w:r>
      <w:r>
        <w:rPr>
          <w:rFonts w:ascii="Arial" w:hAnsi="Arial"/>
          <w:i/>
          <w:color w:val="4C4D4F"/>
          <w:spacing w:val="-17"/>
          <w:w w:val="105"/>
          <w:sz w:val="18"/>
        </w:rPr>
        <w:t> </w:t>
      </w:r>
      <w:r>
        <w:rPr>
          <w:rFonts w:ascii="Arial" w:hAnsi="Arial"/>
          <w:i/>
          <w:color w:val="4C4D4F"/>
          <w:w w:val="105"/>
          <w:sz w:val="18"/>
        </w:rPr>
        <w:t>28</w:t>
      </w:r>
      <w:r>
        <w:rPr>
          <w:color w:val="4C4D4F"/>
          <w:w w:val="105"/>
          <w:sz w:val="18"/>
        </w:rPr>
        <w:t>(1),</w:t>
      </w:r>
      <w:r>
        <w:rPr>
          <w:color w:val="4C4D4F"/>
          <w:spacing w:val="-17"/>
          <w:w w:val="105"/>
          <w:sz w:val="18"/>
        </w:rPr>
        <w:t> </w:t>
      </w:r>
      <w:r>
        <w:rPr>
          <w:color w:val="4C4D4F"/>
          <w:w w:val="105"/>
          <w:sz w:val="18"/>
        </w:rPr>
        <w:t>110–122.</w:t>
      </w:r>
    </w:p>
    <w:p>
      <w:pPr>
        <w:pStyle w:val="ListParagraph"/>
        <w:numPr>
          <w:ilvl w:val="0"/>
          <w:numId w:val="51"/>
        </w:numPr>
        <w:tabs>
          <w:tab w:pos="500" w:val="left" w:leader="none"/>
        </w:tabs>
        <w:spacing w:line="247" w:lineRule="auto" w:before="73" w:after="0"/>
        <w:ind w:left="500" w:right="141" w:hanging="360"/>
        <w:jc w:val="left"/>
        <w:rPr>
          <w:color w:val="4C4D4F"/>
          <w:sz w:val="18"/>
        </w:rPr>
      </w:pPr>
      <w:r>
        <w:rPr>
          <w:color w:val="4C4D4F"/>
          <w:spacing w:val="-3"/>
          <w:w w:val="110"/>
          <w:sz w:val="18"/>
        </w:rPr>
        <w:t>Nasser, </w:t>
      </w:r>
      <w:r>
        <w:rPr>
          <w:color w:val="4C4D4F"/>
          <w:w w:val="110"/>
          <w:sz w:val="18"/>
        </w:rPr>
        <w:t>A. </w:t>
      </w:r>
      <w:r>
        <w:rPr>
          <w:color w:val="4C4D4F"/>
          <w:spacing w:val="-10"/>
          <w:w w:val="110"/>
          <w:sz w:val="18"/>
        </w:rPr>
        <w:t>F., </w:t>
      </w:r>
      <w:r>
        <w:rPr>
          <w:color w:val="4C4D4F"/>
          <w:w w:val="110"/>
          <w:sz w:val="18"/>
        </w:rPr>
        <w:t>Heidbreder, C., Liu, </w:t>
      </w:r>
      <w:r>
        <w:rPr>
          <w:color w:val="4C4D4F"/>
          <w:spacing w:val="-9"/>
          <w:w w:val="110"/>
          <w:sz w:val="18"/>
        </w:rPr>
        <w:t>Y., </w:t>
      </w:r>
      <w:r>
        <w:rPr>
          <w:color w:val="4C4D4F"/>
          <w:w w:val="110"/>
          <w:sz w:val="18"/>
        </w:rPr>
        <w:t>&amp; Fudala, </w:t>
      </w:r>
      <w:r>
        <w:rPr>
          <w:color w:val="4C4D4F"/>
          <w:spacing w:val="-17"/>
          <w:w w:val="110"/>
          <w:sz w:val="18"/>
        </w:rPr>
        <w:t>P. </w:t>
      </w:r>
      <w:r>
        <w:rPr>
          <w:color w:val="4C4D4F"/>
          <w:w w:val="135"/>
          <w:sz w:val="18"/>
        </w:rPr>
        <w:t>J. </w:t>
      </w:r>
      <w:r>
        <w:rPr>
          <w:color w:val="4C4D4F"/>
          <w:w w:val="110"/>
          <w:sz w:val="18"/>
        </w:rPr>
        <w:t>(2015). Pharmacokinetics of sublingual </w:t>
      </w:r>
      <w:r>
        <w:rPr>
          <w:color w:val="4C4D4F"/>
          <w:spacing w:val="-3"/>
          <w:w w:val="110"/>
          <w:sz w:val="18"/>
        </w:rPr>
        <w:t>buprenorphine </w:t>
      </w:r>
      <w:r>
        <w:rPr>
          <w:color w:val="4C4D4F"/>
          <w:w w:val="110"/>
          <w:sz w:val="18"/>
        </w:rPr>
        <w:t>and naloxone in subjects with mild to severe hepatic impairment (Child-Pugh classes A, B, and C), in hepatitis C virus-seropositive subjects, and in healthy </w:t>
      </w:r>
      <w:r>
        <w:rPr>
          <w:color w:val="4C4D4F"/>
          <w:w w:val="105"/>
          <w:sz w:val="18"/>
        </w:rPr>
        <w:t>volunteers.</w:t>
      </w:r>
      <w:r>
        <w:rPr>
          <w:color w:val="4C4D4F"/>
          <w:spacing w:val="-15"/>
          <w:w w:val="105"/>
          <w:sz w:val="18"/>
        </w:rPr>
        <w:t> </w:t>
      </w:r>
      <w:r>
        <w:rPr>
          <w:rFonts w:ascii="Arial" w:hAnsi="Arial"/>
          <w:i/>
          <w:color w:val="4C4D4F"/>
          <w:w w:val="105"/>
          <w:sz w:val="18"/>
        </w:rPr>
        <w:t>Clinical</w:t>
      </w:r>
      <w:r>
        <w:rPr>
          <w:rFonts w:ascii="Arial" w:hAnsi="Arial"/>
          <w:i/>
          <w:color w:val="4C4D4F"/>
          <w:spacing w:val="-15"/>
          <w:w w:val="105"/>
          <w:sz w:val="18"/>
        </w:rPr>
        <w:t> </w:t>
      </w:r>
      <w:r>
        <w:rPr>
          <w:rFonts w:ascii="Arial" w:hAnsi="Arial"/>
          <w:i/>
          <w:color w:val="4C4D4F"/>
          <w:w w:val="105"/>
          <w:sz w:val="18"/>
        </w:rPr>
        <w:t>Pharmacokinetics,</w:t>
      </w:r>
      <w:r>
        <w:rPr>
          <w:rFonts w:ascii="Arial" w:hAnsi="Arial"/>
          <w:i/>
          <w:color w:val="4C4D4F"/>
          <w:spacing w:val="-15"/>
          <w:w w:val="105"/>
          <w:sz w:val="18"/>
        </w:rPr>
        <w:t> </w:t>
      </w:r>
      <w:r>
        <w:rPr>
          <w:rFonts w:ascii="Arial" w:hAnsi="Arial"/>
          <w:i/>
          <w:color w:val="4C4D4F"/>
          <w:w w:val="105"/>
          <w:sz w:val="18"/>
        </w:rPr>
        <w:t>54</w:t>
      </w:r>
      <w:r>
        <w:rPr>
          <w:color w:val="4C4D4F"/>
          <w:w w:val="105"/>
          <w:sz w:val="18"/>
        </w:rPr>
        <w:t>(8),</w:t>
      </w:r>
      <w:r>
        <w:rPr>
          <w:color w:val="4C4D4F"/>
          <w:spacing w:val="-14"/>
          <w:w w:val="105"/>
          <w:sz w:val="18"/>
        </w:rPr>
        <w:t> </w:t>
      </w:r>
      <w:r>
        <w:rPr>
          <w:color w:val="4C4D4F"/>
          <w:w w:val="105"/>
          <w:sz w:val="18"/>
        </w:rPr>
        <w:t>837–849.</w:t>
      </w:r>
    </w:p>
    <w:p>
      <w:pPr>
        <w:pStyle w:val="ListParagraph"/>
        <w:numPr>
          <w:ilvl w:val="0"/>
          <w:numId w:val="51"/>
        </w:numPr>
        <w:tabs>
          <w:tab w:pos="500" w:val="left" w:leader="none"/>
        </w:tabs>
        <w:spacing w:line="247" w:lineRule="auto" w:before="76" w:after="0"/>
        <w:ind w:left="500" w:right="442" w:hanging="360"/>
        <w:jc w:val="left"/>
        <w:rPr>
          <w:color w:val="4C4D4F"/>
          <w:sz w:val="18"/>
        </w:rPr>
      </w:pPr>
      <w:r>
        <w:rPr>
          <w:color w:val="4C4D4F"/>
          <w:w w:val="110"/>
          <w:sz w:val="18"/>
        </w:rPr>
        <w:t>Roxane Laboratories. (2015). Buprenorphine HCl sublingual tablets: Full prescribing information. Retrieved October 16, 2017, from</w:t>
      </w:r>
      <w:r>
        <w:rPr>
          <w:color w:val="205E9E"/>
          <w:spacing w:val="38"/>
          <w:w w:val="110"/>
          <w:sz w:val="18"/>
        </w:rPr>
        <w:t> </w:t>
      </w:r>
      <w:hyperlink r:id="rId108">
        <w:r>
          <w:rPr>
            <w:color w:val="205E9E"/>
            <w:spacing w:val="-2"/>
            <w:w w:val="110"/>
            <w:sz w:val="18"/>
            <w:u w:val="single" w:color="205E9E"/>
          </w:rPr>
          <w:t>http://dailymed</w:t>
        </w:r>
      </w:hyperlink>
    </w:p>
    <w:p>
      <w:pPr>
        <w:spacing w:before="3"/>
        <w:ind w:left="500" w:right="0" w:firstLine="0"/>
        <w:jc w:val="left"/>
        <w:rPr>
          <w:sz w:val="18"/>
        </w:rPr>
      </w:pPr>
      <w:r>
        <w:rPr>
          <w:color w:val="205E9E"/>
          <w:w w:val="115"/>
          <w:sz w:val="18"/>
          <w:u w:val="single" w:color="205E9E"/>
        </w:rPr>
        <w:t>.nlm.nih.gov/dailymed/drugInfo.cfm?setid=1bf8b35a</w:t>
      </w:r>
    </w:p>
    <w:p>
      <w:pPr>
        <w:spacing w:before="7"/>
        <w:ind w:left="500" w:right="0" w:firstLine="0"/>
        <w:jc w:val="left"/>
        <w:rPr>
          <w:sz w:val="18"/>
        </w:rPr>
      </w:pPr>
      <w:r>
        <w:rPr>
          <w:color w:val="205E9E"/>
          <w:w w:val="115"/>
          <w:sz w:val="18"/>
          <w:u w:val="single" w:color="205E9E"/>
        </w:rPr>
        <w:t>-b769-465c-a2f8-099868dfcd2f</w:t>
      </w:r>
    </w:p>
    <w:p>
      <w:pPr>
        <w:pStyle w:val="ListParagraph"/>
        <w:numPr>
          <w:ilvl w:val="0"/>
          <w:numId w:val="51"/>
        </w:numPr>
        <w:tabs>
          <w:tab w:pos="500" w:val="left" w:leader="none"/>
        </w:tabs>
        <w:spacing w:line="247" w:lineRule="auto" w:before="80" w:after="0"/>
        <w:ind w:left="500" w:right="141" w:hanging="360"/>
        <w:jc w:val="left"/>
        <w:rPr>
          <w:color w:val="4C4D4F"/>
          <w:sz w:val="18"/>
        </w:rPr>
      </w:pPr>
      <w:r>
        <w:rPr>
          <w:color w:val="4C4D4F"/>
          <w:spacing w:val="-3"/>
          <w:w w:val="110"/>
          <w:sz w:val="18"/>
        </w:rPr>
        <w:t>Nasser, </w:t>
      </w:r>
      <w:r>
        <w:rPr>
          <w:color w:val="4C4D4F"/>
          <w:w w:val="110"/>
          <w:sz w:val="18"/>
        </w:rPr>
        <w:t>A. </w:t>
      </w:r>
      <w:r>
        <w:rPr>
          <w:color w:val="4C4D4F"/>
          <w:spacing w:val="-10"/>
          <w:w w:val="110"/>
          <w:sz w:val="18"/>
        </w:rPr>
        <w:t>F., </w:t>
      </w:r>
      <w:r>
        <w:rPr>
          <w:color w:val="4C4D4F"/>
          <w:w w:val="110"/>
          <w:sz w:val="18"/>
        </w:rPr>
        <w:t>Heidbreder, C., Liu, </w:t>
      </w:r>
      <w:r>
        <w:rPr>
          <w:color w:val="4C4D4F"/>
          <w:spacing w:val="-9"/>
          <w:w w:val="110"/>
          <w:sz w:val="18"/>
        </w:rPr>
        <w:t>Y., </w:t>
      </w:r>
      <w:r>
        <w:rPr>
          <w:color w:val="4C4D4F"/>
          <w:w w:val="110"/>
          <w:sz w:val="18"/>
        </w:rPr>
        <w:t>&amp; Fudala, </w:t>
      </w:r>
      <w:r>
        <w:rPr>
          <w:color w:val="4C4D4F"/>
          <w:spacing w:val="-17"/>
          <w:w w:val="110"/>
          <w:sz w:val="18"/>
        </w:rPr>
        <w:t>P. </w:t>
      </w:r>
      <w:r>
        <w:rPr>
          <w:color w:val="4C4D4F"/>
          <w:w w:val="135"/>
          <w:sz w:val="18"/>
        </w:rPr>
        <w:t>J. </w:t>
      </w:r>
      <w:r>
        <w:rPr>
          <w:color w:val="4C4D4F"/>
          <w:w w:val="110"/>
          <w:sz w:val="18"/>
        </w:rPr>
        <w:t>(2015). Pharmacokinetics of sublingual </w:t>
      </w:r>
      <w:r>
        <w:rPr>
          <w:color w:val="4C4D4F"/>
          <w:spacing w:val="-3"/>
          <w:w w:val="110"/>
          <w:sz w:val="18"/>
        </w:rPr>
        <w:t>buprenorphine </w:t>
      </w:r>
      <w:r>
        <w:rPr>
          <w:color w:val="4C4D4F"/>
          <w:w w:val="110"/>
          <w:sz w:val="18"/>
        </w:rPr>
        <w:t>and naloxone in subjects with mild to severe hepatic impairment (Child-Pugh classes A, B, and C), in hepatitis C virus-seropositive subjects, and in healthy </w:t>
      </w:r>
      <w:r>
        <w:rPr>
          <w:color w:val="4C4D4F"/>
          <w:w w:val="105"/>
          <w:sz w:val="18"/>
        </w:rPr>
        <w:t>volunteers. </w:t>
      </w:r>
      <w:r>
        <w:rPr>
          <w:rFonts w:ascii="Arial" w:hAnsi="Arial"/>
          <w:i/>
          <w:color w:val="4C4D4F"/>
          <w:w w:val="105"/>
          <w:sz w:val="18"/>
        </w:rPr>
        <w:t>Clinical Pharmacokinetic, 54</w:t>
      </w:r>
      <w:r>
        <w:rPr>
          <w:color w:val="4C4D4F"/>
          <w:w w:val="105"/>
          <w:sz w:val="18"/>
        </w:rPr>
        <w:t>(8),</w:t>
      </w:r>
      <w:r>
        <w:rPr>
          <w:color w:val="4C4D4F"/>
          <w:spacing w:val="-36"/>
          <w:w w:val="105"/>
          <w:sz w:val="18"/>
        </w:rPr>
        <w:t> </w:t>
      </w:r>
      <w:r>
        <w:rPr>
          <w:color w:val="4C4D4F"/>
          <w:w w:val="105"/>
          <w:sz w:val="18"/>
        </w:rPr>
        <w:t>837–849.</w:t>
      </w:r>
    </w:p>
    <w:p>
      <w:pPr>
        <w:pStyle w:val="ListParagraph"/>
        <w:numPr>
          <w:ilvl w:val="0"/>
          <w:numId w:val="51"/>
        </w:numPr>
        <w:tabs>
          <w:tab w:pos="500" w:val="left" w:leader="none"/>
        </w:tabs>
        <w:spacing w:line="247" w:lineRule="auto" w:before="76" w:after="0"/>
        <w:ind w:left="500" w:right="295" w:hanging="360"/>
        <w:jc w:val="left"/>
        <w:rPr>
          <w:color w:val="4C4D4F"/>
          <w:sz w:val="18"/>
        </w:rPr>
      </w:pPr>
      <w:r>
        <w:rPr>
          <w:color w:val="4C4D4F"/>
          <w:w w:val="110"/>
          <w:sz w:val="18"/>
        </w:rPr>
        <w:t>Substance Abuse and Mental Health Services Administration. (2016). Sublingual and </w:t>
      </w:r>
      <w:r>
        <w:rPr>
          <w:color w:val="4C4D4F"/>
          <w:spacing w:val="-2"/>
          <w:w w:val="110"/>
          <w:sz w:val="18"/>
        </w:rPr>
        <w:t>transmucosal </w:t>
      </w:r>
      <w:r>
        <w:rPr>
          <w:color w:val="4C4D4F"/>
          <w:w w:val="110"/>
          <w:sz w:val="18"/>
        </w:rPr>
        <w:t>buprenorphine for opioid use disorder:</w:t>
      </w:r>
      <w:r>
        <w:rPr>
          <w:color w:val="4C4D4F"/>
          <w:spacing w:val="-22"/>
          <w:w w:val="110"/>
          <w:sz w:val="18"/>
        </w:rPr>
        <w:t> </w:t>
      </w:r>
      <w:r>
        <w:rPr>
          <w:color w:val="4C4D4F"/>
          <w:w w:val="110"/>
          <w:sz w:val="18"/>
        </w:rPr>
        <w:t>Review</w:t>
      </w:r>
    </w:p>
    <w:p>
      <w:pPr>
        <w:spacing w:line="247" w:lineRule="auto" w:before="1"/>
        <w:ind w:left="500" w:right="265" w:firstLine="0"/>
        <w:jc w:val="left"/>
        <w:rPr>
          <w:sz w:val="18"/>
        </w:rPr>
      </w:pPr>
      <w:r>
        <w:rPr>
          <w:color w:val="4C4D4F"/>
          <w:w w:val="110"/>
          <w:sz w:val="18"/>
        </w:rPr>
        <w:t>and update. </w:t>
      </w:r>
      <w:r>
        <w:rPr>
          <w:rFonts w:ascii="Arial"/>
          <w:i/>
          <w:color w:val="4C4D4F"/>
          <w:w w:val="110"/>
          <w:sz w:val="18"/>
        </w:rPr>
        <w:t>Advisory, </w:t>
      </w:r>
      <w:r>
        <w:rPr>
          <w:color w:val="4C4D4F"/>
          <w:w w:val="110"/>
          <w:sz w:val="18"/>
        </w:rPr>
        <w:t>Vol. 15, Issue 1. Rockville, MD: Substance Abuse and Mental Health Services Administration.</w:t>
      </w:r>
    </w:p>
    <w:p>
      <w:pPr>
        <w:pStyle w:val="ListParagraph"/>
        <w:numPr>
          <w:ilvl w:val="0"/>
          <w:numId w:val="51"/>
        </w:numPr>
        <w:tabs>
          <w:tab w:pos="500" w:val="left" w:leader="none"/>
        </w:tabs>
        <w:spacing w:line="247" w:lineRule="auto" w:before="75" w:after="0"/>
        <w:ind w:left="500" w:right="38" w:hanging="360"/>
        <w:jc w:val="left"/>
        <w:rPr>
          <w:color w:val="4C4D4F"/>
          <w:sz w:val="18"/>
        </w:rPr>
      </w:pPr>
      <w:r>
        <w:rPr>
          <w:color w:val="4C4D4F"/>
          <w:w w:val="110"/>
          <w:sz w:val="18"/>
        </w:rPr>
        <w:t>Lofwall, M. R., &amp; Walsh, S. L. (2014). A review of buprenorphine diversion and misuse: The current evidence base and experiences from around the </w:t>
      </w:r>
      <w:r>
        <w:rPr>
          <w:color w:val="4C4D4F"/>
          <w:spacing w:val="-3"/>
          <w:w w:val="110"/>
          <w:sz w:val="18"/>
        </w:rPr>
        <w:t>world. </w:t>
      </w:r>
      <w:r>
        <w:rPr>
          <w:rFonts w:ascii="Arial" w:hAnsi="Arial"/>
          <w:i/>
          <w:color w:val="4C4D4F"/>
          <w:w w:val="110"/>
          <w:sz w:val="18"/>
        </w:rPr>
        <w:t>Journal</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Medicine,</w:t>
      </w:r>
      <w:r>
        <w:rPr>
          <w:rFonts w:ascii="Arial" w:hAnsi="Arial"/>
          <w:i/>
          <w:color w:val="4C4D4F"/>
          <w:spacing w:val="-13"/>
          <w:w w:val="110"/>
          <w:sz w:val="18"/>
        </w:rPr>
        <w:t> </w:t>
      </w:r>
      <w:r>
        <w:rPr>
          <w:rFonts w:ascii="Arial" w:hAnsi="Arial"/>
          <w:i/>
          <w:color w:val="4C4D4F"/>
          <w:w w:val="110"/>
          <w:sz w:val="18"/>
        </w:rPr>
        <w:t>8</w:t>
      </w:r>
      <w:r>
        <w:rPr>
          <w:color w:val="4C4D4F"/>
          <w:w w:val="110"/>
          <w:sz w:val="18"/>
        </w:rPr>
        <w:t>(5),</w:t>
      </w:r>
      <w:r>
        <w:rPr>
          <w:color w:val="4C4D4F"/>
          <w:spacing w:val="-12"/>
          <w:w w:val="110"/>
          <w:sz w:val="18"/>
        </w:rPr>
        <w:t> </w:t>
      </w:r>
      <w:r>
        <w:rPr>
          <w:color w:val="4C4D4F"/>
          <w:w w:val="110"/>
          <w:sz w:val="18"/>
        </w:rPr>
        <w:t>315–326.</w:t>
      </w:r>
    </w:p>
    <w:p>
      <w:pPr>
        <w:pStyle w:val="ListParagraph"/>
        <w:numPr>
          <w:ilvl w:val="0"/>
          <w:numId w:val="51"/>
        </w:numPr>
        <w:tabs>
          <w:tab w:pos="500" w:val="left" w:leader="none"/>
        </w:tabs>
        <w:spacing w:line="247" w:lineRule="auto" w:before="75" w:after="0"/>
        <w:ind w:left="500" w:right="102" w:hanging="360"/>
        <w:jc w:val="left"/>
        <w:rPr>
          <w:color w:val="4C4D4F"/>
          <w:sz w:val="18"/>
        </w:rPr>
      </w:pPr>
      <w:r>
        <w:rPr>
          <w:color w:val="4C4D4F"/>
          <w:w w:val="110"/>
          <w:sz w:val="18"/>
        </w:rPr>
        <w:t>Lofwall, M. R., Martin, </w:t>
      </w:r>
      <w:r>
        <w:rPr>
          <w:color w:val="4C4D4F"/>
          <w:w w:val="120"/>
          <w:sz w:val="18"/>
        </w:rPr>
        <w:t>J., </w:t>
      </w:r>
      <w:r>
        <w:rPr>
          <w:color w:val="4C4D4F"/>
          <w:w w:val="110"/>
          <w:sz w:val="18"/>
        </w:rPr>
        <w:t>Tierney, M., Fatseas, M., Auriacombe, M., &amp; Lintzeris, N. (2014). </w:t>
      </w:r>
      <w:r>
        <w:rPr>
          <w:color w:val="4C4D4F"/>
          <w:spacing w:val="-3"/>
          <w:w w:val="110"/>
          <w:sz w:val="18"/>
        </w:rPr>
        <w:t>Buprenorphine </w:t>
      </w:r>
      <w:r>
        <w:rPr>
          <w:color w:val="4C4D4F"/>
          <w:w w:val="110"/>
          <w:sz w:val="18"/>
        </w:rPr>
        <w:t>diversion and misuse in outpatient practice. </w:t>
      </w:r>
      <w:r>
        <w:rPr>
          <w:rFonts w:ascii="Arial" w:hAnsi="Arial"/>
          <w:i/>
          <w:color w:val="4C4D4F"/>
          <w:w w:val="110"/>
          <w:sz w:val="18"/>
        </w:rPr>
        <w:t>Journal</w:t>
      </w:r>
      <w:r>
        <w:rPr>
          <w:rFonts w:ascii="Arial" w:hAnsi="Arial"/>
          <w:i/>
          <w:color w:val="4C4D4F"/>
          <w:spacing w:val="-36"/>
          <w:w w:val="110"/>
          <w:sz w:val="18"/>
        </w:rPr>
        <w:t> </w:t>
      </w:r>
      <w:r>
        <w:rPr>
          <w:rFonts w:ascii="Arial" w:hAnsi="Arial"/>
          <w:i/>
          <w:color w:val="4C4D4F"/>
          <w:w w:val="110"/>
          <w:sz w:val="18"/>
        </w:rPr>
        <w:t>of </w:t>
      </w:r>
      <w:r>
        <w:rPr>
          <w:rFonts w:ascii="Arial" w:hAnsi="Arial"/>
          <w:i/>
          <w:color w:val="4C4D4F"/>
          <w:w w:val="110"/>
          <w:sz w:val="18"/>
        </w:rPr>
        <w:t>Addiction Medicine, 8</w:t>
      </w:r>
      <w:r>
        <w:rPr>
          <w:color w:val="4C4D4F"/>
          <w:w w:val="110"/>
          <w:sz w:val="18"/>
        </w:rPr>
        <w:t>(5),</w:t>
      </w:r>
      <w:r>
        <w:rPr>
          <w:color w:val="4C4D4F"/>
          <w:spacing w:val="-24"/>
          <w:w w:val="110"/>
          <w:sz w:val="18"/>
        </w:rPr>
        <w:t> </w:t>
      </w:r>
      <w:r>
        <w:rPr>
          <w:color w:val="4C4D4F"/>
          <w:w w:val="110"/>
          <w:sz w:val="18"/>
        </w:rPr>
        <w:t>327–332.</w:t>
      </w:r>
    </w:p>
    <w:p>
      <w:pPr>
        <w:pStyle w:val="ListParagraph"/>
        <w:numPr>
          <w:ilvl w:val="0"/>
          <w:numId w:val="51"/>
        </w:numPr>
        <w:tabs>
          <w:tab w:pos="500" w:val="left" w:leader="none"/>
        </w:tabs>
        <w:spacing w:line="247" w:lineRule="auto" w:before="73" w:after="0"/>
        <w:ind w:left="500" w:right="112" w:hanging="360"/>
        <w:jc w:val="left"/>
        <w:rPr>
          <w:color w:val="4C4D4F"/>
          <w:sz w:val="18"/>
        </w:rPr>
      </w:pPr>
      <w:r>
        <w:rPr>
          <w:color w:val="4C4D4F"/>
          <w:w w:val="110"/>
          <w:sz w:val="18"/>
        </w:rPr>
        <w:t>Indivior. (2016).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7" w:lineRule="auto" w:before="76" w:after="0"/>
        <w:ind w:left="500" w:right="112" w:hanging="360"/>
        <w:jc w:val="left"/>
        <w:rPr>
          <w:color w:val="4C4D4F"/>
          <w:sz w:val="18"/>
        </w:rPr>
      </w:pPr>
      <w:r>
        <w:rPr>
          <w:color w:val="4C4D4F"/>
          <w:w w:val="110"/>
          <w:sz w:val="18"/>
        </w:rPr>
        <w:t>Indivior. (2016).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10"/>
          <w:sz w:val="18"/>
        </w:rPr>
        <w:t>Strain, E. C., &amp; Lofwall, M. R. (Eds.).</w:t>
      </w:r>
      <w:r>
        <w:rPr>
          <w:color w:val="4C4D4F"/>
          <w:spacing w:val="-10"/>
          <w:w w:val="110"/>
          <w:sz w:val="18"/>
        </w:rPr>
        <w:t> </w:t>
      </w:r>
      <w:r>
        <w:rPr>
          <w:color w:val="4C4D4F"/>
          <w:w w:val="110"/>
          <w:sz w:val="18"/>
        </w:rPr>
        <w:t>(2008).</w:t>
      </w:r>
    </w:p>
    <w:p>
      <w:pPr>
        <w:spacing w:line="247" w:lineRule="auto" w:before="5"/>
        <w:ind w:left="500" w:right="265" w:firstLine="0"/>
        <w:jc w:val="left"/>
        <w:rPr>
          <w:sz w:val="18"/>
        </w:rPr>
      </w:pPr>
      <w:r>
        <w:rPr>
          <w:color w:val="4C4D4F"/>
          <w:w w:val="105"/>
          <w:sz w:val="18"/>
        </w:rPr>
        <w:t>Buprenorphine.</w:t>
      </w:r>
      <w:r>
        <w:rPr>
          <w:color w:val="4C4D4F"/>
          <w:spacing w:val="-27"/>
          <w:w w:val="105"/>
          <w:sz w:val="18"/>
        </w:rPr>
        <w:t> </w:t>
      </w:r>
      <w:r>
        <w:rPr>
          <w:rFonts w:ascii="Arial"/>
          <w:i/>
          <w:color w:val="4C4D4F"/>
          <w:w w:val="105"/>
          <w:sz w:val="18"/>
        </w:rPr>
        <w:t>The</w:t>
      </w:r>
      <w:r>
        <w:rPr>
          <w:rFonts w:ascii="Arial"/>
          <w:i/>
          <w:color w:val="4C4D4F"/>
          <w:spacing w:val="-27"/>
          <w:w w:val="105"/>
          <w:sz w:val="18"/>
        </w:rPr>
        <w:t> </w:t>
      </w:r>
      <w:r>
        <w:rPr>
          <w:rFonts w:ascii="Arial"/>
          <w:i/>
          <w:color w:val="4C4D4F"/>
          <w:w w:val="105"/>
          <w:sz w:val="18"/>
        </w:rPr>
        <w:t>American</w:t>
      </w:r>
      <w:r>
        <w:rPr>
          <w:rFonts w:ascii="Arial"/>
          <w:i/>
          <w:color w:val="4C4D4F"/>
          <w:spacing w:val="-26"/>
          <w:w w:val="105"/>
          <w:sz w:val="18"/>
        </w:rPr>
        <w:t> </w:t>
      </w:r>
      <w:r>
        <w:rPr>
          <w:rFonts w:ascii="Arial"/>
          <w:i/>
          <w:color w:val="4C4D4F"/>
          <w:w w:val="105"/>
          <w:sz w:val="18"/>
        </w:rPr>
        <w:t>Psychiatric</w:t>
      </w:r>
      <w:r>
        <w:rPr>
          <w:rFonts w:ascii="Arial"/>
          <w:i/>
          <w:color w:val="4C4D4F"/>
          <w:spacing w:val="-27"/>
          <w:w w:val="105"/>
          <w:sz w:val="18"/>
        </w:rPr>
        <w:t> </w:t>
      </w:r>
      <w:r>
        <w:rPr>
          <w:rFonts w:ascii="Arial"/>
          <w:i/>
          <w:color w:val="4C4D4F"/>
          <w:w w:val="105"/>
          <w:sz w:val="18"/>
        </w:rPr>
        <w:t>Publishing </w:t>
      </w:r>
      <w:r>
        <w:rPr>
          <w:rFonts w:ascii="Arial"/>
          <w:i/>
          <w:color w:val="4C4D4F"/>
          <w:w w:val="105"/>
          <w:sz w:val="18"/>
        </w:rPr>
        <w:t>textbook of substance abuse treatment </w:t>
      </w:r>
      <w:r>
        <w:rPr>
          <w:color w:val="4C4D4F"/>
          <w:w w:val="105"/>
          <w:sz w:val="18"/>
        </w:rPr>
        <w:t>(4th</w:t>
      </w:r>
      <w:r>
        <w:rPr>
          <w:color w:val="4C4D4F"/>
          <w:spacing w:val="-37"/>
          <w:w w:val="105"/>
          <w:sz w:val="18"/>
        </w:rPr>
        <w:t> </w:t>
      </w:r>
      <w:r>
        <w:rPr>
          <w:color w:val="4C4D4F"/>
          <w:w w:val="105"/>
          <w:sz w:val="18"/>
        </w:rPr>
        <w:t>ed.).</w:t>
      </w:r>
    </w:p>
    <w:p>
      <w:pPr>
        <w:spacing w:before="1"/>
        <w:ind w:left="500" w:right="0" w:firstLine="0"/>
        <w:jc w:val="left"/>
        <w:rPr>
          <w:sz w:val="18"/>
        </w:rPr>
      </w:pPr>
      <w:r>
        <w:rPr>
          <w:color w:val="4C4D4F"/>
          <w:w w:val="110"/>
          <w:sz w:val="18"/>
        </w:rPr>
        <w:t>Arlington, VA: American Psychiatric Publishing.</w:t>
      </w:r>
    </w:p>
    <w:p>
      <w:pPr>
        <w:pStyle w:val="ListParagraph"/>
        <w:numPr>
          <w:ilvl w:val="0"/>
          <w:numId w:val="51"/>
        </w:numPr>
        <w:tabs>
          <w:tab w:pos="500" w:val="left" w:leader="none"/>
        </w:tabs>
        <w:spacing w:line="247" w:lineRule="auto" w:before="79" w:after="0"/>
        <w:ind w:left="500" w:right="425" w:hanging="360"/>
        <w:jc w:val="left"/>
        <w:rPr>
          <w:color w:val="4C4D4F"/>
          <w:sz w:val="18"/>
        </w:rPr>
      </w:pPr>
      <w:r>
        <w:rPr>
          <w:color w:val="4C4D4F"/>
          <w:w w:val="110"/>
          <w:sz w:val="18"/>
        </w:rPr>
        <w:t>Walsh, S. L., June, H. L., Schuh, K. </w:t>
      </w:r>
      <w:r>
        <w:rPr>
          <w:color w:val="4C4D4F"/>
          <w:w w:val="120"/>
          <w:sz w:val="18"/>
        </w:rPr>
        <w:t>J., </w:t>
      </w:r>
      <w:r>
        <w:rPr>
          <w:color w:val="4C4D4F"/>
          <w:w w:val="110"/>
          <w:sz w:val="18"/>
        </w:rPr>
        <w:t>Preston, K. L., Bigelow, G. E., &amp; </w:t>
      </w:r>
      <w:r>
        <w:rPr>
          <w:color w:val="4C4D4F"/>
          <w:spacing w:val="-3"/>
          <w:w w:val="110"/>
          <w:sz w:val="18"/>
        </w:rPr>
        <w:t>Stitzer, </w:t>
      </w:r>
      <w:r>
        <w:rPr>
          <w:color w:val="4C4D4F"/>
          <w:w w:val="110"/>
          <w:sz w:val="18"/>
        </w:rPr>
        <w:t>M. L. (1995). Effects  of buprenorphine and methadone in methadone- </w:t>
      </w:r>
      <w:r>
        <w:rPr>
          <w:color w:val="4C4D4F"/>
          <w:w w:val="105"/>
          <w:sz w:val="18"/>
        </w:rPr>
        <w:t>maintained subjects. </w:t>
      </w:r>
      <w:r>
        <w:rPr>
          <w:rFonts w:ascii="Arial" w:hAnsi="Arial"/>
          <w:i/>
          <w:color w:val="4C4D4F"/>
          <w:w w:val="105"/>
          <w:sz w:val="18"/>
        </w:rPr>
        <w:t>Psychopharmacology, </w:t>
      </w:r>
      <w:r>
        <w:rPr>
          <w:rFonts w:ascii="Arial" w:hAnsi="Arial"/>
          <w:i/>
          <w:color w:val="4C4D4F"/>
          <w:spacing w:val="-4"/>
          <w:w w:val="105"/>
          <w:sz w:val="18"/>
        </w:rPr>
        <w:t>119</w:t>
      </w:r>
      <w:r>
        <w:rPr>
          <w:color w:val="4C4D4F"/>
          <w:spacing w:val="-4"/>
          <w:w w:val="105"/>
          <w:sz w:val="18"/>
        </w:rPr>
        <w:t>(3), </w:t>
      </w:r>
      <w:r>
        <w:rPr>
          <w:color w:val="4C4D4F"/>
          <w:w w:val="110"/>
          <w:sz w:val="18"/>
        </w:rPr>
        <w:t>268–276.</w:t>
      </w: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11"/>
          <w:sz w:val="18"/>
        </w:rPr>
        <w:br w:type="column"/>
      </w:r>
      <w:r>
        <w:rPr>
          <w:color w:val="4C4D4F"/>
          <w:w w:val="110"/>
          <w:sz w:val="18"/>
        </w:rPr>
        <w:t>Strain, E. C., Preston, K. L., Liebson, I. A., &amp;</w:t>
      </w:r>
      <w:r>
        <w:rPr>
          <w:color w:val="4C4D4F"/>
          <w:spacing w:val="-16"/>
          <w:w w:val="110"/>
          <w:sz w:val="18"/>
        </w:rPr>
        <w:t> </w:t>
      </w:r>
      <w:r>
        <w:rPr>
          <w:color w:val="4C4D4F"/>
          <w:w w:val="110"/>
          <w:sz w:val="18"/>
        </w:rPr>
        <w:t>Bigelow,</w:t>
      </w:r>
    </w:p>
    <w:p>
      <w:pPr>
        <w:spacing w:line="247" w:lineRule="auto" w:before="7"/>
        <w:ind w:left="500" w:right="72" w:firstLine="0"/>
        <w:jc w:val="left"/>
        <w:rPr>
          <w:sz w:val="18"/>
        </w:rPr>
      </w:pPr>
      <w:r>
        <w:rPr>
          <w:color w:val="4C4D4F"/>
          <w:w w:val="110"/>
          <w:sz w:val="18"/>
        </w:rPr>
        <w:t>G. E. (1995). Buprenorphine effects in methadone- maintained volunteers: Effects at two hours after </w:t>
      </w:r>
      <w:r>
        <w:rPr>
          <w:color w:val="4C4D4F"/>
          <w:w w:val="105"/>
          <w:sz w:val="18"/>
        </w:rPr>
        <w:t>methadone. </w:t>
      </w:r>
      <w:r>
        <w:rPr>
          <w:rFonts w:ascii="Arial" w:hAnsi="Arial"/>
          <w:i/>
          <w:color w:val="4C4D4F"/>
          <w:w w:val="105"/>
          <w:sz w:val="18"/>
        </w:rPr>
        <w:t>Journal of Pharmacology and Experimental </w:t>
      </w:r>
      <w:r>
        <w:rPr>
          <w:rFonts w:ascii="Arial" w:hAnsi="Arial"/>
          <w:i/>
          <w:color w:val="4C4D4F"/>
          <w:w w:val="110"/>
          <w:sz w:val="18"/>
        </w:rPr>
        <w:t>Therapeutics, 272</w:t>
      </w:r>
      <w:r>
        <w:rPr>
          <w:color w:val="4C4D4F"/>
          <w:w w:val="110"/>
          <w:sz w:val="18"/>
        </w:rPr>
        <w:t>(2), 628–638.</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20"/>
          <w:sz w:val="18"/>
        </w:rPr>
        <w:t>Rosado,</w:t>
      </w:r>
      <w:r>
        <w:rPr>
          <w:color w:val="4C4D4F"/>
          <w:spacing w:val="-19"/>
          <w:w w:val="120"/>
          <w:sz w:val="18"/>
        </w:rPr>
        <w:t> </w:t>
      </w:r>
      <w:r>
        <w:rPr>
          <w:color w:val="4C4D4F"/>
          <w:w w:val="125"/>
          <w:sz w:val="18"/>
        </w:rPr>
        <w:t>J.,</w:t>
      </w:r>
      <w:r>
        <w:rPr>
          <w:color w:val="4C4D4F"/>
          <w:spacing w:val="-20"/>
          <w:w w:val="125"/>
          <w:sz w:val="18"/>
        </w:rPr>
        <w:t> </w:t>
      </w:r>
      <w:r>
        <w:rPr>
          <w:color w:val="4C4D4F"/>
          <w:w w:val="120"/>
          <w:sz w:val="18"/>
        </w:rPr>
        <w:t>Walsh,</w:t>
      </w:r>
      <w:r>
        <w:rPr>
          <w:color w:val="4C4D4F"/>
          <w:spacing w:val="-18"/>
          <w:w w:val="120"/>
          <w:sz w:val="18"/>
        </w:rPr>
        <w:t> </w:t>
      </w:r>
      <w:r>
        <w:rPr>
          <w:color w:val="4C4D4F"/>
          <w:w w:val="120"/>
          <w:sz w:val="18"/>
        </w:rPr>
        <w:t>S.</w:t>
      </w:r>
      <w:r>
        <w:rPr>
          <w:color w:val="4C4D4F"/>
          <w:spacing w:val="-18"/>
          <w:w w:val="120"/>
          <w:sz w:val="18"/>
        </w:rPr>
        <w:t> </w:t>
      </w:r>
      <w:r>
        <w:rPr>
          <w:color w:val="4C4D4F"/>
          <w:w w:val="120"/>
          <w:sz w:val="18"/>
        </w:rPr>
        <w:t>L.,</w:t>
      </w:r>
      <w:r>
        <w:rPr>
          <w:color w:val="4C4D4F"/>
          <w:spacing w:val="-18"/>
          <w:w w:val="120"/>
          <w:sz w:val="18"/>
        </w:rPr>
        <w:t> </w:t>
      </w:r>
      <w:r>
        <w:rPr>
          <w:color w:val="4C4D4F"/>
          <w:w w:val="120"/>
          <w:sz w:val="18"/>
        </w:rPr>
        <w:t>Bigelow,</w:t>
      </w:r>
      <w:r>
        <w:rPr>
          <w:color w:val="4C4D4F"/>
          <w:spacing w:val="-18"/>
          <w:w w:val="120"/>
          <w:sz w:val="18"/>
        </w:rPr>
        <w:t> </w:t>
      </w:r>
      <w:r>
        <w:rPr>
          <w:color w:val="4C4D4F"/>
          <w:w w:val="120"/>
          <w:sz w:val="18"/>
        </w:rPr>
        <w:t>G.</w:t>
      </w:r>
      <w:r>
        <w:rPr>
          <w:color w:val="4C4D4F"/>
          <w:spacing w:val="-18"/>
          <w:w w:val="120"/>
          <w:sz w:val="18"/>
        </w:rPr>
        <w:t> </w:t>
      </w:r>
      <w:r>
        <w:rPr>
          <w:color w:val="4C4D4F"/>
          <w:w w:val="120"/>
          <w:sz w:val="18"/>
        </w:rPr>
        <w:t>E.,</w:t>
      </w:r>
      <w:r>
        <w:rPr>
          <w:color w:val="4C4D4F"/>
          <w:spacing w:val="-18"/>
          <w:w w:val="120"/>
          <w:sz w:val="18"/>
        </w:rPr>
        <w:t> </w:t>
      </w:r>
      <w:r>
        <w:rPr>
          <w:color w:val="4C4D4F"/>
          <w:w w:val="120"/>
          <w:sz w:val="18"/>
        </w:rPr>
        <w:t>&amp;</w:t>
      </w:r>
      <w:r>
        <w:rPr>
          <w:color w:val="4C4D4F"/>
          <w:spacing w:val="-18"/>
          <w:w w:val="120"/>
          <w:sz w:val="18"/>
        </w:rPr>
        <w:t> </w:t>
      </w:r>
      <w:r>
        <w:rPr>
          <w:color w:val="4C4D4F"/>
          <w:w w:val="120"/>
          <w:sz w:val="18"/>
        </w:rPr>
        <w:t>Strain,</w:t>
      </w:r>
    </w:p>
    <w:p>
      <w:pPr>
        <w:spacing w:line="247" w:lineRule="auto" w:before="7"/>
        <w:ind w:left="500" w:right="695" w:firstLine="0"/>
        <w:jc w:val="left"/>
        <w:rPr>
          <w:sz w:val="18"/>
        </w:rPr>
      </w:pPr>
      <w:r>
        <w:rPr>
          <w:color w:val="4C4D4F"/>
          <w:w w:val="110"/>
          <w:sz w:val="18"/>
        </w:rPr>
        <w:t>E. C. (2007). Sublingual buprenorphine/naloxone precipitated withdrawal in subjects maintained on 100mg of daily methadone. </w:t>
      </w:r>
      <w:r>
        <w:rPr>
          <w:rFonts w:ascii="Arial" w:hAnsi="Arial"/>
          <w:i/>
          <w:color w:val="4C4D4F"/>
          <w:w w:val="110"/>
          <w:sz w:val="18"/>
        </w:rPr>
        <w:t>Drug and</w:t>
      </w:r>
      <w:r>
        <w:rPr>
          <w:rFonts w:ascii="Arial" w:hAnsi="Arial"/>
          <w:i/>
          <w:color w:val="4C4D4F"/>
          <w:spacing w:val="-33"/>
          <w:w w:val="110"/>
          <w:sz w:val="18"/>
        </w:rPr>
        <w:t> </w:t>
      </w:r>
      <w:r>
        <w:rPr>
          <w:rFonts w:ascii="Arial" w:hAnsi="Arial"/>
          <w:i/>
          <w:color w:val="4C4D4F"/>
          <w:spacing w:val="-3"/>
          <w:w w:val="110"/>
          <w:sz w:val="18"/>
        </w:rPr>
        <w:t>Alcohol </w:t>
      </w:r>
      <w:r>
        <w:rPr>
          <w:rFonts w:ascii="Arial" w:hAnsi="Arial"/>
          <w:i/>
          <w:color w:val="4C4D4F"/>
          <w:w w:val="110"/>
          <w:sz w:val="18"/>
        </w:rPr>
        <w:t>Dependence, 90</w:t>
      </w:r>
      <w:r>
        <w:rPr>
          <w:color w:val="4C4D4F"/>
          <w:w w:val="110"/>
          <w:sz w:val="18"/>
        </w:rPr>
        <w:t>(2–3),</w:t>
      </w:r>
      <w:r>
        <w:rPr>
          <w:color w:val="4C4D4F"/>
          <w:spacing w:val="-19"/>
          <w:w w:val="110"/>
          <w:sz w:val="18"/>
        </w:rPr>
        <w:t> </w:t>
      </w:r>
      <w:r>
        <w:rPr>
          <w:color w:val="4C4D4F"/>
          <w:w w:val="110"/>
          <w:sz w:val="18"/>
        </w:rPr>
        <w:t>261–269.</w:t>
      </w:r>
    </w:p>
    <w:p>
      <w:pPr>
        <w:pStyle w:val="ListParagraph"/>
        <w:numPr>
          <w:ilvl w:val="0"/>
          <w:numId w:val="51"/>
        </w:numPr>
        <w:tabs>
          <w:tab w:pos="500" w:val="left" w:leader="none"/>
        </w:tabs>
        <w:spacing w:line="247" w:lineRule="auto" w:before="73" w:after="0"/>
        <w:ind w:left="500" w:right="595" w:hanging="360"/>
        <w:jc w:val="left"/>
        <w:rPr>
          <w:color w:val="4C4D4F"/>
          <w:sz w:val="18"/>
        </w:rPr>
      </w:pPr>
      <w:r>
        <w:rPr>
          <w:color w:val="4C4D4F"/>
          <w:w w:val="110"/>
          <w:sz w:val="18"/>
        </w:rPr>
        <w:t>Walsh, S. L., June, H. L., Schuh, K. </w:t>
      </w:r>
      <w:r>
        <w:rPr>
          <w:color w:val="4C4D4F"/>
          <w:w w:val="120"/>
          <w:sz w:val="18"/>
        </w:rPr>
        <w:t>J., </w:t>
      </w:r>
      <w:r>
        <w:rPr>
          <w:color w:val="4C4D4F"/>
          <w:w w:val="110"/>
          <w:sz w:val="18"/>
        </w:rPr>
        <w:t>Preston, K. L., Bigelow, G. E., &amp; </w:t>
      </w:r>
      <w:r>
        <w:rPr>
          <w:color w:val="4C4D4F"/>
          <w:spacing w:val="-3"/>
          <w:w w:val="110"/>
          <w:sz w:val="18"/>
        </w:rPr>
        <w:t>Stitzer, </w:t>
      </w:r>
      <w:r>
        <w:rPr>
          <w:color w:val="4C4D4F"/>
          <w:w w:val="110"/>
          <w:sz w:val="18"/>
        </w:rPr>
        <w:t>M. L. (1995). Effects  of buprenorphine and methadone in methadone- </w:t>
      </w:r>
      <w:r>
        <w:rPr>
          <w:color w:val="4C4D4F"/>
          <w:w w:val="105"/>
          <w:sz w:val="18"/>
        </w:rPr>
        <w:t>maintained subjects. </w:t>
      </w:r>
      <w:r>
        <w:rPr>
          <w:rFonts w:ascii="Arial" w:hAnsi="Arial"/>
          <w:i/>
          <w:color w:val="4C4D4F"/>
          <w:w w:val="105"/>
          <w:sz w:val="18"/>
        </w:rPr>
        <w:t>Psychopharmacology, </w:t>
      </w:r>
      <w:r>
        <w:rPr>
          <w:rFonts w:ascii="Arial" w:hAnsi="Arial"/>
          <w:i/>
          <w:color w:val="4C4D4F"/>
          <w:spacing w:val="-4"/>
          <w:w w:val="105"/>
          <w:sz w:val="18"/>
        </w:rPr>
        <w:t>119</w:t>
      </w:r>
      <w:r>
        <w:rPr>
          <w:color w:val="4C4D4F"/>
          <w:spacing w:val="-4"/>
          <w:w w:val="105"/>
          <w:sz w:val="18"/>
        </w:rPr>
        <w:t>(3), </w:t>
      </w:r>
      <w:r>
        <w:rPr>
          <w:color w:val="4C4D4F"/>
          <w:w w:val="110"/>
          <w:sz w:val="18"/>
        </w:rPr>
        <w:t>268–276.</w:t>
      </w:r>
    </w:p>
    <w:p>
      <w:pPr>
        <w:pStyle w:val="ListParagraph"/>
        <w:numPr>
          <w:ilvl w:val="0"/>
          <w:numId w:val="51"/>
        </w:numPr>
        <w:tabs>
          <w:tab w:pos="500" w:val="left" w:leader="none"/>
        </w:tabs>
        <w:spacing w:line="247" w:lineRule="auto" w:before="76" w:after="0"/>
        <w:ind w:left="500" w:right="601" w:hanging="360"/>
        <w:jc w:val="left"/>
        <w:rPr>
          <w:color w:val="4C4D4F"/>
          <w:sz w:val="18"/>
        </w:rPr>
      </w:pPr>
      <w:r>
        <w:rPr>
          <w:color w:val="4C4D4F"/>
          <w:w w:val="115"/>
          <w:sz w:val="18"/>
        </w:rPr>
        <w:t>Jones,</w:t>
      </w:r>
      <w:r>
        <w:rPr>
          <w:color w:val="4C4D4F"/>
          <w:spacing w:val="-20"/>
          <w:w w:val="115"/>
          <w:sz w:val="18"/>
        </w:rPr>
        <w:t> </w:t>
      </w:r>
      <w:r>
        <w:rPr>
          <w:color w:val="4C4D4F"/>
          <w:w w:val="115"/>
          <w:sz w:val="18"/>
        </w:rPr>
        <w:t>H.</w:t>
      </w:r>
      <w:r>
        <w:rPr>
          <w:color w:val="4C4D4F"/>
          <w:spacing w:val="-20"/>
          <w:w w:val="115"/>
          <w:sz w:val="18"/>
        </w:rPr>
        <w:t> </w:t>
      </w:r>
      <w:r>
        <w:rPr>
          <w:color w:val="4C4D4F"/>
          <w:w w:val="115"/>
          <w:sz w:val="18"/>
        </w:rPr>
        <w:t>E.,</w:t>
      </w:r>
      <w:r>
        <w:rPr>
          <w:color w:val="4C4D4F"/>
          <w:spacing w:val="-19"/>
          <w:w w:val="115"/>
          <w:sz w:val="18"/>
        </w:rPr>
        <w:t> </w:t>
      </w:r>
      <w:r>
        <w:rPr>
          <w:color w:val="4C4D4F"/>
          <w:spacing w:val="-3"/>
          <w:w w:val="115"/>
          <w:sz w:val="18"/>
        </w:rPr>
        <w:t>Dengler,</w:t>
      </w:r>
      <w:r>
        <w:rPr>
          <w:color w:val="4C4D4F"/>
          <w:spacing w:val="-20"/>
          <w:w w:val="115"/>
          <w:sz w:val="18"/>
        </w:rPr>
        <w:t> </w:t>
      </w:r>
      <w:r>
        <w:rPr>
          <w:color w:val="4C4D4F"/>
          <w:w w:val="115"/>
          <w:sz w:val="18"/>
        </w:rPr>
        <w:t>E.,</w:t>
      </w:r>
      <w:r>
        <w:rPr>
          <w:color w:val="4C4D4F"/>
          <w:spacing w:val="-19"/>
          <w:w w:val="115"/>
          <w:sz w:val="18"/>
        </w:rPr>
        <w:t> </w:t>
      </w:r>
      <w:r>
        <w:rPr>
          <w:color w:val="4C4D4F"/>
          <w:w w:val="115"/>
          <w:sz w:val="18"/>
        </w:rPr>
        <w:t>Garrison,</w:t>
      </w:r>
      <w:r>
        <w:rPr>
          <w:color w:val="4C4D4F"/>
          <w:spacing w:val="-20"/>
          <w:w w:val="115"/>
          <w:sz w:val="18"/>
        </w:rPr>
        <w:t> </w:t>
      </w:r>
      <w:r>
        <w:rPr>
          <w:color w:val="4C4D4F"/>
          <w:w w:val="115"/>
          <w:sz w:val="18"/>
        </w:rPr>
        <w:t>A.,</w:t>
      </w:r>
      <w:r>
        <w:rPr>
          <w:color w:val="4C4D4F"/>
          <w:spacing w:val="-20"/>
          <w:w w:val="115"/>
          <w:sz w:val="18"/>
        </w:rPr>
        <w:t> </w:t>
      </w:r>
      <w:r>
        <w:rPr>
          <w:color w:val="4C4D4F"/>
          <w:w w:val="115"/>
          <w:sz w:val="18"/>
        </w:rPr>
        <w:t>O’Grady,</w:t>
      </w:r>
      <w:r>
        <w:rPr>
          <w:color w:val="4C4D4F"/>
          <w:spacing w:val="-19"/>
          <w:w w:val="115"/>
          <w:sz w:val="18"/>
        </w:rPr>
        <w:t> </w:t>
      </w:r>
      <w:r>
        <w:rPr>
          <w:color w:val="4C4D4F"/>
          <w:spacing w:val="-8"/>
          <w:w w:val="115"/>
          <w:sz w:val="18"/>
        </w:rPr>
        <w:t>K. </w:t>
      </w:r>
      <w:r>
        <w:rPr>
          <w:color w:val="4C4D4F"/>
          <w:w w:val="115"/>
          <w:sz w:val="18"/>
        </w:rPr>
        <w:t>E.,</w:t>
      </w:r>
      <w:r>
        <w:rPr>
          <w:color w:val="4C4D4F"/>
          <w:spacing w:val="-20"/>
          <w:w w:val="115"/>
          <w:sz w:val="18"/>
        </w:rPr>
        <w:t> </w:t>
      </w:r>
      <w:r>
        <w:rPr>
          <w:color w:val="4C4D4F"/>
          <w:w w:val="115"/>
          <w:sz w:val="18"/>
        </w:rPr>
        <w:t>Seashore,</w:t>
      </w:r>
      <w:r>
        <w:rPr>
          <w:color w:val="4C4D4F"/>
          <w:spacing w:val="-20"/>
          <w:w w:val="115"/>
          <w:sz w:val="18"/>
        </w:rPr>
        <w:t> </w:t>
      </w:r>
      <w:r>
        <w:rPr>
          <w:color w:val="4C4D4F"/>
          <w:w w:val="115"/>
          <w:sz w:val="18"/>
        </w:rPr>
        <w:t>C.,</w:t>
      </w:r>
      <w:r>
        <w:rPr>
          <w:color w:val="4C4D4F"/>
          <w:spacing w:val="-20"/>
          <w:w w:val="115"/>
          <w:sz w:val="18"/>
        </w:rPr>
        <w:t> </w:t>
      </w:r>
      <w:r>
        <w:rPr>
          <w:color w:val="4C4D4F"/>
          <w:w w:val="115"/>
          <w:sz w:val="18"/>
        </w:rPr>
        <w:t>Horton,</w:t>
      </w:r>
      <w:r>
        <w:rPr>
          <w:color w:val="4C4D4F"/>
          <w:spacing w:val="-20"/>
          <w:w w:val="115"/>
          <w:sz w:val="18"/>
        </w:rPr>
        <w:t> </w:t>
      </w:r>
      <w:r>
        <w:rPr>
          <w:color w:val="4C4D4F"/>
          <w:w w:val="115"/>
          <w:sz w:val="18"/>
        </w:rPr>
        <w:t>E.,</w:t>
      </w:r>
      <w:r>
        <w:rPr>
          <w:color w:val="4C4D4F"/>
          <w:spacing w:val="-20"/>
          <w:w w:val="115"/>
          <w:sz w:val="18"/>
        </w:rPr>
        <w:t> </w:t>
      </w:r>
      <w:r>
        <w:rPr>
          <w:color w:val="4C4D4F"/>
          <w:w w:val="115"/>
          <w:sz w:val="18"/>
        </w:rPr>
        <w:t>…</w:t>
      </w:r>
      <w:r>
        <w:rPr>
          <w:color w:val="4C4D4F"/>
          <w:spacing w:val="-19"/>
          <w:w w:val="115"/>
          <w:sz w:val="18"/>
        </w:rPr>
        <w:t> </w:t>
      </w:r>
      <w:r>
        <w:rPr>
          <w:color w:val="4C4D4F"/>
          <w:w w:val="115"/>
          <w:sz w:val="18"/>
        </w:rPr>
        <w:t>Thorp,</w:t>
      </w:r>
      <w:r>
        <w:rPr>
          <w:color w:val="4C4D4F"/>
          <w:spacing w:val="-20"/>
          <w:w w:val="115"/>
          <w:sz w:val="18"/>
        </w:rPr>
        <w:t> </w:t>
      </w:r>
      <w:r>
        <w:rPr>
          <w:color w:val="4C4D4F"/>
          <w:w w:val="135"/>
          <w:sz w:val="18"/>
        </w:rPr>
        <w:t>J.</w:t>
      </w:r>
      <w:r>
        <w:rPr>
          <w:color w:val="4C4D4F"/>
          <w:spacing w:val="-30"/>
          <w:w w:val="135"/>
          <w:sz w:val="18"/>
        </w:rPr>
        <w:t> </w:t>
      </w:r>
      <w:r>
        <w:rPr>
          <w:color w:val="4C4D4F"/>
          <w:w w:val="115"/>
          <w:sz w:val="18"/>
        </w:rPr>
        <w:t>(2014).</w:t>
      </w:r>
    </w:p>
    <w:p>
      <w:pPr>
        <w:spacing w:line="247" w:lineRule="auto" w:before="2"/>
        <w:ind w:left="500" w:right="253" w:firstLine="0"/>
        <w:jc w:val="left"/>
        <w:rPr>
          <w:sz w:val="18"/>
        </w:rPr>
      </w:pPr>
      <w:r>
        <w:rPr>
          <w:color w:val="4C4D4F"/>
          <w:w w:val="110"/>
          <w:sz w:val="18"/>
        </w:rPr>
        <w:t>Neonatal outcomes and their relationship to maternal buprenorphine dose during pregnancy. </w:t>
      </w:r>
      <w:r>
        <w:rPr>
          <w:rFonts w:ascii="Arial" w:hAnsi="Arial"/>
          <w:i/>
          <w:color w:val="4C4D4F"/>
          <w:w w:val="110"/>
          <w:sz w:val="18"/>
        </w:rPr>
        <w:t>Drug and </w:t>
      </w:r>
      <w:r>
        <w:rPr>
          <w:rFonts w:ascii="Arial" w:hAnsi="Arial"/>
          <w:i/>
          <w:color w:val="4C4D4F"/>
          <w:w w:val="110"/>
          <w:sz w:val="18"/>
        </w:rPr>
        <w:t>Alcohol Dependence, 134, </w:t>
      </w:r>
      <w:r>
        <w:rPr>
          <w:color w:val="4C4D4F"/>
          <w:w w:val="110"/>
          <w:sz w:val="18"/>
        </w:rPr>
        <w:t>414–417.</w:t>
      </w:r>
    </w:p>
    <w:p>
      <w:pPr>
        <w:pStyle w:val="ListParagraph"/>
        <w:numPr>
          <w:ilvl w:val="0"/>
          <w:numId w:val="51"/>
        </w:numPr>
        <w:tabs>
          <w:tab w:pos="500" w:val="left" w:leader="none"/>
        </w:tabs>
        <w:spacing w:line="247" w:lineRule="auto" w:before="71" w:after="0"/>
        <w:ind w:left="500" w:right="389" w:hanging="360"/>
        <w:jc w:val="left"/>
        <w:rPr>
          <w:color w:val="4C4D4F"/>
          <w:sz w:val="18"/>
        </w:rPr>
      </w:pPr>
      <w:r>
        <w:rPr>
          <w:color w:val="4C4D4F"/>
          <w:w w:val="115"/>
          <w:sz w:val="18"/>
        </w:rPr>
        <w:t>Cleary,</w:t>
      </w:r>
      <w:r>
        <w:rPr>
          <w:color w:val="4C4D4F"/>
          <w:spacing w:val="-16"/>
          <w:w w:val="115"/>
          <w:sz w:val="18"/>
        </w:rPr>
        <w:t> </w:t>
      </w:r>
      <w:r>
        <w:rPr>
          <w:color w:val="4C4D4F"/>
          <w:w w:val="115"/>
          <w:sz w:val="18"/>
        </w:rPr>
        <w:t>B.</w:t>
      </w:r>
      <w:r>
        <w:rPr>
          <w:color w:val="4C4D4F"/>
          <w:spacing w:val="-15"/>
          <w:w w:val="115"/>
          <w:sz w:val="18"/>
        </w:rPr>
        <w:t> </w:t>
      </w:r>
      <w:r>
        <w:rPr>
          <w:color w:val="4C4D4F"/>
          <w:w w:val="135"/>
          <w:sz w:val="18"/>
        </w:rPr>
        <w:t>J.,</w:t>
      </w:r>
      <w:r>
        <w:rPr>
          <w:color w:val="4C4D4F"/>
          <w:spacing w:val="-25"/>
          <w:w w:val="135"/>
          <w:sz w:val="18"/>
        </w:rPr>
        <w:t> </w:t>
      </w:r>
      <w:r>
        <w:rPr>
          <w:color w:val="4C4D4F"/>
          <w:w w:val="115"/>
          <w:sz w:val="18"/>
        </w:rPr>
        <w:t>Reynolds,</w:t>
      </w:r>
      <w:r>
        <w:rPr>
          <w:color w:val="4C4D4F"/>
          <w:spacing w:val="-16"/>
          <w:w w:val="115"/>
          <w:sz w:val="18"/>
        </w:rPr>
        <w:t> </w:t>
      </w:r>
      <w:r>
        <w:rPr>
          <w:color w:val="4C4D4F"/>
          <w:w w:val="115"/>
          <w:sz w:val="18"/>
        </w:rPr>
        <w:t>K.,</w:t>
      </w:r>
      <w:r>
        <w:rPr>
          <w:color w:val="4C4D4F"/>
          <w:spacing w:val="-15"/>
          <w:w w:val="115"/>
          <w:sz w:val="18"/>
        </w:rPr>
        <w:t> </w:t>
      </w:r>
      <w:r>
        <w:rPr>
          <w:color w:val="4C4D4F"/>
          <w:w w:val="115"/>
          <w:sz w:val="18"/>
        </w:rPr>
        <w:t>Eogan,</w:t>
      </w:r>
      <w:r>
        <w:rPr>
          <w:color w:val="4C4D4F"/>
          <w:spacing w:val="-15"/>
          <w:w w:val="115"/>
          <w:sz w:val="18"/>
        </w:rPr>
        <w:t> </w:t>
      </w:r>
      <w:r>
        <w:rPr>
          <w:color w:val="4C4D4F"/>
          <w:w w:val="115"/>
          <w:sz w:val="18"/>
        </w:rPr>
        <w:t>M.,</w:t>
      </w:r>
      <w:r>
        <w:rPr>
          <w:color w:val="4C4D4F"/>
          <w:spacing w:val="-16"/>
          <w:w w:val="115"/>
          <w:sz w:val="18"/>
        </w:rPr>
        <w:t> </w:t>
      </w:r>
      <w:r>
        <w:rPr>
          <w:color w:val="4C4D4F"/>
          <w:w w:val="115"/>
          <w:sz w:val="18"/>
        </w:rPr>
        <w:t>O’Connell,</w:t>
      </w:r>
      <w:r>
        <w:rPr>
          <w:color w:val="4C4D4F"/>
          <w:spacing w:val="-15"/>
          <w:w w:val="115"/>
          <w:sz w:val="18"/>
        </w:rPr>
        <w:t> </w:t>
      </w:r>
      <w:r>
        <w:rPr>
          <w:color w:val="4C4D4F"/>
          <w:w w:val="115"/>
          <w:sz w:val="18"/>
        </w:rPr>
        <w:t>M. </w:t>
      </w:r>
      <w:r>
        <w:rPr>
          <w:color w:val="4C4D4F"/>
          <w:spacing w:val="-11"/>
          <w:w w:val="115"/>
          <w:sz w:val="18"/>
        </w:rPr>
        <w:t>P.,</w:t>
      </w:r>
      <w:r>
        <w:rPr>
          <w:color w:val="4C4D4F"/>
          <w:spacing w:val="-15"/>
          <w:w w:val="115"/>
          <w:sz w:val="18"/>
        </w:rPr>
        <w:t> </w:t>
      </w:r>
      <w:r>
        <w:rPr>
          <w:color w:val="4C4D4F"/>
          <w:spacing w:val="-3"/>
          <w:w w:val="115"/>
          <w:sz w:val="18"/>
        </w:rPr>
        <w:t>Fahey,</w:t>
      </w:r>
      <w:r>
        <w:rPr>
          <w:color w:val="4C4D4F"/>
          <w:spacing w:val="-15"/>
          <w:w w:val="115"/>
          <w:sz w:val="18"/>
        </w:rPr>
        <w:t> </w:t>
      </w:r>
      <w:r>
        <w:rPr>
          <w:color w:val="4C4D4F"/>
          <w:spacing w:val="-7"/>
          <w:w w:val="115"/>
          <w:sz w:val="18"/>
        </w:rPr>
        <w:t>T.,</w:t>
      </w:r>
      <w:r>
        <w:rPr>
          <w:color w:val="4C4D4F"/>
          <w:spacing w:val="-14"/>
          <w:w w:val="115"/>
          <w:sz w:val="18"/>
        </w:rPr>
        <w:t> </w:t>
      </w:r>
      <w:r>
        <w:rPr>
          <w:color w:val="4C4D4F"/>
          <w:w w:val="115"/>
          <w:sz w:val="18"/>
        </w:rPr>
        <w:t>Gallagher,</w:t>
      </w:r>
      <w:r>
        <w:rPr>
          <w:color w:val="4C4D4F"/>
          <w:spacing w:val="-15"/>
          <w:w w:val="115"/>
          <w:sz w:val="18"/>
        </w:rPr>
        <w:t> </w:t>
      </w:r>
      <w:r>
        <w:rPr>
          <w:color w:val="4C4D4F"/>
          <w:spacing w:val="-17"/>
          <w:w w:val="115"/>
          <w:sz w:val="18"/>
        </w:rPr>
        <w:t>P.</w:t>
      </w:r>
      <w:r>
        <w:rPr>
          <w:color w:val="4C4D4F"/>
          <w:spacing w:val="-14"/>
          <w:w w:val="115"/>
          <w:sz w:val="18"/>
        </w:rPr>
        <w:t> </w:t>
      </w:r>
      <w:r>
        <w:rPr>
          <w:color w:val="4C4D4F"/>
          <w:w w:val="135"/>
          <w:sz w:val="18"/>
        </w:rPr>
        <w:t>J.,</w:t>
      </w:r>
      <w:r>
        <w:rPr>
          <w:color w:val="4C4D4F"/>
          <w:spacing w:val="-25"/>
          <w:w w:val="135"/>
          <w:sz w:val="18"/>
        </w:rPr>
        <w:t> </w:t>
      </w:r>
      <w:r>
        <w:rPr>
          <w:color w:val="4C4D4F"/>
          <w:w w:val="115"/>
          <w:sz w:val="18"/>
        </w:rPr>
        <w:t>…</w:t>
      </w:r>
      <w:r>
        <w:rPr>
          <w:color w:val="4C4D4F"/>
          <w:spacing w:val="-14"/>
          <w:w w:val="115"/>
          <w:sz w:val="18"/>
        </w:rPr>
        <w:t> </w:t>
      </w:r>
      <w:r>
        <w:rPr>
          <w:color w:val="4C4D4F"/>
          <w:w w:val="115"/>
          <w:sz w:val="18"/>
        </w:rPr>
        <w:t>Murphy,</w:t>
      </w:r>
      <w:r>
        <w:rPr>
          <w:color w:val="4C4D4F"/>
          <w:spacing w:val="-15"/>
          <w:w w:val="115"/>
          <w:sz w:val="18"/>
        </w:rPr>
        <w:t> </w:t>
      </w:r>
      <w:r>
        <w:rPr>
          <w:color w:val="4C4D4F"/>
          <w:w w:val="115"/>
          <w:sz w:val="18"/>
        </w:rPr>
        <w:t>D.</w:t>
      </w:r>
      <w:r>
        <w:rPr>
          <w:color w:val="4C4D4F"/>
          <w:spacing w:val="-14"/>
          <w:w w:val="115"/>
          <w:sz w:val="18"/>
        </w:rPr>
        <w:t> </w:t>
      </w:r>
      <w:r>
        <w:rPr>
          <w:color w:val="4C4D4F"/>
          <w:w w:val="135"/>
          <w:sz w:val="18"/>
        </w:rPr>
        <w:t>J.</w:t>
      </w:r>
      <w:r>
        <w:rPr>
          <w:color w:val="4C4D4F"/>
          <w:spacing w:val="-25"/>
          <w:w w:val="135"/>
          <w:sz w:val="18"/>
        </w:rPr>
        <w:t> </w:t>
      </w:r>
      <w:r>
        <w:rPr>
          <w:color w:val="4C4D4F"/>
          <w:w w:val="115"/>
          <w:sz w:val="18"/>
        </w:rPr>
        <w:t>(2014). Methadone</w:t>
      </w:r>
      <w:r>
        <w:rPr>
          <w:color w:val="4C4D4F"/>
          <w:spacing w:val="-16"/>
          <w:w w:val="115"/>
          <w:sz w:val="18"/>
        </w:rPr>
        <w:t> </w:t>
      </w:r>
      <w:r>
        <w:rPr>
          <w:color w:val="4C4D4F"/>
          <w:w w:val="115"/>
          <w:sz w:val="18"/>
        </w:rPr>
        <w:t>dosing</w:t>
      </w:r>
      <w:r>
        <w:rPr>
          <w:color w:val="4C4D4F"/>
          <w:spacing w:val="-16"/>
          <w:w w:val="115"/>
          <w:sz w:val="18"/>
        </w:rPr>
        <w:t> </w:t>
      </w:r>
      <w:r>
        <w:rPr>
          <w:color w:val="4C4D4F"/>
          <w:w w:val="115"/>
          <w:sz w:val="18"/>
        </w:rPr>
        <w:t>and</w:t>
      </w:r>
      <w:r>
        <w:rPr>
          <w:color w:val="4C4D4F"/>
          <w:spacing w:val="-15"/>
          <w:w w:val="115"/>
          <w:sz w:val="18"/>
        </w:rPr>
        <w:t> </w:t>
      </w:r>
      <w:r>
        <w:rPr>
          <w:color w:val="4C4D4F"/>
          <w:w w:val="115"/>
          <w:sz w:val="18"/>
        </w:rPr>
        <w:t>prescribed</w:t>
      </w:r>
      <w:r>
        <w:rPr>
          <w:color w:val="4C4D4F"/>
          <w:spacing w:val="-16"/>
          <w:w w:val="115"/>
          <w:sz w:val="18"/>
        </w:rPr>
        <w:t> </w:t>
      </w:r>
      <w:r>
        <w:rPr>
          <w:color w:val="4C4D4F"/>
          <w:w w:val="115"/>
          <w:sz w:val="18"/>
        </w:rPr>
        <w:t>medication</w:t>
      </w:r>
      <w:r>
        <w:rPr>
          <w:color w:val="4C4D4F"/>
          <w:spacing w:val="-15"/>
          <w:w w:val="115"/>
          <w:sz w:val="18"/>
        </w:rPr>
        <w:t> </w:t>
      </w:r>
      <w:r>
        <w:rPr>
          <w:color w:val="4C4D4F"/>
          <w:w w:val="115"/>
          <w:sz w:val="18"/>
        </w:rPr>
        <w:t>use</w:t>
      </w:r>
      <w:r>
        <w:rPr>
          <w:color w:val="4C4D4F"/>
          <w:spacing w:val="-16"/>
          <w:w w:val="115"/>
          <w:sz w:val="18"/>
        </w:rPr>
        <w:t> </w:t>
      </w:r>
      <w:r>
        <w:rPr>
          <w:color w:val="4C4D4F"/>
          <w:spacing w:val="-9"/>
          <w:w w:val="115"/>
          <w:sz w:val="18"/>
        </w:rPr>
        <w:t>in </w:t>
      </w:r>
      <w:r>
        <w:rPr>
          <w:color w:val="4C4D4F"/>
          <w:w w:val="115"/>
          <w:sz w:val="18"/>
        </w:rPr>
        <w:t>a</w:t>
      </w:r>
      <w:r>
        <w:rPr>
          <w:color w:val="4C4D4F"/>
          <w:spacing w:val="-21"/>
          <w:w w:val="115"/>
          <w:sz w:val="18"/>
        </w:rPr>
        <w:t> </w:t>
      </w:r>
      <w:r>
        <w:rPr>
          <w:color w:val="4C4D4F"/>
          <w:w w:val="115"/>
          <w:sz w:val="18"/>
        </w:rPr>
        <w:t>prospective</w:t>
      </w:r>
      <w:r>
        <w:rPr>
          <w:color w:val="4C4D4F"/>
          <w:spacing w:val="-21"/>
          <w:w w:val="115"/>
          <w:sz w:val="18"/>
        </w:rPr>
        <w:t> </w:t>
      </w:r>
      <w:r>
        <w:rPr>
          <w:color w:val="4C4D4F"/>
          <w:w w:val="115"/>
          <w:sz w:val="18"/>
        </w:rPr>
        <w:t>cohort</w:t>
      </w:r>
      <w:r>
        <w:rPr>
          <w:color w:val="4C4D4F"/>
          <w:spacing w:val="-20"/>
          <w:w w:val="115"/>
          <w:sz w:val="18"/>
        </w:rPr>
        <w:t> </w:t>
      </w:r>
      <w:r>
        <w:rPr>
          <w:color w:val="4C4D4F"/>
          <w:w w:val="115"/>
          <w:sz w:val="18"/>
        </w:rPr>
        <w:t>of</w:t>
      </w:r>
      <w:r>
        <w:rPr>
          <w:color w:val="4C4D4F"/>
          <w:spacing w:val="-21"/>
          <w:w w:val="115"/>
          <w:sz w:val="18"/>
        </w:rPr>
        <w:t> </w:t>
      </w:r>
      <w:r>
        <w:rPr>
          <w:color w:val="4C4D4F"/>
          <w:w w:val="115"/>
          <w:sz w:val="18"/>
        </w:rPr>
        <w:t>opioid-dependent</w:t>
      </w:r>
      <w:r>
        <w:rPr>
          <w:color w:val="4C4D4F"/>
          <w:spacing w:val="-20"/>
          <w:w w:val="115"/>
          <w:sz w:val="18"/>
        </w:rPr>
        <w:t> </w:t>
      </w:r>
      <w:r>
        <w:rPr>
          <w:color w:val="4C4D4F"/>
          <w:w w:val="115"/>
          <w:sz w:val="18"/>
        </w:rPr>
        <w:t>pregnant women. </w:t>
      </w:r>
      <w:r>
        <w:rPr>
          <w:rFonts w:ascii="Arial" w:hAnsi="Arial"/>
          <w:i/>
          <w:color w:val="4C4D4F"/>
          <w:w w:val="115"/>
          <w:sz w:val="18"/>
        </w:rPr>
        <w:t>Addiction, 108</w:t>
      </w:r>
      <w:r>
        <w:rPr>
          <w:color w:val="4C4D4F"/>
          <w:w w:val="115"/>
          <w:sz w:val="18"/>
        </w:rPr>
        <w:t>(4),</w:t>
      </w:r>
      <w:r>
        <w:rPr>
          <w:color w:val="4C4D4F"/>
          <w:spacing w:val="-43"/>
          <w:w w:val="115"/>
          <w:sz w:val="18"/>
        </w:rPr>
        <w:t> </w:t>
      </w:r>
      <w:r>
        <w:rPr>
          <w:color w:val="4C4D4F"/>
          <w:w w:val="115"/>
          <w:sz w:val="18"/>
        </w:rPr>
        <w:t>762–770.</w:t>
      </w:r>
    </w:p>
    <w:p>
      <w:pPr>
        <w:pStyle w:val="ListParagraph"/>
        <w:numPr>
          <w:ilvl w:val="0"/>
          <w:numId w:val="51"/>
        </w:numPr>
        <w:tabs>
          <w:tab w:pos="500" w:val="left" w:leader="none"/>
        </w:tabs>
        <w:spacing w:line="247" w:lineRule="auto" w:before="76" w:after="0"/>
        <w:ind w:left="500" w:right="191" w:hanging="360"/>
        <w:jc w:val="left"/>
        <w:rPr>
          <w:color w:val="4C4D4F"/>
          <w:sz w:val="18"/>
        </w:rPr>
      </w:pPr>
      <w:r>
        <w:rPr>
          <w:color w:val="4C4D4F"/>
          <w:w w:val="115"/>
          <w:sz w:val="18"/>
        </w:rPr>
        <w:t>Kaltenbach,</w:t>
      </w:r>
      <w:r>
        <w:rPr>
          <w:color w:val="4C4D4F"/>
          <w:spacing w:val="-19"/>
          <w:w w:val="115"/>
          <w:sz w:val="18"/>
        </w:rPr>
        <w:t> </w:t>
      </w:r>
      <w:r>
        <w:rPr>
          <w:color w:val="4C4D4F"/>
          <w:w w:val="115"/>
          <w:sz w:val="18"/>
        </w:rPr>
        <w:t>K.,</w:t>
      </w:r>
      <w:r>
        <w:rPr>
          <w:color w:val="4C4D4F"/>
          <w:spacing w:val="-19"/>
          <w:w w:val="115"/>
          <w:sz w:val="18"/>
        </w:rPr>
        <w:t> </w:t>
      </w:r>
      <w:r>
        <w:rPr>
          <w:color w:val="4C4D4F"/>
          <w:w w:val="115"/>
          <w:sz w:val="18"/>
        </w:rPr>
        <w:t>Holbrook,</w:t>
      </w:r>
      <w:r>
        <w:rPr>
          <w:color w:val="4C4D4F"/>
          <w:spacing w:val="-18"/>
          <w:w w:val="115"/>
          <w:sz w:val="18"/>
        </w:rPr>
        <w:t> </w:t>
      </w:r>
      <w:r>
        <w:rPr>
          <w:color w:val="4C4D4F"/>
          <w:w w:val="115"/>
          <w:sz w:val="18"/>
        </w:rPr>
        <w:t>A.</w:t>
      </w:r>
      <w:r>
        <w:rPr>
          <w:color w:val="4C4D4F"/>
          <w:spacing w:val="-19"/>
          <w:w w:val="115"/>
          <w:sz w:val="18"/>
        </w:rPr>
        <w:t> </w:t>
      </w:r>
      <w:r>
        <w:rPr>
          <w:color w:val="4C4D4F"/>
          <w:w w:val="115"/>
          <w:sz w:val="18"/>
        </w:rPr>
        <w:t>M.,</w:t>
      </w:r>
      <w:r>
        <w:rPr>
          <w:color w:val="4C4D4F"/>
          <w:spacing w:val="-19"/>
          <w:w w:val="115"/>
          <w:sz w:val="18"/>
        </w:rPr>
        <w:t> </w:t>
      </w:r>
      <w:r>
        <w:rPr>
          <w:color w:val="4C4D4F"/>
          <w:w w:val="115"/>
          <w:sz w:val="18"/>
        </w:rPr>
        <w:t>Coyle,</w:t>
      </w:r>
      <w:r>
        <w:rPr>
          <w:color w:val="4C4D4F"/>
          <w:spacing w:val="-18"/>
          <w:w w:val="115"/>
          <w:sz w:val="18"/>
        </w:rPr>
        <w:t> </w:t>
      </w:r>
      <w:r>
        <w:rPr>
          <w:color w:val="4C4D4F"/>
          <w:w w:val="115"/>
          <w:sz w:val="18"/>
        </w:rPr>
        <w:t>M.</w:t>
      </w:r>
      <w:r>
        <w:rPr>
          <w:color w:val="4C4D4F"/>
          <w:spacing w:val="-19"/>
          <w:w w:val="115"/>
          <w:sz w:val="18"/>
        </w:rPr>
        <w:t> </w:t>
      </w:r>
      <w:r>
        <w:rPr>
          <w:color w:val="4C4D4F"/>
          <w:w w:val="115"/>
          <w:sz w:val="18"/>
        </w:rPr>
        <w:t>G.,</w:t>
      </w:r>
      <w:r>
        <w:rPr>
          <w:color w:val="4C4D4F"/>
          <w:spacing w:val="-19"/>
          <w:w w:val="115"/>
          <w:sz w:val="18"/>
        </w:rPr>
        <w:t> </w:t>
      </w:r>
      <w:r>
        <w:rPr>
          <w:color w:val="4C4D4F"/>
          <w:w w:val="115"/>
          <w:sz w:val="18"/>
        </w:rPr>
        <w:t>Heil,</w:t>
      </w:r>
      <w:r>
        <w:rPr>
          <w:color w:val="4C4D4F"/>
          <w:spacing w:val="-18"/>
          <w:w w:val="115"/>
          <w:sz w:val="18"/>
        </w:rPr>
        <w:t> </w:t>
      </w:r>
      <w:r>
        <w:rPr>
          <w:color w:val="4C4D4F"/>
          <w:w w:val="115"/>
          <w:sz w:val="18"/>
        </w:rPr>
        <w:t>S. H.,</w:t>
      </w:r>
      <w:r>
        <w:rPr>
          <w:color w:val="4C4D4F"/>
          <w:spacing w:val="-14"/>
          <w:w w:val="115"/>
          <w:sz w:val="18"/>
        </w:rPr>
        <w:t> </w:t>
      </w:r>
      <w:r>
        <w:rPr>
          <w:color w:val="4C4D4F"/>
          <w:w w:val="115"/>
          <w:sz w:val="18"/>
        </w:rPr>
        <w:t>Salisbury,</w:t>
      </w:r>
      <w:r>
        <w:rPr>
          <w:color w:val="4C4D4F"/>
          <w:spacing w:val="-13"/>
          <w:w w:val="115"/>
          <w:sz w:val="18"/>
        </w:rPr>
        <w:t> </w:t>
      </w:r>
      <w:r>
        <w:rPr>
          <w:color w:val="4C4D4F"/>
          <w:w w:val="115"/>
          <w:sz w:val="18"/>
        </w:rPr>
        <w:t>A.</w:t>
      </w:r>
      <w:r>
        <w:rPr>
          <w:color w:val="4C4D4F"/>
          <w:spacing w:val="-13"/>
          <w:w w:val="115"/>
          <w:sz w:val="18"/>
        </w:rPr>
        <w:t> </w:t>
      </w:r>
      <w:r>
        <w:rPr>
          <w:color w:val="4C4D4F"/>
          <w:w w:val="115"/>
          <w:sz w:val="18"/>
        </w:rPr>
        <w:t>L.</w:t>
      </w:r>
      <w:r>
        <w:rPr>
          <w:color w:val="4C4D4F"/>
          <w:spacing w:val="-13"/>
          <w:w w:val="115"/>
          <w:sz w:val="18"/>
        </w:rPr>
        <w:t> </w:t>
      </w:r>
      <w:r>
        <w:rPr>
          <w:color w:val="4C4D4F"/>
          <w:w w:val="115"/>
          <w:sz w:val="18"/>
        </w:rPr>
        <w:t>Stine,</w:t>
      </w:r>
      <w:r>
        <w:rPr>
          <w:color w:val="4C4D4F"/>
          <w:spacing w:val="-14"/>
          <w:w w:val="115"/>
          <w:sz w:val="18"/>
        </w:rPr>
        <w:t> </w:t>
      </w:r>
      <w:r>
        <w:rPr>
          <w:color w:val="4C4D4F"/>
          <w:w w:val="115"/>
          <w:sz w:val="18"/>
        </w:rPr>
        <w:t>S.</w:t>
      </w:r>
      <w:r>
        <w:rPr>
          <w:color w:val="4C4D4F"/>
          <w:spacing w:val="-13"/>
          <w:w w:val="115"/>
          <w:sz w:val="18"/>
        </w:rPr>
        <w:t> </w:t>
      </w:r>
      <w:r>
        <w:rPr>
          <w:color w:val="4C4D4F"/>
          <w:w w:val="115"/>
          <w:sz w:val="18"/>
        </w:rPr>
        <w:t>M.,</w:t>
      </w:r>
      <w:r>
        <w:rPr>
          <w:color w:val="4C4D4F"/>
          <w:spacing w:val="-13"/>
          <w:w w:val="115"/>
          <w:sz w:val="18"/>
        </w:rPr>
        <w:t> </w:t>
      </w:r>
      <w:r>
        <w:rPr>
          <w:color w:val="4C4D4F"/>
          <w:w w:val="115"/>
          <w:sz w:val="18"/>
        </w:rPr>
        <w:t>…</w:t>
      </w:r>
      <w:r>
        <w:rPr>
          <w:color w:val="4C4D4F"/>
          <w:spacing w:val="-13"/>
          <w:w w:val="115"/>
          <w:sz w:val="18"/>
        </w:rPr>
        <w:t> </w:t>
      </w:r>
      <w:r>
        <w:rPr>
          <w:color w:val="4C4D4F"/>
          <w:w w:val="115"/>
          <w:sz w:val="18"/>
        </w:rPr>
        <w:t>Jones,</w:t>
      </w:r>
      <w:r>
        <w:rPr>
          <w:color w:val="4C4D4F"/>
          <w:spacing w:val="-14"/>
          <w:w w:val="115"/>
          <w:sz w:val="18"/>
        </w:rPr>
        <w:t> </w:t>
      </w:r>
      <w:r>
        <w:rPr>
          <w:color w:val="4C4D4F"/>
          <w:w w:val="115"/>
          <w:sz w:val="18"/>
        </w:rPr>
        <w:t>H.</w:t>
      </w:r>
      <w:r>
        <w:rPr>
          <w:color w:val="4C4D4F"/>
          <w:spacing w:val="-13"/>
          <w:w w:val="115"/>
          <w:sz w:val="18"/>
        </w:rPr>
        <w:t> </w:t>
      </w:r>
      <w:r>
        <w:rPr>
          <w:color w:val="4C4D4F"/>
          <w:w w:val="115"/>
          <w:sz w:val="18"/>
        </w:rPr>
        <w:t>E.</w:t>
      </w:r>
      <w:r>
        <w:rPr>
          <w:color w:val="4C4D4F"/>
          <w:spacing w:val="-13"/>
          <w:w w:val="115"/>
          <w:sz w:val="18"/>
        </w:rPr>
        <w:t> </w:t>
      </w:r>
      <w:r>
        <w:rPr>
          <w:color w:val="4C4D4F"/>
          <w:w w:val="115"/>
          <w:sz w:val="18"/>
        </w:rPr>
        <w:t>(2012). Predicting</w:t>
      </w:r>
      <w:r>
        <w:rPr>
          <w:color w:val="4C4D4F"/>
          <w:spacing w:val="-31"/>
          <w:w w:val="115"/>
          <w:sz w:val="18"/>
        </w:rPr>
        <w:t> </w:t>
      </w:r>
      <w:r>
        <w:rPr>
          <w:color w:val="4C4D4F"/>
          <w:w w:val="115"/>
          <w:sz w:val="18"/>
        </w:rPr>
        <w:t>treatment</w:t>
      </w:r>
      <w:r>
        <w:rPr>
          <w:color w:val="4C4D4F"/>
          <w:spacing w:val="-31"/>
          <w:w w:val="115"/>
          <w:sz w:val="18"/>
        </w:rPr>
        <w:t> </w:t>
      </w:r>
      <w:r>
        <w:rPr>
          <w:color w:val="4C4D4F"/>
          <w:w w:val="115"/>
          <w:sz w:val="18"/>
        </w:rPr>
        <w:t>for</w:t>
      </w:r>
      <w:r>
        <w:rPr>
          <w:color w:val="4C4D4F"/>
          <w:spacing w:val="-31"/>
          <w:w w:val="115"/>
          <w:sz w:val="18"/>
        </w:rPr>
        <w:t> </w:t>
      </w:r>
      <w:r>
        <w:rPr>
          <w:color w:val="4C4D4F"/>
          <w:w w:val="115"/>
          <w:sz w:val="18"/>
        </w:rPr>
        <w:t>neonatal</w:t>
      </w:r>
      <w:r>
        <w:rPr>
          <w:color w:val="4C4D4F"/>
          <w:spacing w:val="-30"/>
          <w:w w:val="115"/>
          <w:sz w:val="18"/>
        </w:rPr>
        <w:t> </w:t>
      </w:r>
      <w:r>
        <w:rPr>
          <w:color w:val="4C4D4F"/>
          <w:w w:val="115"/>
          <w:sz w:val="18"/>
        </w:rPr>
        <w:t>abstinence</w:t>
      </w:r>
      <w:r>
        <w:rPr>
          <w:color w:val="4C4D4F"/>
          <w:spacing w:val="-31"/>
          <w:w w:val="115"/>
          <w:sz w:val="18"/>
        </w:rPr>
        <w:t> </w:t>
      </w:r>
      <w:r>
        <w:rPr>
          <w:color w:val="4C4D4F"/>
          <w:spacing w:val="-3"/>
          <w:w w:val="115"/>
          <w:sz w:val="18"/>
        </w:rPr>
        <w:t>syndrome </w:t>
      </w:r>
      <w:r>
        <w:rPr>
          <w:color w:val="4C4D4F"/>
          <w:w w:val="115"/>
          <w:sz w:val="18"/>
        </w:rPr>
        <w:t>in</w:t>
      </w:r>
      <w:r>
        <w:rPr>
          <w:color w:val="4C4D4F"/>
          <w:spacing w:val="-20"/>
          <w:w w:val="115"/>
          <w:sz w:val="18"/>
        </w:rPr>
        <w:t> </w:t>
      </w:r>
      <w:r>
        <w:rPr>
          <w:color w:val="4C4D4F"/>
          <w:w w:val="115"/>
          <w:sz w:val="18"/>
        </w:rPr>
        <w:t>infants</w:t>
      </w:r>
      <w:r>
        <w:rPr>
          <w:color w:val="4C4D4F"/>
          <w:spacing w:val="-19"/>
          <w:w w:val="115"/>
          <w:sz w:val="18"/>
        </w:rPr>
        <w:t> </w:t>
      </w:r>
      <w:r>
        <w:rPr>
          <w:color w:val="4C4D4F"/>
          <w:w w:val="115"/>
          <w:sz w:val="18"/>
        </w:rPr>
        <w:t>born</w:t>
      </w:r>
      <w:r>
        <w:rPr>
          <w:color w:val="4C4D4F"/>
          <w:spacing w:val="-20"/>
          <w:w w:val="115"/>
          <w:sz w:val="18"/>
        </w:rPr>
        <w:t> </w:t>
      </w:r>
      <w:r>
        <w:rPr>
          <w:color w:val="4C4D4F"/>
          <w:w w:val="115"/>
          <w:sz w:val="18"/>
        </w:rPr>
        <w:t>to</w:t>
      </w:r>
      <w:r>
        <w:rPr>
          <w:color w:val="4C4D4F"/>
          <w:spacing w:val="-19"/>
          <w:w w:val="115"/>
          <w:sz w:val="18"/>
        </w:rPr>
        <w:t> </w:t>
      </w:r>
      <w:r>
        <w:rPr>
          <w:color w:val="4C4D4F"/>
          <w:w w:val="115"/>
          <w:sz w:val="18"/>
        </w:rPr>
        <w:t>women</w:t>
      </w:r>
      <w:r>
        <w:rPr>
          <w:color w:val="4C4D4F"/>
          <w:spacing w:val="-19"/>
          <w:w w:val="115"/>
          <w:sz w:val="18"/>
        </w:rPr>
        <w:t> </w:t>
      </w:r>
      <w:r>
        <w:rPr>
          <w:color w:val="4C4D4F"/>
          <w:w w:val="115"/>
          <w:sz w:val="18"/>
        </w:rPr>
        <w:t>maintained</w:t>
      </w:r>
      <w:r>
        <w:rPr>
          <w:color w:val="4C4D4F"/>
          <w:spacing w:val="-20"/>
          <w:w w:val="115"/>
          <w:sz w:val="18"/>
        </w:rPr>
        <w:t> </w:t>
      </w:r>
      <w:r>
        <w:rPr>
          <w:color w:val="4C4D4F"/>
          <w:w w:val="115"/>
          <w:sz w:val="18"/>
        </w:rPr>
        <w:t>on</w:t>
      </w:r>
      <w:r>
        <w:rPr>
          <w:color w:val="4C4D4F"/>
          <w:spacing w:val="-19"/>
          <w:w w:val="115"/>
          <w:sz w:val="18"/>
        </w:rPr>
        <w:t> </w:t>
      </w:r>
      <w:r>
        <w:rPr>
          <w:color w:val="4C4D4F"/>
          <w:w w:val="115"/>
          <w:sz w:val="18"/>
        </w:rPr>
        <w:t>opioid</w:t>
      </w:r>
      <w:r>
        <w:rPr>
          <w:color w:val="4C4D4F"/>
          <w:spacing w:val="-19"/>
          <w:w w:val="115"/>
          <w:sz w:val="18"/>
        </w:rPr>
        <w:t> </w:t>
      </w:r>
      <w:r>
        <w:rPr>
          <w:color w:val="4C4D4F"/>
          <w:w w:val="115"/>
          <w:sz w:val="18"/>
        </w:rPr>
        <w:t>agonist medication.</w:t>
      </w:r>
      <w:r>
        <w:rPr>
          <w:color w:val="4C4D4F"/>
          <w:spacing w:val="-16"/>
          <w:w w:val="115"/>
          <w:sz w:val="18"/>
        </w:rPr>
        <w:t> </w:t>
      </w:r>
      <w:r>
        <w:rPr>
          <w:rFonts w:ascii="Arial" w:hAnsi="Arial"/>
          <w:i/>
          <w:color w:val="4C4D4F"/>
          <w:w w:val="115"/>
          <w:sz w:val="18"/>
        </w:rPr>
        <w:t>Addiction,</w:t>
      </w:r>
      <w:r>
        <w:rPr>
          <w:rFonts w:ascii="Arial" w:hAnsi="Arial"/>
          <w:i/>
          <w:color w:val="4C4D4F"/>
          <w:spacing w:val="-15"/>
          <w:w w:val="115"/>
          <w:sz w:val="18"/>
        </w:rPr>
        <w:t> </w:t>
      </w:r>
      <w:r>
        <w:rPr>
          <w:rFonts w:ascii="Arial" w:hAnsi="Arial"/>
          <w:i/>
          <w:color w:val="4C4D4F"/>
          <w:w w:val="115"/>
          <w:sz w:val="18"/>
        </w:rPr>
        <w:t>107</w:t>
      </w:r>
      <w:r>
        <w:rPr>
          <w:color w:val="4C4D4F"/>
          <w:w w:val="115"/>
          <w:sz w:val="18"/>
        </w:rPr>
        <w:t>(Suppl.</w:t>
      </w:r>
      <w:r>
        <w:rPr>
          <w:color w:val="4C4D4F"/>
          <w:spacing w:val="-15"/>
          <w:w w:val="115"/>
          <w:sz w:val="18"/>
        </w:rPr>
        <w:t> </w:t>
      </w:r>
      <w:r>
        <w:rPr>
          <w:color w:val="4C4D4F"/>
          <w:w w:val="115"/>
          <w:sz w:val="18"/>
        </w:rPr>
        <w:t>1),</w:t>
      </w:r>
      <w:r>
        <w:rPr>
          <w:color w:val="4C4D4F"/>
          <w:spacing w:val="-16"/>
          <w:w w:val="115"/>
          <w:sz w:val="18"/>
        </w:rPr>
        <w:t> </w:t>
      </w:r>
      <w:r>
        <w:rPr>
          <w:color w:val="4C4D4F"/>
          <w:w w:val="115"/>
          <w:sz w:val="18"/>
        </w:rPr>
        <w:t>45–52.</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0"/>
          <w:sz w:val="18"/>
        </w:rPr>
        <w:t>McCance-Katz, E. </w:t>
      </w:r>
      <w:r>
        <w:rPr>
          <w:color w:val="4C4D4F"/>
          <w:spacing w:val="-10"/>
          <w:w w:val="110"/>
          <w:sz w:val="18"/>
        </w:rPr>
        <w:t>F.,  </w:t>
      </w:r>
      <w:r>
        <w:rPr>
          <w:color w:val="4C4D4F"/>
          <w:w w:val="110"/>
          <w:sz w:val="18"/>
        </w:rPr>
        <w:t>Sullivan, L. E., &amp; Nallani, S.</w:t>
      </w:r>
      <w:r>
        <w:rPr>
          <w:color w:val="4C4D4F"/>
          <w:spacing w:val="18"/>
          <w:w w:val="110"/>
          <w:sz w:val="18"/>
        </w:rPr>
        <w:t> </w:t>
      </w:r>
      <w:r>
        <w:rPr>
          <w:color w:val="4C4D4F"/>
          <w:w w:val="110"/>
          <w:sz w:val="18"/>
        </w:rPr>
        <w:t>(2010).</w:t>
      </w:r>
    </w:p>
    <w:p>
      <w:pPr>
        <w:spacing w:line="247" w:lineRule="auto" w:before="7"/>
        <w:ind w:left="500" w:right="149" w:firstLine="0"/>
        <w:jc w:val="left"/>
        <w:rPr>
          <w:sz w:val="18"/>
        </w:rPr>
      </w:pPr>
      <w:r>
        <w:rPr>
          <w:color w:val="4C4D4F"/>
          <w:w w:val="110"/>
          <w:sz w:val="18"/>
        </w:rPr>
        <w:t>Drug interactions of clinical importance among the opioids, methadone and buprenorphine, and other frequently prescribed medications: A review. </w:t>
      </w:r>
      <w:r>
        <w:rPr>
          <w:rFonts w:ascii="Arial" w:hAnsi="Arial"/>
          <w:i/>
          <w:color w:val="4C4D4F"/>
          <w:w w:val="110"/>
          <w:sz w:val="18"/>
        </w:rPr>
        <w:t>American </w:t>
      </w:r>
      <w:r>
        <w:rPr>
          <w:rFonts w:ascii="Arial" w:hAnsi="Arial"/>
          <w:i/>
          <w:color w:val="4C4D4F"/>
          <w:w w:val="110"/>
          <w:sz w:val="18"/>
        </w:rPr>
        <w:t>Journal on Addictions, 19</w:t>
      </w:r>
      <w:r>
        <w:rPr>
          <w:color w:val="4C4D4F"/>
          <w:w w:val="110"/>
          <w:sz w:val="18"/>
        </w:rPr>
        <w:t>(1), 4–16.</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10"/>
          <w:sz w:val="18"/>
        </w:rPr>
        <w:t>Center for Substance Abuse </w:t>
      </w:r>
      <w:r>
        <w:rPr>
          <w:color w:val="4C4D4F"/>
          <w:spacing w:val="-3"/>
          <w:w w:val="110"/>
          <w:sz w:val="18"/>
        </w:rPr>
        <w:t>Treatment.</w:t>
      </w:r>
      <w:r>
        <w:rPr>
          <w:color w:val="4C4D4F"/>
          <w:spacing w:val="-25"/>
          <w:w w:val="110"/>
          <w:sz w:val="18"/>
        </w:rPr>
        <w:t> </w:t>
      </w:r>
      <w:r>
        <w:rPr>
          <w:color w:val="4C4D4F"/>
          <w:w w:val="110"/>
          <w:sz w:val="18"/>
        </w:rPr>
        <w:t>(2004).</w:t>
      </w:r>
    </w:p>
    <w:p>
      <w:pPr>
        <w:spacing w:line="249" w:lineRule="auto" w:before="6"/>
        <w:ind w:left="500" w:right="0" w:firstLine="0"/>
        <w:jc w:val="left"/>
        <w:rPr>
          <w:sz w:val="18"/>
        </w:rPr>
      </w:pPr>
      <w:r>
        <w:rPr>
          <w:rFonts w:ascii="Arial"/>
          <w:i/>
          <w:color w:val="4C4D4F"/>
          <w:w w:val="105"/>
          <w:sz w:val="18"/>
        </w:rPr>
        <w:t>Clinical guidelines for the use of buprenorphine in the </w:t>
      </w:r>
      <w:r>
        <w:rPr>
          <w:rFonts w:ascii="Arial"/>
          <w:i/>
          <w:color w:val="4C4D4F"/>
          <w:w w:val="105"/>
          <w:sz w:val="18"/>
        </w:rPr>
        <w:t>treatment of opioid addiction. </w:t>
      </w:r>
      <w:r>
        <w:rPr>
          <w:color w:val="4C4D4F"/>
          <w:w w:val="105"/>
          <w:sz w:val="18"/>
        </w:rPr>
        <w:t>Treatment Improvement Protocol (TIP) Series 40. HHS Publication No. (SMA)</w:t>
      </w:r>
    </w:p>
    <w:p>
      <w:pPr>
        <w:spacing w:line="247" w:lineRule="auto" w:before="0"/>
        <w:ind w:left="500" w:right="0" w:firstLine="0"/>
        <w:jc w:val="left"/>
        <w:rPr>
          <w:sz w:val="18"/>
        </w:rPr>
      </w:pPr>
      <w:r>
        <w:rPr>
          <w:color w:val="4C4D4F"/>
          <w:w w:val="110"/>
          <w:sz w:val="18"/>
        </w:rPr>
        <w:t>04-3939. Rockville, MD: Substance Abuse and Mental Health Services Administration.</w:t>
      </w:r>
    </w:p>
    <w:p>
      <w:pPr>
        <w:pStyle w:val="ListParagraph"/>
        <w:numPr>
          <w:ilvl w:val="0"/>
          <w:numId w:val="51"/>
        </w:numPr>
        <w:tabs>
          <w:tab w:pos="500" w:val="left" w:leader="none"/>
        </w:tabs>
        <w:spacing w:line="247" w:lineRule="auto" w:before="72" w:after="0"/>
        <w:ind w:left="500" w:right="283" w:hanging="360"/>
        <w:jc w:val="left"/>
        <w:rPr>
          <w:color w:val="4C4D4F"/>
          <w:sz w:val="18"/>
        </w:rPr>
      </w:pPr>
      <w:r>
        <w:rPr>
          <w:color w:val="4C4D4F"/>
          <w:w w:val="110"/>
          <w:sz w:val="18"/>
        </w:rPr>
        <w:t>Indivior. (2016).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7" w:lineRule="auto" w:before="76" w:after="0"/>
        <w:ind w:left="500" w:right="521" w:hanging="360"/>
        <w:jc w:val="left"/>
        <w:rPr>
          <w:color w:val="4C4D4F"/>
          <w:sz w:val="18"/>
        </w:rPr>
      </w:pP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Morse, G. D., Ma, Q., DiFrancesco, R., Friedland, G., … Rainey,</w:t>
      </w:r>
      <w:r>
        <w:rPr>
          <w:color w:val="4C4D4F"/>
          <w:spacing w:val="14"/>
          <w:w w:val="110"/>
          <w:sz w:val="18"/>
        </w:rPr>
        <w:t> </w:t>
      </w:r>
      <w:r>
        <w:rPr>
          <w:color w:val="4C4D4F"/>
          <w:spacing w:val="-25"/>
          <w:w w:val="110"/>
          <w:sz w:val="18"/>
        </w:rPr>
        <w:t>P.</w:t>
      </w:r>
    </w:p>
    <w:p>
      <w:pPr>
        <w:spacing w:line="247" w:lineRule="auto" w:before="2"/>
        <w:ind w:left="500" w:right="529" w:firstLine="0"/>
        <w:jc w:val="both"/>
        <w:rPr>
          <w:sz w:val="18"/>
        </w:rPr>
      </w:pPr>
      <w:r>
        <w:rPr>
          <w:color w:val="4C4D4F"/>
          <w:w w:val="110"/>
          <w:sz w:val="18"/>
        </w:rPr>
        <w:t>M. (2007). Interaction between buprenorphine and atazanavir</w:t>
      </w:r>
      <w:r>
        <w:rPr>
          <w:color w:val="4C4D4F"/>
          <w:spacing w:val="-22"/>
          <w:w w:val="110"/>
          <w:sz w:val="18"/>
        </w:rPr>
        <w:t> </w:t>
      </w:r>
      <w:r>
        <w:rPr>
          <w:color w:val="4C4D4F"/>
          <w:w w:val="110"/>
          <w:sz w:val="18"/>
        </w:rPr>
        <w:t>or</w:t>
      </w:r>
      <w:r>
        <w:rPr>
          <w:color w:val="4C4D4F"/>
          <w:spacing w:val="-22"/>
          <w:w w:val="110"/>
          <w:sz w:val="18"/>
        </w:rPr>
        <w:t> </w:t>
      </w:r>
      <w:r>
        <w:rPr>
          <w:color w:val="4C4D4F"/>
          <w:w w:val="110"/>
          <w:sz w:val="18"/>
        </w:rPr>
        <w:t>atazanavir/ritonavir.</w:t>
      </w:r>
      <w:r>
        <w:rPr>
          <w:color w:val="4C4D4F"/>
          <w:spacing w:val="-22"/>
          <w:w w:val="110"/>
          <w:sz w:val="18"/>
        </w:rPr>
        <w:t> </w:t>
      </w:r>
      <w:r>
        <w:rPr>
          <w:rFonts w:ascii="Arial" w:hAnsi="Arial"/>
          <w:i/>
          <w:color w:val="4C4D4F"/>
          <w:w w:val="110"/>
          <w:sz w:val="18"/>
        </w:rPr>
        <w:t>Drug</w:t>
      </w:r>
      <w:r>
        <w:rPr>
          <w:rFonts w:ascii="Arial" w:hAnsi="Arial"/>
          <w:i/>
          <w:color w:val="4C4D4F"/>
          <w:spacing w:val="-22"/>
          <w:w w:val="110"/>
          <w:sz w:val="18"/>
        </w:rPr>
        <w:t> </w:t>
      </w:r>
      <w:r>
        <w:rPr>
          <w:rFonts w:ascii="Arial" w:hAnsi="Arial"/>
          <w:i/>
          <w:color w:val="4C4D4F"/>
          <w:w w:val="110"/>
          <w:sz w:val="18"/>
        </w:rPr>
        <w:t>and</w:t>
      </w:r>
      <w:r>
        <w:rPr>
          <w:rFonts w:ascii="Arial" w:hAnsi="Arial"/>
          <w:i/>
          <w:color w:val="4C4D4F"/>
          <w:spacing w:val="-22"/>
          <w:w w:val="110"/>
          <w:sz w:val="18"/>
        </w:rPr>
        <w:t> </w:t>
      </w:r>
      <w:r>
        <w:rPr>
          <w:rFonts w:ascii="Arial" w:hAnsi="Arial"/>
          <w:i/>
          <w:color w:val="4C4D4F"/>
          <w:spacing w:val="-3"/>
          <w:w w:val="110"/>
          <w:sz w:val="18"/>
        </w:rPr>
        <w:t>Alcohol </w:t>
      </w:r>
      <w:r>
        <w:rPr>
          <w:rFonts w:ascii="Arial" w:hAnsi="Arial"/>
          <w:i/>
          <w:color w:val="4C4D4F"/>
          <w:w w:val="110"/>
          <w:sz w:val="18"/>
        </w:rPr>
        <w:t>Dependence, 91</w:t>
      </w:r>
      <w:r>
        <w:rPr>
          <w:color w:val="4C4D4F"/>
          <w:w w:val="110"/>
          <w:sz w:val="18"/>
        </w:rPr>
        <w:t>(2–3),</w:t>
      </w:r>
      <w:r>
        <w:rPr>
          <w:color w:val="4C4D4F"/>
          <w:spacing w:val="-18"/>
          <w:w w:val="110"/>
          <w:sz w:val="18"/>
        </w:rPr>
        <w:t> </w:t>
      </w:r>
      <w:r>
        <w:rPr>
          <w:color w:val="4C4D4F"/>
          <w:w w:val="110"/>
          <w:sz w:val="18"/>
        </w:rPr>
        <w:t>269–278.</w:t>
      </w:r>
    </w:p>
    <w:p>
      <w:pPr>
        <w:pStyle w:val="ListParagraph"/>
        <w:numPr>
          <w:ilvl w:val="0"/>
          <w:numId w:val="51"/>
        </w:numPr>
        <w:tabs>
          <w:tab w:pos="500" w:val="left" w:leader="none"/>
        </w:tabs>
        <w:spacing w:line="247" w:lineRule="auto" w:before="72" w:after="0"/>
        <w:ind w:left="500" w:right="442" w:hanging="360"/>
        <w:jc w:val="left"/>
        <w:rPr>
          <w:color w:val="4C4D4F"/>
          <w:sz w:val="18"/>
        </w:rPr>
      </w:pPr>
      <w:r>
        <w:rPr>
          <w:color w:val="4C4D4F"/>
          <w:w w:val="110"/>
          <w:sz w:val="18"/>
        </w:rPr>
        <w:t>Bruce, R. D., &amp; Altice, </w:t>
      </w:r>
      <w:r>
        <w:rPr>
          <w:color w:val="4C4D4F"/>
          <w:spacing w:val="-15"/>
          <w:w w:val="110"/>
          <w:sz w:val="18"/>
        </w:rPr>
        <w:t>F. </w:t>
      </w:r>
      <w:r>
        <w:rPr>
          <w:color w:val="4C4D4F"/>
          <w:w w:val="110"/>
          <w:sz w:val="18"/>
        </w:rPr>
        <w:t>L. (2006). Three case reports of a clinical pharmacokinetic interaction</w:t>
      </w:r>
      <w:r>
        <w:rPr>
          <w:color w:val="4C4D4F"/>
          <w:spacing w:val="-32"/>
          <w:w w:val="110"/>
          <w:sz w:val="18"/>
        </w:rPr>
        <w:t> </w:t>
      </w:r>
      <w:r>
        <w:rPr>
          <w:color w:val="4C4D4F"/>
          <w:spacing w:val="-5"/>
          <w:w w:val="110"/>
          <w:sz w:val="18"/>
        </w:rPr>
        <w:t>with </w:t>
      </w:r>
      <w:r>
        <w:rPr>
          <w:color w:val="4C4D4F"/>
          <w:w w:val="110"/>
          <w:sz w:val="18"/>
        </w:rPr>
        <w:t>buprenorphine and atazanavir plus ritonavir. </w:t>
      </w:r>
      <w:r>
        <w:rPr>
          <w:rFonts w:ascii="Arial" w:hAnsi="Arial"/>
          <w:i/>
          <w:color w:val="4C4D4F"/>
          <w:w w:val="110"/>
          <w:sz w:val="18"/>
        </w:rPr>
        <w:t>AIDS, </w:t>
      </w:r>
      <w:r>
        <w:rPr>
          <w:rFonts w:ascii="Arial" w:hAnsi="Arial"/>
          <w:i/>
          <w:color w:val="4C4D4F"/>
          <w:w w:val="110"/>
          <w:sz w:val="18"/>
        </w:rPr>
        <w:t>20</w:t>
      </w:r>
      <w:r>
        <w:rPr>
          <w:color w:val="4C4D4F"/>
          <w:w w:val="110"/>
          <w:sz w:val="18"/>
        </w:rPr>
        <w:t>(5),</w:t>
      </w:r>
      <w:r>
        <w:rPr>
          <w:color w:val="4C4D4F"/>
          <w:spacing w:val="-6"/>
          <w:w w:val="110"/>
          <w:sz w:val="18"/>
        </w:rPr>
        <w:t> </w:t>
      </w:r>
      <w:r>
        <w:rPr>
          <w:color w:val="4C4D4F"/>
          <w:w w:val="110"/>
          <w:sz w:val="18"/>
        </w:rPr>
        <w:t>783–784.</w:t>
      </w:r>
    </w:p>
    <w:p>
      <w:pPr>
        <w:spacing w:after="0" w:line="247" w:lineRule="auto"/>
        <w:jc w:val="left"/>
        <w:rPr>
          <w:sz w:val="18"/>
        </w:rPr>
        <w:sectPr>
          <w:type w:val="continuous"/>
          <w:pgSz w:w="12240" w:h="15840"/>
          <w:pgMar w:top="540" w:bottom="280" w:left="940" w:right="920"/>
          <w:cols w:num="2" w:equalWidth="0">
            <w:col w:w="4990" w:space="230"/>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175" w:hanging="360"/>
        <w:jc w:val="left"/>
        <w:rPr>
          <w:color w:val="4C4D4F"/>
          <w:sz w:val="18"/>
        </w:rPr>
      </w:pPr>
      <w:r>
        <w:rPr>
          <w:color w:val="4C4D4F"/>
          <w:w w:val="120"/>
          <w:sz w:val="18"/>
        </w:rPr>
        <w:t>Vergara-Rodriguez,</w:t>
      </w:r>
      <w:r>
        <w:rPr>
          <w:color w:val="4C4D4F"/>
          <w:spacing w:val="-43"/>
          <w:w w:val="120"/>
          <w:sz w:val="18"/>
        </w:rPr>
        <w:t> </w:t>
      </w:r>
      <w:r>
        <w:rPr>
          <w:color w:val="4C4D4F"/>
          <w:spacing w:val="-11"/>
          <w:w w:val="120"/>
          <w:sz w:val="18"/>
        </w:rPr>
        <w:t>P.,</w:t>
      </w:r>
      <w:r>
        <w:rPr>
          <w:color w:val="4C4D4F"/>
          <w:spacing w:val="-43"/>
          <w:w w:val="120"/>
          <w:sz w:val="18"/>
        </w:rPr>
        <w:t> </w:t>
      </w:r>
      <w:r>
        <w:rPr>
          <w:color w:val="4C4D4F"/>
          <w:spacing w:val="-4"/>
          <w:w w:val="120"/>
          <w:sz w:val="18"/>
        </w:rPr>
        <w:t>Tozzi,</w:t>
      </w:r>
      <w:r>
        <w:rPr>
          <w:color w:val="4C4D4F"/>
          <w:spacing w:val="-43"/>
          <w:w w:val="120"/>
          <w:sz w:val="18"/>
        </w:rPr>
        <w:t> </w:t>
      </w:r>
      <w:r>
        <w:rPr>
          <w:color w:val="4C4D4F"/>
          <w:w w:val="120"/>
          <w:sz w:val="18"/>
        </w:rPr>
        <w:t>M.</w:t>
      </w:r>
      <w:r>
        <w:rPr>
          <w:color w:val="4C4D4F"/>
          <w:spacing w:val="-43"/>
          <w:w w:val="120"/>
          <w:sz w:val="18"/>
        </w:rPr>
        <w:t> </w:t>
      </w:r>
      <w:r>
        <w:rPr>
          <w:color w:val="4C4D4F"/>
          <w:w w:val="120"/>
          <w:sz w:val="18"/>
        </w:rPr>
        <w:t>J.,</w:t>
      </w:r>
      <w:r>
        <w:rPr>
          <w:color w:val="4C4D4F"/>
          <w:spacing w:val="-43"/>
          <w:w w:val="120"/>
          <w:sz w:val="18"/>
        </w:rPr>
        <w:t> </w:t>
      </w:r>
      <w:r>
        <w:rPr>
          <w:color w:val="4C4D4F"/>
          <w:w w:val="120"/>
          <w:sz w:val="18"/>
        </w:rPr>
        <w:t>Botsko,</w:t>
      </w:r>
      <w:r>
        <w:rPr>
          <w:color w:val="4C4D4F"/>
          <w:spacing w:val="-43"/>
          <w:w w:val="120"/>
          <w:sz w:val="18"/>
        </w:rPr>
        <w:t> </w:t>
      </w:r>
      <w:r>
        <w:rPr>
          <w:color w:val="4C4D4F"/>
          <w:w w:val="120"/>
          <w:sz w:val="18"/>
        </w:rPr>
        <w:t>M.,</w:t>
      </w:r>
      <w:r>
        <w:rPr>
          <w:color w:val="4C4D4F"/>
          <w:spacing w:val="-43"/>
          <w:w w:val="120"/>
          <w:sz w:val="18"/>
        </w:rPr>
        <w:t> </w:t>
      </w:r>
      <w:r>
        <w:rPr>
          <w:color w:val="4C4D4F"/>
          <w:spacing w:val="-3"/>
          <w:w w:val="120"/>
          <w:sz w:val="18"/>
        </w:rPr>
        <w:t>Nandi, </w:t>
      </w:r>
      <w:r>
        <w:rPr>
          <w:color w:val="4C4D4F"/>
          <w:spacing w:val="-8"/>
          <w:w w:val="120"/>
          <w:sz w:val="18"/>
        </w:rPr>
        <w:t>V.,</w:t>
      </w:r>
      <w:r>
        <w:rPr>
          <w:color w:val="4C4D4F"/>
          <w:spacing w:val="-19"/>
          <w:w w:val="120"/>
          <w:sz w:val="18"/>
        </w:rPr>
        <w:t> </w:t>
      </w:r>
      <w:r>
        <w:rPr>
          <w:color w:val="4C4D4F"/>
          <w:w w:val="120"/>
          <w:sz w:val="18"/>
        </w:rPr>
        <w:t>Altice,</w:t>
      </w:r>
      <w:r>
        <w:rPr>
          <w:color w:val="4C4D4F"/>
          <w:spacing w:val="-19"/>
          <w:w w:val="120"/>
          <w:sz w:val="18"/>
        </w:rPr>
        <w:t> </w:t>
      </w:r>
      <w:r>
        <w:rPr>
          <w:color w:val="4C4D4F"/>
          <w:spacing w:val="-10"/>
          <w:w w:val="120"/>
          <w:sz w:val="18"/>
        </w:rPr>
        <w:t>F.,</w:t>
      </w:r>
      <w:r>
        <w:rPr>
          <w:color w:val="4C4D4F"/>
          <w:spacing w:val="-19"/>
          <w:w w:val="120"/>
          <w:sz w:val="18"/>
        </w:rPr>
        <w:t> </w:t>
      </w:r>
      <w:r>
        <w:rPr>
          <w:color w:val="4C4D4F"/>
          <w:w w:val="120"/>
          <w:sz w:val="18"/>
        </w:rPr>
        <w:t>Egan,</w:t>
      </w:r>
      <w:r>
        <w:rPr>
          <w:color w:val="4C4D4F"/>
          <w:spacing w:val="-19"/>
          <w:w w:val="120"/>
          <w:sz w:val="18"/>
        </w:rPr>
        <w:t> </w:t>
      </w:r>
      <w:r>
        <w:rPr>
          <w:color w:val="4C4D4F"/>
          <w:w w:val="135"/>
          <w:sz w:val="18"/>
        </w:rPr>
        <w:t>J.</w:t>
      </w:r>
      <w:r>
        <w:rPr>
          <w:color w:val="4C4D4F"/>
          <w:spacing w:val="-26"/>
          <w:w w:val="135"/>
          <w:sz w:val="18"/>
        </w:rPr>
        <w:t> </w:t>
      </w:r>
      <w:r>
        <w:rPr>
          <w:color w:val="4C4D4F"/>
          <w:w w:val="120"/>
          <w:sz w:val="18"/>
        </w:rPr>
        <w:t>E.,</w:t>
      </w:r>
      <w:r>
        <w:rPr>
          <w:color w:val="4C4D4F"/>
          <w:spacing w:val="-19"/>
          <w:w w:val="120"/>
          <w:sz w:val="18"/>
        </w:rPr>
        <w:t> </w:t>
      </w:r>
      <w:r>
        <w:rPr>
          <w:color w:val="4C4D4F"/>
          <w:w w:val="120"/>
          <w:sz w:val="18"/>
        </w:rPr>
        <w:t>…</w:t>
      </w:r>
      <w:r>
        <w:rPr>
          <w:color w:val="4C4D4F"/>
          <w:spacing w:val="-19"/>
          <w:w w:val="120"/>
          <w:sz w:val="18"/>
        </w:rPr>
        <w:t> </w:t>
      </w:r>
      <w:r>
        <w:rPr>
          <w:color w:val="4C4D4F"/>
          <w:w w:val="120"/>
          <w:sz w:val="18"/>
        </w:rPr>
        <w:t>Fiellin,</w:t>
      </w:r>
      <w:r>
        <w:rPr>
          <w:color w:val="4C4D4F"/>
          <w:spacing w:val="-19"/>
          <w:w w:val="120"/>
          <w:sz w:val="18"/>
        </w:rPr>
        <w:t> </w:t>
      </w:r>
      <w:r>
        <w:rPr>
          <w:color w:val="4C4D4F"/>
          <w:w w:val="120"/>
          <w:sz w:val="18"/>
        </w:rPr>
        <w:t>D.</w:t>
      </w:r>
      <w:r>
        <w:rPr>
          <w:color w:val="4C4D4F"/>
          <w:spacing w:val="-19"/>
          <w:w w:val="120"/>
          <w:sz w:val="18"/>
        </w:rPr>
        <w:t> </w:t>
      </w:r>
      <w:r>
        <w:rPr>
          <w:color w:val="4C4D4F"/>
          <w:w w:val="120"/>
          <w:sz w:val="18"/>
        </w:rPr>
        <w:t>A.</w:t>
      </w:r>
      <w:r>
        <w:rPr>
          <w:color w:val="4C4D4F"/>
          <w:spacing w:val="-19"/>
          <w:w w:val="120"/>
          <w:sz w:val="18"/>
        </w:rPr>
        <w:t> </w:t>
      </w:r>
      <w:r>
        <w:rPr>
          <w:color w:val="4C4D4F"/>
          <w:w w:val="120"/>
          <w:sz w:val="18"/>
        </w:rPr>
        <w:t>(2011).</w:t>
      </w:r>
    </w:p>
    <w:p>
      <w:pPr>
        <w:spacing w:line="247" w:lineRule="auto" w:before="2"/>
        <w:ind w:left="500" w:right="142" w:firstLine="0"/>
        <w:jc w:val="left"/>
        <w:rPr>
          <w:sz w:val="18"/>
        </w:rPr>
      </w:pPr>
      <w:r>
        <w:rPr>
          <w:color w:val="4C4D4F"/>
          <w:w w:val="110"/>
          <w:sz w:val="18"/>
        </w:rPr>
        <w:t>Hepatic safety and lack of antiretroviral interactions with buprenorphine/naloxone in HIV-infected opioid- dependent patients. </w:t>
      </w:r>
      <w:r>
        <w:rPr>
          <w:rFonts w:ascii="Arial" w:hAnsi="Arial"/>
          <w:i/>
          <w:color w:val="4C4D4F"/>
          <w:w w:val="110"/>
          <w:sz w:val="18"/>
        </w:rPr>
        <w:t>Journal of Acquired Immune </w:t>
      </w:r>
      <w:r>
        <w:rPr>
          <w:rFonts w:ascii="Arial" w:hAnsi="Arial"/>
          <w:i/>
          <w:color w:val="4C4D4F"/>
          <w:w w:val="110"/>
          <w:sz w:val="18"/>
        </w:rPr>
        <w:t>Deﬁciency Syndromes, 56</w:t>
      </w:r>
      <w:r>
        <w:rPr>
          <w:color w:val="4C4D4F"/>
          <w:w w:val="110"/>
          <w:sz w:val="18"/>
        </w:rPr>
        <w:t>(Suppl. 1), S62–S67.</w:t>
      </w:r>
    </w:p>
    <w:p>
      <w:pPr>
        <w:pStyle w:val="ListParagraph"/>
        <w:numPr>
          <w:ilvl w:val="0"/>
          <w:numId w:val="51"/>
        </w:numPr>
        <w:tabs>
          <w:tab w:pos="500" w:val="left" w:leader="none"/>
        </w:tabs>
        <w:spacing w:line="247" w:lineRule="auto" w:before="73" w:after="0"/>
        <w:ind w:left="500" w:right="116" w:hanging="360"/>
        <w:jc w:val="left"/>
        <w:rPr>
          <w:color w:val="4C4D4F"/>
          <w:sz w:val="18"/>
        </w:rPr>
      </w:pP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Prathikanti, S., Friedland, G., &amp; Rainey, </w:t>
      </w:r>
      <w:r>
        <w:rPr>
          <w:color w:val="4C4D4F"/>
          <w:spacing w:val="-17"/>
          <w:w w:val="110"/>
          <w:sz w:val="18"/>
        </w:rPr>
        <w:t>P.  </w:t>
      </w:r>
      <w:r>
        <w:rPr>
          <w:color w:val="4C4D4F"/>
          <w:w w:val="110"/>
          <w:sz w:val="18"/>
        </w:rPr>
        <w:t>M. (2011). Rifampin, but  not rifabutin, may produce opiate withdrawal in buprenorphine-maintained patients. </w:t>
      </w:r>
      <w:r>
        <w:rPr>
          <w:rFonts w:ascii="Arial" w:hAnsi="Arial"/>
          <w:i/>
          <w:color w:val="4C4D4F"/>
          <w:w w:val="110"/>
          <w:sz w:val="18"/>
        </w:rPr>
        <w:t>Drug and</w:t>
      </w:r>
      <w:r>
        <w:rPr>
          <w:rFonts w:ascii="Arial" w:hAnsi="Arial"/>
          <w:i/>
          <w:color w:val="4C4D4F"/>
          <w:spacing w:val="-32"/>
          <w:w w:val="110"/>
          <w:sz w:val="18"/>
        </w:rPr>
        <w:t> </w:t>
      </w:r>
      <w:r>
        <w:rPr>
          <w:rFonts w:ascii="Arial" w:hAnsi="Arial"/>
          <w:i/>
          <w:color w:val="4C4D4F"/>
          <w:spacing w:val="-3"/>
          <w:w w:val="110"/>
          <w:sz w:val="18"/>
        </w:rPr>
        <w:t>Alcohol </w:t>
      </w:r>
      <w:r>
        <w:rPr>
          <w:rFonts w:ascii="Arial" w:hAnsi="Arial"/>
          <w:i/>
          <w:color w:val="4C4D4F"/>
          <w:w w:val="110"/>
          <w:sz w:val="18"/>
        </w:rPr>
        <w:t>Dependence, 118</w:t>
      </w:r>
      <w:r>
        <w:rPr>
          <w:color w:val="4C4D4F"/>
          <w:w w:val="110"/>
          <w:sz w:val="18"/>
        </w:rPr>
        <w:t>(2–3),</w:t>
      </w:r>
      <w:r>
        <w:rPr>
          <w:color w:val="4C4D4F"/>
          <w:spacing w:val="-18"/>
          <w:w w:val="110"/>
          <w:sz w:val="18"/>
        </w:rPr>
        <w:t> </w:t>
      </w:r>
      <w:r>
        <w:rPr>
          <w:color w:val="4C4D4F"/>
          <w:w w:val="110"/>
          <w:sz w:val="18"/>
        </w:rPr>
        <w:t>326–334.</w:t>
      </w:r>
    </w:p>
    <w:p>
      <w:pPr>
        <w:pStyle w:val="ListParagraph"/>
        <w:numPr>
          <w:ilvl w:val="0"/>
          <w:numId w:val="51"/>
        </w:numPr>
        <w:tabs>
          <w:tab w:pos="500" w:val="left" w:leader="none"/>
        </w:tabs>
        <w:spacing w:line="247" w:lineRule="auto" w:before="74" w:after="0"/>
        <w:ind w:left="500" w:right="330" w:hanging="360"/>
        <w:jc w:val="left"/>
        <w:rPr>
          <w:color w:val="4C4D4F"/>
          <w:sz w:val="18"/>
        </w:rPr>
      </w:pPr>
      <w:r>
        <w:rPr>
          <w:color w:val="4C4D4F"/>
          <w:w w:val="115"/>
          <w:sz w:val="18"/>
        </w:rPr>
        <w:t>Roxane Laboratories. (2015). Buprenorphine HCl sublingual tablets: Full prescribing information. Retrieved October 16, 2017, from</w:t>
      </w:r>
      <w:r>
        <w:rPr>
          <w:color w:val="205E9E"/>
          <w:w w:val="115"/>
          <w:sz w:val="18"/>
        </w:rPr>
        <w:t> </w:t>
      </w:r>
      <w:r>
        <w:rPr>
          <w:color w:val="205E9E"/>
          <w:w w:val="115"/>
          <w:sz w:val="18"/>
          <w:u w:val="single" w:color="205E9E"/>
        </w:rPr>
        <w:t>https:// dailymed.nlm.nih.gov/dailymed/drugInfo. </w:t>
      </w:r>
      <w:r>
        <w:rPr>
          <w:color w:val="205E9E"/>
          <w:w w:val="110"/>
          <w:sz w:val="18"/>
          <w:u w:val="single" w:color="205E9E"/>
        </w:rPr>
        <w:t>cfm?setid=1bf8b35a-b769-465c-a2f8-099868dfcd2f</w:t>
      </w:r>
    </w:p>
    <w:p>
      <w:pPr>
        <w:pStyle w:val="ListParagraph"/>
        <w:numPr>
          <w:ilvl w:val="0"/>
          <w:numId w:val="51"/>
        </w:numPr>
        <w:tabs>
          <w:tab w:pos="500" w:val="left" w:leader="none"/>
        </w:tabs>
        <w:spacing w:line="247" w:lineRule="auto" w:before="77" w:after="0"/>
        <w:ind w:left="500" w:right="368" w:hanging="360"/>
        <w:jc w:val="left"/>
        <w:rPr>
          <w:color w:val="4C4D4F"/>
          <w:sz w:val="18"/>
        </w:rPr>
      </w:pP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Morse, G. D., Ma, Q., DiFrancesco, R., Friedland, G., … Rainey,</w:t>
      </w:r>
      <w:r>
        <w:rPr>
          <w:color w:val="4C4D4F"/>
          <w:spacing w:val="14"/>
          <w:w w:val="110"/>
          <w:sz w:val="18"/>
        </w:rPr>
        <w:t> </w:t>
      </w:r>
      <w:r>
        <w:rPr>
          <w:color w:val="4C4D4F"/>
          <w:spacing w:val="-25"/>
          <w:w w:val="110"/>
          <w:sz w:val="18"/>
        </w:rPr>
        <w:t>P.</w:t>
      </w:r>
    </w:p>
    <w:p>
      <w:pPr>
        <w:spacing w:line="247" w:lineRule="auto" w:before="2"/>
        <w:ind w:left="500" w:right="376" w:firstLine="0"/>
        <w:jc w:val="both"/>
        <w:rPr>
          <w:sz w:val="18"/>
        </w:rPr>
      </w:pPr>
      <w:r>
        <w:rPr>
          <w:color w:val="4C4D4F"/>
          <w:w w:val="110"/>
          <w:sz w:val="18"/>
        </w:rPr>
        <w:t>M. (2007). Interaction between buprenorphine and atazanavir</w:t>
      </w:r>
      <w:r>
        <w:rPr>
          <w:color w:val="4C4D4F"/>
          <w:spacing w:val="-22"/>
          <w:w w:val="110"/>
          <w:sz w:val="18"/>
        </w:rPr>
        <w:t> </w:t>
      </w:r>
      <w:r>
        <w:rPr>
          <w:color w:val="4C4D4F"/>
          <w:w w:val="110"/>
          <w:sz w:val="18"/>
        </w:rPr>
        <w:t>or</w:t>
      </w:r>
      <w:r>
        <w:rPr>
          <w:color w:val="4C4D4F"/>
          <w:spacing w:val="-22"/>
          <w:w w:val="110"/>
          <w:sz w:val="18"/>
        </w:rPr>
        <w:t> </w:t>
      </w:r>
      <w:r>
        <w:rPr>
          <w:color w:val="4C4D4F"/>
          <w:w w:val="110"/>
          <w:sz w:val="18"/>
        </w:rPr>
        <w:t>atazanavir/ritonavir.</w:t>
      </w:r>
      <w:r>
        <w:rPr>
          <w:color w:val="4C4D4F"/>
          <w:spacing w:val="-22"/>
          <w:w w:val="110"/>
          <w:sz w:val="18"/>
        </w:rPr>
        <w:t> </w:t>
      </w:r>
      <w:r>
        <w:rPr>
          <w:rFonts w:ascii="Arial" w:hAnsi="Arial"/>
          <w:i/>
          <w:color w:val="4C4D4F"/>
          <w:w w:val="110"/>
          <w:sz w:val="18"/>
        </w:rPr>
        <w:t>Drug</w:t>
      </w:r>
      <w:r>
        <w:rPr>
          <w:rFonts w:ascii="Arial" w:hAnsi="Arial"/>
          <w:i/>
          <w:color w:val="4C4D4F"/>
          <w:spacing w:val="-21"/>
          <w:w w:val="110"/>
          <w:sz w:val="18"/>
        </w:rPr>
        <w:t> </w:t>
      </w:r>
      <w:r>
        <w:rPr>
          <w:rFonts w:ascii="Arial" w:hAnsi="Arial"/>
          <w:i/>
          <w:color w:val="4C4D4F"/>
          <w:w w:val="110"/>
          <w:sz w:val="18"/>
        </w:rPr>
        <w:t>and</w:t>
      </w:r>
      <w:r>
        <w:rPr>
          <w:rFonts w:ascii="Arial" w:hAnsi="Arial"/>
          <w:i/>
          <w:color w:val="4C4D4F"/>
          <w:spacing w:val="-22"/>
          <w:w w:val="110"/>
          <w:sz w:val="18"/>
        </w:rPr>
        <w:t> </w:t>
      </w:r>
      <w:r>
        <w:rPr>
          <w:rFonts w:ascii="Arial" w:hAnsi="Arial"/>
          <w:i/>
          <w:color w:val="4C4D4F"/>
          <w:spacing w:val="-3"/>
          <w:w w:val="110"/>
          <w:sz w:val="18"/>
        </w:rPr>
        <w:t>Alcohol </w:t>
      </w:r>
      <w:r>
        <w:rPr>
          <w:rFonts w:ascii="Arial" w:hAnsi="Arial"/>
          <w:i/>
          <w:color w:val="4C4D4F"/>
          <w:w w:val="110"/>
          <w:sz w:val="18"/>
        </w:rPr>
        <w:t>Dependence, 91</w:t>
      </w:r>
      <w:r>
        <w:rPr>
          <w:color w:val="4C4D4F"/>
          <w:w w:val="110"/>
          <w:sz w:val="18"/>
        </w:rPr>
        <w:t>(2–3),</w:t>
      </w:r>
      <w:r>
        <w:rPr>
          <w:color w:val="4C4D4F"/>
          <w:spacing w:val="-18"/>
          <w:w w:val="110"/>
          <w:sz w:val="18"/>
        </w:rPr>
        <w:t> </w:t>
      </w:r>
      <w:r>
        <w:rPr>
          <w:color w:val="4C4D4F"/>
          <w:w w:val="110"/>
          <w:sz w:val="18"/>
        </w:rPr>
        <w:t>269–278.</w:t>
      </w:r>
    </w:p>
    <w:p>
      <w:pPr>
        <w:pStyle w:val="ListParagraph"/>
        <w:numPr>
          <w:ilvl w:val="0"/>
          <w:numId w:val="51"/>
        </w:numPr>
        <w:tabs>
          <w:tab w:pos="500" w:val="left" w:leader="none"/>
        </w:tabs>
        <w:spacing w:line="247" w:lineRule="auto" w:before="71" w:after="0"/>
        <w:ind w:left="500" w:right="368" w:hanging="360"/>
        <w:jc w:val="both"/>
        <w:rPr>
          <w:color w:val="4C4D4F"/>
          <w:sz w:val="18"/>
        </w:rPr>
      </w:pP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Morse, G. D., Ma, Q., DiFrancesco, R., Friedland, G., … Rainey,</w:t>
      </w:r>
      <w:r>
        <w:rPr>
          <w:color w:val="4C4D4F"/>
          <w:spacing w:val="14"/>
          <w:w w:val="110"/>
          <w:sz w:val="18"/>
        </w:rPr>
        <w:t> </w:t>
      </w:r>
      <w:r>
        <w:rPr>
          <w:color w:val="4C4D4F"/>
          <w:spacing w:val="-25"/>
          <w:w w:val="110"/>
          <w:sz w:val="18"/>
        </w:rPr>
        <w:t>P.</w:t>
      </w:r>
    </w:p>
    <w:p>
      <w:pPr>
        <w:spacing w:line="247" w:lineRule="auto" w:before="2"/>
        <w:ind w:left="500" w:right="376" w:firstLine="0"/>
        <w:jc w:val="both"/>
        <w:rPr>
          <w:sz w:val="18"/>
        </w:rPr>
      </w:pPr>
      <w:r>
        <w:rPr>
          <w:color w:val="4C4D4F"/>
          <w:w w:val="110"/>
          <w:sz w:val="18"/>
        </w:rPr>
        <w:t>M. (2007). Interaction between buprenorphine and atazanavir</w:t>
      </w:r>
      <w:r>
        <w:rPr>
          <w:color w:val="4C4D4F"/>
          <w:spacing w:val="-22"/>
          <w:w w:val="110"/>
          <w:sz w:val="18"/>
        </w:rPr>
        <w:t> </w:t>
      </w:r>
      <w:r>
        <w:rPr>
          <w:color w:val="4C4D4F"/>
          <w:w w:val="110"/>
          <w:sz w:val="18"/>
        </w:rPr>
        <w:t>or</w:t>
      </w:r>
      <w:r>
        <w:rPr>
          <w:color w:val="4C4D4F"/>
          <w:spacing w:val="-22"/>
          <w:w w:val="110"/>
          <w:sz w:val="18"/>
        </w:rPr>
        <w:t> </w:t>
      </w:r>
      <w:r>
        <w:rPr>
          <w:color w:val="4C4D4F"/>
          <w:w w:val="110"/>
          <w:sz w:val="18"/>
        </w:rPr>
        <w:t>atazanavir/ritonavir.</w:t>
      </w:r>
      <w:r>
        <w:rPr>
          <w:color w:val="4C4D4F"/>
          <w:spacing w:val="-22"/>
          <w:w w:val="110"/>
          <w:sz w:val="18"/>
        </w:rPr>
        <w:t> </w:t>
      </w:r>
      <w:r>
        <w:rPr>
          <w:rFonts w:ascii="Arial" w:hAnsi="Arial"/>
          <w:i/>
          <w:color w:val="4C4D4F"/>
          <w:w w:val="110"/>
          <w:sz w:val="18"/>
        </w:rPr>
        <w:t>Drug</w:t>
      </w:r>
      <w:r>
        <w:rPr>
          <w:rFonts w:ascii="Arial" w:hAnsi="Arial"/>
          <w:i/>
          <w:color w:val="4C4D4F"/>
          <w:spacing w:val="-21"/>
          <w:w w:val="110"/>
          <w:sz w:val="18"/>
        </w:rPr>
        <w:t> </w:t>
      </w:r>
      <w:r>
        <w:rPr>
          <w:rFonts w:ascii="Arial" w:hAnsi="Arial"/>
          <w:i/>
          <w:color w:val="4C4D4F"/>
          <w:w w:val="110"/>
          <w:sz w:val="18"/>
        </w:rPr>
        <w:t>and</w:t>
      </w:r>
      <w:r>
        <w:rPr>
          <w:rFonts w:ascii="Arial" w:hAnsi="Arial"/>
          <w:i/>
          <w:color w:val="4C4D4F"/>
          <w:spacing w:val="-22"/>
          <w:w w:val="110"/>
          <w:sz w:val="18"/>
        </w:rPr>
        <w:t> </w:t>
      </w:r>
      <w:r>
        <w:rPr>
          <w:rFonts w:ascii="Arial" w:hAnsi="Arial"/>
          <w:i/>
          <w:color w:val="4C4D4F"/>
          <w:spacing w:val="-3"/>
          <w:w w:val="110"/>
          <w:sz w:val="18"/>
        </w:rPr>
        <w:t>Alcohol </w:t>
      </w:r>
      <w:r>
        <w:rPr>
          <w:rFonts w:ascii="Arial" w:hAnsi="Arial"/>
          <w:i/>
          <w:color w:val="4C4D4F"/>
          <w:w w:val="110"/>
          <w:sz w:val="18"/>
        </w:rPr>
        <w:t>Dependence, 91</w:t>
      </w:r>
      <w:r>
        <w:rPr>
          <w:color w:val="4C4D4F"/>
          <w:w w:val="110"/>
          <w:sz w:val="18"/>
        </w:rPr>
        <w:t>(2–3),</w:t>
      </w:r>
      <w:r>
        <w:rPr>
          <w:color w:val="4C4D4F"/>
          <w:spacing w:val="-18"/>
          <w:w w:val="110"/>
          <w:sz w:val="18"/>
        </w:rPr>
        <w:t> </w:t>
      </w:r>
      <w:r>
        <w:rPr>
          <w:color w:val="4C4D4F"/>
          <w:w w:val="110"/>
          <w:sz w:val="18"/>
        </w:rPr>
        <w:t>269–278.</w:t>
      </w:r>
    </w:p>
    <w:p>
      <w:pPr>
        <w:pStyle w:val="ListParagraph"/>
        <w:numPr>
          <w:ilvl w:val="0"/>
          <w:numId w:val="51"/>
        </w:numPr>
        <w:tabs>
          <w:tab w:pos="500" w:val="left" w:leader="none"/>
        </w:tabs>
        <w:spacing w:line="240" w:lineRule="auto" w:before="72" w:after="0"/>
        <w:ind w:left="500" w:right="0" w:hanging="360"/>
        <w:jc w:val="both"/>
        <w:rPr>
          <w:color w:val="4C4D4F"/>
          <w:sz w:val="18"/>
        </w:rPr>
      </w:pPr>
      <w:r>
        <w:rPr>
          <w:color w:val="4C4D4F"/>
          <w:w w:val="110"/>
          <w:sz w:val="18"/>
        </w:rPr>
        <w:t>Bruce, R. D., </w:t>
      </w:r>
      <w:r>
        <w:rPr>
          <w:color w:val="4C4D4F"/>
          <w:spacing w:val="-3"/>
          <w:w w:val="110"/>
          <w:sz w:val="18"/>
        </w:rPr>
        <w:t>Moody, </w:t>
      </w:r>
      <w:r>
        <w:rPr>
          <w:color w:val="4C4D4F"/>
          <w:w w:val="110"/>
          <w:sz w:val="18"/>
        </w:rPr>
        <w:t>D. E., Altice, </w:t>
      </w:r>
      <w:r>
        <w:rPr>
          <w:color w:val="4C4D4F"/>
          <w:spacing w:val="-15"/>
          <w:w w:val="110"/>
          <w:sz w:val="18"/>
        </w:rPr>
        <w:t>F. </w:t>
      </w:r>
      <w:r>
        <w:rPr>
          <w:color w:val="4C4D4F"/>
          <w:w w:val="110"/>
          <w:sz w:val="18"/>
        </w:rPr>
        <w:t>L.,</w:t>
      </w:r>
      <w:r>
        <w:rPr>
          <w:color w:val="4C4D4F"/>
          <w:spacing w:val="-6"/>
          <w:w w:val="110"/>
          <w:sz w:val="18"/>
        </w:rPr>
        <w:t> </w:t>
      </w:r>
      <w:r>
        <w:rPr>
          <w:color w:val="4C4D4F"/>
          <w:w w:val="110"/>
          <w:sz w:val="18"/>
        </w:rPr>
        <w:t>Gourevitch,</w:t>
      </w:r>
    </w:p>
    <w:p>
      <w:pPr>
        <w:spacing w:line="247" w:lineRule="auto" w:before="7"/>
        <w:ind w:left="500" w:right="67" w:firstLine="0"/>
        <w:jc w:val="left"/>
        <w:rPr>
          <w:sz w:val="18"/>
        </w:rPr>
      </w:pPr>
      <w:r>
        <w:rPr>
          <w:color w:val="4C4D4F"/>
          <w:w w:val="115"/>
          <w:sz w:val="18"/>
        </w:rPr>
        <w:t>M. N., &amp; Friedland, G. H. (2013). A review of pharmacological</w:t>
      </w:r>
      <w:r>
        <w:rPr>
          <w:color w:val="4C4D4F"/>
          <w:spacing w:val="-34"/>
          <w:w w:val="115"/>
          <w:sz w:val="18"/>
        </w:rPr>
        <w:t> </w:t>
      </w:r>
      <w:r>
        <w:rPr>
          <w:color w:val="4C4D4F"/>
          <w:w w:val="115"/>
          <w:sz w:val="18"/>
        </w:rPr>
        <w:t>interactions</w:t>
      </w:r>
      <w:r>
        <w:rPr>
          <w:color w:val="4C4D4F"/>
          <w:spacing w:val="-33"/>
          <w:w w:val="115"/>
          <w:sz w:val="18"/>
        </w:rPr>
        <w:t> </w:t>
      </w:r>
      <w:r>
        <w:rPr>
          <w:color w:val="4C4D4F"/>
          <w:w w:val="115"/>
          <w:sz w:val="18"/>
        </w:rPr>
        <w:t>between</w:t>
      </w:r>
      <w:r>
        <w:rPr>
          <w:color w:val="4C4D4F"/>
          <w:spacing w:val="-33"/>
          <w:w w:val="115"/>
          <w:sz w:val="18"/>
        </w:rPr>
        <w:t> </w:t>
      </w:r>
      <w:r>
        <w:rPr>
          <w:color w:val="4C4D4F"/>
          <w:w w:val="115"/>
          <w:sz w:val="18"/>
        </w:rPr>
        <w:t>HIV</w:t>
      </w:r>
      <w:r>
        <w:rPr>
          <w:color w:val="4C4D4F"/>
          <w:spacing w:val="-33"/>
          <w:w w:val="115"/>
          <w:sz w:val="18"/>
        </w:rPr>
        <w:t> </w:t>
      </w:r>
      <w:r>
        <w:rPr>
          <w:color w:val="4C4D4F"/>
          <w:w w:val="115"/>
          <w:sz w:val="18"/>
        </w:rPr>
        <w:t>or</w:t>
      </w:r>
      <w:r>
        <w:rPr>
          <w:color w:val="4C4D4F"/>
          <w:spacing w:val="-34"/>
          <w:w w:val="115"/>
          <w:sz w:val="18"/>
        </w:rPr>
        <w:t> </w:t>
      </w:r>
      <w:r>
        <w:rPr>
          <w:color w:val="4C4D4F"/>
          <w:w w:val="115"/>
          <w:sz w:val="18"/>
        </w:rPr>
        <w:t>hepatitis C virus medications and opioid agonist therapy: Implications and management for clinical practice. </w:t>
      </w:r>
      <w:r>
        <w:rPr>
          <w:rFonts w:ascii="Arial" w:hAnsi="Arial"/>
          <w:i/>
          <w:color w:val="4C4D4F"/>
          <w:w w:val="105"/>
          <w:sz w:val="18"/>
        </w:rPr>
        <w:t>Expert</w:t>
      </w:r>
      <w:r>
        <w:rPr>
          <w:rFonts w:ascii="Arial" w:hAnsi="Arial"/>
          <w:i/>
          <w:color w:val="4C4D4F"/>
          <w:spacing w:val="-26"/>
          <w:w w:val="105"/>
          <w:sz w:val="18"/>
        </w:rPr>
        <w:t> </w:t>
      </w:r>
      <w:r>
        <w:rPr>
          <w:rFonts w:ascii="Arial" w:hAnsi="Arial"/>
          <w:i/>
          <w:color w:val="4C4D4F"/>
          <w:w w:val="105"/>
          <w:sz w:val="18"/>
        </w:rPr>
        <w:t>Review</w:t>
      </w:r>
      <w:r>
        <w:rPr>
          <w:rFonts w:ascii="Arial" w:hAnsi="Arial"/>
          <w:i/>
          <w:color w:val="4C4D4F"/>
          <w:spacing w:val="-26"/>
          <w:w w:val="105"/>
          <w:sz w:val="18"/>
        </w:rPr>
        <w:t> </w:t>
      </w:r>
      <w:r>
        <w:rPr>
          <w:rFonts w:ascii="Arial" w:hAnsi="Arial"/>
          <w:i/>
          <w:color w:val="4C4D4F"/>
          <w:w w:val="105"/>
          <w:sz w:val="18"/>
        </w:rPr>
        <w:t>of</w:t>
      </w:r>
      <w:r>
        <w:rPr>
          <w:rFonts w:ascii="Arial" w:hAnsi="Arial"/>
          <w:i/>
          <w:color w:val="4C4D4F"/>
          <w:spacing w:val="-25"/>
          <w:w w:val="105"/>
          <w:sz w:val="18"/>
        </w:rPr>
        <w:t> </w:t>
      </w:r>
      <w:r>
        <w:rPr>
          <w:rFonts w:ascii="Arial" w:hAnsi="Arial"/>
          <w:i/>
          <w:color w:val="4C4D4F"/>
          <w:w w:val="105"/>
          <w:sz w:val="18"/>
        </w:rPr>
        <w:t>Clinical</w:t>
      </w:r>
      <w:r>
        <w:rPr>
          <w:rFonts w:ascii="Arial" w:hAnsi="Arial"/>
          <w:i/>
          <w:color w:val="4C4D4F"/>
          <w:spacing w:val="-26"/>
          <w:w w:val="105"/>
          <w:sz w:val="18"/>
        </w:rPr>
        <w:t> </w:t>
      </w:r>
      <w:r>
        <w:rPr>
          <w:rFonts w:ascii="Arial" w:hAnsi="Arial"/>
          <w:i/>
          <w:color w:val="4C4D4F"/>
          <w:w w:val="105"/>
          <w:sz w:val="18"/>
        </w:rPr>
        <w:t>Pharmacology,</w:t>
      </w:r>
      <w:r>
        <w:rPr>
          <w:rFonts w:ascii="Arial" w:hAnsi="Arial"/>
          <w:i/>
          <w:color w:val="4C4D4F"/>
          <w:spacing w:val="-26"/>
          <w:w w:val="105"/>
          <w:sz w:val="18"/>
        </w:rPr>
        <w:t> </w:t>
      </w:r>
      <w:r>
        <w:rPr>
          <w:rFonts w:ascii="Arial" w:hAnsi="Arial"/>
          <w:i/>
          <w:color w:val="4C4D4F"/>
          <w:w w:val="105"/>
          <w:sz w:val="18"/>
        </w:rPr>
        <w:t>6</w:t>
      </w:r>
      <w:r>
        <w:rPr>
          <w:color w:val="4C4D4F"/>
          <w:w w:val="105"/>
          <w:sz w:val="18"/>
        </w:rPr>
        <w:t>(3),</w:t>
      </w:r>
      <w:r>
        <w:rPr>
          <w:color w:val="4C4D4F"/>
          <w:spacing w:val="-25"/>
          <w:w w:val="105"/>
          <w:sz w:val="18"/>
        </w:rPr>
        <w:t> </w:t>
      </w:r>
      <w:r>
        <w:rPr>
          <w:color w:val="4C4D4F"/>
          <w:w w:val="105"/>
          <w:sz w:val="18"/>
        </w:rPr>
        <w:t>249–269.</w:t>
      </w:r>
    </w:p>
    <w:p>
      <w:pPr>
        <w:pStyle w:val="ListParagraph"/>
        <w:numPr>
          <w:ilvl w:val="0"/>
          <w:numId w:val="51"/>
        </w:numPr>
        <w:tabs>
          <w:tab w:pos="500" w:val="left" w:leader="none"/>
        </w:tabs>
        <w:spacing w:line="247" w:lineRule="auto" w:before="76" w:after="0"/>
        <w:ind w:left="500" w:right="280" w:hanging="360"/>
        <w:jc w:val="left"/>
        <w:rPr>
          <w:color w:val="4C4D4F"/>
          <w:sz w:val="18"/>
        </w:rPr>
      </w:pPr>
      <w:r>
        <w:rPr>
          <w:color w:val="4C4D4F"/>
          <w:w w:val="115"/>
          <w:sz w:val="18"/>
        </w:rPr>
        <w:t>Roxane Laboratories. (2015). Buprenorphine HCl sublingual tablets: Full prescribing information. Retrieved October 16, 2017, from</w:t>
      </w:r>
      <w:r>
        <w:rPr>
          <w:color w:val="205E9E"/>
          <w:w w:val="115"/>
          <w:sz w:val="18"/>
        </w:rPr>
        <w:t> </w:t>
      </w:r>
      <w:r>
        <w:rPr>
          <w:color w:val="205E9E"/>
          <w:w w:val="115"/>
          <w:sz w:val="18"/>
          <w:u w:val="single" w:color="205E9E"/>
        </w:rPr>
        <w:t>https:// dailymed.nlm.nih.gov/dailymed/drugInfo. </w:t>
      </w:r>
      <w:r>
        <w:rPr>
          <w:color w:val="205E9E"/>
          <w:w w:val="110"/>
          <w:sz w:val="18"/>
          <w:u w:val="single" w:color="205E9E"/>
        </w:rPr>
        <w:t>cfm?setid=1bf8b35a-b769-465c-a2f8-099868dfcd2f</w:t>
      </w:r>
      <w:r>
        <w:rPr>
          <w:color w:val="205E9E"/>
          <w:spacing w:val="-1"/>
          <w:sz w:val="18"/>
          <w:u w:val="single" w:color="205E9E"/>
        </w:rPr>
        <w:t> </w:t>
      </w:r>
    </w:p>
    <w:p>
      <w:pPr>
        <w:pStyle w:val="ListParagraph"/>
        <w:numPr>
          <w:ilvl w:val="0"/>
          <w:numId w:val="51"/>
        </w:numPr>
        <w:tabs>
          <w:tab w:pos="500" w:val="left" w:leader="none"/>
        </w:tabs>
        <w:spacing w:line="240" w:lineRule="auto" w:before="77" w:after="0"/>
        <w:ind w:left="500" w:right="0" w:hanging="360"/>
        <w:jc w:val="left"/>
        <w:rPr>
          <w:color w:val="4C4D4F"/>
          <w:sz w:val="18"/>
        </w:rPr>
      </w:pPr>
      <w:r>
        <w:rPr>
          <w:color w:val="4C4D4F"/>
          <w:w w:val="110"/>
          <w:sz w:val="18"/>
        </w:rPr>
        <w:t>Bruce, R. D., </w:t>
      </w:r>
      <w:r>
        <w:rPr>
          <w:color w:val="4C4D4F"/>
          <w:spacing w:val="-3"/>
          <w:w w:val="110"/>
          <w:sz w:val="18"/>
        </w:rPr>
        <w:t>Moody, </w:t>
      </w:r>
      <w:r>
        <w:rPr>
          <w:color w:val="4C4D4F"/>
          <w:w w:val="110"/>
          <w:sz w:val="18"/>
        </w:rPr>
        <w:t>D. E., Altice, </w:t>
      </w:r>
      <w:r>
        <w:rPr>
          <w:color w:val="4C4D4F"/>
          <w:spacing w:val="-15"/>
          <w:w w:val="110"/>
          <w:sz w:val="18"/>
        </w:rPr>
        <w:t>F. </w:t>
      </w:r>
      <w:r>
        <w:rPr>
          <w:color w:val="4C4D4F"/>
          <w:w w:val="110"/>
          <w:sz w:val="18"/>
        </w:rPr>
        <w:t>L.,</w:t>
      </w:r>
      <w:r>
        <w:rPr>
          <w:color w:val="4C4D4F"/>
          <w:spacing w:val="-6"/>
          <w:w w:val="110"/>
          <w:sz w:val="18"/>
        </w:rPr>
        <w:t> </w:t>
      </w:r>
      <w:r>
        <w:rPr>
          <w:color w:val="4C4D4F"/>
          <w:w w:val="110"/>
          <w:sz w:val="18"/>
        </w:rPr>
        <w:t>Gourevitch,</w:t>
      </w:r>
    </w:p>
    <w:p>
      <w:pPr>
        <w:spacing w:line="247" w:lineRule="auto" w:before="7"/>
        <w:ind w:left="500" w:right="67" w:firstLine="0"/>
        <w:jc w:val="left"/>
        <w:rPr>
          <w:sz w:val="18"/>
        </w:rPr>
      </w:pPr>
      <w:r>
        <w:rPr>
          <w:color w:val="4C4D4F"/>
          <w:w w:val="115"/>
          <w:sz w:val="18"/>
        </w:rPr>
        <w:t>M. N., &amp; Friedland, G. H. (2013). A review of pharmacological</w:t>
      </w:r>
      <w:r>
        <w:rPr>
          <w:color w:val="4C4D4F"/>
          <w:spacing w:val="-34"/>
          <w:w w:val="115"/>
          <w:sz w:val="18"/>
        </w:rPr>
        <w:t> </w:t>
      </w:r>
      <w:r>
        <w:rPr>
          <w:color w:val="4C4D4F"/>
          <w:w w:val="115"/>
          <w:sz w:val="18"/>
        </w:rPr>
        <w:t>interactions</w:t>
      </w:r>
      <w:r>
        <w:rPr>
          <w:color w:val="4C4D4F"/>
          <w:spacing w:val="-33"/>
          <w:w w:val="115"/>
          <w:sz w:val="18"/>
        </w:rPr>
        <w:t> </w:t>
      </w:r>
      <w:r>
        <w:rPr>
          <w:color w:val="4C4D4F"/>
          <w:w w:val="115"/>
          <w:sz w:val="18"/>
        </w:rPr>
        <w:t>between</w:t>
      </w:r>
      <w:r>
        <w:rPr>
          <w:color w:val="4C4D4F"/>
          <w:spacing w:val="-33"/>
          <w:w w:val="115"/>
          <w:sz w:val="18"/>
        </w:rPr>
        <w:t> </w:t>
      </w:r>
      <w:r>
        <w:rPr>
          <w:color w:val="4C4D4F"/>
          <w:w w:val="115"/>
          <w:sz w:val="18"/>
        </w:rPr>
        <w:t>HIV</w:t>
      </w:r>
      <w:r>
        <w:rPr>
          <w:color w:val="4C4D4F"/>
          <w:spacing w:val="-33"/>
          <w:w w:val="115"/>
          <w:sz w:val="18"/>
        </w:rPr>
        <w:t> </w:t>
      </w:r>
      <w:r>
        <w:rPr>
          <w:color w:val="4C4D4F"/>
          <w:w w:val="115"/>
          <w:sz w:val="18"/>
        </w:rPr>
        <w:t>or</w:t>
      </w:r>
      <w:r>
        <w:rPr>
          <w:color w:val="4C4D4F"/>
          <w:spacing w:val="-34"/>
          <w:w w:val="115"/>
          <w:sz w:val="18"/>
        </w:rPr>
        <w:t> </w:t>
      </w:r>
      <w:r>
        <w:rPr>
          <w:color w:val="4C4D4F"/>
          <w:w w:val="115"/>
          <w:sz w:val="18"/>
        </w:rPr>
        <w:t>hepatitis C virus medications and opioid agonist therapy: Implications and management for clinical practice. </w:t>
      </w:r>
      <w:r>
        <w:rPr>
          <w:rFonts w:ascii="Arial" w:hAnsi="Arial"/>
          <w:i/>
          <w:color w:val="4C4D4F"/>
          <w:w w:val="105"/>
          <w:sz w:val="18"/>
        </w:rPr>
        <w:t>Expert</w:t>
      </w:r>
      <w:r>
        <w:rPr>
          <w:rFonts w:ascii="Arial" w:hAnsi="Arial"/>
          <w:i/>
          <w:color w:val="4C4D4F"/>
          <w:spacing w:val="-26"/>
          <w:w w:val="105"/>
          <w:sz w:val="18"/>
        </w:rPr>
        <w:t> </w:t>
      </w:r>
      <w:r>
        <w:rPr>
          <w:rFonts w:ascii="Arial" w:hAnsi="Arial"/>
          <w:i/>
          <w:color w:val="4C4D4F"/>
          <w:w w:val="105"/>
          <w:sz w:val="18"/>
        </w:rPr>
        <w:t>Review</w:t>
      </w:r>
      <w:r>
        <w:rPr>
          <w:rFonts w:ascii="Arial" w:hAnsi="Arial"/>
          <w:i/>
          <w:color w:val="4C4D4F"/>
          <w:spacing w:val="-26"/>
          <w:w w:val="105"/>
          <w:sz w:val="18"/>
        </w:rPr>
        <w:t> </w:t>
      </w:r>
      <w:r>
        <w:rPr>
          <w:rFonts w:ascii="Arial" w:hAnsi="Arial"/>
          <w:i/>
          <w:color w:val="4C4D4F"/>
          <w:w w:val="105"/>
          <w:sz w:val="18"/>
        </w:rPr>
        <w:t>of</w:t>
      </w:r>
      <w:r>
        <w:rPr>
          <w:rFonts w:ascii="Arial" w:hAnsi="Arial"/>
          <w:i/>
          <w:color w:val="4C4D4F"/>
          <w:spacing w:val="-25"/>
          <w:w w:val="105"/>
          <w:sz w:val="18"/>
        </w:rPr>
        <w:t> </w:t>
      </w:r>
      <w:r>
        <w:rPr>
          <w:rFonts w:ascii="Arial" w:hAnsi="Arial"/>
          <w:i/>
          <w:color w:val="4C4D4F"/>
          <w:w w:val="105"/>
          <w:sz w:val="18"/>
        </w:rPr>
        <w:t>Clinical</w:t>
      </w:r>
      <w:r>
        <w:rPr>
          <w:rFonts w:ascii="Arial" w:hAnsi="Arial"/>
          <w:i/>
          <w:color w:val="4C4D4F"/>
          <w:spacing w:val="-26"/>
          <w:w w:val="105"/>
          <w:sz w:val="18"/>
        </w:rPr>
        <w:t> </w:t>
      </w:r>
      <w:r>
        <w:rPr>
          <w:rFonts w:ascii="Arial" w:hAnsi="Arial"/>
          <w:i/>
          <w:color w:val="4C4D4F"/>
          <w:w w:val="105"/>
          <w:sz w:val="18"/>
        </w:rPr>
        <w:t>Pharmacology,</w:t>
      </w:r>
      <w:r>
        <w:rPr>
          <w:rFonts w:ascii="Arial" w:hAnsi="Arial"/>
          <w:i/>
          <w:color w:val="4C4D4F"/>
          <w:spacing w:val="-26"/>
          <w:w w:val="105"/>
          <w:sz w:val="18"/>
        </w:rPr>
        <w:t> </w:t>
      </w:r>
      <w:r>
        <w:rPr>
          <w:rFonts w:ascii="Arial" w:hAnsi="Arial"/>
          <w:i/>
          <w:color w:val="4C4D4F"/>
          <w:w w:val="105"/>
          <w:sz w:val="18"/>
        </w:rPr>
        <w:t>6</w:t>
      </w:r>
      <w:r>
        <w:rPr>
          <w:color w:val="4C4D4F"/>
          <w:w w:val="105"/>
          <w:sz w:val="18"/>
        </w:rPr>
        <w:t>(3),</w:t>
      </w:r>
      <w:r>
        <w:rPr>
          <w:color w:val="4C4D4F"/>
          <w:spacing w:val="-25"/>
          <w:w w:val="105"/>
          <w:sz w:val="18"/>
        </w:rPr>
        <w:t> </w:t>
      </w:r>
      <w:r>
        <w:rPr>
          <w:color w:val="4C4D4F"/>
          <w:w w:val="105"/>
          <w:sz w:val="18"/>
        </w:rPr>
        <w:t>249–269.</w:t>
      </w:r>
    </w:p>
    <w:p>
      <w:pPr>
        <w:pStyle w:val="ListParagraph"/>
        <w:numPr>
          <w:ilvl w:val="0"/>
          <w:numId w:val="51"/>
        </w:numPr>
        <w:tabs>
          <w:tab w:pos="500" w:val="left" w:leader="none"/>
        </w:tabs>
        <w:spacing w:line="247" w:lineRule="auto" w:before="76" w:after="0"/>
        <w:ind w:left="500" w:right="38" w:hanging="360"/>
        <w:jc w:val="left"/>
        <w:rPr>
          <w:color w:val="4C4D4F"/>
          <w:sz w:val="18"/>
        </w:rPr>
      </w:pPr>
      <w:r>
        <w:rPr>
          <w:color w:val="4C4D4F"/>
          <w:spacing w:val="-3"/>
          <w:w w:val="110"/>
          <w:sz w:val="18"/>
        </w:rPr>
        <w:t>Gruber, </w:t>
      </w:r>
      <w:r>
        <w:rPr>
          <w:color w:val="4C4D4F"/>
          <w:spacing w:val="-12"/>
          <w:w w:val="110"/>
          <w:sz w:val="18"/>
        </w:rPr>
        <w:t>V. </w:t>
      </w:r>
      <w:r>
        <w:rPr>
          <w:color w:val="4C4D4F"/>
          <w:w w:val="110"/>
          <w:sz w:val="18"/>
        </w:rPr>
        <w:t>A., Rainey, </w:t>
      </w:r>
      <w:r>
        <w:rPr>
          <w:color w:val="4C4D4F"/>
          <w:spacing w:val="-17"/>
          <w:w w:val="110"/>
          <w:sz w:val="18"/>
        </w:rPr>
        <w:t>P. </w:t>
      </w:r>
      <w:r>
        <w:rPr>
          <w:color w:val="4C4D4F"/>
          <w:w w:val="110"/>
          <w:sz w:val="18"/>
        </w:rPr>
        <w:t>M., </w:t>
      </w:r>
      <w:r>
        <w:rPr>
          <w:color w:val="4C4D4F"/>
          <w:spacing w:val="-3"/>
          <w:w w:val="110"/>
          <w:sz w:val="18"/>
        </w:rPr>
        <w:t>Moody, </w:t>
      </w:r>
      <w:r>
        <w:rPr>
          <w:color w:val="4C4D4F"/>
          <w:w w:val="110"/>
          <w:sz w:val="18"/>
        </w:rPr>
        <w:t>D. E., Morse, G. </w:t>
      </w:r>
      <w:r>
        <w:rPr>
          <w:color w:val="4C4D4F"/>
          <w:spacing w:val="-5"/>
          <w:w w:val="110"/>
          <w:sz w:val="18"/>
        </w:rPr>
        <w:t>D., </w:t>
      </w:r>
      <w:r>
        <w:rPr>
          <w:color w:val="4C4D4F"/>
          <w:w w:val="110"/>
          <w:sz w:val="18"/>
        </w:rPr>
        <w:t>Ma, Q., Prathikanti, S., … McCance-Katz, E. </w:t>
      </w:r>
      <w:r>
        <w:rPr>
          <w:color w:val="4C4D4F"/>
          <w:spacing w:val="-15"/>
          <w:w w:val="110"/>
          <w:sz w:val="18"/>
        </w:rPr>
        <w:t>F. </w:t>
      </w:r>
      <w:r>
        <w:rPr>
          <w:color w:val="4C4D4F"/>
          <w:w w:val="110"/>
          <w:sz w:val="18"/>
        </w:rPr>
        <w:t>(2012). Interactions between buprenorphine and the protease inhibitors darunavir-ritonavir and fosamprenavir- </w:t>
      </w:r>
      <w:r>
        <w:rPr>
          <w:color w:val="4C4D4F"/>
          <w:w w:val="105"/>
          <w:sz w:val="18"/>
        </w:rPr>
        <w:t>ritonavir.</w:t>
      </w:r>
      <w:r>
        <w:rPr>
          <w:color w:val="4C4D4F"/>
          <w:spacing w:val="-16"/>
          <w:w w:val="105"/>
          <w:sz w:val="18"/>
        </w:rPr>
        <w:t> </w:t>
      </w:r>
      <w:r>
        <w:rPr>
          <w:rFonts w:ascii="Arial" w:hAnsi="Arial"/>
          <w:i/>
          <w:color w:val="4C4D4F"/>
          <w:w w:val="105"/>
          <w:sz w:val="18"/>
        </w:rPr>
        <w:t>Clinical</w:t>
      </w:r>
      <w:r>
        <w:rPr>
          <w:rFonts w:ascii="Arial" w:hAnsi="Arial"/>
          <w:i/>
          <w:color w:val="4C4D4F"/>
          <w:spacing w:val="-15"/>
          <w:w w:val="105"/>
          <w:sz w:val="18"/>
        </w:rPr>
        <w:t> </w:t>
      </w:r>
      <w:r>
        <w:rPr>
          <w:rFonts w:ascii="Arial" w:hAnsi="Arial"/>
          <w:i/>
          <w:color w:val="4C4D4F"/>
          <w:w w:val="105"/>
          <w:sz w:val="18"/>
        </w:rPr>
        <w:t>Infectious</w:t>
      </w:r>
      <w:r>
        <w:rPr>
          <w:rFonts w:ascii="Arial" w:hAnsi="Arial"/>
          <w:i/>
          <w:color w:val="4C4D4F"/>
          <w:spacing w:val="-15"/>
          <w:w w:val="105"/>
          <w:sz w:val="18"/>
        </w:rPr>
        <w:t> </w:t>
      </w:r>
      <w:r>
        <w:rPr>
          <w:rFonts w:ascii="Arial" w:hAnsi="Arial"/>
          <w:i/>
          <w:color w:val="4C4D4F"/>
          <w:w w:val="105"/>
          <w:sz w:val="18"/>
        </w:rPr>
        <w:t>Diseases,</w:t>
      </w:r>
      <w:r>
        <w:rPr>
          <w:rFonts w:ascii="Arial" w:hAnsi="Arial"/>
          <w:i/>
          <w:color w:val="4C4D4F"/>
          <w:spacing w:val="-15"/>
          <w:w w:val="105"/>
          <w:sz w:val="18"/>
        </w:rPr>
        <w:t> </w:t>
      </w:r>
      <w:r>
        <w:rPr>
          <w:rFonts w:ascii="Arial" w:hAnsi="Arial"/>
          <w:i/>
          <w:color w:val="4C4D4F"/>
          <w:w w:val="105"/>
          <w:sz w:val="18"/>
        </w:rPr>
        <w:t>54</w:t>
      </w:r>
      <w:r>
        <w:rPr>
          <w:color w:val="4C4D4F"/>
          <w:w w:val="105"/>
          <w:sz w:val="18"/>
        </w:rPr>
        <w:t>(3),</w:t>
      </w:r>
      <w:r>
        <w:rPr>
          <w:color w:val="4C4D4F"/>
          <w:spacing w:val="-16"/>
          <w:w w:val="105"/>
          <w:sz w:val="18"/>
        </w:rPr>
        <w:t> </w:t>
      </w:r>
      <w:r>
        <w:rPr>
          <w:color w:val="4C4D4F"/>
          <w:w w:val="105"/>
          <w:sz w:val="18"/>
        </w:rPr>
        <w:t>414–423.</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0"/>
          <w:sz w:val="18"/>
        </w:rPr>
        <w:t>Bruce, R. D., </w:t>
      </w:r>
      <w:r>
        <w:rPr>
          <w:color w:val="4C4D4F"/>
          <w:spacing w:val="-3"/>
          <w:w w:val="110"/>
          <w:sz w:val="18"/>
        </w:rPr>
        <w:t>Moody, </w:t>
      </w:r>
      <w:r>
        <w:rPr>
          <w:color w:val="4C4D4F"/>
          <w:w w:val="110"/>
          <w:sz w:val="18"/>
        </w:rPr>
        <w:t>D. E., Altice, </w:t>
      </w:r>
      <w:r>
        <w:rPr>
          <w:color w:val="4C4D4F"/>
          <w:spacing w:val="-15"/>
          <w:w w:val="110"/>
          <w:sz w:val="18"/>
        </w:rPr>
        <w:t>F. </w:t>
      </w:r>
      <w:r>
        <w:rPr>
          <w:color w:val="4C4D4F"/>
          <w:w w:val="110"/>
          <w:sz w:val="18"/>
        </w:rPr>
        <w:t>L.,</w:t>
      </w:r>
      <w:r>
        <w:rPr>
          <w:color w:val="4C4D4F"/>
          <w:spacing w:val="-6"/>
          <w:w w:val="110"/>
          <w:sz w:val="18"/>
        </w:rPr>
        <w:t> </w:t>
      </w:r>
      <w:r>
        <w:rPr>
          <w:color w:val="4C4D4F"/>
          <w:w w:val="110"/>
          <w:sz w:val="18"/>
        </w:rPr>
        <w:t>Gourevitch,</w:t>
      </w:r>
    </w:p>
    <w:p>
      <w:pPr>
        <w:spacing w:line="247" w:lineRule="auto" w:before="7"/>
        <w:ind w:left="500" w:right="67" w:firstLine="0"/>
        <w:jc w:val="left"/>
        <w:rPr>
          <w:sz w:val="18"/>
        </w:rPr>
      </w:pPr>
      <w:r>
        <w:rPr>
          <w:color w:val="4C4D4F"/>
          <w:w w:val="115"/>
          <w:sz w:val="18"/>
        </w:rPr>
        <w:t>M. N., &amp; Friedland, G. H. (2013). A review of pharmacological</w:t>
      </w:r>
      <w:r>
        <w:rPr>
          <w:color w:val="4C4D4F"/>
          <w:spacing w:val="-34"/>
          <w:w w:val="115"/>
          <w:sz w:val="18"/>
        </w:rPr>
        <w:t> </w:t>
      </w:r>
      <w:r>
        <w:rPr>
          <w:color w:val="4C4D4F"/>
          <w:w w:val="115"/>
          <w:sz w:val="18"/>
        </w:rPr>
        <w:t>interactions</w:t>
      </w:r>
      <w:r>
        <w:rPr>
          <w:color w:val="4C4D4F"/>
          <w:spacing w:val="-33"/>
          <w:w w:val="115"/>
          <w:sz w:val="18"/>
        </w:rPr>
        <w:t> </w:t>
      </w:r>
      <w:r>
        <w:rPr>
          <w:color w:val="4C4D4F"/>
          <w:w w:val="115"/>
          <w:sz w:val="18"/>
        </w:rPr>
        <w:t>between</w:t>
      </w:r>
      <w:r>
        <w:rPr>
          <w:color w:val="4C4D4F"/>
          <w:spacing w:val="-33"/>
          <w:w w:val="115"/>
          <w:sz w:val="18"/>
        </w:rPr>
        <w:t> </w:t>
      </w:r>
      <w:r>
        <w:rPr>
          <w:color w:val="4C4D4F"/>
          <w:w w:val="115"/>
          <w:sz w:val="18"/>
        </w:rPr>
        <w:t>HIV</w:t>
      </w:r>
      <w:r>
        <w:rPr>
          <w:color w:val="4C4D4F"/>
          <w:spacing w:val="-33"/>
          <w:w w:val="115"/>
          <w:sz w:val="18"/>
        </w:rPr>
        <w:t> </w:t>
      </w:r>
      <w:r>
        <w:rPr>
          <w:color w:val="4C4D4F"/>
          <w:w w:val="115"/>
          <w:sz w:val="18"/>
        </w:rPr>
        <w:t>or</w:t>
      </w:r>
      <w:r>
        <w:rPr>
          <w:color w:val="4C4D4F"/>
          <w:spacing w:val="-34"/>
          <w:w w:val="115"/>
          <w:sz w:val="18"/>
        </w:rPr>
        <w:t> </w:t>
      </w:r>
      <w:r>
        <w:rPr>
          <w:color w:val="4C4D4F"/>
          <w:w w:val="115"/>
          <w:sz w:val="18"/>
        </w:rPr>
        <w:t>hepatitis C virus medications and opioid agonist therapy: Implications and management for clinical practice. </w:t>
      </w:r>
      <w:r>
        <w:rPr>
          <w:rFonts w:ascii="Arial" w:hAnsi="Arial"/>
          <w:i/>
          <w:color w:val="4C4D4F"/>
          <w:w w:val="105"/>
          <w:sz w:val="18"/>
        </w:rPr>
        <w:t>Expert</w:t>
      </w:r>
      <w:r>
        <w:rPr>
          <w:rFonts w:ascii="Arial" w:hAnsi="Arial"/>
          <w:i/>
          <w:color w:val="4C4D4F"/>
          <w:spacing w:val="-26"/>
          <w:w w:val="105"/>
          <w:sz w:val="18"/>
        </w:rPr>
        <w:t> </w:t>
      </w:r>
      <w:r>
        <w:rPr>
          <w:rFonts w:ascii="Arial" w:hAnsi="Arial"/>
          <w:i/>
          <w:color w:val="4C4D4F"/>
          <w:w w:val="105"/>
          <w:sz w:val="18"/>
        </w:rPr>
        <w:t>Review</w:t>
      </w:r>
      <w:r>
        <w:rPr>
          <w:rFonts w:ascii="Arial" w:hAnsi="Arial"/>
          <w:i/>
          <w:color w:val="4C4D4F"/>
          <w:spacing w:val="-26"/>
          <w:w w:val="105"/>
          <w:sz w:val="18"/>
        </w:rPr>
        <w:t> </w:t>
      </w:r>
      <w:r>
        <w:rPr>
          <w:rFonts w:ascii="Arial" w:hAnsi="Arial"/>
          <w:i/>
          <w:color w:val="4C4D4F"/>
          <w:w w:val="105"/>
          <w:sz w:val="18"/>
        </w:rPr>
        <w:t>of</w:t>
      </w:r>
      <w:r>
        <w:rPr>
          <w:rFonts w:ascii="Arial" w:hAnsi="Arial"/>
          <w:i/>
          <w:color w:val="4C4D4F"/>
          <w:spacing w:val="-25"/>
          <w:w w:val="105"/>
          <w:sz w:val="18"/>
        </w:rPr>
        <w:t> </w:t>
      </w:r>
      <w:r>
        <w:rPr>
          <w:rFonts w:ascii="Arial" w:hAnsi="Arial"/>
          <w:i/>
          <w:color w:val="4C4D4F"/>
          <w:w w:val="105"/>
          <w:sz w:val="18"/>
        </w:rPr>
        <w:t>Clinical</w:t>
      </w:r>
      <w:r>
        <w:rPr>
          <w:rFonts w:ascii="Arial" w:hAnsi="Arial"/>
          <w:i/>
          <w:color w:val="4C4D4F"/>
          <w:spacing w:val="-26"/>
          <w:w w:val="105"/>
          <w:sz w:val="18"/>
        </w:rPr>
        <w:t> </w:t>
      </w:r>
      <w:r>
        <w:rPr>
          <w:rFonts w:ascii="Arial" w:hAnsi="Arial"/>
          <w:i/>
          <w:color w:val="4C4D4F"/>
          <w:w w:val="105"/>
          <w:sz w:val="18"/>
        </w:rPr>
        <w:t>Pharmacology,</w:t>
      </w:r>
      <w:r>
        <w:rPr>
          <w:rFonts w:ascii="Arial" w:hAnsi="Arial"/>
          <w:i/>
          <w:color w:val="4C4D4F"/>
          <w:spacing w:val="-26"/>
          <w:w w:val="105"/>
          <w:sz w:val="18"/>
        </w:rPr>
        <w:t> </w:t>
      </w:r>
      <w:r>
        <w:rPr>
          <w:rFonts w:ascii="Arial" w:hAnsi="Arial"/>
          <w:i/>
          <w:color w:val="4C4D4F"/>
          <w:w w:val="105"/>
          <w:sz w:val="18"/>
        </w:rPr>
        <w:t>6</w:t>
      </w:r>
      <w:r>
        <w:rPr>
          <w:color w:val="4C4D4F"/>
          <w:w w:val="105"/>
          <w:sz w:val="18"/>
        </w:rPr>
        <w:t>(3),</w:t>
      </w:r>
      <w:r>
        <w:rPr>
          <w:color w:val="4C4D4F"/>
          <w:spacing w:val="-25"/>
          <w:w w:val="105"/>
          <w:sz w:val="18"/>
        </w:rPr>
        <w:t> </w:t>
      </w:r>
      <w:r>
        <w:rPr>
          <w:color w:val="4C4D4F"/>
          <w:w w:val="105"/>
          <w:sz w:val="18"/>
        </w:rPr>
        <w:t>249–269.</w:t>
      </w: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10"/>
          <w:sz w:val="18"/>
        </w:rPr>
        <w:br w:type="column"/>
      </w: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Morse, G.</w:t>
      </w:r>
      <w:r>
        <w:rPr>
          <w:color w:val="4C4D4F"/>
          <w:spacing w:val="-1"/>
          <w:w w:val="110"/>
          <w:sz w:val="18"/>
        </w:rPr>
        <w:t> </w:t>
      </w:r>
      <w:r>
        <w:rPr>
          <w:color w:val="4C4D4F"/>
          <w:w w:val="110"/>
          <w:sz w:val="18"/>
        </w:rPr>
        <w:t>D.,</w:t>
      </w:r>
    </w:p>
    <w:p>
      <w:pPr>
        <w:spacing w:line="247" w:lineRule="auto" w:before="7"/>
        <w:ind w:left="500" w:right="77" w:firstLine="0"/>
        <w:jc w:val="left"/>
        <w:rPr>
          <w:sz w:val="18"/>
        </w:rPr>
      </w:pPr>
      <w:r>
        <w:rPr>
          <w:color w:val="4C4D4F"/>
          <w:w w:val="115"/>
          <w:sz w:val="18"/>
        </w:rPr>
        <w:t>Friedland, G., Pade, </w:t>
      </w:r>
      <w:r>
        <w:rPr>
          <w:color w:val="4C4D4F"/>
          <w:spacing w:val="-12"/>
          <w:w w:val="115"/>
          <w:sz w:val="18"/>
        </w:rPr>
        <w:t>P., </w:t>
      </w:r>
      <w:r>
        <w:rPr>
          <w:color w:val="4C4D4F"/>
          <w:spacing w:val="-4"/>
          <w:w w:val="115"/>
          <w:sz w:val="18"/>
        </w:rPr>
        <w:t>Baker, </w:t>
      </w:r>
      <w:r>
        <w:rPr>
          <w:color w:val="4C4D4F"/>
          <w:w w:val="120"/>
          <w:sz w:val="18"/>
        </w:rPr>
        <w:t>J., </w:t>
      </w:r>
      <w:r>
        <w:rPr>
          <w:color w:val="4C4D4F"/>
          <w:w w:val="115"/>
          <w:sz w:val="18"/>
        </w:rPr>
        <w:t>… </w:t>
      </w:r>
      <w:r>
        <w:rPr>
          <w:color w:val="4C4D4F"/>
          <w:spacing w:val="-3"/>
          <w:w w:val="115"/>
          <w:sz w:val="18"/>
        </w:rPr>
        <w:t>Rainey, </w:t>
      </w:r>
      <w:r>
        <w:rPr>
          <w:color w:val="4C4D4F"/>
          <w:spacing w:val="-17"/>
          <w:w w:val="115"/>
          <w:sz w:val="18"/>
        </w:rPr>
        <w:t>P. </w:t>
      </w:r>
      <w:r>
        <w:rPr>
          <w:color w:val="4C4D4F"/>
          <w:w w:val="115"/>
          <w:sz w:val="18"/>
        </w:rPr>
        <w:t>M. (2006). </w:t>
      </w:r>
      <w:r>
        <w:rPr>
          <w:color w:val="4C4D4F"/>
          <w:w w:val="110"/>
          <w:sz w:val="18"/>
        </w:rPr>
        <w:t>Interactions between buprenorphine and antiretrovirals.</w:t>
      </w:r>
    </w:p>
    <w:p>
      <w:pPr>
        <w:spacing w:line="247" w:lineRule="auto" w:before="2"/>
        <w:ind w:left="500" w:right="0" w:firstLine="0"/>
        <w:jc w:val="left"/>
        <w:rPr>
          <w:sz w:val="18"/>
        </w:rPr>
      </w:pPr>
      <w:r>
        <w:rPr>
          <w:color w:val="4C4D4F"/>
          <w:w w:val="110"/>
          <w:sz w:val="18"/>
        </w:rPr>
        <w:t>I. The nonnucleoside reverse-transcriptase inhibitors </w:t>
      </w:r>
      <w:r>
        <w:rPr>
          <w:color w:val="4C4D4F"/>
          <w:w w:val="105"/>
          <w:sz w:val="18"/>
        </w:rPr>
        <w:t>efavirenz and delavirdine. </w:t>
      </w:r>
      <w:r>
        <w:rPr>
          <w:rFonts w:ascii="Arial" w:hAnsi="Arial"/>
          <w:i/>
          <w:color w:val="4C4D4F"/>
          <w:w w:val="105"/>
          <w:sz w:val="18"/>
        </w:rPr>
        <w:t>Clinical Infectious Diseases, </w:t>
      </w:r>
      <w:r>
        <w:rPr>
          <w:rFonts w:ascii="Arial" w:hAnsi="Arial"/>
          <w:i/>
          <w:color w:val="4C4D4F"/>
          <w:w w:val="110"/>
          <w:sz w:val="18"/>
        </w:rPr>
        <w:t>43</w:t>
      </w:r>
      <w:r>
        <w:rPr>
          <w:color w:val="4C4D4F"/>
          <w:w w:val="110"/>
          <w:sz w:val="18"/>
        </w:rPr>
        <w:t>(Suppl. 4), S224–S234.</w:t>
      </w:r>
    </w:p>
    <w:p>
      <w:pPr>
        <w:pStyle w:val="ListParagraph"/>
        <w:numPr>
          <w:ilvl w:val="0"/>
          <w:numId w:val="51"/>
        </w:numPr>
        <w:tabs>
          <w:tab w:pos="500" w:val="left" w:leader="none"/>
        </w:tabs>
        <w:spacing w:line="240" w:lineRule="auto" w:before="72" w:after="0"/>
        <w:ind w:left="500" w:right="0" w:hanging="360"/>
        <w:jc w:val="left"/>
        <w:rPr>
          <w:color w:val="4C4D4F"/>
          <w:sz w:val="18"/>
        </w:rPr>
      </w:pP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Morse, G.</w:t>
      </w:r>
      <w:r>
        <w:rPr>
          <w:color w:val="4C4D4F"/>
          <w:spacing w:val="-1"/>
          <w:w w:val="110"/>
          <w:sz w:val="18"/>
        </w:rPr>
        <w:t> </w:t>
      </w:r>
      <w:r>
        <w:rPr>
          <w:color w:val="4C4D4F"/>
          <w:w w:val="110"/>
          <w:sz w:val="18"/>
        </w:rPr>
        <w:t>D.,</w:t>
      </w:r>
    </w:p>
    <w:p>
      <w:pPr>
        <w:spacing w:line="247" w:lineRule="auto" w:before="7"/>
        <w:ind w:left="500" w:right="77" w:firstLine="0"/>
        <w:jc w:val="left"/>
        <w:rPr>
          <w:sz w:val="18"/>
        </w:rPr>
      </w:pPr>
      <w:r>
        <w:rPr>
          <w:color w:val="4C4D4F"/>
          <w:w w:val="115"/>
          <w:sz w:val="18"/>
        </w:rPr>
        <w:t>Friedland, G., Pade, </w:t>
      </w:r>
      <w:r>
        <w:rPr>
          <w:color w:val="4C4D4F"/>
          <w:spacing w:val="-12"/>
          <w:w w:val="115"/>
          <w:sz w:val="18"/>
        </w:rPr>
        <w:t>P., </w:t>
      </w:r>
      <w:r>
        <w:rPr>
          <w:color w:val="4C4D4F"/>
          <w:spacing w:val="-4"/>
          <w:w w:val="115"/>
          <w:sz w:val="18"/>
        </w:rPr>
        <w:t>Baker, </w:t>
      </w:r>
      <w:r>
        <w:rPr>
          <w:color w:val="4C4D4F"/>
          <w:w w:val="120"/>
          <w:sz w:val="18"/>
        </w:rPr>
        <w:t>J., </w:t>
      </w:r>
      <w:r>
        <w:rPr>
          <w:color w:val="4C4D4F"/>
          <w:w w:val="115"/>
          <w:sz w:val="18"/>
        </w:rPr>
        <w:t>… </w:t>
      </w:r>
      <w:r>
        <w:rPr>
          <w:color w:val="4C4D4F"/>
          <w:spacing w:val="-3"/>
          <w:w w:val="115"/>
          <w:sz w:val="18"/>
        </w:rPr>
        <w:t>Rainey, </w:t>
      </w:r>
      <w:r>
        <w:rPr>
          <w:color w:val="4C4D4F"/>
          <w:spacing w:val="-17"/>
          <w:w w:val="115"/>
          <w:sz w:val="18"/>
        </w:rPr>
        <w:t>P. </w:t>
      </w:r>
      <w:r>
        <w:rPr>
          <w:color w:val="4C4D4F"/>
          <w:w w:val="115"/>
          <w:sz w:val="18"/>
        </w:rPr>
        <w:t>M. (2006). </w:t>
      </w:r>
      <w:r>
        <w:rPr>
          <w:color w:val="4C4D4F"/>
          <w:w w:val="110"/>
          <w:sz w:val="18"/>
        </w:rPr>
        <w:t>Interactions between buprenorphine and antiretrovirals.</w:t>
      </w:r>
    </w:p>
    <w:p>
      <w:pPr>
        <w:pStyle w:val="ListParagraph"/>
        <w:numPr>
          <w:ilvl w:val="0"/>
          <w:numId w:val="52"/>
        </w:numPr>
        <w:tabs>
          <w:tab w:pos="647" w:val="left" w:leader="none"/>
        </w:tabs>
        <w:spacing w:line="247" w:lineRule="auto" w:before="2" w:after="0"/>
        <w:ind w:left="500" w:right="333" w:firstLine="0"/>
        <w:jc w:val="left"/>
        <w:rPr>
          <w:sz w:val="18"/>
        </w:rPr>
      </w:pPr>
      <w:r>
        <w:rPr>
          <w:color w:val="4C4D4F"/>
          <w:w w:val="110"/>
          <w:sz w:val="18"/>
        </w:rPr>
        <w:t>The nonnucleoside reverse-transcriptase inhibitors </w:t>
      </w:r>
      <w:r>
        <w:rPr>
          <w:color w:val="4C4D4F"/>
          <w:w w:val="105"/>
          <w:sz w:val="18"/>
        </w:rPr>
        <w:t>efavirenz and delavirdine. </w:t>
      </w:r>
      <w:r>
        <w:rPr>
          <w:rFonts w:ascii="Arial" w:hAnsi="Arial"/>
          <w:i/>
          <w:color w:val="4C4D4F"/>
          <w:w w:val="105"/>
          <w:sz w:val="18"/>
        </w:rPr>
        <w:t>Clinical Infectious</w:t>
      </w:r>
      <w:r>
        <w:rPr>
          <w:rFonts w:ascii="Arial" w:hAnsi="Arial"/>
          <w:i/>
          <w:color w:val="4C4D4F"/>
          <w:spacing w:val="-28"/>
          <w:w w:val="105"/>
          <w:sz w:val="18"/>
        </w:rPr>
        <w:t> </w:t>
      </w:r>
      <w:r>
        <w:rPr>
          <w:rFonts w:ascii="Arial" w:hAnsi="Arial"/>
          <w:i/>
          <w:color w:val="4C4D4F"/>
          <w:w w:val="105"/>
          <w:sz w:val="18"/>
        </w:rPr>
        <w:t>Diseases, </w:t>
      </w:r>
      <w:r>
        <w:rPr>
          <w:rFonts w:ascii="Arial" w:hAnsi="Arial"/>
          <w:i/>
          <w:color w:val="4C4D4F"/>
          <w:w w:val="110"/>
          <w:sz w:val="18"/>
        </w:rPr>
        <w:t>43</w:t>
      </w:r>
      <w:r>
        <w:rPr>
          <w:color w:val="4C4D4F"/>
          <w:w w:val="110"/>
          <w:sz w:val="18"/>
        </w:rPr>
        <w:t>(Suppl. 4),</w:t>
      </w:r>
      <w:r>
        <w:rPr>
          <w:color w:val="4C4D4F"/>
          <w:spacing w:val="-10"/>
          <w:w w:val="110"/>
          <w:sz w:val="18"/>
        </w:rPr>
        <w:t> </w:t>
      </w:r>
      <w:r>
        <w:rPr>
          <w:color w:val="4C4D4F"/>
          <w:w w:val="110"/>
          <w:sz w:val="18"/>
        </w:rPr>
        <w:t>S224–S234.</w:t>
      </w:r>
    </w:p>
    <w:p>
      <w:pPr>
        <w:pStyle w:val="ListParagraph"/>
        <w:numPr>
          <w:ilvl w:val="0"/>
          <w:numId w:val="51"/>
        </w:numPr>
        <w:tabs>
          <w:tab w:pos="500" w:val="left" w:leader="none"/>
        </w:tabs>
        <w:spacing w:line="247" w:lineRule="auto" w:before="72" w:after="0"/>
        <w:ind w:left="500" w:right="274" w:hanging="360"/>
        <w:jc w:val="left"/>
        <w:rPr>
          <w:color w:val="4C4D4F"/>
          <w:sz w:val="18"/>
        </w:rPr>
      </w:pPr>
      <w:r>
        <w:rPr>
          <w:color w:val="4C4D4F"/>
          <w:w w:val="120"/>
          <w:sz w:val="18"/>
        </w:rPr>
        <w:t>Bruce,</w:t>
      </w:r>
      <w:r>
        <w:rPr>
          <w:color w:val="4C4D4F"/>
          <w:spacing w:val="-40"/>
          <w:w w:val="120"/>
          <w:sz w:val="18"/>
        </w:rPr>
        <w:t> </w:t>
      </w:r>
      <w:r>
        <w:rPr>
          <w:color w:val="4C4D4F"/>
          <w:w w:val="120"/>
          <w:sz w:val="18"/>
        </w:rPr>
        <w:t>R.</w:t>
      </w:r>
      <w:r>
        <w:rPr>
          <w:color w:val="4C4D4F"/>
          <w:spacing w:val="-40"/>
          <w:w w:val="120"/>
          <w:sz w:val="18"/>
        </w:rPr>
        <w:t> </w:t>
      </w:r>
      <w:r>
        <w:rPr>
          <w:color w:val="4C4D4F"/>
          <w:w w:val="120"/>
          <w:sz w:val="18"/>
        </w:rPr>
        <w:t>D.,</w:t>
      </w:r>
      <w:r>
        <w:rPr>
          <w:color w:val="4C4D4F"/>
          <w:spacing w:val="-40"/>
          <w:w w:val="120"/>
          <w:sz w:val="18"/>
        </w:rPr>
        <w:t> </w:t>
      </w:r>
      <w:r>
        <w:rPr>
          <w:color w:val="4C4D4F"/>
          <w:w w:val="120"/>
          <w:sz w:val="18"/>
        </w:rPr>
        <w:t>Winkle,</w:t>
      </w:r>
      <w:r>
        <w:rPr>
          <w:color w:val="4C4D4F"/>
          <w:spacing w:val="-40"/>
          <w:w w:val="120"/>
          <w:sz w:val="18"/>
        </w:rPr>
        <w:t> </w:t>
      </w:r>
      <w:r>
        <w:rPr>
          <w:color w:val="4C4D4F"/>
          <w:spacing w:val="-11"/>
          <w:w w:val="120"/>
          <w:sz w:val="18"/>
        </w:rPr>
        <w:t>P.,</w:t>
      </w:r>
      <w:r>
        <w:rPr>
          <w:color w:val="4C4D4F"/>
          <w:spacing w:val="-39"/>
          <w:w w:val="120"/>
          <w:sz w:val="18"/>
        </w:rPr>
        <w:t> </w:t>
      </w:r>
      <w:r>
        <w:rPr>
          <w:color w:val="4C4D4F"/>
          <w:w w:val="120"/>
          <w:sz w:val="18"/>
        </w:rPr>
        <w:t>Custodio,</w:t>
      </w:r>
      <w:r>
        <w:rPr>
          <w:color w:val="4C4D4F"/>
          <w:spacing w:val="-40"/>
          <w:w w:val="120"/>
          <w:sz w:val="18"/>
        </w:rPr>
        <w:t> </w:t>
      </w:r>
      <w:r>
        <w:rPr>
          <w:color w:val="4C4D4F"/>
          <w:w w:val="120"/>
          <w:sz w:val="18"/>
        </w:rPr>
        <w:t>J.,</w:t>
      </w:r>
      <w:r>
        <w:rPr>
          <w:color w:val="4C4D4F"/>
          <w:spacing w:val="-40"/>
          <w:w w:val="120"/>
          <w:sz w:val="18"/>
        </w:rPr>
        <w:t> </w:t>
      </w:r>
      <w:r>
        <w:rPr>
          <w:color w:val="4C4D4F"/>
          <w:w w:val="120"/>
          <w:sz w:val="18"/>
        </w:rPr>
        <w:t>Yin,</w:t>
      </w:r>
      <w:r>
        <w:rPr>
          <w:color w:val="4C4D4F"/>
          <w:spacing w:val="-40"/>
          <w:w w:val="120"/>
          <w:sz w:val="18"/>
        </w:rPr>
        <w:t> </w:t>
      </w:r>
      <w:r>
        <w:rPr>
          <w:color w:val="4C4D4F"/>
          <w:w w:val="120"/>
          <w:sz w:val="18"/>
        </w:rPr>
        <w:t>X.,</w:t>
      </w:r>
      <w:r>
        <w:rPr>
          <w:color w:val="4C4D4F"/>
          <w:spacing w:val="-39"/>
          <w:w w:val="120"/>
          <w:sz w:val="18"/>
        </w:rPr>
        <w:t> </w:t>
      </w:r>
      <w:r>
        <w:rPr>
          <w:color w:val="4C4D4F"/>
          <w:w w:val="120"/>
          <w:sz w:val="18"/>
        </w:rPr>
        <w:t>Rhee,</w:t>
      </w:r>
      <w:r>
        <w:rPr>
          <w:color w:val="4C4D4F"/>
          <w:spacing w:val="-40"/>
          <w:w w:val="120"/>
          <w:sz w:val="18"/>
        </w:rPr>
        <w:t> </w:t>
      </w:r>
      <w:r>
        <w:rPr>
          <w:color w:val="4C4D4F"/>
          <w:spacing w:val="-6"/>
          <w:w w:val="120"/>
          <w:sz w:val="18"/>
        </w:rPr>
        <w:t>M., </w:t>
      </w:r>
      <w:r>
        <w:rPr>
          <w:color w:val="4C4D4F"/>
          <w:w w:val="120"/>
          <w:sz w:val="18"/>
        </w:rPr>
        <w:t>Andrews,</w:t>
      </w:r>
      <w:r>
        <w:rPr>
          <w:color w:val="4C4D4F"/>
          <w:spacing w:val="-33"/>
          <w:w w:val="120"/>
          <w:sz w:val="18"/>
        </w:rPr>
        <w:t> </w:t>
      </w:r>
      <w:r>
        <w:rPr>
          <w:color w:val="4C4D4F"/>
          <w:w w:val="120"/>
          <w:sz w:val="18"/>
        </w:rPr>
        <w:t>J.,</w:t>
      </w:r>
      <w:r>
        <w:rPr>
          <w:color w:val="4C4D4F"/>
          <w:spacing w:val="-32"/>
          <w:w w:val="120"/>
          <w:sz w:val="18"/>
        </w:rPr>
        <w:t> </w:t>
      </w:r>
      <w:r>
        <w:rPr>
          <w:color w:val="4C4D4F"/>
          <w:w w:val="120"/>
          <w:sz w:val="18"/>
        </w:rPr>
        <w:t>…</w:t>
      </w:r>
      <w:r>
        <w:rPr>
          <w:color w:val="4C4D4F"/>
          <w:spacing w:val="-32"/>
          <w:w w:val="120"/>
          <w:sz w:val="18"/>
        </w:rPr>
        <w:t> </w:t>
      </w:r>
      <w:r>
        <w:rPr>
          <w:color w:val="4C4D4F"/>
          <w:w w:val="120"/>
          <w:sz w:val="18"/>
        </w:rPr>
        <w:t>Ramanathan,</w:t>
      </w:r>
      <w:r>
        <w:rPr>
          <w:color w:val="4C4D4F"/>
          <w:spacing w:val="-32"/>
          <w:w w:val="120"/>
          <w:sz w:val="18"/>
        </w:rPr>
        <w:t> </w:t>
      </w:r>
      <w:r>
        <w:rPr>
          <w:color w:val="4C4D4F"/>
          <w:w w:val="120"/>
          <w:sz w:val="18"/>
        </w:rPr>
        <w:t>S.</w:t>
      </w:r>
      <w:r>
        <w:rPr>
          <w:color w:val="4C4D4F"/>
          <w:spacing w:val="-32"/>
          <w:w w:val="120"/>
          <w:sz w:val="18"/>
        </w:rPr>
        <w:t> </w:t>
      </w:r>
      <w:r>
        <w:rPr>
          <w:color w:val="4C4D4F"/>
          <w:w w:val="120"/>
          <w:sz w:val="18"/>
        </w:rPr>
        <w:t>(2012,</w:t>
      </w:r>
      <w:r>
        <w:rPr>
          <w:color w:val="4C4D4F"/>
          <w:spacing w:val="-32"/>
          <w:w w:val="120"/>
          <w:sz w:val="18"/>
        </w:rPr>
        <w:t> </w:t>
      </w:r>
      <w:r>
        <w:rPr>
          <w:color w:val="4C4D4F"/>
          <w:w w:val="120"/>
          <w:sz w:val="18"/>
        </w:rPr>
        <w:t>September).</w:t>
      </w:r>
    </w:p>
    <w:p>
      <w:pPr>
        <w:spacing w:line="247" w:lineRule="auto" w:before="2"/>
        <w:ind w:left="500" w:right="0" w:firstLine="0"/>
        <w:jc w:val="left"/>
        <w:rPr>
          <w:sz w:val="18"/>
        </w:rPr>
      </w:pPr>
      <w:r>
        <w:rPr>
          <w:color w:val="4C4D4F"/>
          <w:w w:val="110"/>
          <w:sz w:val="18"/>
        </w:rPr>
        <w:t>Pharmacokinetics of cobicistat-boosted elvitegravir administered in combination with methadone or buprenorphine/naloxone. Paper presented at the 52nd Interscience Conference on Antimicrobial Agents and Chemotherapy, San Francisco, CA.</w:t>
      </w:r>
    </w:p>
    <w:p>
      <w:pPr>
        <w:pStyle w:val="ListParagraph"/>
        <w:numPr>
          <w:ilvl w:val="0"/>
          <w:numId w:val="51"/>
        </w:numPr>
        <w:tabs>
          <w:tab w:pos="500" w:val="left" w:leader="none"/>
        </w:tabs>
        <w:spacing w:line="247" w:lineRule="auto" w:before="77" w:after="0"/>
        <w:ind w:left="500" w:right="419" w:hanging="360"/>
        <w:jc w:val="left"/>
        <w:rPr>
          <w:color w:val="4C4D4F"/>
          <w:sz w:val="18"/>
        </w:rPr>
      </w:pPr>
      <w:r>
        <w:rPr>
          <w:color w:val="4C4D4F"/>
          <w:w w:val="110"/>
          <w:sz w:val="18"/>
        </w:rPr>
        <w:t>McCance-Katz, E. </w:t>
      </w:r>
      <w:r>
        <w:rPr>
          <w:color w:val="4C4D4F"/>
          <w:spacing w:val="-10"/>
          <w:w w:val="110"/>
          <w:sz w:val="18"/>
        </w:rPr>
        <w:t>F.,  </w:t>
      </w:r>
      <w:r>
        <w:rPr>
          <w:color w:val="4C4D4F"/>
          <w:spacing w:val="-3"/>
          <w:w w:val="110"/>
          <w:sz w:val="18"/>
        </w:rPr>
        <w:t>Moody, </w:t>
      </w:r>
      <w:r>
        <w:rPr>
          <w:color w:val="4C4D4F"/>
          <w:w w:val="110"/>
          <w:sz w:val="18"/>
        </w:rPr>
        <w:t>D. E., Morse, G. D., Ma, Q., &amp; Rainey, </w:t>
      </w:r>
      <w:r>
        <w:rPr>
          <w:color w:val="4C4D4F"/>
          <w:spacing w:val="-17"/>
          <w:w w:val="110"/>
          <w:sz w:val="18"/>
        </w:rPr>
        <w:t>P. </w:t>
      </w:r>
      <w:r>
        <w:rPr>
          <w:color w:val="4C4D4F"/>
          <w:w w:val="110"/>
          <w:sz w:val="18"/>
        </w:rPr>
        <w:t>M. (2010). Lack of clinically signiﬁcant drug interactions between nevirapine</w:t>
      </w:r>
      <w:r>
        <w:rPr>
          <w:color w:val="4C4D4F"/>
          <w:spacing w:val="12"/>
          <w:w w:val="110"/>
          <w:sz w:val="18"/>
        </w:rPr>
        <w:t> </w:t>
      </w:r>
      <w:r>
        <w:rPr>
          <w:color w:val="4C4D4F"/>
          <w:spacing w:val="-6"/>
          <w:w w:val="110"/>
          <w:sz w:val="18"/>
        </w:rPr>
        <w:t>and</w:t>
      </w:r>
    </w:p>
    <w:p>
      <w:pPr>
        <w:spacing w:line="247" w:lineRule="auto" w:before="1"/>
        <w:ind w:left="500" w:right="217" w:firstLine="0"/>
        <w:jc w:val="left"/>
        <w:rPr>
          <w:sz w:val="18"/>
        </w:rPr>
      </w:pPr>
      <w:r>
        <w:rPr>
          <w:color w:val="4C4D4F"/>
          <w:w w:val="105"/>
          <w:sz w:val="18"/>
        </w:rPr>
        <w:t>buprenorphine. </w:t>
      </w:r>
      <w:r>
        <w:rPr>
          <w:rFonts w:ascii="Arial" w:hAnsi="Arial"/>
          <w:i/>
          <w:color w:val="4C4D4F"/>
          <w:w w:val="105"/>
          <w:sz w:val="18"/>
        </w:rPr>
        <w:t>American Journal on Addictions,</w:t>
      </w:r>
      <w:r>
        <w:rPr>
          <w:rFonts w:ascii="Arial" w:hAnsi="Arial"/>
          <w:i/>
          <w:color w:val="4C4D4F"/>
          <w:spacing w:val="-23"/>
          <w:w w:val="105"/>
          <w:sz w:val="18"/>
        </w:rPr>
        <w:t> </w:t>
      </w:r>
      <w:r>
        <w:rPr>
          <w:rFonts w:ascii="Arial" w:hAnsi="Arial"/>
          <w:i/>
          <w:color w:val="4C4D4F"/>
          <w:spacing w:val="-3"/>
          <w:w w:val="105"/>
          <w:sz w:val="18"/>
        </w:rPr>
        <w:t>19</w:t>
      </w:r>
      <w:r>
        <w:rPr>
          <w:color w:val="4C4D4F"/>
          <w:spacing w:val="-3"/>
          <w:w w:val="105"/>
          <w:sz w:val="18"/>
        </w:rPr>
        <w:t>(1), </w:t>
      </w:r>
      <w:r>
        <w:rPr>
          <w:color w:val="4C4D4F"/>
          <w:w w:val="105"/>
          <w:sz w:val="18"/>
        </w:rPr>
        <w:t>30–37.</w:t>
      </w:r>
    </w:p>
    <w:p>
      <w:pPr>
        <w:pStyle w:val="ListParagraph"/>
        <w:numPr>
          <w:ilvl w:val="0"/>
          <w:numId w:val="51"/>
        </w:numPr>
        <w:tabs>
          <w:tab w:pos="500" w:val="left" w:leader="none"/>
        </w:tabs>
        <w:spacing w:line="240" w:lineRule="auto" w:before="74" w:after="0"/>
        <w:ind w:left="500" w:right="0" w:hanging="360"/>
        <w:jc w:val="both"/>
        <w:rPr>
          <w:color w:val="4C4D4F"/>
          <w:sz w:val="18"/>
        </w:rPr>
      </w:pPr>
      <w:r>
        <w:rPr>
          <w:color w:val="4C4D4F"/>
          <w:w w:val="115"/>
          <w:sz w:val="18"/>
        </w:rPr>
        <w:t>McCance-Katz,</w:t>
      </w:r>
      <w:r>
        <w:rPr>
          <w:color w:val="4C4D4F"/>
          <w:spacing w:val="-14"/>
          <w:w w:val="115"/>
          <w:sz w:val="18"/>
        </w:rPr>
        <w:t> </w:t>
      </w:r>
      <w:r>
        <w:rPr>
          <w:color w:val="4C4D4F"/>
          <w:w w:val="115"/>
          <w:sz w:val="18"/>
        </w:rPr>
        <w:t>E.</w:t>
      </w:r>
      <w:r>
        <w:rPr>
          <w:color w:val="4C4D4F"/>
          <w:spacing w:val="-13"/>
          <w:w w:val="115"/>
          <w:sz w:val="18"/>
        </w:rPr>
        <w:t> </w:t>
      </w:r>
      <w:r>
        <w:rPr>
          <w:color w:val="4C4D4F"/>
          <w:spacing w:val="-10"/>
          <w:w w:val="115"/>
          <w:sz w:val="18"/>
        </w:rPr>
        <w:t>F.,</w:t>
      </w:r>
      <w:r>
        <w:rPr>
          <w:color w:val="4C4D4F"/>
          <w:spacing w:val="-13"/>
          <w:w w:val="115"/>
          <w:sz w:val="18"/>
        </w:rPr>
        <w:t> </w:t>
      </w:r>
      <w:r>
        <w:rPr>
          <w:color w:val="4C4D4F"/>
          <w:spacing w:val="-3"/>
          <w:w w:val="115"/>
          <w:sz w:val="18"/>
        </w:rPr>
        <w:t>Moody,</w:t>
      </w:r>
      <w:r>
        <w:rPr>
          <w:color w:val="4C4D4F"/>
          <w:spacing w:val="-13"/>
          <w:w w:val="115"/>
          <w:sz w:val="18"/>
        </w:rPr>
        <w:t> </w:t>
      </w:r>
      <w:r>
        <w:rPr>
          <w:color w:val="4C4D4F"/>
          <w:w w:val="115"/>
          <w:sz w:val="18"/>
        </w:rPr>
        <w:t>D.</w:t>
      </w:r>
      <w:r>
        <w:rPr>
          <w:color w:val="4C4D4F"/>
          <w:spacing w:val="-13"/>
          <w:w w:val="115"/>
          <w:sz w:val="18"/>
        </w:rPr>
        <w:t> </w:t>
      </w:r>
      <w:r>
        <w:rPr>
          <w:color w:val="4C4D4F"/>
          <w:w w:val="115"/>
          <w:sz w:val="18"/>
        </w:rPr>
        <w:t>E.,</w:t>
      </w:r>
      <w:r>
        <w:rPr>
          <w:color w:val="4C4D4F"/>
          <w:spacing w:val="-14"/>
          <w:w w:val="115"/>
          <w:sz w:val="18"/>
        </w:rPr>
        <w:t> </w:t>
      </w:r>
      <w:r>
        <w:rPr>
          <w:color w:val="4C4D4F"/>
          <w:w w:val="115"/>
          <w:sz w:val="18"/>
        </w:rPr>
        <w:t>Smith,</w:t>
      </w:r>
      <w:r>
        <w:rPr>
          <w:color w:val="4C4D4F"/>
          <w:spacing w:val="-13"/>
          <w:w w:val="115"/>
          <w:sz w:val="18"/>
        </w:rPr>
        <w:t> </w:t>
      </w:r>
      <w:r>
        <w:rPr>
          <w:color w:val="4C4D4F"/>
          <w:spacing w:val="-17"/>
          <w:w w:val="115"/>
          <w:sz w:val="18"/>
        </w:rPr>
        <w:t>P.</w:t>
      </w:r>
      <w:r>
        <w:rPr>
          <w:color w:val="4C4D4F"/>
          <w:spacing w:val="-13"/>
          <w:w w:val="115"/>
          <w:sz w:val="18"/>
        </w:rPr>
        <w:t> </w:t>
      </w:r>
      <w:r>
        <w:rPr>
          <w:color w:val="4C4D4F"/>
          <w:spacing w:val="-10"/>
          <w:w w:val="115"/>
          <w:sz w:val="18"/>
        </w:rPr>
        <w:t>F.,</w:t>
      </w:r>
      <w:r>
        <w:rPr>
          <w:color w:val="4C4D4F"/>
          <w:spacing w:val="-13"/>
          <w:w w:val="115"/>
          <w:sz w:val="18"/>
        </w:rPr>
        <w:t> </w:t>
      </w:r>
      <w:r>
        <w:rPr>
          <w:color w:val="4C4D4F"/>
          <w:w w:val="115"/>
          <w:sz w:val="18"/>
        </w:rPr>
        <w:t>Morse,</w:t>
      </w:r>
    </w:p>
    <w:p>
      <w:pPr>
        <w:spacing w:line="247" w:lineRule="auto" w:before="8"/>
        <w:ind w:left="500" w:right="157" w:firstLine="0"/>
        <w:jc w:val="both"/>
        <w:rPr>
          <w:sz w:val="18"/>
        </w:rPr>
      </w:pPr>
      <w:r>
        <w:rPr>
          <w:color w:val="4C4D4F"/>
          <w:w w:val="110"/>
          <w:sz w:val="18"/>
        </w:rPr>
        <w:t>G. D., Friedland, G., Pade, </w:t>
      </w:r>
      <w:r>
        <w:rPr>
          <w:color w:val="4C4D4F"/>
          <w:spacing w:val="-11"/>
          <w:w w:val="110"/>
          <w:sz w:val="18"/>
        </w:rPr>
        <w:t>P., </w:t>
      </w:r>
      <w:r>
        <w:rPr>
          <w:color w:val="4C4D4F"/>
          <w:w w:val="110"/>
          <w:sz w:val="18"/>
        </w:rPr>
        <w:t>… Rainey, </w:t>
      </w:r>
      <w:r>
        <w:rPr>
          <w:color w:val="4C4D4F"/>
          <w:spacing w:val="-17"/>
          <w:w w:val="110"/>
          <w:sz w:val="18"/>
        </w:rPr>
        <w:t>P. </w:t>
      </w:r>
      <w:r>
        <w:rPr>
          <w:color w:val="4C4D4F"/>
          <w:w w:val="110"/>
          <w:sz w:val="18"/>
        </w:rPr>
        <w:t>(2006). Interactions between buprenorphine and</w:t>
      </w:r>
      <w:r>
        <w:rPr>
          <w:color w:val="4C4D4F"/>
          <w:spacing w:val="-33"/>
          <w:w w:val="110"/>
          <w:sz w:val="18"/>
        </w:rPr>
        <w:t> </w:t>
      </w:r>
      <w:r>
        <w:rPr>
          <w:color w:val="4C4D4F"/>
          <w:w w:val="110"/>
          <w:sz w:val="18"/>
        </w:rPr>
        <w:t>antiretrovirals.</w:t>
      </w:r>
    </w:p>
    <w:p>
      <w:pPr>
        <w:pStyle w:val="ListParagraph"/>
        <w:numPr>
          <w:ilvl w:val="0"/>
          <w:numId w:val="52"/>
        </w:numPr>
        <w:tabs>
          <w:tab w:pos="694" w:val="left" w:leader="none"/>
        </w:tabs>
        <w:spacing w:line="247" w:lineRule="auto" w:before="2" w:after="0"/>
        <w:ind w:left="500" w:right="282" w:firstLine="0"/>
        <w:jc w:val="both"/>
        <w:rPr>
          <w:sz w:val="18"/>
        </w:rPr>
      </w:pPr>
      <w:r>
        <w:rPr>
          <w:color w:val="4C4D4F"/>
          <w:w w:val="110"/>
          <w:sz w:val="18"/>
        </w:rPr>
        <w:t>The</w:t>
      </w:r>
      <w:r>
        <w:rPr>
          <w:color w:val="4C4D4F"/>
          <w:spacing w:val="-18"/>
          <w:w w:val="110"/>
          <w:sz w:val="18"/>
        </w:rPr>
        <w:t> </w:t>
      </w:r>
      <w:r>
        <w:rPr>
          <w:color w:val="4C4D4F"/>
          <w:w w:val="110"/>
          <w:sz w:val="18"/>
        </w:rPr>
        <w:t>protease</w:t>
      </w:r>
      <w:r>
        <w:rPr>
          <w:color w:val="4C4D4F"/>
          <w:spacing w:val="-18"/>
          <w:w w:val="110"/>
          <w:sz w:val="18"/>
        </w:rPr>
        <w:t> </w:t>
      </w:r>
      <w:r>
        <w:rPr>
          <w:color w:val="4C4D4F"/>
          <w:w w:val="110"/>
          <w:sz w:val="18"/>
        </w:rPr>
        <w:t>inhibitors</w:t>
      </w:r>
      <w:r>
        <w:rPr>
          <w:color w:val="4C4D4F"/>
          <w:spacing w:val="-18"/>
          <w:w w:val="110"/>
          <w:sz w:val="18"/>
        </w:rPr>
        <w:t> </w:t>
      </w:r>
      <w:r>
        <w:rPr>
          <w:color w:val="4C4D4F"/>
          <w:w w:val="110"/>
          <w:sz w:val="18"/>
        </w:rPr>
        <w:t>nelﬁnavir,</w:t>
      </w:r>
      <w:r>
        <w:rPr>
          <w:color w:val="4C4D4F"/>
          <w:spacing w:val="-17"/>
          <w:w w:val="110"/>
          <w:sz w:val="18"/>
        </w:rPr>
        <w:t> </w:t>
      </w:r>
      <w:r>
        <w:rPr>
          <w:color w:val="4C4D4F"/>
          <w:w w:val="110"/>
          <w:sz w:val="18"/>
        </w:rPr>
        <w:t>lopinavir/ritonavir, </w:t>
      </w:r>
      <w:r>
        <w:rPr>
          <w:color w:val="4C4D4F"/>
          <w:w w:val="105"/>
          <w:sz w:val="18"/>
        </w:rPr>
        <w:t>and</w:t>
      </w:r>
      <w:r>
        <w:rPr>
          <w:color w:val="4C4D4F"/>
          <w:spacing w:val="-13"/>
          <w:w w:val="105"/>
          <w:sz w:val="18"/>
        </w:rPr>
        <w:t> </w:t>
      </w:r>
      <w:r>
        <w:rPr>
          <w:color w:val="4C4D4F"/>
          <w:w w:val="105"/>
          <w:sz w:val="18"/>
        </w:rPr>
        <w:t>ritonavir.</w:t>
      </w:r>
      <w:r>
        <w:rPr>
          <w:color w:val="4C4D4F"/>
          <w:spacing w:val="-12"/>
          <w:w w:val="105"/>
          <w:sz w:val="18"/>
        </w:rPr>
        <w:t> </w:t>
      </w:r>
      <w:r>
        <w:rPr>
          <w:rFonts w:ascii="Arial" w:hAnsi="Arial"/>
          <w:i/>
          <w:color w:val="4C4D4F"/>
          <w:w w:val="105"/>
          <w:sz w:val="18"/>
        </w:rPr>
        <w:t>Clinical</w:t>
      </w:r>
      <w:r>
        <w:rPr>
          <w:rFonts w:ascii="Arial" w:hAnsi="Arial"/>
          <w:i/>
          <w:color w:val="4C4D4F"/>
          <w:spacing w:val="-13"/>
          <w:w w:val="105"/>
          <w:sz w:val="18"/>
        </w:rPr>
        <w:t> </w:t>
      </w:r>
      <w:r>
        <w:rPr>
          <w:rFonts w:ascii="Arial" w:hAnsi="Arial"/>
          <w:i/>
          <w:color w:val="4C4D4F"/>
          <w:w w:val="105"/>
          <w:sz w:val="18"/>
        </w:rPr>
        <w:t>Infectious</w:t>
      </w:r>
      <w:r>
        <w:rPr>
          <w:rFonts w:ascii="Arial" w:hAnsi="Arial"/>
          <w:i/>
          <w:color w:val="4C4D4F"/>
          <w:spacing w:val="-12"/>
          <w:w w:val="105"/>
          <w:sz w:val="18"/>
        </w:rPr>
        <w:t> </w:t>
      </w:r>
      <w:r>
        <w:rPr>
          <w:rFonts w:ascii="Arial" w:hAnsi="Arial"/>
          <w:i/>
          <w:color w:val="4C4D4F"/>
          <w:w w:val="105"/>
          <w:sz w:val="18"/>
        </w:rPr>
        <w:t>Diseases,</w:t>
      </w:r>
      <w:r>
        <w:rPr>
          <w:rFonts w:ascii="Arial" w:hAnsi="Arial"/>
          <w:i/>
          <w:color w:val="4C4D4F"/>
          <w:spacing w:val="-13"/>
          <w:w w:val="105"/>
          <w:sz w:val="18"/>
        </w:rPr>
        <w:t> </w:t>
      </w:r>
      <w:r>
        <w:rPr>
          <w:rFonts w:ascii="Arial" w:hAnsi="Arial"/>
          <w:i/>
          <w:color w:val="4C4D4F"/>
          <w:w w:val="105"/>
          <w:sz w:val="18"/>
        </w:rPr>
        <w:t>43</w:t>
      </w:r>
      <w:r>
        <w:rPr>
          <w:color w:val="4C4D4F"/>
          <w:w w:val="105"/>
          <w:sz w:val="18"/>
        </w:rPr>
        <w:t>(Suppl.</w:t>
      </w:r>
      <w:r>
        <w:rPr>
          <w:color w:val="4C4D4F"/>
          <w:spacing w:val="-12"/>
          <w:w w:val="105"/>
          <w:sz w:val="18"/>
        </w:rPr>
        <w:t> </w:t>
      </w:r>
      <w:r>
        <w:rPr>
          <w:color w:val="4C4D4F"/>
          <w:spacing w:val="-6"/>
          <w:w w:val="105"/>
          <w:sz w:val="18"/>
        </w:rPr>
        <w:t>4), </w:t>
      </w:r>
      <w:r>
        <w:rPr>
          <w:color w:val="4C4D4F"/>
          <w:w w:val="110"/>
          <w:sz w:val="18"/>
        </w:rPr>
        <w:t>S235–S246.</w:t>
      </w:r>
    </w:p>
    <w:p>
      <w:pPr>
        <w:pStyle w:val="ListParagraph"/>
        <w:numPr>
          <w:ilvl w:val="0"/>
          <w:numId w:val="51"/>
        </w:numPr>
        <w:tabs>
          <w:tab w:pos="500" w:val="left" w:leader="none"/>
        </w:tabs>
        <w:spacing w:line="240" w:lineRule="auto" w:before="73" w:after="0"/>
        <w:ind w:left="500" w:right="0" w:hanging="360"/>
        <w:jc w:val="both"/>
        <w:rPr>
          <w:color w:val="4C4D4F"/>
          <w:sz w:val="18"/>
        </w:rPr>
      </w:pPr>
      <w:r>
        <w:rPr>
          <w:color w:val="4C4D4F"/>
          <w:w w:val="115"/>
          <w:sz w:val="18"/>
        </w:rPr>
        <w:t>Bruce,</w:t>
      </w:r>
      <w:r>
        <w:rPr>
          <w:color w:val="4C4D4F"/>
          <w:spacing w:val="-11"/>
          <w:w w:val="115"/>
          <w:sz w:val="18"/>
        </w:rPr>
        <w:t> </w:t>
      </w:r>
      <w:r>
        <w:rPr>
          <w:color w:val="4C4D4F"/>
          <w:w w:val="115"/>
          <w:sz w:val="18"/>
        </w:rPr>
        <w:t>R.</w:t>
      </w:r>
      <w:r>
        <w:rPr>
          <w:color w:val="4C4D4F"/>
          <w:spacing w:val="-11"/>
          <w:w w:val="115"/>
          <w:sz w:val="18"/>
        </w:rPr>
        <w:t> </w:t>
      </w:r>
      <w:r>
        <w:rPr>
          <w:color w:val="4C4D4F"/>
          <w:w w:val="115"/>
          <w:sz w:val="18"/>
        </w:rPr>
        <w:t>D.,</w:t>
      </w:r>
      <w:r>
        <w:rPr>
          <w:color w:val="4C4D4F"/>
          <w:spacing w:val="-11"/>
          <w:w w:val="115"/>
          <w:sz w:val="18"/>
        </w:rPr>
        <w:t> </w:t>
      </w:r>
      <w:r>
        <w:rPr>
          <w:color w:val="4C4D4F"/>
          <w:w w:val="115"/>
          <w:sz w:val="18"/>
        </w:rPr>
        <w:t>Altice,</w:t>
      </w:r>
      <w:r>
        <w:rPr>
          <w:color w:val="4C4D4F"/>
          <w:spacing w:val="-11"/>
          <w:w w:val="115"/>
          <w:sz w:val="18"/>
        </w:rPr>
        <w:t> </w:t>
      </w:r>
      <w:r>
        <w:rPr>
          <w:color w:val="4C4D4F"/>
          <w:spacing w:val="-15"/>
          <w:w w:val="115"/>
          <w:sz w:val="18"/>
        </w:rPr>
        <w:t>F.</w:t>
      </w:r>
      <w:r>
        <w:rPr>
          <w:color w:val="4C4D4F"/>
          <w:spacing w:val="-10"/>
          <w:w w:val="115"/>
          <w:sz w:val="18"/>
        </w:rPr>
        <w:t> </w:t>
      </w:r>
      <w:r>
        <w:rPr>
          <w:color w:val="4C4D4F"/>
          <w:w w:val="115"/>
          <w:sz w:val="18"/>
        </w:rPr>
        <w:t>L.,</w:t>
      </w:r>
      <w:r>
        <w:rPr>
          <w:color w:val="4C4D4F"/>
          <w:spacing w:val="-11"/>
          <w:w w:val="115"/>
          <w:sz w:val="18"/>
        </w:rPr>
        <w:t> </w:t>
      </w:r>
      <w:r>
        <w:rPr>
          <w:color w:val="4C4D4F"/>
          <w:spacing w:val="-3"/>
          <w:w w:val="115"/>
          <w:sz w:val="18"/>
        </w:rPr>
        <w:t>Moody,</w:t>
      </w:r>
      <w:r>
        <w:rPr>
          <w:color w:val="4C4D4F"/>
          <w:spacing w:val="-11"/>
          <w:w w:val="115"/>
          <w:sz w:val="18"/>
        </w:rPr>
        <w:t> </w:t>
      </w:r>
      <w:r>
        <w:rPr>
          <w:color w:val="4C4D4F"/>
          <w:w w:val="115"/>
          <w:sz w:val="18"/>
        </w:rPr>
        <w:t>D.</w:t>
      </w:r>
      <w:r>
        <w:rPr>
          <w:color w:val="4C4D4F"/>
          <w:spacing w:val="-11"/>
          <w:w w:val="115"/>
          <w:sz w:val="18"/>
        </w:rPr>
        <w:t> </w:t>
      </w:r>
      <w:r>
        <w:rPr>
          <w:color w:val="4C4D4F"/>
          <w:w w:val="115"/>
          <w:sz w:val="18"/>
        </w:rPr>
        <w:t>E.,</w:t>
      </w:r>
      <w:r>
        <w:rPr>
          <w:color w:val="4C4D4F"/>
          <w:spacing w:val="-11"/>
          <w:w w:val="115"/>
          <w:sz w:val="18"/>
        </w:rPr>
        <w:t> </w:t>
      </w:r>
      <w:r>
        <w:rPr>
          <w:color w:val="4C4D4F"/>
          <w:w w:val="115"/>
          <w:sz w:val="18"/>
        </w:rPr>
        <w:t>Lin,</w:t>
      </w:r>
      <w:r>
        <w:rPr>
          <w:color w:val="4C4D4F"/>
          <w:spacing w:val="-10"/>
          <w:w w:val="115"/>
          <w:sz w:val="18"/>
        </w:rPr>
        <w:t> </w:t>
      </w:r>
      <w:r>
        <w:rPr>
          <w:color w:val="4C4D4F"/>
          <w:w w:val="115"/>
          <w:sz w:val="18"/>
        </w:rPr>
        <w:t>S.</w:t>
      </w:r>
      <w:r>
        <w:rPr>
          <w:color w:val="4C4D4F"/>
          <w:spacing w:val="-11"/>
          <w:w w:val="115"/>
          <w:sz w:val="18"/>
        </w:rPr>
        <w:t> </w:t>
      </w:r>
      <w:r>
        <w:rPr>
          <w:color w:val="4C4D4F"/>
          <w:w w:val="115"/>
          <w:sz w:val="18"/>
        </w:rPr>
        <w:t>N.,</w:t>
      </w:r>
    </w:p>
    <w:p>
      <w:pPr>
        <w:spacing w:line="247" w:lineRule="auto" w:before="7"/>
        <w:ind w:left="500" w:right="157" w:firstLine="0"/>
        <w:jc w:val="left"/>
        <w:rPr>
          <w:sz w:val="18"/>
        </w:rPr>
      </w:pPr>
      <w:r>
        <w:rPr>
          <w:color w:val="4C4D4F"/>
          <w:w w:val="110"/>
          <w:sz w:val="18"/>
        </w:rPr>
        <w:t>Fang, W. B., Sabo, </w:t>
      </w:r>
      <w:r>
        <w:rPr>
          <w:color w:val="4C4D4F"/>
          <w:w w:val="130"/>
          <w:sz w:val="18"/>
        </w:rPr>
        <w:t>J. </w:t>
      </w:r>
      <w:r>
        <w:rPr>
          <w:color w:val="4C4D4F"/>
          <w:w w:val="110"/>
          <w:sz w:val="18"/>
        </w:rPr>
        <w:t>P., … Friedland, G. H. (2009). Pharmacokinetic interactions between buprenorphine/ naloxone and tipranavir/ritonavir in HIV-negative subjects chronically receiving buprenorphine/naloxone. </w:t>
      </w:r>
      <w:r>
        <w:rPr>
          <w:rFonts w:ascii="Arial" w:hAnsi="Arial"/>
          <w:i/>
          <w:color w:val="4C4D4F"/>
          <w:w w:val="110"/>
          <w:sz w:val="18"/>
        </w:rPr>
        <w:t>Drug and Alcohol Dependence, 105</w:t>
      </w:r>
      <w:r>
        <w:rPr>
          <w:color w:val="4C4D4F"/>
          <w:w w:val="110"/>
          <w:sz w:val="18"/>
        </w:rPr>
        <w:t>(3), 234–239.</w:t>
      </w:r>
    </w:p>
    <w:p>
      <w:pPr>
        <w:pStyle w:val="ListParagraph"/>
        <w:numPr>
          <w:ilvl w:val="0"/>
          <w:numId w:val="51"/>
        </w:numPr>
        <w:tabs>
          <w:tab w:pos="500" w:val="left" w:leader="none"/>
        </w:tabs>
        <w:spacing w:line="247" w:lineRule="auto" w:before="76" w:after="0"/>
        <w:ind w:left="500" w:right="466" w:hanging="360"/>
        <w:jc w:val="left"/>
        <w:rPr>
          <w:color w:val="4C4D4F"/>
          <w:sz w:val="18"/>
        </w:rPr>
      </w:pPr>
      <w:r>
        <w:rPr>
          <w:color w:val="4C4D4F"/>
          <w:w w:val="110"/>
          <w:sz w:val="18"/>
        </w:rPr>
        <w:t>Substance Abuse and Mental Health Services Administration. (2016). Sublingual and </w:t>
      </w:r>
      <w:r>
        <w:rPr>
          <w:color w:val="4C4D4F"/>
          <w:spacing w:val="-2"/>
          <w:w w:val="110"/>
          <w:sz w:val="18"/>
        </w:rPr>
        <w:t>transmucosal </w:t>
      </w:r>
      <w:r>
        <w:rPr>
          <w:color w:val="4C4D4F"/>
          <w:w w:val="110"/>
          <w:sz w:val="18"/>
        </w:rPr>
        <w:t>buprenorphine for opioid use disorder:</w:t>
      </w:r>
      <w:r>
        <w:rPr>
          <w:color w:val="4C4D4F"/>
          <w:spacing w:val="-22"/>
          <w:w w:val="110"/>
          <w:sz w:val="18"/>
        </w:rPr>
        <w:t> </w:t>
      </w:r>
      <w:r>
        <w:rPr>
          <w:color w:val="4C4D4F"/>
          <w:w w:val="110"/>
          <w:sz w:val="18"/>
        </w:rPr>
        <w:t>Review</w:t>
      </w:r>
    </w:p>
    <w:p>
      <w:pPr>
        <w:spacing w:line="247" w:lineRule="auto" w:before="1"/>
        <w:ind w:left="500" w:right="594" w:firstLine="0"/>
        <w:jc w:val="left"/>
        <w:rPr>
          <w:sz w:val="18"/>
        </w:rPr>
      </w:pPr>
      <w:r>
        <w:rPr>
          <w:color w:val="4C4D4F"/>
          <w:w w:val="110"/>
          <w:sz w:val="18"/>
        </w:rPr>
        <w:t>and update. </w:t>
      </w:r>
      <w:r>
        <w:rPr>
          <w:rFonts w:ascii="Arial"/>
          <w:i/>
          <w:color w:val="4C4D4F"/>
          <w:w w:val="110"/>
          <w:sz w:val="18"/>
        </w:rPr>
        <w:t>Advisory, </w:t>
      </w:r>
      <w:r>
        <w:rPr>
          <w:color w:val="4C4D4F"/>
          <w:w w:val="110"/>
          <w:sz w:val="18"/>
        </w:rPr>
        <w:t>Vol. 15, Issue 1. Rockville, MD: Substance Abuse and Mental Health Services Administration.</w:t>
      </w:r>
    </w:p>
    <w:p>
      <w:pPr>
        <w:pStyle w:val="ListParagraph"/>
        <w:numPr>
          <w:ilvl w:val="0"/>
          <w:numId w:val="51"/>
        </w:numPr>
        <w:tabs>
          <w:tab w:pos="500" w:val="left" w:leader="none"/>
        </w:tabs>
        <w:spacing w:line="247" w:lineRule="auto" w:before="75" w:after="0"/>
        <w:ind w:left="500" w:right="318" w:hanging="360"/>
        <w:jc w:val="left"/>
        <w:rPr>
          <w:color w:val="4C4D4F"/>
          <w:sz w:val="18"/>
        </w:rPr>
      </w:pPr>
      <w:r>
        <w:rPr>
          <w:color w:val="4C4D4F"/>
          <w:w w:val="115"/>
          <w:sz w:val="18"/>
        </w:rPr>
        <w:t>Isenberg, D., </w:t>
      </w:r>
      <w:r>
        <w:rPr>
          <w:color w:val="4C4D4F"/>
          <w:spacing w:val="-3"/>
          <w:w w:val="115"/>
          <w:sz w:val="18"/>
        </w:rPr>
        <w:t>Wong, </w:t>
      </w:r>
      <w:r>
        <w:rPr>
          <w:color w:val="4C4D4F"/>
          <w:w w:val="115"/>
          <w:sz w:val="18"/>
        </w:rPr>
        <w:t>S. C., &amp; Curtis, </w:t>
      </w:r>
      <w:r>
        <w:rPr>
          <w:color w:val="4C4D4F"/>
          <w:w w:val="135"/>
          <w:sz w:val="18"/>
        </w:rPr>
        <w:t>J. </w:t>
      </w:r>
      <w:r>
        <w:rPr>
          <w:color w:val="4C4D4F"/>
          <w:w w:val="115"/>
          <w:sz w:val="18"/>
        </w:rPr>
        <w:t>A. (2008). Serotonin syndrome triggered by a single dose of </w:t>
      </w:r>
      <w:r>
        <w:rPr>
          <w:color w:val="4C4D4F"/>
          <w:w w:val="105"/>
          <w:sz w:val="18"/>
        </w:rPr>
        <w:t>Suboxone.</w:t>
      </w:r>
      <w:r>
        <w:rPr>
          <w:color w:val="4C4D4F"/>
          <w:spacing w:val="-17"/>
          <w:w w:val="105"/>
          <w:sz w:val="18"/>
        </w:rPr>
        <w:t> </w:t>
      </w:r>
      <w:r>
        <w:rPr>
          <w:rFonts w:ascii="Arial" w:hAnsi="Arial"/>
          <w:i/>
          <w:color w:val="4C4D4F"/>
          <w:w w:val="105"/>
          <w:sz w:val="18"/>
        </w:rPr>
        <w:t>American</w:t>
      </w:r>
      <w:r>
        <w:rPr>
          <w:rFonts w:ascii="Arial" w:hAnsi="Arial"/>
          <w:i/>
          <w:color w:val="4C4D4F"/>
          <w:spacing w:val="-16"/>
          <w:w w:val="105"/>
          <w:sz w:val="18"/>
        </w:rPr>
        <w:t> </w:t>
      </w:r>
      <w:r>
        <w:rPr>
          <w:rFonts w:ascii="Arial" w:hAnsi="Arial"/>
          <w:i/>
          <w:color w:val="4C4D4F"/>
          <w:w w:val="105"/>
          <w:sz w:val="18"/>
        </w:rPr>
        <w:t>Journal</w:t>
      </w:r>
      <w:r>
        <w:rPr>
          <w:rFonts w:ascii="Arial" w:hAnsi="Arial"/>
          <w:i/>
          <w:color w:val="4C4D4F"/>
          <w:spacing w:val="-16"/>
          <w:w w:val="105"/>
          <w:sz w:val="18"/>
        </w:rPr>
        <w:t> </w:t>
      </w:r>
      <w:r>
        <w:rPr>
          <w:rFonts w:ascii="Arial" w:hAnsi="Arial"/>
          <w:i/>
          <w:color w:val="4C4D4F"/>
          <w:w w:val="105"/>
          <w:sz w:val="18"/>
        </w:rPr>
        <w:t>of</w:t>
      </w:r>
      <w:r>
        <w:rPr>
          <w:rFonts w:ascii="Arial" w:hAnsi="Arial"/>
          <w:i/>
          <w:color w:val="4C4D4F"/>
          <w:spacing w:val="-16"/>
          <w:w w:val="105"/>
          <w:sz w:val="18"/>
        </w:rPr>
        <w:t> </w:t>
      </w:r>
      <w:r>
        <w:rPr>
          <w:rFonts w:ascii="Arial" w:hAnsi="Arial"/>
          <w:i/>
          <w:color w:val="4C4D4F"/>
          <w:w w:val="105"/>
          <w:sz w:val="18"/>
        </w:rPr>
        <w:t>Emergency</w:t>
      </w:r>
      <w:r>
        <w:rPr>
          <w:rFonts w:ascii="Arial" w:hAnsi="Arial"/>
          <w:i/>
          <w:color w:val="4C4D4F"/>
          <w:spacing w:val="-16"/>
          <w:w w:val="105"/>
          <w:sz w:val="18"/>
        </w:rPr>
        <w:t> </w:t>
      </w:r>
      <w:r>
        <w:rPr>
          <w:rFonts w:ascii="Arial" w:hAnsi="Arial"/>
          <w:i/>
          <w:color w:val="4C4D4F"/>
          <w:w w:val="105"/>
          <w:sz w:val="18"/>
        </w:rPr>
        <w:t>Medicine, </w:t>
      </w:r>
      <w:r>
        <w:rPr>
          <w:rFonts w:ascii="Arial" w:hAnsi="Arial"/>
          <w:i/>
          <w:color w:val="4C4D4F"/>
          <w:w w:val="115"/>
          <w:sz w:val="18"/>
        </w:rPr>
        <w:t>26</w:t>
      </w:r>
      <w:r>
        <w:rPr>
          <w:color w:val="4C4D4F"/>
          <w:w w:val="115"/>
          <w:sz w:val="18"/>
        </w:rPr>
        <w:t>(7),</w:t>
      </w:r>
      <w:r>
        <w:rPr>
          <w:color w:val="4C4D4F"/>
          <w:spacing w:val="-10"/>
          <w:w w:val="115"/>
          <w:sz w:val="18"/>
        </w:rPr>
        <w:t> </w:t>
      </w:r>
      <w:r>
        <w:rPr>
          <w:color w:val="4C4D4F"/>
          <w:w w:val="115"/>
          <w:sz w:val="18"/>
        </w:rPr>
        <w:t>840.e3–840.e5.</w:t>
      </w:r>
    </w:p>
    <w:p>
      <w:pPr>
        <w:pStyle w:val="ListParagraph"/>
        <w:numPr>
          <w:ilvl w:val="0"/>
          <w:numId w:val="51"/>
        </w:numPr>
        <w:tabs>
          <w:tab w:pos="500" w:val="left" w:leader="none"/>
        </w:tabs>
        <w:spacing w:line="247" w:lineRule="auto" w:before="73" w:after="0"/>
        <w:ind w:left="500" w:right="329"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8"/>
          <w:w w:val="110"/>
          <w:sz w:val="18"/>
        </w:rPr>
        <w:t> </w:t>
      </w:r>
      <w:r>
        <w:rPr>
          <w:rFonts w:ascii="Arial"/>
          <w:i/>
          <w:color w:val="4C4D4F"/>
          <w:w w:val="110"/>
          <w:sz w:val="18"/>
        </w:rPr>
        <w:t>and</w:t>
      </w:r>
      <w:r>
        <w:rPr>
          <w:rFonts w:ascii="Arial"/>
          <w:i/>
          <w:color w:val="4C4D4F"/>
          <w:spacing w:val="-28"/>
          <w:w w:val="110"/>
          <w:sz w:val="18"/>
        </w:rPr>
        <w:t> </w:t>
      </w:r>
      <w:r>
        <w:rPr>
          <w:rFonts w:ascii="Arial"/>
          <w:i/>
          <w:color w:val="4C4D4F"/>
          <w:w w:val="110"/>
          <w:sz w:val="18"/>
        </w:rPr>
        <w:t>their</w:t>
      </w:r>
      <w:r>
        <w:rPr>
          <w:rFonts w:ascii="Arial"/>
          <w:i/>
          <w:color w:val="4C4D4F"/>
          <w:spacing w:val="-28"/>
          <w:w w:val="110"/>
          <w:sz w:val="18"/>
        </w:rPr>
        <w:t> </w:t>
      </w:r>
      <w:r>
        <w:rPr>
          <w:rFonts w:ascii="Arial"/>
          <w:i/>
          <w:color w:val="4C4D4F"/>
          <w:w w:val="110"/>
          <w:sz w:val="18"/>
        </w:rPr>
        <w:t>infants.</w:t>
      </w:r>
      <w:r>
        <w:rPr>
          <w:rFonts w:ascii="Arial"/>
          <w:i/>
          <w:color w:val="4C4D4F"/>
          <w:spacing w:val="-28"/>
          <w:w w:val="110"/>
          <w:sz w:val="18"/>
        </w:rPr>
        <w:t> </w:t>
      </w:r>
      <w:r>
        <w:rPr>
          <w:color w:val="4C4D4F"/>
          <w:w w:val="110"/>
          <w:sz w:val="18"/>
        </w:rPr>
        <w:t>HHS</w:t>
      </w:r>
      <w:r>
        <w:rPr>
          <w:color w:val="4C4D4F"/>
          <w:spacing w:val="-28"/>
          <w:w w:val="110"/>
          <w:sz w:val="18"/>
        </w:rPr>
        <w:t> </w:t>
      </w:r>
      <w:r>
        <w:rPr>
          <w:color w:val="4C4D4F"/>
          <w:w w:val="110"/>
          <w:sz w:val="18"/>
        </w:rPr>
        <w:t>Publication</w:t>
      </w:r>
      <w:r>
        <w:rPr>
          <w:color w:val="4C4D4F"/>
          <w:spacing w:val="-28"/>
          <w:w w:val="110"/>
          <w:sz w:val="18"/>
        </w:rPr>
        <w:t> </w:t>
      </w:r>
      <w:r>
        <w:rPr>
          <w:color w:val="4C4D4F"/>
          <w:w w:val="110"/>
          <w:sz w:val="18"/>
        </w:rPr>
        <w:t>No.</w:t>
      </w:r>
      <w:r>
        <w:rPr>
          <w:color w:val="4C4D4F"/>
          <w:spacing w:val="-28"/>
          <w:w w:val="110"/>
          <w:sz w:val="18"/>
        </w:rPr>
        <w:t> </w:t>
      </w:r>
      <w:r>
        <w:rPr>
          <w:color w:val="4C4D4F"/>
          <w:w w:val="110"/>
          <w:sz w:val="18"/>
        </w:rPr>
        <w:t>(SMA) 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702" w:hanging="360"/>
        <w:jc w:val="left"/>
        <w:rPr>
          <w:color w:val="4C4D4F"/>
          <w:sz w:val="18"/>
        </w:rPr>
      </w:pPr>
      <w:r>
        <w:rPr>
          <w:color w:val="4C4D4F"/>
          <w:w w:val="110"/>
          <w:sz w:val="18"/>
        </w:rPr>
        <w:t>Soyka, M. (2013). Buprenorphine use in </w:t>
      </w:r>
      <w:r>
        <w:rPr>
          <w:color w:val="4C4D4F"/>
          <w:spacing w:val="-3"/>
          <w:w w:val="110"/>
          <w:sz w:val="18"/>
        </w:rPr>
        <w:t>pregnant </w:t>
      </w:r>
      <w:r>
        <w:rPr>
          <w:color w:val="4C4D4F"/>
          <w:w w:val="110"/>
          <w:sz w:val="18"/>
        </w:rPr>
        <w:t>opioid</w:t>
      </w:r>
      <w:r>
        <w:rPr>
          <w:color w:val="4C4D4F"/>
          <w:spacing w:val="-26"/>
          <w:w w:val="110"/>
          <w:sz w:val="18"/>
        </w:rPr>
        <w:t> </w:t>
      </w:r>
      <w:r>
        <w:rPr>
          <w:color w:val="4C4D4F"/>
          <w:w w:val="110"/>
          <w:sz w:val="18"/>
        </w:rPr>
        <w:t>users:</w:t>
      </w:r>
      <w:r>
        <w:rPr>
          <w:color w:val="4C4D4F"/>
          <w:spacing w:val="-25"/>
          <w:w w:val="110"/>
          <w:sz w:val="18"/>
        </w:rPr>
        <w:t> </w:t>
      </w:r>
      <w:r>
        <w:rPr>
          <w:color w:val="4C4D4F"/>
          <w:w w:val="110"/>
          <w:sz w:val="18"/>
        </w:rPr>
        <w:t>A</w:t>
      </w:r>
      <w:r>
        <w:rPr>
          <w:color w:val="4C4D4F"/>
          <w:spacing w:val="-25"/>
          <w:w w:val="110"/>
          <w:sz w:val="18"/>
        </w:rPr>
        <w:t> </w:t>
      </w:r>
      <w:r>
        <w:rPr>
          <w:color w:val="4C4D4F"/>
          <w:w w:val="110"/>
          <w:sz w:val="18"/>
        </w:rPr>
        <w:t>critical</w:t>
      </w:r>
      <w:r>
        <w:rPr>
          <w:color w:val="4C4D4F"/>
          <w:spacing w:val="-25"/>
          <w:w w:val="110"/>
          <w:sz w:val="18"/>
        </w:rPr>
        <w:t> </w:t>
      </w:r>
      <w:r>
        <w:rPr>
          <w:color w:val="4C4D4F"/>
          <w:w w:val="110"/>
          <w:sz w:val="18"/>
        </w:rPr>
        <w:t>review.</w:t>
      </w:r>
      <w:r>
        <w:rPr>
          <w:color w:val="4C4D4F"/>
          <w:spacing w:val="-25"/>
          <w:w w:val="110"/>
          <w:sz w:val="18"/>
        </w:rPr>
        <w:t> </w:t>
      </w:r>
      <w:r>
        <w:rPr>
          <w:rFonts w:ascii="Arial" w:hAnsi="Arial"/>
          <w:i/>
          <w:color w:val="4C4D4F"/>
          <w:w w:val="110"/>
          <w:sz w:val="18"/>
        </w:rPr>
        <w:t>CNS</w:t>
      </w:r>
      <w:r>
        <w:rPr>
          <w:rFonts w:ascii="Arial" w:hAnsi="Arial"/>
          <w:i/>
          <w:color w:val="4C4D4F"/>
          <w:spacing w:val="-25"/>
          <w:w w:val="110"/>
          <w:sz w:val="18"/>
        </w:rPr>
        <w:t> </w:t>
      </w:r>
      <w:r>
        <w:rPr>
          <w:rFonts w:ascii="Arial" w:hAnsi="Arial"/>
          <w:i/>
          <w:color w:val="4C4D4F"/>
          <w:w w:val="110"/>
          <w:sz w:val="18"/>
        </w:rPr>
        <w:t>Drugs,</w:t>
      </w:r>
      <w:r>
        <w:rPr>
          <w:rFonts w:ascii="Arial" w:hAnsi="Arial"/>
          <w:i/>
          <w:color w:val="4C4D4F"/>
          <w:spacing w:val="-25"/>
          <w:w w:val="110"/>
          <w:sz w:val="18"/>
        </w:rPr>
        <w:t> </w:t>
      </w:r>
      <w:r>
        <w:rPr>
          <w:rFonts w:ascii="Arial" w:hAnsi="Arial"/>
          <w:i/>
          <w:color w:val="4C4D4F"/>
          <w:w w:val="110"/>
          <w:sz w:val="18"/>
        </w:rPr>
        <w:t>27</w:t>
      </w:r>
      <w:r>
        <w:rPr>
          <w:color w:val="4C4D4F"/>
          <w:w w:val="110"/>
          <w:sz w:val="18"/>
        </w:rPr>
        <w:t>(8), 653–662.</w:t>
      </w:r>
    </w:p>
    <w:p>
      <w:pPr>
        <w:spacing w:after="0" w:line="247" w:lineRule="auto"/>
        <w:jc w:val="left"/>
        <w:rPr>
          <w:sz w:val="18"/>
        </w:rPr>
        <w:sectPr>
          <w:type w:val="continuous"/>
          <w:pgSz w:w="12240" w:h="15840"/>
          <w:pgMar w:top="540" w:bottom="280" w:left="940" w:right="920"/>
          <w:cols w:num="2" w:equalWidth="0">
            <w:col w:w="5008" w:space="212"/>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829" w:hanging="360"/>
        <w:jc w:val="both"/>
        <w:rPr>
          <w:color w:val="4C4D4F"/>
          <w:sz w:val="18"/>
        </w:rPr>
      </w:pPr>
      <w:r>
        <w:rPr>
          <w:color w:val="4C4D4F"/>
          <w:w w:val="115"/>
          <w:sz w:val="18"/>
        </w:rPr>
        <w:t>Saxon,</w:t>
      </w:r>
      <w:r>
        <w:rPr>
          <w:color w:val="4C4D4F"/>
          <w:spacing w:val="-16"/>
          <w:w w:val="115"/>
          <w:sz w:val="18"/>
        </w:rPr>
        <w:t> </w:t>
      </w:r>
      <w:r>
        <w:rPr>
          <w:color w:val="4C4D4F"/>
          <w:w w:val="115"/>
          <w:sz w:val="18"/>
        </w:rPr>
        <w:t>A.</w:t>
      </w:r>
      <w:r>
        <w:rPr>
          <w:color w:val="4C4D4F"/>
          <w:spacing w:val="-16"/>
          <w:w w:val="115"/>
          <w:sz w:val="18"/>
        </w:rPr>
        <w:t> </w:t>
      </w:r>
      <w:r>
        <w:rPr>
          <w:color w:val="4C4D4F"/>
          <w:w w:val="125"/>
          <w:sz w:val="18"/>
        </w:rPr>
        <w:t>J.,</w:t>
      </w:r>
      <w:r>
        <w:rPr>
          <w:color w:val="4C4D4F"/>
          <w:spacing w:val="-21"/>
          <w:w w:val="125"/>
          <w:sz w:val="18"/>
        </w:rPr>
        <w:t> </w:t>
      </w:r>
      <w:r>
        <w:rPr>
          <w:color w:val="4C4D4F"/>
          <w:w w:val="115"/>
          <w:sz w:val="18"/>
        </w:rPr>
        <w:t>Ling,</w:t>
      </w:r>
      <w:r>
        <w:rPr>
          <w:color w:val="4C4D4F"/>
          <w:spacing w:val="-16"/>
          <w:w w:val="115"/>
          <w:sz w:val="18"/>
        </w:rPr>
        <w:t> </w:t>
      </w:r>
      <w:r>
        <w:rPr>
          <w:color w:val="4C4D4F"/>
          <w:spacing w:val="-5"/>
          <w:w w:val="115"/>
          <w:sz w:val="18"/>
        </w:rPr>
        <w:t>W.,</w:t>
      </w:r>
      <w:r>
        <w:rPr>
          <w:color w:val="4C4D4F"/>
          <w:spacing w:val="-16"/>
          <w:w w:val="115"/>
          <w:sz w:val="18"/>
        </w:rPr>
        <w:t> </w:t>
      </w:r>
      <w:r>
        <w:rPr>
          <w:color w:val="4C4D4F"/>
          <w:w w:val="115"/>
          <w:sz w:val="18"/>
        </w:rPr>
        <w:t>Hillhouse,</w:t>
      </w:r>
      <w:r>
        <w:rPr>
          <w:color w:val="4C4D4F"/>
          <w:spacing w:val="-16"/>
          <w:w w:val="115"/>
          <w:sz w:val="18"/>
        </w:rPr>
        <w:t> </w:t>
      </w:r>
      <w:r>
        <w:rPr>
          <w:color w:val="4C4D4F"/>
          <w:w w:val="115"/>
          <w:sz w:val="18"/>
        </w:rPr>
        <w:t>M.,</w:t>
      </w:r>
      <w:r>
        <w:rPr>
          <w:color w:val="4C4D4F"/>
          <w:spacing w:val="-16"/>
          <w:w w:val="115"/>
          <w:sz w:val="18"/>
        </w:rPr>
        <w:t> </w:t>
      </w:r>
      <w:r>
        <w:rPr>
          <w:color w:val="4C4D4F"/>
          <w:spacing w:val="-3"/>
          <w:w w:val="115"/>
          <w:sz w:val="18"/>
        </w:rPr>
        <w:t>Thomas, </w:t>
      </w:r>
      <w:r>
        <w:rPr>
          <w:color w:val="4C4D4F"/>
          <w:w w:val="115"/>
          <w:sz w:val="18"/>
        </w:rPr>
        <w:t>C.,</w:t>
      </w:r>
      <w:r>
        <w:rPr>
          <w:color w:val="4C4D4F"/>
          <w:spacing w:val="-14"/>
          <w:w w:val="115"/>
          <w:sz w:val="18"/>
        </w:rPr>
        <w:t> </w:t>
      </w:r>
      <w:r>
        <w:rPr>
          <w:color w:val="4C4D4F"/>
          <w:w w:val="115"/>
          <w:sz w:val="18"/>
        </w:rPr>
        <w:t>Hasson,</w:t>
      </w:r>
      <w:r>
        <w:rPr>
          <w:color w:val="4C4D4F"/>
          <w:spacing w:val="-13"/>
          <w:w w:val="115"/>
          <w:sz w:val="18"/>
        </w:rPr>
        <w:t> </w:t>
      </w:r>
      <w:r>
        <w:rPr>
          <w:color w:val="4C4D4F"/>
          <w:w w:val="115"/>
          <w:sz w:val="18"/>
        </w:rPr>
        <w:t>A.,</w:t>
      </w:r>
      <w:r>
        <w:rPr>
          <w:color w:val="4C4D4F"/>
          <w:spacing w:val="-14"/>
          <w:w w:val="115"/>
          <w:sz w:val="18"/>
        </w:rPr>
        <w:t> </w:t>
      </w:r>
      <w:r>
        <w:rPr>
          <w:color w:val="4C4D4F"/>
          <w:w w:val="115"/>
          <w:sz w:val="18"/>
        </w:rPr>
        <w:t>Ang,</w:t>
      </w:r>
      <w:r>
        <w:rPr>
          <w:color w:val="4C4D4F"/>
          <w:spacing w:val="-13"/>
          <w:w w:val="115"/>
          <w:sz w:val="18"/>
        </w:rPr>
        <w:t> </w:t>
      </w:r>
      <w:r>
        <w:rPr>
          <w:color w:val="4C4D4F"/>
          <w:w w:val="115"/>
          <w:sz w:val="18"/>
        </w:rPr>
        <w:t>A.,</w:t>
      </w:r>
      <w:r>
        <w:rPr>
          <w:color w:val="4C4D4F"/>
          <w:spacing w:val="-13"/>
          <w:w w:val="115"/>
          <w:sz w:val="18"/>
        </w:rPr>
        <w:t> </w:t>
      </w:r>
      <w:r>
        <w:rPr>
          <w:color w:val="4C4D4F"/>
          <w:w w:val="115"/>
          <w:sz w:val="18"/>
        </w:rPr>
        <w:t>…</w:t>
      </w:r>
      <w:r>
        <w:rPr>
          <w:color w:val="4C4D4F"/>
          <w:spacing w:val="-14"/>
          <w:w w:val="115"/>
          <w:sz w:val="18"/>
        </w:rPr>
        <w:t> </w:t>
      </w:r>
      <w:r>
        <w:rPr>
          <w:color w:val="4C4D4F"/>
          <w:w w:val="115"/>
          <w:sz w:val="18"/>
        </w:rPr>
        <w:t>Jacobs,</w:t>
      </w:r>
      <w:r>
        <w:rPr>
          <w:color w:val="4C4D4F"/>
          <w:spacing w:val="-13"/>
          <w:w w:val="115"/>
          <w:sz w:val="18"/>
        </w:rPr>
        <w:t> </w:t>
      </w:r>
      <w:r>
        <w:rPr>
          <w:color w:val="4C4D4F"/>
          <w:spacing w:val="-17"/>
          <w:w w:val="115"/>
          <w:sz w:val="18"/>
        </w:rPr>
        <w:t>P.</w:t>
      </w:r>
      <w:r>
        <w:rPr>
          <w:color w:val="4C4D4F"/>
          <w:spacing w:val="-13"/>
          <w:w w:val="115"/>
          <w:sz w:val="18"/>
        </w:rPr>
        <w:t> </w:t>
      </w:r>
      <w:r>
        <w:rPr>
          <w:color w:val="4C4D4F"/>
          <w:w w:val="115"/>
          <w:sz w:val="18"/>
        </w:rPr>
        <w:t>(2013).</w:t>
      </w:r>
    </w:p>
    <w:p>
      <w:pPr>
        <w:spacing w:line="247" w:lineRule="auto" w:before="2"/>
        <w:ind w:left="500" w:right="242" w:firstLine="0"/>
        <w:jc w:val="both"/>
        <w:rPr>
          <w:sz w:val="18"/>
        </w:rPr>
      </w:pPr>
      <w:r>
        <w:rPr>
          <w:color w:val="4C4D4F"/>
          <w:w w:val="110"/>
          <w:sz w:val="18"/>
        </w:rPr>
        <w:t>Buprenorphine/naloxone and methadone effects on laboratory indices of liver health: A randomized </w:t>
      </w:r>
      <w:r>
        <w:rPr>
          <w:color w:val="4C4D4F"/>
          <w:spacing w:val="-3"/>
          <w:w w:val="110"/>
          <w:sz w:val="18"/>
        </w:rPr>
        <w:t>trial. </w:t>
      </w:r>
      <w:r>
        <w:rPr>
          <w:rFonts w:ascii="Arial" w:hAnsi="Arial"/>
          <w:i/>
          <w:color w:val="4C4D4F"/>
          <w:w w:val="110"/>
          <w:sz w:val="18"/>
        </w:rPr>
        <w:t>Drug and Alcohol Dependence, 128</w:t>
      </w:r>
      <w:r>
        <w:rPr>
          <w:color w:val="4C4D4F"/>
          <w:w w:val="110"/>
          <w:sz w:val="18"/>
        </w:rPr>
        <w:t>(1–2), 71–76.</w:t>
      </w:r>
    </w:p>
    <w:p>
      <w:pPr>
        <w:pStyle w:val="ListParagraph"/>
        <w:numPr>
          <w:ilvl w:val="0"/>
          <w:numId w:val="51"/>
        </w:numPr>
        <w:tabs>
          <w:tab w:pos="500" w:val="left" w:leader="none"/>
        </w:tabs>
        <w:spacing w:line="247" w:lineRule="auto" w:before="73" w:after="0"/>
        <w:ind w:left="500" w:right="147" w:hanging="360"/>
        <w:jc w:val="both"/>
        <w:rPr>
          <w:color w:val="4C4D4F"/>
          <w:sz w:val="18"/>
        </w:rPr>
      </w:pPr>
      <w:r>
        <w:rPr>
          <w:color w:val="4C4D4F"/>
          <w:w w:val="120"/>
          <w:sz w:val="18"/>
        </w:rPr>
        <w:t>Vergara-Rodriguez,</w:t>
      </w:r>
      <w:r>
        <w:rPr>
          <w:color w:val="4C4D4F"/>
          <w:spacing w:val="-43"/>
          <w:w w:val="120"/>
          <w:sz w:val="18"/>
        </w:rPr>
        <w:t> </w:t>
      </w:r>
      <w:r>
        <w:rPr>
          <w:color w:val="4C4D4F"/>
          <w:spacing w:val="-11"/>
          <w:w w:val="120"/>
          <w:sz w:val="18"/>
        </w:rPr>
        <w:t>P.,</w:t>
      </w:r>
      <w:r>
        <w:rPr>
          <w:color w:val="4C4D4F"/>
          <w:spacing w:val="-43"/>
          <w:w w:val="120"/>
          <w:sz w:val="18"/>
        </w:rPr>
        <w:t> </w:t>
      </w:r>
      <w:r>
        <w:rPr>
          <w:color w:val="4C4D4F"/>
          <w:spacing w:val="-4"/>
          <w:w w:val="120"/>
          <w:sz w:val="18"/>
        </w:rPr>
        <w:t>Tozzi,</w:t>
      </w:r>
      <w:r>
        <w:rPr>
          <w:color w:val="4C4D4F"/>
          <w:spacing w:val="-43"/>
          <w:w w:val="120"/>
          <w:sz w:val="18"/>
        </w:rPr>
        <w:t> </w:t>
      </w:r>
      <w:r>
        <w:rPr>
          <w:color w:val="4C4D4F"/>
          <w:w w:val="120"/>
          <w:sz w:val="18"/>
        </w:rPr>
        <w:t>M.</w:t>
      </w:r>
      <w:r>
        <w:rPr>
          <w:color w:val="4C4D4F"/>
          <w:spacing w:val="-43"/>
          <w:w w:val="120"/>
          <w:sz w:val="18"/>
        </w:rPr>
        <w:t> </w:t>
      </w:r>
      <w:r>
        <w:rPr>
          <w:color w:val="4C4D4F"/>
          <w:w w:val="120"/>
          <w:sz w:val="18"/>
        </w:rPr>
        <w:t>J.,</w:t>
      </w:r>
      <w:r>
        <w:rPr>
          <w:color w:val="4C4D4F"/>
          <w:spacing w:val="-43"/>
          <w:w w:val="120"/>
          <w:sz w:val="18"/>
        </w:rPr>
        <w:t> </w:t>
      </w:r>
      <w:r>
        <w:rPr>
          <w:color w:val="4C4D4F"/>
          <w:w w:val="120"/>
          <w:sz w:val="18"/>
        </w:rPr>
        <w:t>Botsko,</w:t>
      </w:r>
      <w:r>
        <w:rPr>
          <w:color w:val="4C4D4F"/>
          <w:spacing w:val="-43"/>
          <w:w w:val="120"/>
          <w:sz w:val="18"/>
        </w:rPr>
        <w:t> </w:t>
      </w:r>
      <w:r>
        <w:rPr>
          <w:color w:val="4C4D4F"/>
          <w:w w:val="120"/>
          <w:sz w:val="18"/>
        </w:rPr>
        <w:t>M.,</w:t>
      </w:r>
      <w:r>
        <w:rPr>
          <w:color w:val="4C4D4F"/>
          <w:spacing w:val="-43"/>
          <w:w w:val="120"/>
          <w:sz w:val="18"/>
        </w:rPr>
        <w:t> </w:t>
      </w:r>
      <w:r>
        <w:rPr>
          <w:color w:val="4C4D4F"/>
          <w:spacing w:val="-3"/>
          <w:w w:val="120"/>
          <w:sz w:val="18"/>
        </w:rPr>
        <w:t>Nandi, </w:t>
      </w:r>
      <w:r>
        <w:rPr>
          <w:color w:val="4C4D4F"/>
          <w:spacing w:val="-8"/>
          <w:w w:val="120"/>
          <w:sz w:val="18"/>
        </w:rPr>
        <w:t>V.,</w:t>
      </w:r>
      <w:r>
        <w:rPr>
          <w:color w:val="4C4D4F"/>
          <w:spacing w:val="-19"/>
          <w:w w:val="120"/>
          <w:sz w:val="18"/>
        </w:rPr>
        <w:t> </w:t>
      </w:r>
      <w:r>
        <w:rPr>
          <w:color w:val="4C4D4F"/>
          <w:w w:val="120"/>
          <w:sz w:val="18"/>
        </w:rPr>
        <w:t>Altice,</w:t>
      </w:r>
      <w:r>
        <w:rPr>
          <w:color w:val="4C4D4F"/>
          <w:spacing w:val="-19"/>
          <w:w w:val="120"/>
          <w:sz w:val="18"/>
        </w:rPr>
        <w:t> </w:t>
      </w:r>
      <w:r>
        <w:rPr>
          <w:color w:val="4C4D4F"/>
          <w:spacing w:val="-10"/>
          <w:w w:val="120"/>
          <w:sz w:val="18"/>
        </w:rPr>
        <w:t>F.,</w:t>
      </w:r>
      <w:r>
        <w:rPr>
          <w:color w:val="4C4D4F"/>
          <w:spacing w:val="-19"/>
          <w:w w:val="120"/>
          <w:sz w:val="18"/>
        </w:rPr>
        <w:t> </w:t>
      </w:r>
      <w:r>
        <w:rPr>
          <w:color w:val="4C4D4F"/>
          <w:w w:val="120"/>
          <w:sz w:val="18"/>
        </w:rPr>
        <w:t>Egan,</w:t>
      </w:r>
      <w:r>
        <w:rPr>
          <w:color w:val="4C4D4F"/>
          <w:spacing w:val="-19"/>
          <w:w w:val="120"/>
          <w:sz w:val="18"/>
        </w:rPr>
        <w:t> </w:t>
      </w:r>
      <w:r>
        <w:rPr>
          <w:color w:val="4C4D4F"/>
          <w:w w:val="135"/>
          <w:sz w:val="18"/>
        </w:rPr>
        <w:t>J.</w:t>
      </w:r>
      <w:r>
        <w:rPr>
          <w:color w:val="4C4D4F"/>
          <w:spacing w:val="-26"/>
          <w:w w:val="135"/>
          <w:sz w:val="18"/>
        </w:rPr>
        <w:t> </w:t>
      </w:r>
      <w:r>
        <w:rPr>
          <w:color w:val="4C4D4F"/>
          <w:w w:val="120"/>
          <w:sz w:val="18"/>
        </w:rPr>
        <w:t>E.,</w:t>
      </w:r>
      <w:r>
        <w:rPr>
          <w:color w:val="4C4D4F"/>
          <w:spacing w:val="-19"/>
          <w:w w:val="120"/>
          <w:sz w:val="18"/>
        </w:rPr>
        <w:t> </w:t>
      </w:r>
      <w:r>
        <w:rPr>
          <w:color w:val="4C4D4F"/>
          <w:w w:val="120"/>
          <w:sz w:val="18"/>
        </w:rPr>
        <w:t>…</w:t>
      </w:r>
      <w:r>
        <w:rPr>
          <w:color w:val="4C4D4F"/>
          <w:spacing w:val="-19"/>
          <w:w w:val="120"/>
          <w:sz w:val="18"/>
        </w:rPr>
        <w:t> </w:t>
      </w:r>
      <w:r>
        <w:rPr>
          <w:color w:val="4C4D4F"/>
          <w:w w:val="120"/>
          <w:sz w:val="18"/>
        </w:rPr>
        <w:t>Fiellin,</w:t>
      </w:r>
      <w:r>
        <w:rPr>
          <w:color w:val="4C4D4F"/>
          <w:spacing w:val="-19"/>
          <w:w w:val="120"/>
          <w:sz w:val="18"/>
        </w:rPr>
        <w:t> </w:t>
      </w:r>
      <w:r>
        <w:rPr>
          <w:color w:val="4C4D4F"/>
          <w:w w:val="120"/>
          <w:sz w:val="18"/>
        </w:rPr>
        <w:t>D.</w:t>
      </w:r>
      <w:r>
        <w:rPr>
          <w:color w:val="4C4D4F"/>
          <w:spacing w:val="-19"/>
          <w:w w:val="120"/>
          <w:sz w:val="18"/>
        </w:rPr>
        <w:t> </w:t>
      </w:r>
      <w:r>
        <w:rPr>
          <w:color w:val="4C4D4F"/>
          <w:w w:val="120"/>
          <w:sz w:val="18"/>
        </w:rPr>
        <w:t>A.</w:t>
      </w:r>
      <w:r>
        <w:rPr>
          <w:color w:val="4C4D4F"/>
          <w:spacing w:val="-19"/>
          <w:w w:val="120"/>
          <w:sz w:val="18"/>
        </w:rPr>
        <w:t> </w:t>
      </w:r>
      <w:r>
        <w:rPr>
          <w:color w:val="4C4D4F"/>
          <w:w w:val="120"/>
          <w:sz w:val="18"/>
        </w:rPr>
        <w:t>(2011).</w:t>
      </w:r>
    </w:p>
    <w:p>
      <w:pPr>
        <w:spacing w:line="247" w:lineRule="auto" w:before="2"/>
        <w:ind w:left="500" w:right="85" w:firstLine="0"/>
        <w:jc w:val="left"/>
        <w:rPr>
          <w:sz w:val="18"/>
        </w:rPr>
      </w:pPr>
      <w:r>
        <w:rPr>
          <w:color w:val="4C4D4F"/>
          <w:w w:val="110"/>
          <w:sz w:val="18"/>
        </w:rPr>
        <w:t>Hepatic safety and lack of antiretroviral interactions with buprenorphine/naloxone in HIV-infected opioid- dependent patients. </w:t>
      </w:r>
      <w:r>
        <w:rPr>
          <w:rFonts w:ascii="Arial" w:hAnsi="Arial"/>
          <w:i/>
          <w:color w:val="4C4D4F"/>
          <w:w w:val="110"/>
          <w:sz w:val="18"/>
        </w:rPr>
        <w:t>Journal of Acquired Immune </w:t>
      </w:r>
      <w:r>
        <w:rPr>
          <w:rFonts w:ascii="Arial" w:hAnsi="Arial"/>
          <w:i/>
          <w:color w:val="4C4D4F"/>
          <w:w w:val="110"/>
          <w:sz w:val="18"/>
        </w:rPr>
        <w:t>Deﬁciency Syndromes, 56</w:t>
      </w:r>
      <w:r>
        <w:rPr>
          <w:color w:val="4C4D4F"/>
          <w:w w:val="110"/>
          <w:sz w:val="18"/>
        </w:rPr>
        <w:t>(Suppl. 1), S62–S67.</w:t>
      </w:r>
    </w:p>
    <w:p>
      <w:pPr>
        <w:pStyle w:val="ListParagraph"/>
        <w:numPr>
          <w:ilvl w:val="0"/>
          <w:numId w:val="51"/>
        </w:numPr>
        <w:tabs>
          <w:tab w:pos="500" w:val="left" w:leader="none"/>
        </w:tabs>
        <w:spacing w:line="247" w:lineRule="auto" w:before="73" w:after="0"/>
        <w:ind w:left="500" w:right="421" w:hanging="360"/>
        <w:jc w:val="left"/>
        <w:rPr>
          <w:color w:val="4C4D4F"/>
          <w:sz w:val="18"/>
        </w:rPr>
      </w:pPr>
      <w:r>
        <w:rPr>
          <w:color w:val="4C4D4F"/>
          <w:w w:val="110"/>
          <w:sz w:val="18"/>
        </w:rPr>
        <w:t>U.S. Preventive Services </w:t>
      </w:r>
      <w:r>
        <w:rPr>
          <w:color w:val="4C4D4F"/>
          <w:spacing w:val="-5"/>
          <w:w w:val="110"/>
          <w:sz w:val="18"/>
        </w:rPr>
        <w:t>Task </w:t>
      </w:r>
      <w:r>
        <w:rPr>
          <w:color w:val="4C4D4F"/>
          <w:w w:val="110"/>
          <w:sz w:val="18"/>
        </w:rPr>
        <w:t>Force. Archived Final Recommendation Statement on Human Immunodeﬁciency Virus (HIV) Infection:</w:t>
      </w:r>
      <w:r>
        <w:rPr>
          <w:color w:val="4C4D4F"/>
          <w:spacing w:val="-20"/>
          <w:w w:val="110"/>
          <w:sz w:val="18"/>
        </w:rPr>
        <w:t> </w:t>
      </w:r>
      <w:r>
        <w:rPr>
          <w:color w:val="4C4D4F"/>
          <w:spacing w:val="-3"/>
          <w:w w:val="110"/>
          <w:sz w:val="18"/>
        </w:rPr>
        <w:t>Screening. </w:t>
      </w:r>
      <w:r>
        <w:rPr>
          <w:color w:val="4C4D4F"/>
          <w:w w:val="110"/>
          <w:sz w:val="18"/>
        </w:rPr>
        <w:t>December 30, 2013. Retrieved January 11,</w:t>
      </w:r>
      <w:r>
        <w:rPr>
          <w:color w:val="4C4D4F"/>
          <w:spacing w:val="25"/>
          <w:w w:val="110"/>
          <w:sz w:val="18"/>
        </w:rPr>
        <w:t> </w:t>
      </w:r>
      <w:r>
        <w:rPr>
          <w:color w:val="4C4D4F"/>
          <w:w w:val="110"/>
          <w:sz w:val="18"/>
        </w:rPr>
        <w:t>2020,</w:t>
      </w:r>
    </w:p>
    <w:p>
      <w:pPr>
        <w:spacing w:line="247" w:lineRule="auto" w:before="4"/>
        <w:ind w:left="500" w:right="85" w:firstLine="0"/>
        <w:jc w:val="left"/>
        <w:rPr>
          <w:sz w:val="18"/>
        </w:rPr>
      </w:pPr>
      <w:r>
        <w:rPr>
          <w:color w:val="4C4D4F"/>
          <w:w w:val="110"/>
          <w:sz w:val="18"/>
        </w:rPr>
        <w:t>from:</w:t>
      </w:r>
      <w:r>
        <w:rPr>
          <w:color w:val="205E9E"/>
          <w:w w:val="110"/>
          <w:sz w:val="18"/>
          <w:u w:val="single" w:color="205E9E"/>
        </w:rPr>
        <w:t> </w:t>
      </w:r>
      <w:hyperlink r:id="rId102">
        <w:r>
          <w:rPr>
            <w:color w:val="205E9E"/>
            <w:w w:val="110"/>
            <w:sz w:val="18"/>
            <w:u w:val="single" w:color="205E9E"/>
          </w:rPr>
          <w:t>https://www</w:t>
        </w:r>
      </w:hyperlink>
      <w:r>
        <w:rPr>
          <w:color w:val="205E9E"/>
          <w:w w:val="110"/>
          <w:sz w:val="18"/>
          <w:u w:val="single" w:color="205E9E"/>
        </w:rPr>
        <w:t>.uspr</w:t>
      </w:r>
      <w:hyperlink r:id="rId102">
        <w:r>
          <w:rPr>
            <w:color w:val="205E9E"/>
            <w:w w:val="110"/>
            <w:sz w:val="18"/>
            <w:u w:val="single" w:color="205E9E"/>
          </w:rPr>
          <w:t>eventiveservicestaskforce.or</w:t>
        </w:r>
      </w:hyperlink>
      <w:r>
        <w:rPr>
          <w:color w:val="205E9E"/>
          <w:w w:val="110"/>
          <w:sz w:val="18"/>
          <w:u w:val="single" w:color="205E9E"/>
        </w:rPr>
        <w:t>g/</w:t>
      </w:r>
      <w:r>
        <w:rPr>
          <w:color w:val="205E9E"/>
          <w:w w:val="110"/>
          <w:sz w:val="18"/>
        </w:rPr>
        <w:t> </w:t>
      </w:r>
      <w:r>
        <w:rPr>
          <w:color w:val="205E9E"/>
          <w:w w:val="110"/>
          <w:sz w:val="18"/>
          <w:u w:val="single" w:color="205E9E"/>
        </w:rPr>
        <w:t>Page/Document/RecommendationStatementFinal/</w:t>
      </w:r>
      <w:r>
        <w:rPr>
          <w:color w:val="205E9E"/>
          <w:w w:val="110"/>
          <w:sz w:val="18"/>
        </w:rPr>
        <w:t> </w:t>
      </w:r>
      <w:r>
        <w:rPr>
          <w:color w:val="205E9E"/>
          <w:w w:val="110"/>
          <w:sz w:val="18"/>
          <w:u w:val="single" w:color="205E9E"/>
        </w:rPr>
        <w:t>human-immunodeﬁciency-virus-hiv-infection-screening</w:t>
      </w:r>
    </w:p>
    <w:p>
      <w:pPr>
        <w:pStyle w:val="ListParagraph"/>
        <w:numPr>
          <w:ilvl w:val="0"/>
          <w:numId w:val="51"/>
        </w:numPr>
        <w:tabs>
          <w:tab w:pos="500" w:val="left" w:leader="none"/>
        </w:tabs>
        <w:spacing w:line="247" w:lineRule="auto" w:before="75" w:after="0"/>
        <w:ind w:left="500" w:right="291" w:hanging="360"/>
        <w:jc w:val="left"/>
        <w:rPr>
          <w:color w:val="4C4D4F"/>
          <w:sz w:val="18"/>
        </w:rPr>
      </w:pPr>
      <w:r>
        <w:rPr>
          <w:color w:val="4C4D4F"/>
          <w:w w:val="110"/>
          <w:sz w:val="18"/>
        </w:rPr>
        <w:t>Centers</w:t>
      </w:r>
      <w:r>
        <w:rPr>
          <w:color w:val="4C4D4F"/>
          <w:spacing w:val="-9"/>
          <w:w w:val="110"/>
          <w:sz w:val="18"/>
        </w:rPr>
        <w:t> </w:t>
      </w:r>
      <w:r>
        <w:rPr>
          <w:color w:val="4C4D4F"/>
          <w:w w:val="110"/>
          <w:sz w:val="18"/>
        </w:rPr>
        <w:t>for</w:t>
      </w:r>
      <w:r>
        <w:rPr>
          <w:color w:val="4C4D4F"/>
          <w:spacing w:val="-9"/>
          <w:w w:val="110"/>
          <w:sz w:val="18"/>
        </w:rPr>
        <w:t> </w:t>
      </w:r>
      <w:r>
        <w:rPr>
          <w:color w:val="4C4D4F"/>
          <w:w w:val="110"/>
          <w:sz w:val="18"/>
        </w:rPr>
        <w:t>Disease</w:t>
      </w:r>
      <w:r>
        <w:rPr>
          <w:color w:val="4C4D4F"/>
          <w:spacing w:val="-8"/>
          <w:w w:val="110"/>
          <w:sz w:val="18"/>
        </w:rPr>
        <w:t> </w:t>
      </w:r>
      <w:r>
        <w:rPr>
          <w:color w:val="4C4D4F"/>
          <w:w w:val="110"/>
          <w:sz w:val="18"/>
        </w:rPr>
        <w:t>Control</w:t>
      </w:r>
      <w:r>
        <w:rPr>
          <w:color w:val="4C4D4F"/>
          <w:spacing w:val="-9"/>
          <w:w w:val="110"/>
          <w:sz w:val="18"/>
        </w:rPr>
        <w:t> </w:t>
      </w:r>
      <w:r>
        <w:rPr>
          <w:color w:val="4C4D4F"/>
          <w:w w:val="110"/>
          <w:sz w:val="18"/>
        </w:rPr>
        <w:t>and</w:t>
      </w:r>
      <w:r>
        <w:rPr>
          <w:color w:val="4C4D4F"/>
          <w:spacing w:val="-8"/>
          <w:w w:val="110"/>
          <w:sz w:val="18"/>
        </w:rPr>
        <w:t> </w:t>
      </w:r>
      <w:r>
        <w:rPr>
          <w:color w:val="4C4D4F"/>
          <w:w w:val="110"/>
          <w:sz w:val="18"/>
        </w:rPr>
        <w:t>Prevention.</w:t>
      </w:r>
      <w:r>
        <w:rPr>
          <w:color w:val="4C4D4F"/>
          <w:spacing w:val="-9"/>
          <w:w w:val="110"/>
          <w:sz w:val="18"/>
        </w:rPr>
        <w:t> </w:t>
      </w:r>
      <w:r>
        <w:rPr>
          <w:color w:val="4C4D4F"/>
          <w:spacing w:val="-6"/>
          <w:w w:val="110"/>
          <w:sz w:val="18"/>
        </w:rPr>
        <w:t>Testing </w:t>
      </w:r>
      <w:r>
        <w:rPr>
          <w:color w:val="4C4D4F"/>
          <w:w w:val="110"/>
          <w:sz w:val="18"/>
        </w:rPr>
        <w:t>Recommendations for Hepatitis C Virus</w:t>
      </w:r>
      <w:r>
        <w:rPr>
          <w:color w:val="4C4D4F"/>
          <w:spacing w:val="-32"/>
          <w:w w:val="110"/>
          <w:sz w:val="18"/>
        </w:rPr>
        <w:t> </w:t>
      </w:r>
      <w:r>
        <w:rPr>
          <w:color w:val="4C4D4F"/>
          <w:w w:val="110"/>
          <w:sz w:val="18"/>
        </w:rPr>
        <w:t>Infection.</w:t>
      </w:r>
    </w:p>
    <w:p>
      <w:pPr>
        <w:spacing w:line="247" w:lineRule="auto" w:before="2"/>
        <w:ind w:left="500" w:right="212" w:firstLine="0"/>
        <w:jc w:val="left"/>
        <w:rPr>
          <w:sz w:val="18"/>
        </w:rPr>
      </w:pPr>
      <w:r>
        <w:rPr>
          <w:color w:val="4C4D4F"/>
          <w:w w:val="115"/>
          <w:sz w:val="18"/>
        </w:rPr>
        <w:t>October</w:t>
      </w:r>
      <w:r>
        <w:rPr>
          <w:color w:val="4C4D4F"/>
          <w:spacing w:val="-23"/>
          <w:w w:val="115"/>
          <w:sz w:val="18"/>
        </w:rPr>
        <w:t> </w:t>
      </w:r>
      <w:r>
        <w:rPr>
          <w:color w:val="4C4D4F"/>
          <w:w w:val="115"/>
          <w:sz w:val="18"/>
        </w:rPr>
        <w:t>15,</w:t>
      </w:r>
      <w:r>
        <w:rPr>
          <w:color w:val="4C4D4F"/>
          <w:spacing w:val="-22"/>
          <w:w w:val="115"/>
          <w:sz w:val="18"/>
        </w:rPr>
        <w:t> </w:t>
      </w:r>
      <w:r>
        <w:rPr>
          <w:color w:val="4C4D4F"/>
          <w:w w:val="115"/>
          <w:sz w:val="18"/>
        </w:rPr>
        <w:t>2015.</w:t>
      </w:r>
      <w:r>
        <w:rPr>
          <w:color w:val="4C4D4F"/>
          <w:spacing w:val="-23"/>
          <w:w w:val="115"/>
          <w:sz w:val="18"/>
        </w:rPr>
        <w:t> </w:t>
      </w:r>
      <w:r>
        <w:rPr>
          <w:color w:val="4C4D4F"/>
          <w:w w:val="115"/>
          <w:sz w:val="18"/>
        </w:rPr>
        <w:t>Retrieved</w:t>
      </w:r>
      <w:r>
        <w:rPr>
          <w:color w:val="4C4D4F"/>
          <w:spacing w:val="-22"/>
          <w:w w:val="115"/>
          <w:sz w:val="18"/>
        </w:rPr>
        <w:t> </w:t>
      </w:r>
      <w:r>
        <w:rPr>
          <w:color w:val="4C4D4F"/>
          <w:w w:val="115"/>
          <w:sz w:val="18"/>
        </w:rPr>
        <w:t>January</w:t>
      </w:r>
      <w:r>
        <w:rPr>
          <w:color w:val="4C4D4F"/>
          <w:spacing w:val="-23"/>
          <w:w w:val="115"/>
          <w:sz w:val="18"/>
        </w:rPr>
        <w:t> </w:t>
      </w:r>
      <w:r>
        <w:rPr>
          <w:color w:val="4C4D4F"/>
          <w:w w:val="115"/>
          <w:sz w:val="18"/>
        </w:rPr>
        <w:t>11,</w:t>
      </w:r>
      <w:r>
        <w:rPr>
          <w:color w:val="4C4D4F"/>
          <w:spacing w:val="-22"/>
          <w:w w:val="115"/>
          <w:sz w:val="18"/>
        </w:rPr>
        <w:t> </w:t>
      </w:r>
      <w:r>
        <w:rPr>
          <w:color w:val="4C4D4F"/>
          <w:w w:val="115"/>
          <w:sz w:val="18"/>
        </w:rPr>
        <w:t>2020,</w:t>
      </w:r>
      <w:r>
        <w:rPr>
          <w:color w:val="4C4D4F"/>
          <w:spacing w:val="-23"/>
          <w:w w:val="115"/>
          <w:sz w:val="18"/>
        </w:rPr>
        <w:t> </w:t>
      </w:r>
      <w:r>
        <w:rPr>
          <w:color w:val="4C4D4F"/>
          <w:spacing w:val="-5"/>
          <w:w w:val="115"/>
          <w:sz w:val="18"/>
        </w:rPr>
        <w:t>from: </w:t>
      </w:r>
      <w:hyperlink r:id="rId103">
        <w:r>
          <w:rPr>
            <w:color w:val="205E9E"/>
            <w:w w:val="115"/>
            <w:sz w:val="18"/>
            <w:u w:val="single" w:color="205E9E"/>
          </w:rPr>
          <w:t>https://www.cdc.gov/hepatitis/hcv/guidelinesc.htm</w:t>
        </w:r>
      </w:hyperlink>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Centers</w:t>
      </w:r>
      <w:r>
        <w:rPr>
          <w:color w:val="4C4D4F"/>
          <w:spacing w:val="-10"/>
          <w:w w:val="110"/>
          <w:sz w:val="18"/>
        </w:rPr>
        <w:t> </w:t>
      </w:r>
      <w:r>
        <w:rPr>
          <w:color w:val="4C4D4F"/>
          <w:w w:val="110"/>
          <w:sz w:val="18"/>
        </w:rPr>
        <w:t>for</w:t>
      </w:r>
      <w:r>
        <w:rPr>
          <w:color w:val="4C4D4F"/>
          <w:spacing w:val="-10"/>
          <w:w w:val="110"/>
          <w:sz w:val="18"/>
        </w:rPr>
        <w:t> </w:t>
      </w:r>
      <w:r>
        <w:rPr>
          <w:color w:val="4C4D4F"/>
          <w:w w:val="110"/>
          <w:sz w:val="18"/>
        </w:rPr>
        <w:t>Disease</w:t>
      </w:r>
      <w:r>
        <w:rPr>
          <w:color w:val="4C4D4F"/>
          <w:spacing w:val="-10"/>
          <w:w w:val="110"/>
          <w:sz w:val="18"/>
        </w:rPr>
        <w:t> </w:t>
      </w:r>
      <w:r>
        <w:rPr>
          <w:color w:val="4C4D4F"/>
          <w:w w:val="110"/>
          <w:sz w:val="18"/>
        </w:rPr>
        <w:t>Control</w:t>
      </w:r>
      <w:r>
        <w:rPr>
          <w:color w:val="4C4D4F"/>
          <w:spacing w:val="-10"/>
          <w:w w:val="110"/>
          <w:sz w:val="18"/>
        </w:rPr>
        <w:t> </w:t>
      </w:r>
      <w:r>
        <w:rPr>
          <w:color w:val="4C4D4F"/>
          <w:w w:val="110"/>
          <w:sz w:val="18"/>
        </w:rPr>
        <w:t>and</w:t>
      </w:r>
      <w:r>
        <w:rPr>
          <w:color w:val="4C4D4F"/>
          <w:spacing w:val="-10"/>
          <w:w w:val="110"/>
          <w:sz w:val="18"/>
        </w:rPr>
        <w:t> </w:t>
      </w:r>
      <w:r>
        <w:rPr>
          <w:color w:val="4C4D4F"/>
          <w:w w:val="110"/>
          <w:sz w:val="18"/>
        </w:rPr>
        <w:t>Prevention.</w:t>
      </w:r>
      <w:r>
        <w:rPr>
          <w:color w:val="4C4D4F"/>
          <w:spacing w:val="-9"/>
          <w:w w:val="110"/>
          <w:sz w:val="18"/>
        </w:rPr>
        <w:t> </w:t>
      </w:r>
      <w:r>
        <w:rPr>
          <w:color w:val="4C4D4F"/>
          <w:w w:val="110"/>
          <w:sz w:val="18"/>
        </w:rPr>
        <w:t>(2016).</w:t>
      </w:r>
    </w:p>
    <w:p>
      <w:pPr>
        <w:spacing w:line="247" w:lineRule="auto" w:before="7"/>
        <w:ind w:left="500" w:right="535" w:firstLine="0"/>
        <w:jc w:val="left"/>
        <w:rPr>
          <w:sz w:val="18"/>
        </w:rPr>
      </w:pPr>
      <w:r>
        <w:rPr>
          <w:color w:val="4C4D4F"/>
          <w:w w:val="115"/>
          <w:sz w:val="18"/>
        </w:rPr>
        <w:t>Viral</w:t>
      </w:r>
      <w:r>
        <w:rPr>
          <w:color w:val="4C4D4F"/>
          <w:spacing w:val="-33"/>
          <w:w w:val="115"/>
          <w:sz w:val="18"/>
        </w:rPr>
        <w:t> </w:t>
      </w:r>
      <w:r>
        <w:rPr>
          <w:color w:val="4C4D4F"/>
          <w:w w:val="115"/>
          <w:sz w:val="18"/>
        </w:rPr>
        <w:t>hepatitis.</w:t>
      </w:r>
      <w:r>
        <w:rPr>
          <w:color w:val="4C4D4F"/>
          <w:spacing w:val="-32"/>
          <w:w w:val="115"/>
          <w:sz w:val="18"/>
        </w:rPr>
        <w:t> </w:t>
      </w:r>
      <w:r>
        <w:rPr>
          <w:color w:val="4C4D4F"/>
          <w:w w:val="115"/>
          <w:sz w:val="18"/>
        </w:rPr>
        <w:t>Retrieved</w:t>
      </w:r>
      <w:r>
        <w:rPr>
          <w:color w:val="4C4D4F"/>
          <w:spacing w:val="-32"/>
          <w:w w:val="115"/>
          <w:sz w:val="18"/>
        </w:rPr>
        <w:t> </w:t>
      </w:r>
      <w:r>
        <w:rPr>
          <w:color w:val="4C4D4F"/>
          <w:w w:val="115"/>
          <w:sz w:val="18"/>
        </w:rPr>
        <w:t>October</w:t>
      </w:r>
      <w:r>
        <w:rPr>
          <w:color w:val="4C4D4F"/>
          <w:spacing w:val="-33"/>
          <w:w w:val="115"/>
          <w:sz w:val="18"/>
        </w:rPr>
        <w:t> </w:t>
      </w:r>
      <w:r>
        <w:rPr>
          <w:color w:val="4C4D4F"/>
          <w:w w:val="115"/>
          <w:sz w:val="18"/>
        </w:rPr>
        <w:t>16,</w:t>
      </w:r>
      <w:r>
        <w:rPr>
          <w:color w:val="4C4D4F"/>
          <w:spacing w:val="-32"/>
          <w:w w:val="115"/>
          <w:sz w:val="18"/>
        </w:rPr>
        <w:t> </w:t>
      </w:r>
      <w:r>
        <w:rPr>
          <w:color w:val="4C4D4F"/>
          <w:w w:val="115"/>
          <w:sz w:val="18"/>
        </w:rPr>
        <w:t>2017,</w:t>
      </w:r>
      <w:r>
        <w:rPr>
          <w:color w:val="4C4D4F"/>
          <w:spacing w:val="-32"/>
          <w:w w:val="115"/>
          <w:sz w:val="18"/>
        </w:rPr>
        <w:t> </w:t>
      </w:r>
      <w:r>
        <w:rPr>
          <w:color w:val="4C4D4F"/>
          <w:spacing w:val="-6"/>
          <w:w w:val="115"/>
          <w:sz w:val="18"/>
        </w:rPr>
        <w:t>from </w:t>
      </w:r>
      <w:hyperlink r:id="rId96">
        <w:r>
          <w:rPr>
            <w:color w:val="205E9E"/>
            <w:w w:val="115"/>
            <w:sz w:val="18"/>
            <w:u w:val="single" w:color="205E9E"/>
          </w:rPr>
          <w:t>www.cdc.gov/hepatitis/hbv/bfaq.htm</w:t>
        </w:r>
      </w:hyperlink>
    </w:p>
    <w:p>
      <w:pPr>
        <w:pStyle w:val="ListParagraph"/>
        <w:numPr>
          <w:ilvl w:val="0"/>
          <w:numId w:val="51"/>
        </w:numPr>
        <w:tabs>
          <w:tab w:pos="500" w:val="left" w:leader="none"/>
        </w:tabs>
        <w:spacing w:line="247" w:lineRule="auto" w:before="74" w:after="0"/>
        <w:ind w:left="500" w:right="371" w:hanging="360"/>
        <w:jc w:val="left"/>
        <w:rPr>
          <w:color w:val="4C4D4F"/>
          <w:sz w:val="18"/>
        </w:rPr>
      </w:pPr>
      <w:r>
        <w:rPr>
          <w:color w:val="4C4D4F"/>
          <w:w w:val="110"/>
          <w:sz w:val="18"/>
        </w:rPr>
        <w:t>Lofwall, M. R., &amp; Havens, </w:t>
      </w:r>
      <w:r>
        <w:rPr>
          <w:color w:val="4C4D4F"/>
          <w:w w:val="135"/>
          <w:sz w:val="18"/>
        </w:rPr>
        <w:t>J. </w:t>
      </w:r>
      <w:r>
        <w:rPr>
          <w:color w:val="4C4D4F"/>
          <w:w w:val="110"/>
          <w:sz w:val="18"/>
        </w:rPr>
        <w:t>R. (2012). Inability to access buprenorphine treatment as a risk factor</w:t>
      </w:r>
      <w:r>
        <w:rPr>
          <w:color w:val="4C4D4F"/>
          <w:spacing w:val="-28"/>
          <w:w w:val="110"/>
          <w:sz w:val="18"/>
        </w:rPr>
        <w:t> </w:t>
      </w:r>
      <w:r>
        <w:rPr>
          <w:color w:val="4C4D4F"/>
          <w:spacing w:val="-6"/>
          <w:w w:val="110"/>
          <w:sz w:val="18"/>
        </w:rPr>
        <w:t>for </w:t>
      </w:r>
      <w:r>
        <w:rPr>
          <w:color w:val="4C4D4F"/>
          <w:w w:val="110"/>
          <w:sz w:val="18"/>
        </w:rPr>
        <w:t>using diverted buprenorphine. </w:t>
      </w:r>
      <w:r>
        <w:rPr>
          <w:rFonts w:ascii="Arial" w:hAnsi="Arial"/>
          <w:i/>
          <w:color w:val="4C4D4F"/>
          <w:w w:val="110"/>
          <w:sz w:val="18"/>
        </w:rPr>
        <w:t>Drug and Alcohol </w:t>
      </w:r>
      <w:r>
        <w:rPr>
          <w:rFonts w:ascii="Arial" w:hAnsi="Arial"/>
          <w:i/>
          <w:color w:val="4C4D4F"/>
          <w:w w:val="110"/>
          <w:sz w:val="18"/>
        </w:rPr>
        <w:t>Dependence, 126</w:t>
      </w:r>
      <w:r>
        <w:rPr>
          <w:color w:val="4C4D4F"/>
          <w:w w:val="110"/>
          <w:sz w:val="18"/>
        </w:rPr>
        <w:t>(3),</w:t>
      </w:r>
      <w:r>
        <w:rPr>
          <w:color w:val="4C4D4F"/>
          <w:spacing w:val="-18"/>
          <w:w w:val="110"/>
          <w:sz w:val="18"/>
        </w:rPr>
        <w:t> </w:t>
      </w:r>
      <w:r>
        <w:rPr>
          <w:color w:val="4C4D4F"/>
          <w:w w:val="110"/>
          <w:sz w:val="18"/>
        </w:rPr>
        <w:t>379–383.</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20"/>
          <w:sz w:val="18"/>
        </w:rPr>
        <w:t>Bazazi,</w:t>
      </w:r>
      <w:r>
        <w:rPr>
          <w:color w:val="4C4D4F"/>
          <w:spacing w:val="-23"/>
          <w:w w:val="120"/>
          <w:sz w:val="18"/>
        </w:rPr>
        <w:t> </w:t>
      </w:r>
      <w:r>
        <w:rPr>
          <w:color w:val="4C4D4F"/>
          <w:w w:val="120"/>
          <w:sz w:val="18"/>
        </w:rPr>
        <w:t>A.</w:t>
      </w:r>
      <w:r>
        <w:rPr>
          <w:color w:val="4C4D4F"/>
          <w:spacing w:val="-22"/>
          <w:w w:val="120"/>
          <w:sz w:val="18"/>
        </w:rPr>
        <w:t> </w:t>
      </w:r>
      <w:r>
        <w:rPr>
          <w:color w:val="4C4D4F"/>
          <w:w w:val="120"/>
          <w:sz w:val="18"/>
        </w:rPr>
        <w:t>R.,</w:t>
      </w:r>
      <w:r>
        <w:rPr>
          <w:color w:val="4C4D4F"/>
          <w:spacing w:val="-22"/>
          <w:w w:val="120"/>
          <w:sz w:val="18"/>
        </w:rPr>
        <w:t> </w:t>
      </w:r>
      <w:r>
        <w:rPr>
          <w:color w:val="4C4D4F"/>
          <w:spacing w:val="-3"/>
          <w:w w:val="120"/>
          <w:sz w:val="18"/>
        </w:rPr>
        <w:t>Yokell,</w:t>
      </w:r>
      <w:r>
        <w:rPr>
          <w:color w:val="4C4D4F"/>
          <w:spacing w:val="-22"/>
          <w:w w:val="120"/>
          <w:sz w:val="18"/>
        </w:rPr>
        <w:t> </w:t>
      </w:r>
      <w:r>
        <w:rPr>
          <w:color w:val="4C4D4F"/>
          <w:w w:val="120"/>
          <w:sz w:val="18"/>
        </w:rPr>
        <w:t>M.,</w:t>
      </w:r>
      <w:r>
        <w:rPr>
          <w:color w:val="4C4D4F"/>
          <w:spacing w:val="-23"/>
          <w:w w:val="120"/>
          <w:sz w:val="18"/>
        </w:rPr>
        <w:t> </w:t>
      </w:r>
      <w:r>
        <w:rPr>
          <w:color w:val="4C4D4F"/>
          <w:w w:val="120"/>
          <w:sz w:val="18"/>
        </w:rPr>
        <w:t>Fu,</w:t>
      </w:r>
      <w:r>
        <w:rPr>
          <w:color w:val="4C4D4F"/>
          <w:spacing w:val="-22"/>
          <w:w w:val="120"/>
          <w:sz w:val="18"/>
        </w:rPr>
        <w:t> </w:t>
      </w:r>
      <w:r>
        <w:rPr>
          <w:color w:val="4C4D4F"/>
          <w:w w:val="140"/>
          <w:sz w:val="18"/>
        </w:rPr>
        <w:t>J.</w:t>
      </w:r>
      <w:r>
        <w:rPr>
          <w:color w:val="4C4D4F"/>
          <w:spacing w:val="-32"/>
          <w:w w:val="140"/>
          <w:sz w:val="18"/>
        </w:rPr>
        <w:t> </w:t>
      </w:r>
      <w:r>
        <w:rPr>
          <w:color w:val="4C4D4F"/>
          <w:w w:val="140"/>
          <w:sz w:val="18"/>
        </w:rPr>
        <w:t>J.,</w:t>
      </w:r>
      <w:r>
        <w:rPr>
          <w:color w:val="4C4D4F"/>
          <w:spacing w:val="-32"/>
          <w:w w:val="140"/>
          <w:sz w:val="18"/>
        </w:rPr>
        <w:t> </w:t>
      </w:r>
      <w:r>
        <w:rPr>
          <w:color w:val="4C4D4F"/>
          <w:w w:val="120"/>
          <w:sz w:val="18"/>
        </w:rPr>
        <w:t>Rich,</w:t>
      </w:r>
      <w:r>
        <w:rPr>
          <w:color w:val="4C4D4F"/>
          <w:spacing w:val="-23"/>
          <w:w w:val="120"/>
          <w:sz w:val="18"/>
        </w:rPr>
        <w:t> </w:t>
      </w:r>
      <w:r>
        <w:rPr>
          <w:color w:val="4C4D4F"/>
          <w:w w:val="140"/>
          <w:sz w:val="18"/>
        </w:rPr>
        <w:t>J.</w:t>
      </w:r>
      <w:r>
        <w:rPr>
          <w:color w:val="4C4D4F"/>
          <w:spacing w:val="-32"/>
          <w:w w:val="140"/>
          <w:sz w:val="18"/>
        </w:rPr>
        <w:t> </w:t>
      </w:r>
      <w:r>
        <w:rPr>
          <w:color w:val="4C4D4F"/>
          <w:w w:val="120"/>
          <w:sz w:val="18"/>
        </w:rPr>
        <w:t>D.,</w:t>
      </w:r>
      <w:r>
        <w:rPr>
          <w:color w:val="4C4D4F"/>
          <w:spacing w:val="-22"/>
          <w:w w:val="120"/>
          <w:sz w:val="18"/>
        </w:rPr>
        <w:t> </w:t>
      </w:r>
      <w:r>
        <w:rPr>
          <w:color w:val="4C4D4F"/>
          <w:w w:val="120"/>
          <w:sz w:val="18"/>
        </w:rPr>
        <w:t>&amp;</w:t>
      </w:r>
      <w:r>
        <w:rPr>
          <w:color w:val="4C4D4F"/>
          <w:spacing w:val="-22"/>
          <w:w w:val="120"/>
          <w:sz w:val="18"/>
        </w:rPr>
        <w:t> </w:t>
      </w:r>
      <w:r>
        <w:rPr>
          <w:color w:val="4C4D4F"/>
          <w:spacing w:val="-3"/>
          <w:w w:val="120"/>
          <w:sz w:val="18"/>
        </w:rPr>
        <w:t>Zaller,</w:t>
      </w:r>
    </w:p>
    <w:p>
      <w:pPr>
        <w:spacing w:line="247" w:lineRule="auto" w:before="7"/>
        <w:ind w:left="500" w:right="0" w:firstLine="0"/>
        <w:jc w:val="left"/>
        <w:rPr>
          <w:sz w:val="18"/>
        </w:rPr>
      </w:pPr>
      <w:r>
        <w:rPr>
          <w:color w:val="4C4D4F"/>
          <w:w w:val="110"/>
          <w:sz w:val="18"/>
        </w:rPr>
        <w:t>N. D. (2011). Illicit use of buprenorphine/naloxone among injecting and noninjecting opioid users. </w:t>
      </w:r>
      <w:r>
        <w:rPr>
          <w:rFonts w:ascii="Arial" w:hAnsi="Arial"/>
          <w:i/>
          <w:color w:val="4C4D4F"/>
          <w:w w:val="110"/>
          <w:sz w:val="18"/>
        </w:rPr>
        <w:t>Journal </w:t>
      </w:r>
      <w:r>
        <w:rPr>
          <w:rFonts w:ascii="Arial" w:hAnsi="Arial"/>
          <w:i/>
          <w:color w:val="4C4D4F"/>
          <w:w w:val="110"/>
          <w:sz w:val="18"/>
        </w:rPr>
        <w:t>of Addiction Medicine, 5</w:t>
      </w:r>
      <w:r>
        <w:rPr>
          <w:color w:val="4C4D4F"/>
          <w:w w:val="110"/>
          <w:sz w:val="18"/>
        </w:rPr>
        <w:t>(3), 175–180.</w:t>
      </w:r>
    </w:p>
    <w:p>
      <w:pPr>
        <w:pStyle w:val="ListParagraph"/>
        <w:numPr>
          <w:ilvl w:val="0"/>
          <w:numId w:val="51"/>
        </w:numPr>
        <w:tabs>
          <w:tab w:pos="500" w:val="left" w:leader="none"/>
        </w:tabs>
        <w:spacing w:line="240" w:lineRule="auto" w:before="72" w:after="0"/>
        <w:ind w:left="500" w:right="0" w:hanging="360"/>
        <w:jc w:val="left"/>
        <w:rPr>
          <w:color w:val="4C4D4F"/>
          <w:sz w:val="18"/>
        </w:rPr>
      </w:pPr>
      <w:r>
        <w:rPr>
          <w:color w:val="4C4D4F"/>
          <w:w w:val="115"/>
          <w:sz w:val="18"/>
        </w:rPr>
        <w:t>Moratti,</w:t>
      </w:r>
      <w:r>
        <w:rPr>
          <w:color w:val="4C4D4F"/>
          <w:spacing w:val="-22"/>
          <w:w w:val="115"/>
          <w:sz w:val="18"/>
        </w:rPr>
        <w:t> </w:t>
      </w:r>
      <w:r>
        <w:rPr>
          <w:color w:val="4C4D4F"/>
          <w:w w:val="115"/>
          <w:sz w:val="18"/>
        </w:rPr>
        <w:t>E.,</w:t>
      </w:r>
      <w:r>
        <w:rPr>
          <w:color w:val="4C4D4F"/>
          <w:spacing w:val="-21"/>
          <w:w w:val="115"/>
          <w:sz w:val="18"/>
        </w:rPr>
        <w:t> </w:t>
      </w:r>
      <w:r>
        <w:rPr>
          <w:color w:val="4C4D4F"/>
          <w:w w:val="115"/>
          <w:sz w:val="18"/>
        </w:rPr>
        <w:t>Kashanpour,</w:t>
      </w:r>
      <w:r>
        <w:rPr>
          <w:color w:val="4C4D4F"/>
          <w:spacing w:val="-21"/>
          <w:w w:val="115"/>
          <w:sz w:val="18"/>
        </w:rPr>
        <w:t> </w:t>
      </w:r>
      <w:r>
        <w:rPr>
          <w:color w:val="4C4D4F"/>
          <w:w w:val="115"/>
          <w:sz w:val="18"/>
        </w:rPr>
        <w:t>H.,</w:t>
      </w:r>
      <w:r>
        <w:rPr>
          <w:color w:val="4C4D4F"/>
          <w:spacing w:val="-21"/>
          <w:w w:val="115"/>
          <w:sz w:val="18"/>
        </w:rPr>
        <w:t> </w:t>
      </w:r>
      <w:r>
        <w:rPr>
          <w:color w:val="4C4D4F"/>
          <w:w w:val="115"/>
          <w:sz w:val="18"/>
        </w:rPr>
        <w:t>Lombardelli,</w:t>
      </w:r>
      <w:r>
        <w:rPr>
          <w:color w:val="4C4D4F"/>
          <w:spacing w:val="-21"/>
          <w:w w:val="115"/>
          <w:sz w:val="18"/>
        </w:rPr>
        <w:t> </w:t>
      </w:r>
      <w:r>
        <w:rPr>
          <w:color w:val="4C4D4F"/>
          <w:spacing w:val="-7"/>
          <w:w w:val="115"/>
          <w:sz w:val="18"/>
        </w:rPr>
        <w:t>T.,</w:t>
      </w:r>
      <w:r>
        <w:rPr>
          <w:color w:val="4C4D4F"/>
          <w:spacing w:val="-21"/>
          <w:w w:val="115"/>
          <w:sz w:val="18"/>
        </w:rPr>
        <w:t> </w:t>
      </w:r>
      <w:r>
        <w:rPr>
          <w:color w:val="4C4D4F"/>
          <w:w w:val="115"/>
          <w:sz w:val="18"/>
        </w:rPr>
        <w:t>&amp;</w:t>
      </w:r>
      <w:r>
        <w:rPr>
          <w:color w:val="4C4D4F"/>
          <w:spacing w:val="-21"/>
          <w:w w:val="115"/>
          <w:sz w:val="18"/>
        </w:rPr>
        <w:t> </w:t>
      </w:r>
      <w:r>
        <w:rPr>
          <w:color w:val="4C4D4F"/>
          <w:w w:val="115"/>
          <w:sz w:val="18"/>
        </w:rPr>
        <w:t>Maisto,</w:t>
      </w:r>
    </w:p>
    <w:p>
      <w:pPr>
        <w:spacing w:line="247" w:lineRule="auto" w:before="8"/>
        <w:ind w:left="500" w:right="62" w:firstLine="0"/>
        <w:jc w:val="left"/>
        <w:rPr>
          <w:sz w:val="18"/>
        </w:rPr>
      </w:pPr>
      <w:r>
        <w:rPr>
          <w:color w:val="4C4D4F"/>
          <w:w w:val="110"/>
          <w:sz w:val="18"/>
        </w:rPr>
        <w:t>M. (2010). Intravenous misuse of buprenorphine: Characteristics and extent among patients </w:t>
      </w:r>
      <w:r>
        <w:rPr>
          <w:color w:val="4C4D4F"/>
          <w:spacing w:val="-3"/>
          <w:w w:val="110"/>
          <w:sz w:val="18"/>
        </w:rPr>
        <w:t>undergoing </w:t>
      </w:r>
      <w:r>
        <w:rPr>
          <w:color w:val="4C4D4F"/>
          <w:w w:val="110"/>
          <w:sz w:val="18"/>
        </w:rPr>
        <w:t>drug</w:t>
      </w:r>
      <w:r>
        <w:rPr>
          <w:color w:val="4C4D4F"/>
          <w:spacing w:val="-27"/>
          <w:w w:val="110"/>
          <w:sz w:val="18"/>
        </w:rPr>
        <w:t> </w:t>
      </w:r>
      <w:r>
        <w:rPr>
          <w:color w:val="4C4D4F"/>
          <w:w w:val="110"/>
          <w:sz w:val="18"/>
        </w:rPr>
        <w:t>maintenance</w:t>
      </w:r>
      <w:r>
        <w:rPr>
          <w:color w:val="4C4D4F"/>
          <w:spacing w:val="-26"/>
          <w:w w:val="110"/>
          <w:sz w:val="18"/>
        </w:rPr>
        <w:t> </w:t>
      </w:r>
      <w:r>
        <w:rPr>
          <w:color w:val="4C4D4F"/>
          <w:w w:val="110"/>
          <w:sz w:val="18"/>
        </w:rPr>
        <w:t>therapy.</w:t>
      </w:r>
      <w:r>
        <w:rPr>
          <w:color w:val="4C4D4F"/>
          <w:spacing w:val="-26"/>
          <w:w w:val="110"/>
          <w:sz w:val="18"/>
        </w:rPr>
        <w:t> </w:t>
      </w:r>
      <w:r>
        <w:rPr>
          <w:rFonts w:ascii="Arial" w:hAnsi="Arial"/>
          <w:i/>
          <w:color w:val="4C4D4F"/>
          <w:w w:val="110"/>
          <w:sz w:val="18"/>
        </w:rPr>
        <w:t>Clinical</w:t>
      </w:r>
      <w:r>
        <w:rPr>
          <w:rFonts w:ascii="Arial" w:hAnsi="Arial"/>
          <w:i/>
          <w:color w:val="4C4D4F"/>
          <w:spacing w:val="-26"/>
          <w:w w:val="110"/>
          <w:sz w:val="18"/>
        </w:rPr>
        <w:t> </w:t>
      </w:r>
      <w:r>
        <w:rPr>
          <w:rFonts w:ascii="Arial" w:hAnsi="Arial"/>
          <w:i/>
          <w:color w:val="4C4D4F"/>
          <w:w w:val="110"/>
          <w:sz w:val="18"/>
        </w:rPr>
        <w:t>Drug</w:t>
      </w:r>
      <w:r>
        <w:rPr>
          <w:rFonts w:ascii="Arial" w:hAnsi="Arial"/>
          <w:i/>
          <w:color w:val="4C4D4F"/>
          <w:spacing w:val="-26"/>
          <w:w w:val="110"/>
          <w:sz w:val="18"/>
        </w:rPr>
        <w:t> </w:t>
      </w:r>
      <w:r>
        <w:rPr>
          <w:rFonts w:ascii="Arial" w:hAnsi="Arial"/>
          <w:i/>
          <w:color w:val="4C4D4F"/>
          <w:w w:val="110"/>
          <w:sz w:val="18"/>
        </w:rPr>
        <w:t>Investigation, </w:t>
      </w:r>
      <w:r>
        <w:rPr>
          <w:rFonts w:ascii="Arial" w:hAnsi="Arial"/>
          <w:i/>
          <w:color w:val="4C4D4F"/>
          <w:w w:val="110"/>
          <w:sz w:val="18"/>
        </w:rPr>
        <w:t>30</w:t>
      </w:r>
      <w:r>
        <w:rPr>
          <w:color w:val="4C4D4F"/>
          <w:w w:val="110"/>
          <w:sz w:val="18"/>
        </w:rPr>
        <w:t>(Suppl. 1),</w:t>
      </w:r>
      <w:r>
        <w:rPr>
          <w:color w:val="4C4D4F"/>
          <w:spacing w:val="-11"/>
          <w:w w:val="110"/>
          <w:sz w:val="18"/>
        </w:rPr>
        <w:t> </w:t>
      </w:r>
      <w:r>
        <w:rPr>
          <w:color w:val="4C4D4F"/>
          <w:w w:val="110"/>
          <w:sz w:val="18"/>
        </w:rPr>
        <w:t>3–11.</w:t>
      </w:r>
    </w:p>
    <w:p>
      <w:pPr>
        <w:pStyle w:val="ListParagraph"/>
        <w:numPr>
          <w:ilvl w:val="0"/>
          <w:numId w:val="51"/>
        </w:numPr>
        <w:tabs>
          <w:tab w:pos="500" w:val="left" w:leader="none"/>
        </w:tabs>
        <w:spacing w:line="247" w:lineRule="auto" w:before="72" w:after="0"/>
        <w:ind w:left="500" w:right="61" w:hanging="360"/>
        <w:jc w:val="left"/>
        <w:rPr>
          <w:color w:val="4C4D4F"/>
          <w:sz w:val="18"/>
        </w:rPr>
      </w:pPr>
      <w:r>
        <w:rPr>
          <w:color w:val="4C4D4F"/>
          <w:w w:val="110"/>
          <w:sz w:val="18"/>
        </w:rPr>
        <w:t>Braeburn Pharmaceuticals. (2016). Probuphine (buprenorphine) implant: Full prescribing information. Retrieved October 16, 2017, from</w:t>
      </w:r>
      <w:r>
        <w:rPr>
          <w:color w:val="205E9E"/>
          <w:spacing w:val="-14"/>
          <w:w w:val="110"/>
          <w:sz w:val="18"/>
        </w:rPr>
        <w:t> </w:t>
      </w:r>
      <w:hyperlink r:id="rId109">
        <w:r>
          <w:rPr>
            <w:color w:val="205E9E"/>
            <w:w w:val="110"/>
            <w:sz w:val="18"/>
            <w:u w:val="single" w:color="205E9E"/>
          </w:rPr>
          <w:t>www.accessdata.fda</w:t>
        </w:r>
      </w:hyperlink>
    </w:p>
    <w:p>
      <w:pPr>
        <w:spacing w:before="3"/>
        <w:ind w:left="500" w:right="0" w:firstLine="0"/>
        <w:jc w:val="left"/>
        <w:rPr>
          <w:sz w:val="18"/>
        </w:rPr>
      </w:pPr>
      <w:r>
        <w:rPr>
          <w:color w:val="205E9E"/>
          <w:w w:val="115"/>
          <w:sz w:val="18"/>
          <w:u w:val="single" w:color="205E9E"/>
        </w:rPr>
        <w:t>.gov/drugsatfda_docs/label/2016/204442Orig1s000lbl</w:t>
      </w:r>
    </w:p>
    <w:p>
      <w:pPr>
        <w:spacing w:before="8"/>
        <w:ind w:left="500" w:right="0" w:firstLine="0"/>
        <w:jc w:val="left"/>
        <w:rPr>
          <w:sz w:val="18"/>
        </w:rPr>
      </w:pPr>
      <w:r>
        <w:rPr>
          <w:color w:val="205E9E"/>
          <w:w w:val="125"/>
          <w:sz w:val="18"/>
          <w:u w:val="single" w:color="205E9E"/>
        </w:rPr>
        <w:t>.pdf</w:t>
      </w:r>
    </w:p>
    <w:p>
      <w:pPr>
        <w:pStyle w:val="ListParagraph"/>
        <w:numPr>
          <w:ilvl w:val="0"/>
          <w:numId w:val="51"/>
        </w:numPr>
        <w:tabs>
          <w:tab w:pos="500" w:val="left" w:leader="none"/>
        </w:tabs>
        <w:spacing w:line="247" w:lineRule="auto" w:before="79" w:after="0"/>
        <w:ind w:left="500" w:right="61" w:hanging="360"/>
        <w:jc w:val="left"/>
        <w:rPr>
          <w:color w:val="4C4D4F"/>
          <w:sz w:val="18"/>
        </w:rPr>
      </w:pPr>
      <w:r>
        <w:rPr>
          <w:color w:val="4C4D4F"/>
          <w:w w:val="110"/>
          <w:sz w:val="18"/>
        </w:rPr>
        <w:t>Braeburn Pharmaceuticals. (2016). Probuphine (buprenorphine) implant: Full prescribing information. Retrieved October 16, 2017, from</w:t>
      </w:r>
      <w:r>
        <w:rPr>
          <w:color w:val="205E9E"/>
          <w:spacing w:val="-14"/>
          <w:w w:val="110"/>
          <w:sz w:val="18"/>
        </w:rPr>
        <w:t> </w:t>
      </w:r>
      <w:hyperlink r:id="rId109">
        <w:r>
          <w:rPr>
            <w:color w:val="205E9E"/>
            <w:w w:val="110"/>
            <w:sz w:val="18"/>
            <w:u w:val="single" w:color="205E9E"/>
          </w:rPr>
          <w:t>www.accessdata.fda</w:t>
        </w:r>
      </w:hyperlink>
    </w:p>
    <w:p>
      <w:pPr>
        <w:spacing w:before="3"/>
        <w:ind w:left="500" w:right="0" w:firstLine="0"/>
        <w:jc w:val="left"/>
        <w:rPr>
          <w:sz w:val="18"/>
        </w:rPr>
      </w:pPr>
      <w:r>
        <w:rPr>
          <w:color w:val="205E9E"/>
          <w:w w:val="115"/>
          <w:sz w:val="18"/>
          <w:u w:val="single" w:color="205E9E"/>
        </w:rPr>
        <w:t>.gov/drugsatfda_docs/label/2016/204442Orig1s000lbl</w:t>
      </w:r>
    </w:p>
    <w:p>
      <w:pPr>
        <w:spacing w:before="7"/>
        <w:ind w:left="500" w:right="0" w:firstLine="0"/>
        <w:jc w:val="left"/>
        <w:rPr>
          <w:sz w:val="18"/>
        </w:rPr>
      </w:pPr>
      <w:r>
        <w:rPr>
          <w:color w:val="205E9E"/>
          <w:w w:val="125"/>
          <w:sz w:val="18"/>
          <w:u w:val="single" w:color="205E9E"/>
        </w:rPr>
        <w:t>.pdf</w:t>
      </w:r>
    </w:p>
    <w:p>
      <w:pPr>
        <w:pStyle w:val="ListParagraph"/>
        <w:numPr>
          <w:ilvl w:val="0"/>
          <w:numId w:val="51"/>
        </w:numPr>
        <w:tabs>
          <w:tab w:pos="500" w:val="left" w:leader="none"/>
        </w:tabs>
        <w:spacing w:line="240" w:lineRule="auto" w:before="79" w:after="0"/>
        <w:ind w:left="500" w:right="0" w:hanging="360"/>
        <w:jc w:val="left"/>
        <w:rPr>
          <w:color w:val="4C4D4F"/>
          <w:sz w:val="18"/>
        </w:rPr>
      </w:pPr>
      <w:r>
        <w:rPr>
          <w:color w:val="4C4D4F"/>
          <w:w w:val="110"/>
          <w:sz w:val="18"/>
        </w:rPr>
        <w:t>Center for Substance Abuse </w:t>
      </w:r>
      <w:r>
        <w:rPr>
          <w:color w:val="4C4D4F"/>
          <w:spacing w:val="-3"/>
          <w:w w:val="110"/>
          <w:sz w:val="18"/>
        </w:rPr>
        <w:t>Treatment.</w:t>
      </w:r>
      <w:r>
        <w:rPr>
          <w:color w:val="4C4D4F"/>
          <w:spacing w:val="-25"/>
          <w:w w:val="110"/>
          <w:sz w:val="18"/>
        </w:rPr>
        <w:t> </w:t>
      </w:r>
      <w:r>
        <w:rPr>
          <w:color w:val="4C4D4F"/>
          <w:w w:val="110"/>
          <w:sz w:val="18"/>
        </w:rPr>
        <w:t>(2004).</w:t>
      </w:r>
    </w:p>
    <w:p>
      <w:pPr>
        <w:spacing w:line="249" w:lineRule="auto" w:before="6"/>
        <w:ind w:left="500" w:right="5" w:firstLine="0"/>
        <w:jc w:val="left"/>
        <w:rPr>
          <w:sz w:val="18"/>
        </w:rPr>
      </w:pPr>
      <w:r>
        <w:rPr>
          <w:rFonts w:ascii="Arial"/>
          <w:i/>
          <w:color w:val="4C4D4F"/>
          <w:w w:val="105"/>
          <w:sz w:val="18"/>
        </w:rPr>
        <w:t>Clinical guidelines for the use of buprenorphine in the </w:t>
      </w:r>
      <w:r>
        <w:rPr>
          <w:rFonts w:ascii="Arial"/>
          <w:i/>
          <w:color w:val="4C4D4F"/>
          <w:w w:val="105"/>
          <w:sz w:val="18"/>
        </w:rPr>
        <w:t>treatment of opioid addiction. </w:t>
      </w:r>
      <w:r>
        <w:rPr>
          <w:color w:val="4C4D4F"/>
          <w:w w:val="105"/>
          <w:sz w:val="18"/>
        </w:rPr>
        <w:t>Treatment Improvement Protocol (TIP) Series 40. HHS Publication No. (SMA)</w:t>
      </w:r>
    </w:p>
    <w:p>
      <w:pPr>
        <w:spacing w:line="247" w:lineRule="auto" w:before="0"/>
        <w:ind w:left="500" w:right="85" w:firstLine="0"/>
        <w:jc w:val="left"/>
        <w:rPr>
          <w:sz w:val="18"/>
        </w:rPr>
      </w:pPr>
      <w:r>
        <w:rPr>
          <w:color w:val="4C4D4F"/>
          <w:w w:val="110"/>
          <w:sz w:val="18"/>
        </w:rPr>
        <w:t>04-3939. Rockville, MD: Substance Abuse and Mental Health Services Administration.</w:t>
      </w:r>
    </w:p>
    <w:p>
      <w:pPr>
        <w:pStyle w:val="ListParagraph"/>
        <w:numPr>
          <w:ilvl w:val="0"/>
          <w:numId w:val="51"/>
        </w:numPr>
        <w:tabs>
          <w:tab w:pos="500" w:val="left" w:leader="none"/>
        </w:tabs>
        <w:spacing w:line="247" w:lineRule="auto" w:before="100" w:after="0"/>
        <w:ind w:left="500" w:right="447" w:hanging="360"/>
        <w:jc w:val="left"/>
        <w:rPr>
          <w:color w:val="4C4D4F"/>
          <w:sz w:val="18"/>
        </w:rPr>
      </w:pPr>
      <w:r>
        <w:rPr>
          <w:color w:val="4C4D4F"/>
          <w:spacing w:val="-7"/>
          <w:w w:val="92"/>
          <w:sz w:val="18"/>
        </w:rPr>
        <w:br w:type="column"/>
      </w:r>
      <w:r>
        <w:rPr>
          <w:color w:val="4C4D4F"/>
          <w:spacing w:val="-3"/>
          <w:w w:val="115"/>
          <w:sz w:val="18"/>
        </w:rPr>
        <w:t>Walley,</w:t>
      </w:r>
      <w:r>
        <w:rPr>
          <w:color w:val="4C4D4F"/>
          <w:spacing w:val="-21"/>
          <w:w w:val="115"/>
          <w:sz w:val="18"/>
        </w:rPr>
        <w:t> </w:t>
      </w:r>
      <w:r>
        <w:rPr>
          <w:color w:val="4C4D4F"/>
          <w:w w:val="115"/>
          <w:sz w:val="18"/>
        </w:rPr>
        <w:t>A.</w:t>
      </w:r>
      <w:r>
        <w:rPr>
          <w:color w:val="4C4D4F"/>
          <w:spacing w:val="-20"/>
          <w:w w:val="115"/>
          <w:sz w:val="18"/>
        </w:rPr>
        <w:t> </w:t>
      </w:r>
      <w:r>
        <w:rPr>
          <w:color w:val="4C4D4F"/>
          <w:spacing w:val="-9"/>
          <w:w w:val="115"/>
          <w:sz w:val="18"/>
        </w:rPr>
        <w:t>Y.,</w:t>
      </w:r>
      <w:r>
        <w:rPr>
          <w:color w:val="4C4D4F"/>
          <w:spacing w:val="-20"/>
          <w:w w:val="115"/>
          <w:sz w:val="18"/>
        </w:rPr>
        <w:t> </w:t>
      </w:r>
      <w:r>
        <w:rPr>
          <w:color w:val="4C4D4F"/>
          <w:w w:val="115"/>
          <w:sz w:val="18"/>
        </w:rPr>
        <w:t>Alperen,</w:t>
      </w:r>
      <w:r>
        <w:rPr>
          <w:color w:val="4C4D4F"/>
          <w:spacing w:val="-20"/>
          <w:w w:val="115"/>
          <w:sz w:val="18"/>
        </w:rPr>
        <w:t> </w:t>
      </w:r>
      <w:r>
        <w:rPr>
          <w:color w:val="4C4D4F"/>
          <w:w w:val="135"/>
          <w:sz w:val="18"/>
        </w:rPr>
        <w:t>J.</w:t>
      </w:r>
      <w:r>
        <w:rPr>
          <w:color w:val="4C4D4F"/>
          <w:spacing w:val="-30"/>
          <w:w w:val="135"/>
          <w:sz w:val="18"/>
        </w:rPr>
        <w:t> </w:t>
      </w:r>
      <w:r>
        <w:rPr>
          <w:color w:val="4C4D4F"/>
          <w:w w:val="115"/>
          <w:sz w:val="18"/>
        </w:rPr>
        <w:t>K.,</w:t>
      </w:r>
      <w:r>
        <w:rPr>
          <w:color w:val="4C4D4F"/>
          <w:spacing w:val="-21"/>
          <w:w w:val="115"/>
          <w:sz w:val="18"/>
        </w:rPr>
        <w:t> </w:t>
      </w:r>
      <w:r>
        <w:rPr>
          <w:color w:val="4C4D4F"/>
          <w:w w:val="115"/>
          <w:sz w:val="18"/>
        </w:rPr>
        <w:t>Cheng,</w:t>
      </w:r>
      <w:r>
        <w:rPr>
          <w:color w:val="4C4D4F"/>
          <w:spacing w:val="-20"/>
          <w:w w:val="115"/>
          <w:sz w:val="18"/>
        </w:rPr>
        <w:t> </w:t>
      </w:r>
      <w:r>
        <w:rPr>
          <w:color w:val="4C4D4F"/>
          <w:w w:val="115"/>
          <w:sz w:val="18"/>
        </w:rPr>
        <w:t>D.</w:t>
      </w:r>
      <w:r>
        <w:rPr>
          <w:color w:val="4C4D4F"/>
          <w:spacing w:val="-20"/>
          <w:w w:val="115"/>
          <w:sz w:val="18"/>
        </w:rPr>
        <w:t> </w:t>
      </w:r>
      <w:r>
        <w:rPr>
          <w:color w:val="4C4D4F"/>
          <w:w w:val="115"/>
          <w:sz w:val="18"/>
        </w:rPr>
        <w:t>M.,</w:t>
      </w:r>
      <w:r>
        <w:rPr>
          <w:color w:val="4C4D4F"/>
          <w:spacing w:val="-20"/>
          <w:w w:val="115"/>
          <w:sz w:val="18"/>
        </w:rPr>
        <w:t> </w:t>
      </w:r>
      <w:r>
        <w:rPr>
          <w:color w:val="4C4D4F"/>
          <w:w w:val="115"/>
          <w:sz w:val="18"/>
        </w:rPr>
        <w:t>Botticelli, M.,</w:t>
      </w:r>
      <w:r>
        <w:rPr>
          <w:color w:val="4C4D4F"/>
          <w:spacing w:val="-16"/>
          <w:w w:val="115"/>
          <w:sz w:val="18"/>
        </w:rPr>
        <w:t> </w:t>
      </w:r>
      <w:r>
        <w:rPr>
          <w:color w:val="4C4D4F"/>
          <w:w w:val="115"/>
          <w:sz w:val="18"/>
        </w:rPr>
        <w:t>Castro-Donlan,</w:t>
      </w:r>
      <w:r>
        <w:rPr>
          <w:color w:val="4C4D4F"/>
          <w:spacing w:val="-16"/>
          <w:w w:val="115"/>
          <w:sz w:val="18"/>
        </w:rPr>
        <w:t> </w:t>
      </w:r>
      <w:r>
        <w:rPr>
          <w:color w:val="4C4D4F"/>
          <w:w w:val="115"/>
          <w:sz w:val="18"/>
        </w:rPr>
        <w:t>C.,</w:t>
      </w:r>
      <w:r>
        <w:rPr>
          <w:color w:val="4C4D4F"/>
          <w:spacing w:val="-16"/>
          <w:w w:val="115"/>
          <w:sz w:val="18"/>
        </w:rPr>
        <w:t> </w:t>
      </w:r>
      <w:r>
        <w:rPr>
          <w:color w:val="4C4D4F"/>
          <w:w w:val="115"/>
          <w:sz w:val="18"/>
        </w:rPr>
        <w:t>Samet,</w:t>
      </w:r>
      <w:r>
        <w:rPr>
          <w:color w:val="4C4D4F"/>
          <w:spacing w:val="-16"/>
          <w:w w:val="115"/>
          <w:sz w:val="18"/>
        </w:rPr>
        <w:t> </w:t>
      </w:r>
      <w:r>
        <w:rPr>
          <w:color w:val="4C4D4F"/>
          <w:w w:val="135"/>
          <w:sz w:val="18"/>
        </w:rPr>
        <w:t>J.</w:t>
      </w:r>
      <w:r>
        <w:rPr>
          <w:color w:val="4C4D4F"/>
          <w:spacing w:val="-26"/>
          <w:w w:val="135"/>
          <w:sz w:val="18"/>
        </w:rPr>
        <w:t> </w:t>
      </w:r>
      <w:r>
        <w:rPr>
          <w:color w:val="4C4D4F"/>
          <w:w w:val="115"/>
          <w:sz w:val="18"/>
        </w:rPr>
        <w:t>H.,</w:t>
      </w:r>
      <w:r>
        <w:rPr>
          <w:color w:val="4C4D4F"/>
          <w:spacing w:val="-15"/>
          <w:w w:val="115"/>
          <w:sz w:val="18"/>
        </w:rPr>
        <w:t> </w:t>
      </w:r>
      <w:r>
        <w:rPr>
          <w:color w:val="4C4D4F"/>
          <w:w w:val="115"/>
          <w:sz w:val="18"/>
        </w:rPr>
        <w:t>&amp;</w:t>
      </w:r>
      <w:r>
        <w:rPr>
          <w:color w:val="4C4D4F"/>
          <w:spacing w:val="-16"/>
          <w:w w:val="115"/>
          <w:sz w:val="18"/>
        </w:rPr>
        <w:t> </w:t>
      </w:r>
      <w:r>
        <w:rPr>
          <w:color w:val="4C4D4F"/>
          <w:w w:val="115"/>
          <w:sz w:val="18"/>
        </w:rPr>
        <w:t>Alford,</w:t>
      </w:r>
      <w:r>
        <w:rPr>
          <w:color w:val="4C4D4F"/>
          <w:spacing w:val="-16"/>
          <w:w w:val="115"/>
          <w:sz w:val="18"/>
        </w:rPr>
        <w:t> </w:t>
      </w:r>
      <w:r>
        <w:rPr>
          <w:color w:val="4C4D4F"/>
          <w:w w:val="115"/>
          <w:sz w:val="18"/>
        </w:rPr>
        <w:t>D.</w:t>
      </w:r>
    </w:p>
    <w:p>
      <w:pPr>
        <w:spacing w:line="247" w:lineRule="auto" w:before="2"/>
        <w:ind w:left="500" w:right="115" w:firstLine="0"/>
        <w:jc w:val="left"/>
        <w:rPr>
          <w:sz w:val="18"/>
        </w:rPr>
      </w:pPr>
      <w:r>
        <w:rPr>
          <w:color w:val="4C4D4F"/>
          <w:w w:val="110"/>
          <w:sz w:val="18"/>
        </w:rPr>
        <w:t>P. (2008). Ofﬁce-based management of opioid dependence with buprenorphine: Clinical practices and barriers. </w:t>
      </w:r>
      <w:r>
        <w:rPr>
          <w:rFonts w:ascii="Arial" w:hAnsi="Arial"/>
          <w:i/>
          <w:color w:val="4C4D4F"/>
          <w:w w:val="110"/>
          <w:sz w:val="18"/>
        </w:rPr>
        <w:t>Journal of General Internal Medicine, 23</w:t>
      </w:r>
      <w:r>
        <w:rPr>
          <w:color w:val="4C4D4F"/>
          <w:w w:val="110"/>
          <w:sz w:val="18"/>
        </w:rPr>
        <w:t>(9), 1393–1398.</w:t>
      </w:r>
    </w:p>
    <w:p>
      <w:pPr>
        <w:pStyle w:val="ListParagraph"/>
        <w:numPr>
          <w:ilvl w:val="0"/>
          <w:numId w:val="51"/>
        </w:numPr>
        <w:tabs>
          <w:tab w:pos="500" w:val="left" w:leader="none"/>
        </w:tabs>
        <w:spacing w:line="247" w:lineRule="auto" w:before="74" w:after="0"/>
        <w:ind w:left="500" w:right="373" w:hanging="360"/>
        <w:jc w:val="left"/>
        <w:rPr>
          <w:color w:val="4C4D4F"/>
          <w:sz w:val="18"/>
        </w:rPr>
      </w:pPr>
      <w:r>
        <w:rPr>
          <w:color w:val="4C4D4F"/>
          <w:w w:val="110"/>
          <w:sz w:val="18"/>
        </w:rPr>
        <w:t>Gunderson, E. </w:t>
      </w:r>
      <w:r>
        <w:rPr>
          <w:color w:val="4C4D4F"/>
          <w:spacing w:val="-5"/>
          <w:w w:val="110"/>
          <w:sz w:val="18"/>
        </w:rPr>
        <w:t>W., </w:t>
      </w:r>
      <w:r>
        <w:rPr>
          <w:color w:val="4C4D4F"/>
          <w:w w:val="110"/>
          <w:sz w:val="18"/>
        </w:rPr>
        <w:t>Wang, X. Q., Fiellin, D. A., Bryan, B., &amp; Levin, </w:t>
      </w:r>
      <w:r>
        <w:rPr>
          <w:color w:val="4C4D4F"/>
          <w:spacing w:val="-15"/>
          <w:w w:val="110"/>
          <w:sz w:val="18"/>
        </w:rPr>
        <w:t>F. </w:t>
      </w:r>
      <w:r>
        <w:rPr>
          <w:color w:val="4C4D4F"/>
          <w:w w:val="110"/>
          <w:sz w:val="18"/>
        </w:rPr>
        <w:t>R. (2010). Unobserved versus </w:t>
      </w:r>
      <w:r>
        <w:rPr>
          <w:color w:val="4C4D4F"/>
          <w:spacing w:val="-3"/>
          <w:w w:val="110"/>
          <w:sz w:val="18"/>
        </w:rPr>
        <w:t>observed </w:t>
      </w:r>
      <w:r>
        <w:rPr>
          <w:color w:val="4C4D4F"/>
          <w:w w:val="110"/>
          <w:sz w:val="18"/>
        </w:rPr>
        <w:t>ofﬁce buprenorphine/naloxone induction: A pilot randomized</w:t>
      </w:r>
      <w:r>
        <w:rPr>
          <w:color w:val="4C4D4F"/>
          <w:spacing w:val="-26"/>
          <w:w w:val="110"/>
          <w:sz w:val="18"/>
        </w:rPr>
        <w:t> </w:t>
      </w:r>
      <w:r>
        <w:rPr>
          <w:color w:val="4C4D4F"/>
          <w:w w:val="110"/>
          <w:sz w:val="18"/>
        </w:rPr>
        <w:t>clinical</w:t>
      </w:r>
      <w:r>
        <w:rPr>
          <w:color w:val="4C4D4F"/>
          <w:spacing w:val="-26"/>
          <w:w w:val="110"/>
          <w:sz w:val="18"/>
        </w:rPr>
        <w:t> </w:t>
      </w:r>
      <w:r>
        <w:rPr>
          <w:color w:val="4C4D4F"/>
          <w:w w:val="110"/>
          <w:sz w:val="18"/>
        </w:rPr>
        <w:t>trial.</w:t>
      </w:r>
      <w:r>
        <w:rPr>
          <w:color w:val="4C4D4F"/>
          <w:spacing w:val="-25"/>
          <w:w w:val="110"/>
          <w:sz w:val="18"/>
        </w:rPr>
        <w:t> </w:t>
      </w:r>
      <w:r>
        <w:rPr>
          <w:rFonts w:ascii="Arial" w:hAnsi="Arial"/>
          <w:i/>
          <w:color w:val="4C4D4F"/>
          <w:w w:val="110"/>
          <w:sz w:val="18"/>
        </w:rPr>
        <w:t>Addictive</w:t>
      </w:r>
      <w:r>
        <w:rPr>
          <w:rFonts w:ascii="Arial" w:hAnsi="Arial"/>
          <w:i/>
          <w:color w:val="4C4D4F"/>
          <w:spacing w:val="-26"/>
          <w:w w:val="110"/>
          <w:sz w:val="18"/>
        </w:rPr>
        <w:t> </w:t>
      </w:r>
      <w:r>
        <w:rPr>
          <w:rFonts w:ascii="Arial" w:hAnsi="Arial"/>
          <w:i/>
          <w:color w:val="4C4D4F"/>
          <w:w w:val="110"/>
          <w:sz w:val="18"/>
        </w:rPr>
        <w:t>Behaviors,</w:t>
      </w:r>
      <w:r>
        <w:rPr>
          <w:rFonts w:ascii="Arial" w:hAnsi="Arial"/>
          <w:i/>
          <w:color w:val="4C4D4F"/>
          <w:spacing w:val="-25"/>
          <w:w w:val="110"/>
          <w:sz w:val="18"/>
        </w:rPr>
        <w:t> </w:t>
      </w:r>
      <w:r>
        <w:rPr>
          <w:rFonts w:ascii="Arial" w:hAnsi="Arial"/>
          <w:i/>
          <w:color w:val="4C4D4F"/>
          <w:w w:val="110"/>
          <w:sz w:val="18"/>
        </w:rPr>
        <w:t>35</w:t>
      </w:r>
      <w:r>
        <w:rPr>
          <w:color w:val="4C4D4F"/>
          <w:w w:val="110"/>
          <w:sz w:val="18"/>
        </w:rPr>
        <w:t>(5), 537–540.</w:t>
      </w:r>
    </w:p>
    <w:p>
      <w:pPr>
        <w:pStyle w:val="ListParagraph"/>
        <w:numPr>
          <w:ilvl w:val="0"/>
          <w:numId w:val="51"/>
        </w:numPr>
        <w:tabs>
          <w:tab w:pos="500" w:val="left" w:leader="none"/>
        </w:tabs>
        <w:spacing w:line="247" w:lineRule="auto" w:before="76" w:after="0"/>
        <w:ind w:left="500" w:right="257" w:hanging="360"/>
        <w:jc w:val="left"/>
        <w:rPr>
          <w:color w:val="4C4D4F"/>
          <w:sz w:val="18"/>
        </w:rPr>
      </w:pPr>
      <w:r>
        <w:rPr>
          <w:color w:val="4C4D4F"/>
          <w:w w:val="110"/>
          <w:sz w:val="18"/>
        </w:rPr>
        <w:t>Lee, </w:t>
      </w:r>
      <w:r>
        <w:rPr>
          <w:color w:val="4C4D4F"/>
          <w:w w:val="135"/>
          <w:sz w:val="18"/>
        </w:rPr>
        <w:t>J. </w:t>
      </w:r>
      <w:r>
        <w:rPr>
          <w:color w:val="4C4D4F"/>
          <w:w w:val="110"/>
          <w:sz w:val="18"/>
        </w:rPr>
        <w:t>D., Vocci, </w:t>
      </w:r>
      <w:r>
        <w:rPr>
          <w:color w:val="4C4D4F"/>
          <w:spacing w:val="-10"/>
          <w:w w:val="110"/>
          <w:sz w:val="18"/>
        </w:rPr>
        <w:t>F., </w:t>
      </w:r>
      <w:r>
        <w:rPr>
          <w:color w:val="4C4D4F"/>
          <w:w w:val="110"/>
          <w:sz w:val="18"/>
        </w:rPr>
        <w:t>&amp; Fiellin, D. A. (2014).</w:t>
      </w:r>
      <w:r>
        <w:rPr>
          <w:color w:val="4C4D4F"/>
          <w:spacing w:val="-30"/>
          <w:w w:val="110"/>
          <w:sz w:val="18"/>
        </w:rPr>
        <w:t> </w:t>
      </w:r>
      <w:r>
        <w:rPr>
          <w:color w:val="4C4D4F"/>
          <w:w w:val="110"/>
          <w:sz w:val="18"/>
        </w:rPr>
        <w:t>Unobserved “home” induction onto buprenorphine. </w:t>
      </w:r>
      <w:r>
        <w:rPr>
          <w:rFonts w:ascii="Arial" w:hAnsi="Arial"/>
          <w:i/>
          <w:color w:val="4C4D4F"/>
          <w:w w:val="110"/>
          <w:sz w:val="18"/>
        </w:rPr>
        <w:t>Journal of </w:t>
      </w:r>
      <w:r>
        <w:rPr>
          <w:rFonts w:ascii="Arial" w:hAnsi="Arial"/>
          <w:i/>
          <w:color w:val="4C4D4F"/>
          <w:w w:val="110"/>
          <w:sz w:val="18"/>
        </w:rPr>
        <w:t>Addiction Medicine, 8</w:t>
      </w:r>
      <w:r>
        <w:rPr>
          <w:color w:val="4C4D4F"/>
          <w:w w:val="110"/>
          <w:sz w:val="18"/>
        </w:rPr>
        <w:t>(5),</w:t>
      </w:r>
      <w:r>
        <w:rPr>
          <w:color w:val="4C4D4F"/>
          <w:spacing w:val="-24"/>
          <w:w w:val="110"/>
          <w:sz w:val="18"/>
        </w:rPr>
        <w:t> </w:t>
      </w:r>
      <w:r>
        <w:rPr>
          <w:color w:val="4C4D4F"/>
          <w:w w:val="110"/>
          <w:sz w:val="18"/>
        </w:rPr>
        <w:t>299–308.</w:t>
      </w:r>
    </w:p>
    <w:p>
      <w:pPr>
        <w:pStyle w:val="ListParagraph"/>
        <w:numPr>
          <w:ilvl w:val="0"/>
          <w:numId w:val="51"/>
        </w:numPr>
        <w:tabs>
          <w:tab w:pos="500" w:val="left" w:leader="none"/>
        </w:tabs>
        <w:spacing w:line="240" w:lineRule="auto" w:before="72" w:after="0"/>
        <w:ind w:left="500" w:right="0" w:hanging="360"/>
        <w:jc w:val="left"/>
        <w:rPr>
          <w:color w:val="4C4D4F"/>
          <w:sz w:val="18"/>
        </w:rPr>
      </w:pPr>
      <w:r>
        <w:rPr>
          <w:color w:val="4C4D4F"/>
          <w:w w:val="110"/>
          <w:sz w:val="18"/>
        </w:rPr>
        <w:t>American Society of Addiction Medicine.</w:t>
      </w:r>
      <w:r>
        <w:rPr>
          <w:color w:val="4C4D4F"/>
          <w:spacing w:val="-16"/>
          <w:w w:val="110"/>
          <w:sz w:val="18"/>
        </w:rPr>
        <w:t> </w:t>
      </w:r>
      <w:r>
        <w:rPr>
          <w:color w:val="4C4D4F"/>
          <w:w w:val="110"/>
          <w:sz w:val="18"/>
        </w:rPr>
        <w:t>(2015).</w:t>
      </w:r>
    </w:p>
    <w:p>
      <w:pPr>
        <w:spacing w:line="249" w:lineRule="auto" w:before="5"/>
        <w:ind w:left="500" w:right="458" w:firstLine="0"/>
        <w:jc w:val="left"/>
        <w:rPr>
          <w:sz w:val="18"/>
        </w:rPr>
      </w:pPr>
      <w:r>
        <w:rPr>
          <w:rFonts w:ascii="Arial"/>
          <w:i/>
          <w:color w:val="4C4D4F"/>
          <w:w w:val="105"/>
          <w:sz w:val="18"/>
        </w:rPr>
        <w:t>The</w:t>
      </w:r>
      <w:r>
        <w:rPr>
          <w:rFonts w:ascii="Arial"/>
          <w:i/>
          <w:color w:val="4C4D4F"/>
          <w:spacing w:val="-14"/>
          <w:w w:val="105"/>
          <w:sz w:val="18"/>
        </w:rPr>
        <w:t> </w:t>
      </w:r>
      <w:r>
        <w:rPr>
          <w:rFonts w:ascii="Arial"/>
          <w:i/>
          <w:color w:val="4C4D4F"/>
          <w:w w:val="105"/>
          <w:sz w:val="18"/>
        </w:rPr>
        <w:t>ASAM</w:t>
      </w:r>
      <w:r>
        <w:rPr>
          <w:rFonts w:ascii="Arial"/>
          <w:i/>
          <w:color w:val="4C4D4F"/>
          <w:spacing w:val="-14"/>
          <w:w w:val="105"/>
          <w:sz w:val="18"/>
        </w:rPr>
        <w:t> </w:t>
      </w:r>
      <w:r>
        <w:rPr>
          <w:rFonts w:ascii="Arial"/>
          <w:i/>
          <w:color w:val="4C4D4F"/>
          <w:w w:val="105"/>
          <w:sz w:val="18"/>
        </w:rPr>
        <w:t>national</w:t>
      </w:r>
      <w:r>
        <w:rPr>
          <w:rFonts w:ascii="Arial"/>
          <w:i/>
          <w:color w:val="4C4D4F"/>
          <w:spacing w:val="-14"/>
          <w:w w:val="105"/>
          <w:sz w:val="18"/>
        </w:rPr>
        <w:t> </w:t>
      </w:r>
      <w:r>
        <w:rPr>
          <w:rFonts w:ascii="Arial"/>
          <w:i/>
          <w:color w:val="4C4D4F"/>
          <w:w w:val="105"/>
          <w:sz w:val="18"/>
        </w:rPr>
        <w:t>practice</w:t>
      </w:r>
      <w:r>
        <w:rPr>
          <w:rFonts w:ascii="Arial"/>
          <w:i/>
          <w:color w:val="4C4D4F"/>
          <w:spacing w:val="-13"/>
          <w:w w:val="105"/>
          <w:sz w:val="18"/>
        </w:rPr>
        <w:t> </w:t>
      </w:r>
      <w:r>
        <w:rPr>
          <w:rFonts w:ascii="Arial"/>
          <w:i/>
          <w:color w:val="4C4D4F"/>
          <w:w w:val="105"/>
          <w:sz w:val="18"/>
        </w:rPr>
        <w:t>guideline</w:t>
      </w:r>
      <w:r>
        <w:rPr>
          <w:rFonts w:ascii="Arial"/>
          <w:i/>
          <w:color w:val="4C4D4F"/>
          <w:spacing w:val="-14"/>
          <w:w w:val="105"/>
          <w:sz w:val="18"/>
        </w:rPr>
        <w:t> </w:t>
      </w:r>
      <w:r>
        <w:rPr>
          <w:rFonts w:ascii="Arial"/>
          <w:i/>
          <w:color w:val="4C4D4F"/>
          <w:w w:val="105"/>
          <w:sz w:val="18"/>
        </w:rPr>
        <w:t>for</w:t>
      </w:r>
      <w:r>
        <w:rPr>
          <w:rFonts w:ascii="Arial"/>
          <w:i/>
          <w:color w:val="4C4D4F"/>
          <w:spacing w:val="-14"/>
          <w:w w:val="105"/>
          <w:sz w:val="18"/>
        </w:rPr>
        <w:t> </w:t>
      </w:r>
      <w:r>
        <w:rPr>
          <w:rFonts w:ascii="Arial"/>
          <w:i/>
          <w:color w:val="4C4D4F"/>
          <w:w w:val="105"/>
          <w:sz w:val="18"/>
        </w:rPr>
        <w:t>the</w:t>
      </w:r>
      <w:r>
        <w:rPr>
          <w:rFonts w:ascii="Arial"/>
          <w:i/>
          <w:color w:val="4C4D4F"/>
          <w:spacing w:val="-14"/>
          <w:w w:val="105"/>
          <w:sz w:val="18"/>
        </w:rPr>
        <w:t> </w:t>
      </w:r>
      <w:r>
        <w:rPr>
          <w:rFonts w:ascii="Arial"/>
          <w:i/>
          <w:color w:val="4C4D4F"/>
          <w:w w:val="105"/>
          <w:sz w:val="18"/>
        </w:rPr>
        <w:t>use</w:t>
      </w:r>
      <w:r>
        <w:rPr>
          <w:rFonts w:ascii="Arial"/>
          <w:i/>
          <w:color w:val="4C4D4F"/>
          <w:spacing w:val="-13"/>
          <w:w w:val="105"/>
          <w:sz w:val="18"/>
        </w:rPr>
        <w:t> </w:t>
      </w:r>
      <w:r>
        <w:rPr>
          <w:rFonts w:ascii="Arial"/>
          <w:i/>
          <w:color w:val="4C4D4F"/>
          <w:spacing w:val="-9"/>
          <w:w w:val="105"/>
          <w:sz w:val="18"/>
        </w:rPr>
        <w:t>of </w:t>
      </w:r>
      <w:r>
        <w:rPr>
          <w:rFonts w:ascii="Arial"/>
          <w:i/>
          <w:color w:val="4C4D4F"/>
          <w:w w:val="105"/>
          <w:sz w:val="18"/>
        </w:rPr>
        <w:t>medications in the treatment of addiction involving opioid use. </w:t>
      </w:r>
      <w:r>
        <w:rPr>
          <w:color w:val="4C4D4F"/>
          <w:w w:val="105"/>
          <w:sz w:val="18"/>
        </w:rPr>
        <w:t>Chevy Chase, MD:</w:t>
      </w:r>
      <w:r>
        <w:rPr>
          <w:color w:val="4C4D4F"/>
          <w:spacing w:val="-1"/>
          <w:w w:val="105"/>
          <w:sz w:val="18"/>
        </w:rPr>
        <w:t> </w:t>
      </w:r>
      <w:r>
        <w:rPr>
          <w:color w:val="4C4D4F"/>
          <w:spacing w:val="-3"/>
          <w:w w:val="105"/>
          <w:sz w:val="18"/>
        </w:rPr>
        <w:t>Author.</w:t>
      </w:r>
    </w:p>
    <w:p>
      <w:pPr>
        <w:pStyle w:val="ListParagraph"/>
        <w:numPr>
          <w:ilvl w:val="0"/>
          <w:numId w:val="51"/>
        </w:numPr>
        <w:tabs>
          <w:tab w:pos="500" w:val="left" w:leader="none"/>
        </w:tabs>
        <w:spacing w:line="247" w:lineRule="auto" w:before="73" w:after="0"/>
        <w:ind w:left="500" w:right="302" w:hanging="360"/>
        <w:jc w:val="left"/>
        <w:rPr>
          <w:color w:val="4C4D4F"/>
          <w:sz w:val="18"/>
        </w:rPr>
      </w:pPr>
      <w:r>
        <w:rPr>
          <w:color w:val="4C4D4F"/>
          <w:w w:val="110"/>
          <w:sz w:val="18"/>
        </w:rPr>
        <w:t>Providers Clinical Support System for Medication Assisted </w:t>
      </w:r>
      <w:r>
        <w:rPr>
          <w:color w:val="4C4D4F"/>
          <w:spacing w:val="-3"/>
          <w:w w:val="110"/>
          <w:sz w:val="18"/>
        </w:rPr>
        <w:t>Treatment. </w:t>
      </w:r>
      <w:r>
        <w:rPr>
          <w:color w:val="4C4D4F"/>
          <w:w w:val="110"/>
          <w:sz w:val="18"/>
        </w:rPr>
        <w:t>(2013, November). PCSS Guidance. Retrieved December 18, 2017, from</w:t>
      </w:r>
      <w:r>
        <w:rPr>
          <w:color w:val="205E9E"/>
          <w:w w:val="110"/>
          <w:sz w:val="18"/>
        </w:rPr>
        <w:t> </w:t>
      </w:r>
      <w:r>
        <w:rPr>
          <w:color w:val="205E9E"/>
          <w:w w:val="110"/>
          <w:sz w:val="18"/>
          <w:u w:val="single" w:color="205E9E"/>
        </w:rPr>
        <w:t>http:// </w:t>
      </w:r>
      <w:r>
        <w:rPr>
          <w:color w:val="205E9E"/>
          <w:spacing w:val="-1"/>
          <w:w w:val="110"/>
          <w:sz w:val="18"/>
          <w:u w:val="single" w:color="205E9E"/>
        </w:rPr>
        <w:t>pcssmat.org/wp-content/uploads/2014/02/PCSS-MAT </w:t>
      </w:r>
      <w:r>
        <w:rPr>
          <w:color w:val="205E9E"/>
          <w:w w:val="110"/>
          <w:sz w:val="18"/>
          <w:u w:val="single" w:color="205E9E"/>
        </w:rPr>
        <w:t>GuidanceBuprenorphineInduction.Casadonte.pdf</w:t>
      </w:r>
    </w:p>
    <w:p>
      <w:pPr>
        <w:pStyle w:val="ListParagraph"/>
        <w:numPr>
          <w:ilvl w:val="0"/>
          <w:numId w:val="51"/>
        </w:numPr>
        <w:tabs>
          <w:tab w:pos="500" w:val="left" w:leader="none"/>
        </w:tabs>
        <w:spacing w:line="247" w:lineRule="auto" w:before="77" w:after="0"/>
        <w:ind w:left="500" w:right="298" w:hanging="360"/>
        <w:jc w:val="left"/>
        <w:rPr>
          <w:color w:val="4C4D4F"/>
          <w:sz w:val="18"/>
        </w:rPr>
      </w:pPr>
      <w:r>
        <w:rPr>
          <w:color w:val="4C4D4F"/>
          <w:spacing w:val="-3"/>
          <w:w w:val="110"/>
          <w:sz w:val="18"/>
        </w:rPr>
        <w:t>Tompkins, </w:t>
      </w:r>
      <w:r>
        <w:rPr>
          <w:color w:val="4C4D4F"/>
          <w:w w:val="110"/>
          <w:sz w:val="18"/>
        </w:rPr>
        <w:t>D. A., &amp; Strain, E. C. (2011). </w:t>
      </w:r>
      <w:r>
        <w:rPr>
          <w:color w:val="4C4D4F"/>
          <w:spacing w:val="-3"/>
          <w:w w:val="110"/>
          <w:sz w:val="18"/>
        </w:rPr>
        <w:t>Buprenorphine </w:t>
      </w:r>
      <w:r>
        <w:rPr>
          <w:color w:val="4C4D4F"/>
          <w:w w:val="110"/>
          <w:sz w:val="18"/>
        </w:rPr>
        <w:t>in the treatment of opioid dependence. In </w:t>
      </w:r>
      <w:r>
        <w:rPr>
          <w:color w:val="4C4D4F"/>
          <w:spacing w:val="-17"/>
          <w:w w:val="110"/>
          <w:sz w:val="18"/>
        </w:rPr>
        <w:t>P. </w:t>
      </w:r>
      <w:r>
        <w:rPr>
          <w:color w:val="4C4D4F"/>
          <w:w w:val="110"/>
          <w:sz w:val="18"/>
        </w:rPr>
        <w:t>Ruiz &amp;</w:t>
      </w:r>
      <w:r>
        <w:rPr>
          <w:color w:val="4C4D4F"/>
          <w:spacing w:val="24"/>
          <w:w w:val="110"/>
          <w:sz w:val="18"/>
        </w:rPr>
        <w:t> </w:t>
      </w:r>
      <w:r>
        <w:rPr>
          <w:color w:val="4C4D4F"/>
          <w:w w:val="110"/>
          <w:sz w:val="18"/>
        </w:rPr>
        <w:t>E.</w:t>
      </w:r>
    </w:p>
    <w:p>
      <w:pPr>
        <w:spacing w:line="247" w:lineRule="auto" w:before="0"/>
        <w:ind w:left="500" w:right="506" w:firstLine="0"/>
        <w:jc w:val="left"/>
        <w:rPr>
          <w:sz w:val="18"/>
        </w:rPr>
      </w:pPr>
      <w:r>
        <w:rPr>
          <w:color w:val="4C4D4F"/>
          <w:w w:val="105"/>
          <w:sz w:val="18"/>
        </w:rPr>
        <w:t>C.</w:t>
      </w:r>
      <w:r>
        <w:rPr>
          <w:color w:val="4C4D4F"/>
          <w:spacing w:val="-16"/>
          <w:w w:val="105"/>
          <w:sz w:val="18"/>
        </w:rPr>
        <w:t> </w:t>
      </w:r>
      <w:r>
        <w:rPr>
          <w:color w:val="4C4D4F"/>
          <w:w w:val="105"/>
          <w:sz w:val="18"/>
        </w:rPr>
        <w:t>Strain</w:t>
      </w:r>
      <w:r>
        <w:rPr>
          <w:color w:val="4C4D4F"/>
          <w:spacing w:val="-16"/>
          <w:w w:val="105"/>
          <w:sz w:val="18"/>
        </w:rPr>
        <w:t> </w:t>
      </w:r>
      <w:r>
        <w:rPr>
          <w:color w:val="4C4D4F"/>
          <w:w w:val="105"/>
          <w:sz w:val="18"/>
        </w:rPr>
        <w:t>(Eds.),</w:t>
      </w:r>
      <w:r>
        <w:rPr>
          <w:color w:val="4C4D4F"/>
          <w:spacing w:val="-16"/>
          <w:w w:val="105"/>
          <w:sz w:val="18"/>
        </w:rPr>
        <w:t> </w:t>
      </w:r>
      <w:r>
        <w:rPr>
          <w:rFonts w:ascii="Arial" w:hAnsi="Arial"/>
          <w:i/>
          <w:color w:val="4C4D4F"/>
          <w:w w:val="105"/>
          <w:sz w:val="18"/>
        </w:rPr>
        <w:t>Substance</w:t>
      </w:r>
      <w:r>
        <w:rPr>
          <w:rFonts w:ascii="Arial" w:hAnsi="Arial"/>
          <w:i/>
          <w:color w:val="4C4D4F"/>
          <w:spacing w:val="-16"/>
          <w:w w:val="105"/>
          <w:sz w:val="18"/>
        </w:rPr>
        <w:t> </w:t>
      </w:r>
      <w:r>
        <w:rPr>
          <w:rFonts w:ascii="Arial" w:hAnsi="Arial"/>
          <w:i/>
          <w:color w:val="4C4D4F"/>
          <w:w w:val="105"/>
          <w:sz w:val="18"/>
        </w:rPr>
        <w:t>abuse.</w:t>
      </w:r>
      <w:r>
        <w:rPr>
          <w:rFonts w:ascii="Arial" w:hAnsi="Arial"/>
          <w:i/>
          <w:color w:val="4C4D4F"/>
          <w:spacing w:val="-16"/>
          <w:w w:val="105"/>
          <w:sz w:val="18"/>
        </w:rPr>
        <w:t> </w:t>
      </w:r>
      <w:r>
        <w:rPr>
          <w:rFonts w:ascii="Arial" w:hAnsi="Arial"/>
          <w:i/>
          <w:color w:val="4C4D4F"/>
          <w:w w:val="105"/>
          <w:sz w:val="18"/>
        </w:rPr>
        <w:t>A</w:t>
      </w:r>
      <w:r>
        <w:rPr>
          <w:rFonts w:ascii="Arial" w:hAnsi="Arial"/>
          <w:i/>
          <w:color w:val="4C4D4F"/>
          <w:spacing w:val="-16"/>
          <w:w w:val="105"/>
          <w:sz w:val="18"/>
        </w:rPr>
        <w:t> </w:t>
      </w:r>
      <w:r>
        <w:rPr>
          <w:rFonts w:ascii="Arial" w:hAnsi="Arial"/>
          <w:i/>
          <w:color w:val="4C4D4F"/>
          <w:spacing w:val="-3"/>
          <w:w w:val="105"/>
          <w:sz w:val="18"/>
        </w:rPr>
        <w:t>comprehensive </w:t>
      </w:r>
      <w:r>
        <w:rPr>
          <w:rFonts w:ascii="Arial" w:hAnsi="Arial"/>
          <w:i/>
          <w:color w:val="4C4D4F"/>
          <w:w w:val="105"/>
          <w:sz w:val="18"/>
        </w:rPr>
        <w:t>textbook </w:t>
      </w:r>
      <w:r>
        <w:rPr>
          <w:color w:val="4C4D4F"/>
          <w:w w:val="105"/>
          <w:sz w:val="18"/>
        </w:rPr>
        <w:t>(5th ed., pp. 437–446). Philadelphia, </w:t>
      </w:r>
      <w:r>
        <w:rPr>
          <w:color w:val="4C4D4F"/>
          <w:spacing w:val="-5"/>
          <w:w w:val="105"/>
          <w:sz w:val="18"/>
        </w:rPr>
        <w:t>PA: </w:t>
      </w:r>
      <w:r>
        <w:rPr>
          <w:color w:val="4C4D4F"/>
          <w:w w:val="105"/>
          <w:sz w:val="18"/>
        </w:rPr>
        <w:t>Wolters</w:t>
      </w:r>
      <w:r>
        <w:rPr>
          <w:color w:val="4C4D4F"/>
          <w:spacing w:val="-3"/>
          <w:w w:val="105"/>
          <w:sz w:val="18"/>
        </w:rPr>
        <w:t> Kluwer.</w:t>
      </w:r>
    </w:p>
    <w:p>
      <w:pPr>
        <w:pStyle w:val="ListParagraph"/>
        <w:numPr>
          <w:ilvl w:val="0"/>
          <w:numId w:val="51"/>
        </w:numPr>
        <w:tabs>
          <w:tab w:pos="500" w:val="left" w:leader="none"/>
        </w:tabs>
        <w:spacing w:line="247" w:lineRule="auto" w:before="73" w:after="0"/>
        <w:ind w:left="500" w:right="283" w:hanging="360"/>
        <w:jc w:val="left"/>
        <w:rPr>
          <w:color w:val="4C4D4F"/>
          <w:sz w:val="18"/>
        </w:rPr>
      </w:pPr>
      <w:r>
        <w:rPr>
          <w:color w:val="4C4D4F"/>
          <w:w w:val="110"/>
          <w:sz w:val="18"/>
        </w:rPr>
        <w:t>Indivior. (2016). Suboxone (buprenorphine and naloxone) sublingual ﬁlm: Full prescribing </w:t>
      </w:r>
      <w:r>
        <w:rPr>
          <w:color w:val="4C4D4F"/>
          <w:spacing w:val="-2"/>
          <w:w w:val="110"/>
          <w:sz w:val="18"/>
        </w:rPr>
        <w:t>information. </w:t>
      </w:r>
      <w:r>
        <w:rPr>
          <w:color w:val="4C4D4F"/>
          <w:w w:val="110"/>
          <w:sz w:val="18"/>
        </w:rPr>
        <w:t>Retrieved October 16, 2017, from</w:t>
      </w:r>
      <w:r>
        <w:rPr>
          <w:color w:val="205E9E"/>
          <w:w w:val="110"/>
          <w:sz w:val="18"/>
        </w:rPr>
        <w:t> </w:t>
      </w:r>
      <w:hyperlink r:id="rId30">
        <w:r>
          <w:rPr>
            <w:color w:val="205E9E"/>
            <w:w w:val="110"/>
            <w:sz w:val="18"/>
            <w:u w:val="single" w:color="205E9E"/>
          </w:rPr>
          <w:t>https://www</w:t>
        </w:r>
      </w:hyperlink>
      <w:r>
        <w:rPr>
          <w:color w:val="205E9E"/>
          <w:w w:val="110"/>
          <w:sz w:val="18"/>
          <w:u w:val="single" w:color="205E9E"/>
        </w:rPr>
        <w:t>. suboxone.com/pdfs/prescribing-information.pdf</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10"/>
          <w:sz w:val="18"/>
        </w:rPr>
        <w:t>Strain, E. C. (2006). Clinical use of buprenorphine. In</w:t>
      </w:r>
      <w:r>
        <w:rPr>
          <w:color w:val="4C4D4F"/>
          <w:spacing w:val="-21"/>
          <w:w w:val="110"/>
          <w:sz w:val="18"/>
        </w:rPr>
        <w:t> </w:t>
      </w:r>
      <w:r>
        <w:rPr>
          <w:color w:val="4C4D4F"/>
          <w:w w:val="110"/>
          <w:sz w:val="18"/>
        </w:rPr>
        <w:t>E.</w:t>
      </w:r>
    </w:p>
    <w:p>
      <w:pPr>
        <w:spacing w:line="247" w:lineRule="auto" w:before="6"/>
        <w:ind w:left="500" w:right="289" w:firstLine="0"/>
        <w:jc w:val="left"/>
        <w:rPr>
          <w:sz w:val="18"/>
        </w:rPr>
      </w:pPr>
      <w:r>
        <w:rPr>
          <w:color w:val="4C4D4F"/>
          <w:w w:val="110"/>
          <w:sz w:val="18"/>
        </w:rPr>
        <w:t>C.</w:t>
      </w:r>
      <w:r>
        <w:rPr>
          <w:color w:val="4C4D4F"/>
          <w:spacing w:val="-13"/>
          <w:w w:val="110"/>
          <w:sz w:val="18"/>
        </w:rPr>
        <w:t> </w:t>
      </w:r>
      <w:r>
        <w:rPr>
          <w:color w:val="4C4D4F"/>
          <w:w w:val="110"/>
          <w:sz w:val="18"/>
        </w:rPr>
        <w:t>Strain</w:t>
      </w:r>
      <w:r>
        <w:rPr>
          <w:color w:val="4C4D4F"/>
          <w:spacing w:val="-13"/>
          <w:w w:val="110"/>
          <w:sz w:val="18"/>
        </w:rPr>
        <w:t> </w:t>
      </w:r>
      <w:r>
        <w:rPr>
          <w:color w:val="4C4D4F"/>
          <w:w w:val="110"/>
          <w:sz w:val="18"/>
        </w:rPr>
        <w:t>&amp;</w:t>
      </w:r>
      <w:r>
        <w:rPr>
          <w:color w:val="4C4D4F"/>
          <w:spacing w:val="-13"/>
          <w:w w:val="110"/>
          <w:sz w:val="18"/>
        </w:rPr>
        <w:t> </w:t>
      </w:r>
      <w:r>
        <w:rPr>
          <w:color w:val="4C4D4F"/>
          <w:w w:val="110"/>
          <w:sz w:val="18"/>
        </w:rPr>
        <w:t>M.</w:t>
      </w:r>
      <w:r>
        <w:rPr>
          <w:color w:val="4C4D4F"/>
          <w:spacing w:val="-13"/>
          <w:w w:val="110"/>
          <w:sz w:val="18"/>
        </w:rPr>
        <w:t> </w:t>
      </w:r>
      <w:r>
        <w:rPr>
          <w:color w:val="4C4D4F"/>
          <w:w w:val="110"/>
          <w:sz w:val="18"/>
        </w:rPr>
        <w:t>L.</w:t>
      </w:r>
      <w:r>
        <w:rPr>
          <w:color w:val="4C4D4F"/>
          <w:spacing w:val="-13"/>
          <w:w w:val="110"/>
          <w:sz w:val="18"/>
        </w:rPr>
        <w:t> </w:t>
      </w:r>
      <w:r>
        <w:rPr>
          <w:color w:val="4C4D4F"/>
          <w:w w:val="110"/>
          <w:sz w:val="18"/>
        </w:rPr>
        <w:t>Stitzer</w:t>
      </w:r>
      <w:r>
        <w:rPr>
          <w:color w:val="4C4D4F"/>
          <w:spacing w:val="-13"/>
          <w:w w:val="110"/>
          <w:sz w:val="18"/>
        </w:rPr>
        <w:t> </w:t>
      </w:r>
      <w:r>
        <w:rPr>
          <w:color w:val="4C4D4F"/>
          <w:w w:val="110"/>
          <w:sz w:val="18"/>
        </w:rPr>
        <w:t>(Eds.)</w:t>
      </w:r>
      <w:r>
        <w:rPr>
          <w:color w:val="4C4D4F"/>
          <w:spacing w:val="-13"/>
          <w:w w:val="110"/>
          <w:sz w:val="18"/>
        </w:rPr>
        <w:t> </w:t>
      </w:r>
      <w:r>
        <w:rPr>
          <w:rFonts w:ascii="Arial" w:hAnsi="Arial"/>
          <w:i/>
          <w:color w:val="4C4D4F"/>
          <w:w w:val="110"/>
          <w:sz w:val="18"/>
        </w:rPr>
        <w:t>The</w:t>
      </w:r>
      <w:r>
        <w:rPr>
          <w:rFonts w:ascii="Arial" w:hAnsi="Arial"/>
          <w:i/>
          <w:color w:val="4C4D4F"/>
          <w:spacing w:val="-13"/>
          <w:w w:val="110"/>
          <w:sz w:val="18"/>
        </w:rPr>
        <w:t> </w:t>
      </w:r>
      <w:r>
        <w:rPr>
          <w:rFonts w:ascii="Arial" w:hAnsi="Arial"/>
          <w:i/>
          <w:color w:val="4C4D4F"/>
          <w:w w:val="110"/>
          <w:sz w:val="18"/>
        </w:rPr>
        <w:t>treatment</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spacing w:val="-3"/>
          <w:w w:val="110"/>
          <w:sz w:val="18"/>
        </w:rPr>
        <w:t>opioid </w:t>
      </w:r>
      <w:r>
        <w:rPr>
          <w:rFonts w:ascii="Arial" w:hAnsi="Arial"/>
          <w:i/>
          <w:color w:val="4C4D4F"/>
          <w:w w:val="110"/>
          <w:sz w:val="18"/>
        </w:rPr>
        <w:t>dependence </w:t>
      </w:r>
      <w:r>
        <w:rPr>
          <w:color w:val="4C4D4F"/>
          <w:w w:val="110"/>
          <w:sz w:val="18"/>
        </w:rPr>
        <w:t>(pp. 230–252). Baltimore, MD: Johns Hopkins University</w:t>
      </w:r>
      <w:r>
        <w:rPr>
          <w:color w:val="4C4D4F"/>
          <w:spacing w:val="-12"/>
          <w:w w:val="110"/>
          <w:sz w:val="18"/>
        </w:rPr>
        <w:t> </w:t>
      </w:r>
      <w:r>
        <w:rPr>
          <w:color w:val="4C4D4F"/>
          <w:w w:val="110"/>
          <w:sz w:val="18"/>
        </w:rPr>
        <w:t>Press.</w:t>
      </w:r>
    </w:p>
    <w:p>
      <w:pPr>
        <w:pStyle w:val="ListParagraph"/>
        <w:numPr>
          <w:ilvl w:val="0"/>
          <w:numId w:val="51"/>
        </w:numPr>
        <w:tabs>
          <w:tab w:pos="500" w:val="left" w:leader="none"/>
        </w:tabs>
        <w:spacing w:line="247" w:lineRule="auto" w:before="74" w:after="0"/>
        <w:ind w:left="500" w:right="200" w:hanging="360"/>
        <w:jc w:val="left"/>
        <w:rPr>
          <w:color w:val="4C4D4F"/>
          <w:sz w:val="18"/>
        </w:rPr>
      </w:pPr>
      <w:r>
        <w:rPr>
          <w:color w:val="4C4D4F"/>
          <w:w w:val="115"/>
          <w:sz w:val="18"/>
        </w:rPr>
        <w:t>Rich, </w:t>
      </w:r>
      <w:r>
        <w:rPr>
          <w:color w:val="4C4D4F"/>
          <w:w w:val="130"/>
          <w:sz w:val="18"/>
        </w:rPr>
        <w:t>J. </w:t>
      </w:r>
      <w:r>
        <w:rPr>
          <w:color w:val="4C4D4F"/>
          <w:w w:val="115"/>
          <w:sz w:val="18"/>
        </w:rPr>
        <w:t>D., McKenzie, M., Dickman, S., Bratberg, </w:t>
      </w:r>
      <w:r>
        <w:rPr>
          <w:color w:val="4C4D4F"/>
          <w:w w:val="130"/>
          <w:sz w:val="18"/>
        </w:rPr>
        <w:t>J., </w:t>
      </w:r>
      <w:r>
        <w:rPr>
          <w:color w:val="4C4D4F"/>
          <w:w w:val="115"/>
          <w:sz w:val="18"/>
        </w:rPr>
        <w:t>Lee,</w:t>
      </w:r>
      <w:r>
        <w:rPr>
          <w:color w:val="4C4D4F"/>
          <w:spacing w:val="-21"/>
          <w:w w:val="115"/>
          <w:sz w:val="18"/>
        </w:rPr>
        <w:t> </w:t>
      </w:r>
      <w:r>
        <w:rPr>
          <w:color w:val="4C4D4F"/>
          <w:w w:val="130"/>
          <w:sz w:val="18"/>
        </w:rPr>
        <w:t>J.</w:t>
      </w:r>
      <w:r>
        <w:rPr>
          <w:color w:val="4C4D4F"/>
          <w:spacing w:val="-28"/>
          <w:w w:val="130"/>
          <w:sz w:val="18"/>
        </w:rPr>
        <w:t> </w:t>
      </w:r>
      <w:r>
        <w:rPr>
          <w:color w:val="4C4D4F"/>
          <w:w w:val="115"/>
          <w:sz w:val="18"/>
        </w:rPr>
        <w:t>D.,</w:t>
      </w:r>
      <w:r>
        <w:rPr>
          <w:color w:val="4C4D4F"/>
          <w:spacing w:val="-20"/>
          <w:w w:val="115"/>
          <w:sz w:val="18"/>
        </w:rPr>
        <w:t> </w:t>
      </w:r>
      <w:r>
        <w:rPr>
          <w:color w:val="4C4D4F"/>
          <w:w w:val="115"/>
          <w:sz w:val="18"/>
        </w:rPr>
        <w:t>&amp;</w:t>
      </w:r>
      <w:r>
        <w:rPr>
          <w:color w:val="4C4D4F"/>
          <w:spacing w:val="-21"/>
          <w:w w:val="115"/>
          <w:sz w:val="18"/>
        </w:rPr>
        <w:t> </w:t>
      </w:r>
      <w:r>
        <w:rPr>
          <w:color w:val="4C4D4F"/>
          <w:w w:val="115"/>
          <w:sz w:val="18"/>
        </w:rPr>
        <w:t>Schwartz,</w:t>
      </w:r>
      <w:r>
        <w:rPr>
          <w:color w:val="4C4D4F"/>
          <w:spacing w:val="-20"/>
          <w:w w:val="115"/>
          <w:sz w:val="18"/>
        </w:rPr>
        <w:t> </w:t>
      </w:r>
      <w:r>
        <w:rPr>
          <w:color w:val="4C4D4F"/>
          <w:w w:val="115"/>
          <w:sz w:val="18"/>
        </w:rPr>
        <w:t>R.</w:t>
      </w:r>
      <w:r>
        <w:rPr>
          <w:color w:val="4C4D4F"/>
          <w:spacing w:val="-20"/>
          <w:w w:val="115"/>
          <w:sz w:val="18"/>
        </w:rPr>
        <w:t> </w:t>
      </w:r>
      <w:r>
        <w:rPr>
          <w:color w:val="4C4D4F"/>
          <w:spacing w:val="-17"/>
          <w:w w:val="115"/>
          <w:sz w:val="18"/>
        </w:rPr>
        <w:t>P.</w:t>
      </w:r>
      <w:r>
        <w:rPr>
          <w:color w:val="4C4D4F"/>
          <w:spacing w:val="-21"/>
          <w:w w:val="115"/>
          <w:sz w:val="18"/>
        </w:rPr>
        <w:t> </w:t>
      </w:r>
      <w:r>
        <w:rPr>
          <w:color w:val="4C4D4F"/>
          <w:w w:val="115"/>
          <w:sz w:val="18"/>
        </w:rPr>
        <w:t>(2011).</w:t>
      </w:r>
      <w:r>
        <w:rPr>
          <w:color w:val="4C4D4F"/>
          <w:spacing w:val="-20"/>
          <w:w w:val="115"/>
          <w:sz w:val="18"/>
        </w:rPr>
        <w:t> </w:t>
      </w:r>
      <w:r>
        <w:rPr>
          <w:color w:val="4C4D4F"/>
          <w:w w:val="115"/>
          <w:sz w:val="18"/>
        </w:rPr>
        <w:t>An</w:t>
      </w:r>
      <w:r>
        <w:rPr>
          <w:color w:val="4C4D4F"/>
          <w:spacing w:val="-20"/>
          <w:w w:val="115"/>
          <w:sz w:val="18"/>
        </w:rPr>
        <w:t> </w:t>
      </w:r>
      <w:r>
        <w:rPr>
          <w:color w:val="4C4D4F"/>
          <w:w w:val="115"/>
          <w:sz w:val="18"/>
        </w:rPr>
        <w:t>adverse</w:t>
      </w:r>
      <w:r>
        <w:rPr>
          <w:color w:val="4C4D4F"/>
          <w:spacing w:val="-21"/>
          <w:w w:val="115"/>
          <w:sz w:val="18"/>
        </w:rPr>
        <w:t> </w:t>
      </w:r>
      <w:r>
        <w:rPr>
          <w:color w:val="4C4D4F"/>
          <w:spacing w:val="-3"/>
          <w:w w:val="115"/>
          <w:sz w:val="18"/>
        </w:rPr>
        <w:t>reaction </w:t>
      </w:r>
      <w:r>
        <w:rPr>
          <w:color w:val="4C4D4F"/>
          <w:w w:val="115"/>
          <w:sz w:val="18"/>
        </w:rPr>
        <w:t>to</w:t>
      </w:r>
      <w:r>
        <w:rPr>
          <w:color w:val="4C4D4F"/>
          <w:spacing w:val="-29"/>
          <w:w w:val="115"/>
          <w:sz w:val="18"/>
        </w:rPr>
        <w:t> </w:t>
      </w:r>
      <w:r>
        <w:rPr>
          <w:color w:val="4C4D4F"/>
          <w:w w:val="115"/>
          <w:sz w:val="18"/>
        </w:rPr>
        <w:t>buprenorphine/naloxone</w:t>
      </w:r>
      <w:r>
        <w:rPr>
          <w:color w:val="4C4D4F"/>
          <w:spacing w:val="-29"/>
          <w:w w:val="115"/>
          <w:sz w:val="18"/>
        </w:rPr>
        <w:t> </w:t>
      </w:r>
      <w:r>
        <w:rPr>
          <w:color w:val="4C4D4F"/>
          <w:w w:val="115"/>
          <w:sz w:val="18"/>
        </w:rPr>
        <w:t>induction</w:t>
      </w:r>
      <w:r>
        <w:rPr>
          <w:color w:val="4C4D4F"/>
          <w:spacing w:val="-28"/>
          <w:w w:val="115"/>
          <w:sz w:val="18"/>
        </w:rPr>
        <w:t> </w:t>
      </w:r>
      <w:r>
        <w:rPr>
          <w:color w:val="4C4D4F"/>
          <w:w w:val="115"/>
          <w:sz w:val="18"/>
        </w:rPr>
        <w:t>in</w:t>
      </w:r>
      <w:r>
        <w:rPr>
          <w:color w:val="4C4D4F"/>
          <w:spacing w:val="-29"/>
          <w:w w:val="115"/>
          <w:sz w:val="18"/>
        </w:rPr>
        <w:t> </w:t>
      </w:r>
      <w:r>
        <w:rPr>
          <w:color w:val="4C4D4F"/>
          <w:w w:val="115"/>
          <w:sz w:val="18"/>
        </w:rPr>
        <w:t>prison:</w:t>
      </w:r>
      <w:r>
        <w:rPr>
          <w:color w:val="4C4D4F"/>
          <w:spacing w:val="-28"/>
          <w:w w:val="115"/>
          <w:sz w:val="18"/>
        </w:rPr>
        <w:t> </w:t>
      </w:r>
      <w:r>
        <w:rPr>
          <w:color w:val="4C4D4F"/>
          <w:w w:val="115"/>
          <w:sz w:val="18"/>
        </w:rPr>
        <w:t>A</w:t>
      </w:r>
      <w:r>
        <w:rPr>
          <w:color w:val="4C4D4F"/>
          <w:spacing w:val="-29"/>
          <w:w w:val="115"/>
          <w:sz w:val="18"/>
        </w:rPr>
        <w:t> </w:t>
      </w:r>
      <w:r>
        <w:rPr>
          <w:color w:val="4C4D4F"/>
          <w:w w:val="115"/>
          <w:sz w:val="18"/>
        </w:rPr>
        <w:t>case </w:t>
      </w:r>
      <w:r>
        <w:rPr>
          <w:color w:val="4C4D4F"/>
          <w:w w:val="105"/>
          <w:sz w:val="18"/>
        </w:rPr>
        <w:t>report.</w:t>
      </w:r>
      <w:r>
        <w:rPr>
          <w:color w:val="4C4D4F"/>
          <w:spacing w:val="-17"/>
          <w:w w:val="105"/>
          <w:sz w:val="18"/>
        </w:rPr>
        <w:t> </w:t>
      </w:r>
      <w:r>
        <w:rPr>
          <w:rFonts w:ascii="Arial" w:hAnsi="Arial"/>
          <w:i/>
          <w:color w:val="4C4D4F"/>
          <w:w w:val="105"/>
          <w:sz w:val="18"/>
        </w:rPr>
        <w:t>Addictive</w:t>
      </w:r>
      <w:r>
        <w:rPr>
          <w:rFonts w:ascii="Arial" w:hAnsi="Arial"/>
          <w:i/>
          <w:color w:val="4C4D4F"/>
          <w:spacing w:val="-16"/>
          <w:w w:val="105"/>
          <w:sz w:val="18"/>
        </w:rPr>
        <w:t> </w:t>
      </w:r>
      <w:r>
        <w:rPr>
          <w:rFonts w:ascii="Arial" w:hAnsi="Arial"/>
          <w:i/>
          <w:color w:val="4C4D4F"/>
          <w:w w:val="105"/>
          <w:sz w:val="18"/>
        </w:rPr>
        <w:t>Disorders</w:t>
      </w:r>
      <w:r>
        <w:rPr>
          <w:rFonts w:ascii="Arial" w:hAnsi="Arial"/>
          <w:i/>
          <w:color w:val="4C4D4F"/>
          <w:spacing w:val="-16"/>
          <w:w w:val="105"/>
          <w:sz w:val="18"/>
        </w:rPr>
        <w:t> </w:t>
      </w:r>
      <w:r>
        <w:rPr>
          <w:rFonts w:ascii="Arial" w:hAnsi="Arial"/>
          <w:i/>
          <w:color w:val="4C4D4F"/>
          <w:w w:val="105"/>
          <w:sz w:val="18"/>
        </w:rPr>
        <w:t>and</w:t>
      </w:r>
      <w:r>
        <w:rPr>
          <w:rFonts w:ascii="Arial" w:hAnsi="Arial"/>
          <w:i/>
          <w:color w:val="4C4D4F"/>
          <w:spacing w:val="-16"/>
          <w:w w:val="105"/>
          <w:sz w:val="18"/>
        </w:rPr>
        <w:t> </w:t>
      </w:r>
      <w:r>
        <w:rPr>
          <w:rFonts w:ascii="Arial" w:hAnsi="Arial"/>
          <w:i/>
          <w:color w:val="4C4D4F"/>
          <w:w w:val="105"/>
          <w:sz w:val="18"/>
        </w:rPr>
        <w:t>Their</w:t>
      </w:r>
      <w:r>
        <w:rPr>
          <w:rFonts w:ascii="Arial" w:hAnsi="Arial"/>
          <w:i/>
          <w:color w:val="4C4D4F"/>
          <w:spacing w:val="-17"/>
          <w:w w:val="105"/>
          <w:sz w:val="18"/>
        </w:rPr>
        <w:t> </w:t>
      </w:r>
      <w:r>
        <w:rPr>
          <w:rFonts w:ascii="Arial" w:hAnsi="Arial"/>
          <w:i/>
          <w:color w:val="4C4D4F"/>
          <w:spacing w:val="-3"/>
          <w:w w:val="105"/>
          <w:sz w:val="18"/>
        </w:rPr>
        <w:t>Treatment,</w:t>
      </w:r>
      <w:r>
        <w:rPr>
          <w:rFonts w:ascii="Arial" w:hAnsi="Arial"/>
          <w:i/>
          <w:color w:val="4C4D4F"/>
          <w:spacing w:val="-16"/>
          <w:w w:val="105"/>
          <w:sz w:val="18"/>
        </w:rPr>
        <w:t> </w:t>
      </w:r>
      <w:r>
        <w:rPr>
          <w:rFonts w:ascii="Arial" w:hAnsi="Arial"/>
          <w:i/>
          <w:color w:val="4C4D4F"/>
          <w:w w:val="105"/>
          <w:sz w:val="18"/>
        </w:rPr>
        <w:t>10</w:t>
      </w:r>
      <w:r>
        <w:rPr>
          <w:color w:val="4C4D4F"/>
          <w:w w:val="105"/>
          <w:sz w:val="18"/>
        </w:rPr>
        <w:t>(4), </w:t>
      </w:r>
      <w:r>
        <w:rPr>
          <w:color w:val="4C4D4F"/>
          <w:w w:val="115"/>
          <w:sz w:val="18"/>
        </w:rPr>
        <w:t>199–200.</w:t>
      </w:r>
    </w:p>
    <w:p>
      <w:pPr>
        <w:pStyle w:val="ListParagraph"/>
        <w:numPr>
          <w:ilvl w:val="0"/>
          <w:numId w:val="51"/>
        </w:numPr>
        <w:tabs>
          <w:tab w:pos="500" w:val="left" w:leader="none"/>
        </w:tabs>
        <w:spacing w:line="247" w:lineRule="auto" w:before="75" w:after="0"/>
        <w:ind w:left="500" w:right="219" w:hanging="360"/>
        <w:jc w:val="left"/>
        <w:rPr>
          <w:color w:val="4C4D4F"/>
          <w:sz w:val="18"/>
        </w:rPr>
      </w:pPr>
      <w:r>
        <w:rPr>
          <w:color w:val="4C4D4F"/>
          <w:w w:val="115"/>
          <w:sz w:val="18"/>
        </w:rPr>
        <w:t>Vocci,</w:t>
      </w:r>
      <w:r>
        <w:rPr>
          <w:color w:val="4C4D4F"/>
          <w:spacing w:val="-17"/>
          <w:w w:val="115"/>
          <w:sz w:val="18"/>
        </w:rPr>
        <w:t> </w:t>
      </w:r>
      <w:r>
        <w:rPr>
          <w:color w:val="4C4D4F"/>
          <w:spacing w:val="-15"/>
          <w:w w:val="115"/>
          <w:sz w:val="18"/>
        </w:rPr>
        <w:t>F.</w:t>
      </w:r>
      <w:r>
        <w:rPr>
          <w:color w:val="4C4D4F"/>
          <w:spacing w:val="-17"/>
          <w:w w:val="115"/>
          <w:sz w:val="18"/>
        </w:rPr>
        <w:t> </w:t>
      </w:r>
      <w:r>
        <w:rPr>
          <w:color w:val="4C4D4F"/>
          <w:w w:val="135"/>
          <w:sz w:val="18"/>
        </w:rPr>
        <w:t>J.,</w:t>
      </w:r>
      <w:r>
        <w:rPr>
          <w:color w:val="4C4D4F"/>
          <w:spacing w:val="-27"/>
          <w:w w:val="135"/>
          <w:sz w:val="18"/>
        </w:rPr>
        <w:t> </w:t>
      </w:r>
      <w:r>
        <w:rPr>
          <w:color w:val="4C4D4F"/>
          <w:w w:val="115"/>
          <w:sz w:val="18"/>
        </w:rPr>
        <w:t>Schwartz,</w:t>
      </w:r>
      <w:r>
        <w:rPr>
          <w:color w:val="4C4D4F"/>
          <w:spacing w:val="-17"/>
          <w:w w:val="115"/>
          <w:sz w:val="18"/>
        </w:rPr>
        <w:t> </w:t>
      </w:r>
      <w:r>
        <w:rPr>
          <w:color w:val="4C4D4F"/>
          <w:w w:val="115"/>
          <w:sz w:val="18"/>
        </w:rPr>
        <w:t>R.</w:t>
      </w:r>
      <w:r>
        <w:rPr>
          <w:color w:val="4C4D4F"/>
          <w:spacing w:val="-17"/>
          <w:w w:val="115"/>
          <w:sz w:val="18"/>
        </w:rPr>
        <w:t> </w:t>
      </w:r>
      <w:r>
        <w:rPr>
          <w:color w:val="4C4D4F"/>
          <w:spacing w:val="-11"/>
          <w:w w:val="115"/>
          <w:sz w:val="18"/>
        </w:rPr>
        <w:t>P.,</w:t>
      </w:r>
      <w:r>
        <w:rPr>
          <w:color w:val="4C4D4F"/>
          <w:spacing w:val="-17"/>
          <w:w w:val="115"/>
          <w:sz w:val="18"/>
        </w:rPr>
        <w:t> </w:t>
      </w:r>
      <w:r>
        <w:rPr>
          <w:color w:val="4C4D4F"/>
          <w:w w:val="115"/>
          <w:sz w:val="18"/>
        </w:rPr>
        <w:t>Wilson,</w:t>
      </w:r>
      <w:r>
        <w:rPr>
          <w:color w:val="4C4D4F"/>
          <w:spacing w:val="-17"/>
          <w:w w:val="115"/>
          <w:sz w:val="18"/>
        </w:rPr>
        <w:t> </w:t>
      </w:r>
      <w:r>
        <w:rPr>
          <w:color w:val="4C4D4F"/>
          <w:w w:val="115"/>
          <w:sz w:val="18"/>
        </w:rPr>
        <w:t>M.</w:t>
      </w:r>
      <w:r>
        <w:rPr>
          <w:color w:val="4C4D4F"/>
          <w:spacing w:val="-17"/>
          <w:w w:val="115"/>
          <w:sz w:val="18"/>
        </w:rPr>
        <w:t> </w:t>
      </w:r>
      <w:r>
        <w:rPr>
          <w:color w:val="4C4D4F"/>
          <w:w w:val="115"/>
          <w:sz w:val="18"/>
        </w:rPr>
        <w:t>E.,</w:t>
      </w:r>
      <w:r>
        <w:rPr>
          <w:color w:val="4C4D4F"/>
          <w:spacing w:val="-17"/>
          <w:w w:val="115"/>
          <w:sz w:val="18"/>
        </w:rPr>
        <w:t> </w:t>
      </w:r>
      <w:r>
        <w:rPr>
          <w:color w:val="4C4D4F"/>
          <w:w w:val="115"/>
          <w:sz w:val="18"/>
        </w:rPr>
        <w:t>Gordon,</w:t>
      </w:r>
      <w:r>
        <w:rPr>
          <w:color w:val="4C4D4F"/>
          <w:spacing w:val="-16"/>
          <w:w w:val="115"/>
          <w:sz w:val="18"/>
        </w:rPr>
        <w:t> </w:t>
      </w:r>
      <w:r>
        <w:rPr>
          <w:color w:val="4C4D4F"/>
          <w:w w:val="115"/>
          <w:sz w:val="18"/>
        </w:rPr>
        <w:t>M. S.,</w:t>
      </w:r>
      <w:r>
        <w:rPr>
          <w:color w:val="4C4D4F"/>
          <w:spacing w:val="-18"/>
          <w:w w:val="115"/>
          <w:sz w:val="18"/>
        </w:rPr>
        <w:t> </w:t>
      </w:r>
      <w:r>
        <w:rPr>
          <w:color w:val="4C4D4F"/>
          <w:w w:val="115"/>
          <w:sz w:val="18"/>
        </w:rPr>
        <w:t>Kinlock,</w:t>
      </w:r>
      <w:r>
        <w:rPr>
          <w:color w:val="4C4D4F"/>
          <w:spacing w:val="-17"/>
          <w:w w:val="115"/>
          <w:sz w:val="18"/>
        </w:rPr>
        <w:t> </w:t>
      </w:r>
      <w:r>
        <w:rPr>
          <w:color w:val="4C4D4F"/>
          <w:spacing w:val="-10"/>
          <w:w w:val="115"/>
          <w:sz w:val="18"/>
        </w:rPr>
        <w:t>T.</w:t>
      </w:r>
      <w:r>
        <w:rPr>
          <w:color w:val="4C4D4F"/>
          <w:spacing w:val="-17"/>
          <w:w w:val="115"/>
          <w:sz w:val="18"/>
        </w:rPr>
        <w:t> </w:t>
      </w:r>
      <w:r>
        <w:rPr>
          <w:color w:val="4C4D4F"/>
          <w:spacing w:val="-5"/>
          <w:w w:val="115"/>
          <w:sz w:val="18"/>
        </w:rPr>
        <w:t>W.,</w:t>
      </w:r>
      <w:r>
        <w:rPr>
          <w:color w:val="4C4D4F"/>
          <w:spacing w:val="-17"/>
          <w:w w:val="115"/>
          <w:sz w:val="18"/>
        </w:rPr>
        <w:t> </w:t>
      </w:r>
      <w:r>
        <w:rPr>
          <w:color w:val="4C4D4F"/>
          <w:w w:val="115"/>
          <w:sz w:val="18"/>
        </w:rPr>
        <w:t>Fitzgerald,</w:t>
      </w:r>
      <w:r>
        <w:rPr>
          <w:color w:val="4C4D4F"/>
          <w:spacing w:val="-18"/>
          <w:w w:val="115"/>
          <w:sz w:val="18"/>
        </w:rPr>
        <w:t> </w:t>
      </w:r>
      <w:r>
        <w:rPr>
          <w:color w:val="4C4D4F"/>
          <w:spacing w:val="-10"/>
          <w:w w:val="115"/>
          <w:sz w:val="18"/>
        </w:rPr>
        <w:t>T.</w:t>
      </w:r>
      <w:r>
        <w:rPr>
          <w:color w:val="4C4D4F"/>
          <w:spacing w:val="-17"/>
          <w:w w:val="115"/>
          <w:sz w:val="18"/>
        </w:rPr>
        <w:t> </w:t>
      </w:r>
      <w:r>
        <w:rPr>
          <w:color w:val="4C4D4F"/>
          <w:spacing w:val="-7"/>
          <w:w w:val="115"/>
          <w:sz w:val="18"/>
        </w:rPr>
        <w:t>T.,</w:t>
      </w:r>
      <w:r>
        <w:rPr>
          <w:color w:val="4C4D4F"/>
          <w:spacing w:val="-17"/>
          <w:w w:val="115"/>
          <w:sz w:val="18"/>
        </w:rPr>
        <w:t> </w:t>
      </w:r>
      <w:r>
        <w:rPr>
          <w:color w:val="4C4D4F"/>
          <w:w w:val="115"/>
          <w:sz w:val="18"/>
        </w:rPr>
        <w:t>…</w:t>
      </w:r>
      <w:r>
        <w:rPr>
          <w:color w:val="4C4D4F"/>
          <w:spacing w:val="-17"/>
          <w:w w:val="115"/>
          <w:sz w:val="18"/>
        </w:rPr>
        <w:t> </w:t>
      </w:r>
      <w:r>
        <w:rPr>
          <w:color w:val="4C4D4F"/>
          <w:w w:val="115"/>
          <w:sz w:val="18"/>
        </w:rPr>
        <w:t>Jaffe,</w:t>
      </w:r>
      <w:r>
        <w:rPr>
          <w:color w:val="4C4D4F"/>
          <w:spacing w:val="-17"/>
          <w:w w:val="115"/>
          <w:sz w:val="18"/>
        </w:rPr>
        <w:t> </w:t>
      </w:r>
      <w:r>
        <w:rPr>
          <w:color w:val="4C4D4F"/>
          <w:w w:val="135"/>
          <w:sz w:val="18"/>
        </w:rPr>
        <w:t>J.</w:t>
      </w:r>
      <w:r>
        <w:rPr>
          <w:color w:val="4C4D4F"/>
          <w:spacing w:val="-28"/>
          <w:w w:val="135"/>
          <w:sz w:val="18"/>
        </w:rPr>
        <w:t> </w:t>
      </w:r>
      <w:r>
        <w:rPr>
          <w:color w:val="4C4D4F"/>
          <w:w w:val="115"/>
          <w:sz w:val="18"/>
        </w:rPr>
        <w:t>H.</w:t>
      </w:r>
      <w:r>
        <w:rPr>
          <w:color w:val="4C4D4F"/>
          <w:spacing w:val="-17"/>
          <w:w w:val="115"/>
          <w:sz w:val="18"/>
        </w:rPr>
        <w:t> </w:t>
      </w:r>
      <w:r>
        <w:rPr>
          <w:color w:val="4C4D4F"/>
          <w:spacing w:val="-3"/>
          <w:w w:val="115"/>
          <w:sz w:val="18"/>
        </w:rPr>
        <w:t>(2015). </w:t>
      </w:r>
      <w:r>
        <w:rPr>
          <w:color w:val="4C4D4F"/>
          <w:w w:val="115"/>
          <w:sz w:val="18"/>
        </w:rPr>
        <w:t>Buprenorphine</w:t>
      </w:r>
      <w:r>
        <w:rPr>
          <w:color w:val="4C4D4F"/>
          <w:spacing w:val="-30"/>
          <w:w w:val="115"/>
          <w:sz w:val="18"/>
        </w:rPr>
        <w:t> </w:t>
      </w:r>
      <w:r>
        <w:rPr>
          <w:color w:val="4C4D4F"/>
          <w:w w:val="115"/>
          <w:sz w:val="18"/>
        </w:rPr>
        <w:t>dose</w:t>
      </w:r>
      <w:r>
        <w:rPr>
          <w:color w:val="4C4D4F"/>
          <w:spacing w:val="-30"/>
          <w:w w:val="115"/>
          <w:sz w:val="18"/>
        </w:rPr>
        <w:t> </w:t>
      </w:r>
      <w:r>
        <w:rPr>
          <w:color w:val="4C4D4F"/>
          <w:w w:val="115"/>
          <w:sz w:val="18"/>
        </w:rPr>
        <w:t>induction</w:t>
      </w:r>
      <w:r>
        <w:rPr>
          <w:color w:val="4C4D4F"/>
          <w:spacing w:val="-30"/>
          <w:w w:val="115"/>
          <w:sz w:val="18"/>
        </w:rPr>
        <w:t> </w:t>
      </w:r>
      <w:r>
        <w:rPr>
          <w:color w:val="4C4D4F"/>
          <w:w w:val="115"/>
          <w:sz w:val="18"/>
        </w:rPr>
        <w:t>in</w:t>
      </w:r>
      <w:r>
        <w:rPr>
          <w:color w:val="4C4D4F"/>
          <w:spacing w:val="-30"/>
          <w:w w:val="115"/>
          <w:sz w:val="18"/>
        </w:rPr>
        <w:t> </w:t>
      </w:r>
      <w:r>
        <w:rPr>
          <w:color w:val="4C4D4F"/>
          <w:w w:val="115"/>
          <w:sz w:val="18"/>
        </w:rPr>
        <w:t>non-opioid-tolerant </w:t>
      </w:r>
      <w:r>
        <w:rPr>
          <w:color w:val="4C4D4F"/>
          <w:w w:val="110"/>
          <w:sz w:val="18"/>
        </w:rPr>
        <w:t>pre-release</w:t>
      </w:r>
      <w:r>
        <w:rPr>
          <w:color w:val="4C4D4F"/>
          <w:spacing w:val="-33"/>
          <w:w w:val="110"/>
          <w:sz w:val="18"/>
        </w:rPr>
        <w:t> </w:t>
      </w:r>
      <w:r>
        <w:rPr>
          <w:color w:val="4C4D4F"/>
          <w:w w:val="110"/>
          <w:sz w:val="18"/>
        </w:rPr>
        <w:t>prisoners.</w:t>
      </w:r>
      <w:r>
        <w:rPr>
          <w:color w:val="4C4D4F"/>
          <w:spacing w:val="-32"/>
          <w:w w:val="110"/>
          <w:sz w:val="18"/>
        </w:rPr>
        <w:t> </w:t>
      </w:r>
      <w:r>
        <w:rPr>
          <w:rFonts w:ascii="Arial" w:hAnsi="Arial"/>
          <w:i/>
          <w:color w:val="4C4D4F"/>
          <w:w w:val="110"/>
          <w:sz w:val="18"/>
        </w:rPr>
        <w:t>Drug</w:t>
      </w:r>
      <w:r>
        <w:rPr>
          <w:rFonts w:ascii="Arial" w:hAnsi="Arial"/>
          <w:i/>
          <w:color w:val="4C4D4F"/>
          <w:spacing w:val="-32"/>
          <w:w w:val="110"/>
          <w:sz w:val="18"/>
        </w:rPr>
        <w:t> </w:t>
      </w:r>
      <w:r>
        <w:rPr>
          <w:rFonts w:ascii="Arial" w:hAnsi="Arial"/>
          <w:i/>
          <w:color w:val="4C4D4F"/>
          <w:w w:val="110"/>
          <w:sz w:val="18"/>
        </w:rPr>
        <w:t>and</w:t>
      </w:r>
      <w:r>
        <w:rPr>
          <w:rFonts w:ascii="Arial" w:hAnsi="Arial"/>
          <w:i/>
          <w:color w:val="4C4D4F"/>
          <w:spacing w:val="-32"/>
          <w:w w:val="110"/>
          <w:sz w:val="18"/>
        </w:rPr>
        <w:t> </w:t>
      </w:r>
      <w:r>
        <w:rPr>
          <w:rFonts w:ascii="Arial" w:hAnsi="Arial"/>
          <w:i/>
          <w:color w:val="4C4D4F"/>
          <w:w w:val="110"/>
          <w:sz w:val="18"/>
        </w:rPr>
        <w:t>Alcohol</w:t>
      </w:r>
      <w:r>
        <w:rPr>
          <w:rFonts w:ascii="Arial" w:hAnsi="Arial"/>
          <w:i/>
          <w:color w:val="4C4D4F"/>
          <w:spacing w:val="-32"/>
          <w:w w:val="110"/>
          <w:sz w:val="18"/>
        </w:rPr>
        <w:t> </w:t>
      </w:r>
      <w:r>
        <w:rPr>
          <w:rFonts w:ascii="Arial" w:hAnsi="Arial"/>
          <w:i/>
          <w:color w:val="4C4D4F"/>
          <w:w w:val="110"/>
          <w:sz w:val="18"/>
        </w:rPr>
        <w:t>Dependence, </w:t>
      </w:r>
      <w:r>
        <w:rPr>
          <w:rFonts w:ascii="Arial" w:hAnsi="Arial"/>
          <w:i/>
          <w:color w:val="4C4D4F"/>
          <w:w w:val="115"/>
          <w:sz w:val="18"/>
        </w:rPr>
        <w:t>156,</w:t>
      </w:r>
      <w:r>
        <w:rPr>
          <w:rFonts w:ascii="Arial" w:hAnsi="Arial"/>
          <w:i/>
          <w:color w:val="4C4D4F"/>
          <w:spacing w:val="-9"/>
          <w:w w:val="115"/>
          <w:sz w:val="18"/>
        </w:rPr>
        <w:t> </w:t>
      </w:r>
      <w:r>
        <w:rPr>
          <w:color w:val="4C4D4F"/>
          <w:w w:val="115"/>
          <w:sz w:val="18"/>
        </w:rPr>
        <w:t>133–138.</w:t>
      </w:r>
    </w:p>
    <w:p>
      <w:pPr>
        <w:pStyle w:val="ListParagraph"/>
        <w:numPr>
          <w:ilvl w:val="0"/>
          <w:numId w:val="51"/>
        </w:numPr>
        <w:tabs>
          <w:tab w:pos="500" w:val="left" w:leader="none"/>
        </w:tabs>
        <w:spacing w:line="247" w:lineRule="auto" w:before="74" w:after="0"/>
        <w:ind w:left="500" w:right="298" w:hanging="360"/>
        <w:jc w:val="left"/>
        <w:rPr>
          <w:color w:val="4C4D4F"/>
          <w:sz w:val="18"/>
        </w:rPr>
      </w:pPr>
      <w:r>
        <w:rPr>
          <w:color w:val="4C4D4F"/>
          <w:spacing w:val="-3"/>
          <w:w w:val="110"/>
          <w:sz w:val="18"/>
        </w:rPr>
        <w:t>Tompkins, </w:t>
      </w:r>
      <w:r>
        <w:rPr>
          <w:color w:val="4C4D4F"/>
          <w:w w:val="110"/>
          <w:sz w:val="18"/>
        </w:rPr>
        <w:t>D. A., &amp; Strain, E. C. (2011). </w:t>
      </w:r>
      <w:r>
        <w:rPr>
          <w:color w:val="4C4D4F"/>
          <w:spacing w:val="-3"/>
          <w:w w:val="110"/>
          <w:sz w:val="18"/>
        </w:rPr>
        <w:t>Buprenorphine </w:t>
      </w:r>
      <w:r>
        <w:rPr>
          <w:color w:val="4C4D4F"/>
          <w:w w:val="110"/>
          <w:sz w:val="18"/>
        </w:rPr>
        <w:t>in the treatment of opioid dependence. In </w:t>
      </w:r>
      <w:r>
        <w:rPr>
          <w:color w:val="4C4D4F"/>
          <w:spacing w:val="-17"/>
          <w:w w:val="110"/>
          <w:sz w:val="18"/>
        </w:rPr>
        <w:t>P. </w:t>
      </w:r>
      <w:r>
        <w:rPr>
          <w:color w:val="4C4D4F"/>
          <w:w w:val="110"/>
          <w:sz w:val="18"/>
        </w:rPr>
        <w:t>Ruiz &amp;</w:t>
      </w:r>
      <w:r>
        <w:rPr>
          <w:color w:val="4C4D4F"/>
          <w:spacing w:val="24"/>
          <w:w w:val="110"/>
          <w:sz w:val="18"/>
        </w:rPr>
        <w:t> </w:t>
      </w:r>
      <w:r>
        <w:rPr>
          <w:color w:val="4C4D4F"/>
          <w:w w:val="110"/>
          <w:sz w:val="18"/>
        </w:rPr>
        <w:t>E.</w:t>
      </w:r>
    </w:p>
    <w:p>
      <w:pPr>
        <w:spacing w:line="247" w:lineRule="auto" w:before="0"/>
        <w:ind w:left="500" w:right="506" w:firstLine="0"/>
        <w:jc w:val="left"/>
        <w:rPr>
          <w:sz w:val="18"/>
        </w:rPr>
      </w:pPr>
      <w:r>
        <w:rPr>
          <w:color w:val="4C4D4F"/>
          <w:w w:val="105"/>
          <w:sz w:val="18"/>
        </w:rPr>
        <w:t>C.</w:t>
      </w:r>
      <w:r>
        <w:rPr>
          <w:color w:val="4C4D4F"/>
          <w:spacing w:val="-16"/>
          <w:w w:val="105"/>
          <w:sz w:val="18"/>
        </w:rPr>
        <w:t> </w:t>
      </w:r>
      <w:r>
        <w:rPr>
          <w:color w:val="4C4D4F"/>
          <w:w w:val="105"/>
          <w:sz w:val="18"/>
        </w:rPr>
        <w:t>Strain</w:t>
      </w:r>
      <w:r>
        <w:rPr>
          <w:color w:val="4C4D4F"/>
          <w:spacing w:val="-16"/>
          <w:w w:val="105"/>
          <w:sz w:val="18"/>
        </w:rPr>
        <w:t> </w:t>
      </w:r>
      <w:r>
        <w:rPr>
          <w:color w:val="4C4D4F"/>
          <w:w w:val="105"/>
          <w:sz w:val="18"/>
        </w:rPr>
        <w:t>(Eds.),</w:t>
      </w:r>
      <w:r>
        <w:rPr>
          <w:color w:val="4C4D4F"/>
          <w:spacing w:val="-16"/>
          <w:w w:val="105"/>
          <w:sz w:val="18"/>
        </w:rPr>
        <w:t> </w:t>
      </w:r>
      <w:r>
        <w:rPr>
          <w:rFonts w:ascii="Arial" w:hAnsi="Arial"/>
          <w:i/>
          <w:color w:val="4C4D4F"/>
          <w:w w:val="105"/>
          <w:sz w:val="18"/>
        </w:rPr>
        <w:t>Substance</w:t>
      </w:r>
      <w:r>
        <w:rPr>
          <w:rFonts w:ascii="Arial" w:hAnsi="Arial"/>
          <w:i/>
          <w:color w:val="4C4D4F"/>
          <w:spacing w:val="-16"/>
          <w:w w:val="105"/>
          <w:sz w:val="18"/>
        </w:rPr>
        <w:t> </w:t>
      </w:r>
      <w:r>
        <w:rPr>
          <w:rFonts w:ascii="Arial" w:hAnsi="Arial"/>
          <w:i/>
          <w:color w:val="4C4D4F"/>
          <w:w w:val="105"/>
          <w:sz w:val="18"/>
        </w:rPr>
        <w:t>abuse:</w:t>
      </w:r>
      <w:r>
        <w:rPr>
          <w:rFonts w:ascii="Arial" w:hAnsi="Arial"/>
          <w:i/>
          <w:color w:val="4C4D4F"/>
          <w:spacing w:val="-16"/>
          <w:w w:val="105"/>
          <w:sz w:val="18"/>
        </w:rPr>
        <w:t> </w:t>
      </w:r>
      <w:r>
        <w:rPr>
          <w:rFonts w:ascii="Arial" w:hAnsi="Arial"/>
          <w:i/>
          <w:color w:val="4C4D4F"/>
          <w:w w:val="105"/>
          <w:sz w:val="18"/>
        </w:rPr>
        <w:t>A</w:t>
      </w:r>
      <w:r>
        <w:rPr>
          <w:rFonts w:ascii="Arial" w:hAnsi="Arial"/>
          <w:i/>
          <w:color w:val="4C4D4F"/>
          <w:spacing w:val="-16"/>
          <w:w w:val="105"/>
          <w:sz w:val="18"/>
        </w:rPr>
        <w:t> </w:t>
      </w:r>
      <w:r>
        <w:rPr>
          <w:rFonts w:ascii="Arial" w:hAnsi="Arial"/>
          <w:i/>
          <w:color w:val="4C4D4F"/>
          <w:spacing w:val="-3"/>
          <w:w w:val="105"/>
          <w:sz w:val="18"/>
        </w:rPr>
        <w:t>comprehensive </w:t>
      </w:r>
      <w:r>
        <w:rPr>
          <w:rFonts w:ascii="Arial" w:hAnsi="Arial"/>
          <w:i/>
          <w:color w:val="4C4D4F"/>
          <w:w w:val="105"/>
          <w:sz w:val="18"/>
        </w:rPr>
        <w:t>textbook </w:t>
      </w:r>
      <w:r>
        <w:rPr>
          <w:color w:val="4C4D4F"/>
          <w:w w:val="105"/>
          <w:sz w:val="18"/>
        </w:rPr>
        <w:t>(5th ed., pp. 437–446). Philadelphia, </w:t>
      </w:r>
      <w:r>
        <w:rPr>
          <w:color w:val="4C4D4F"/>
          <w:spacing w:val="-5"/>
          <w:w w:val="105"/>
          <w:sz w:val="18"/>
        </w:rPr>
        <w:t>PA: </w:t>
      </w:r>
      <w:r>
        <w:rPr>
          <w:color w:val="4C4D4F"/>
          <w:w w:val="105"/>
          <w:sz w:val="18"/>
        </w:rPr>
        <w:t>Wolters</w:t>
      </w:r>
      <w:r>
        <w:rPr>
          <w:color w:val="4C4D4F"/>
          <w:spacing w:val="-3"/>
          <w:w w:val="105"/>
          <w:sz w:val="18"/>
        </w:rPr>
        <w:t> Kluwer.</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20"/>
          <w:sz w:val="18"/>
        </w:rPr>
        <w:t>Rosado,</w:t>
      </w:r>
      <w:r>
        <w:rPr>
          <w:color w:val="4C4D4F"/>
          <w:spacing w:val="-19"/>
          <w:w w:val="120"/>
          <w:sz w:val="18"/>
        </w:rPr>
        <w:t> </w:t>
      </w:r>
      <w:r>
        <w:rPr>
          <w:color w:val="4C4D4F"/>
          <w:w w:val="125"/>
          <w:sz w:val="18"/>
        </w:rPr>
        <w:t>J.,</w:t>
      </w:r>
      <w:r>
        <w:rPr>
          <w:color w:val="4C4D4F"/>
          <w:spacing w:val="-20"/>
          <w:w w:val="125"/>
          <w:sz w:val="18"/>
        </w:rPr>
        <w:t> </w:t>
      </w:r>
      <w:r>
        <w:rPr>
          <w:color w:val="4C4D4F"/>
          <w:w w:val="120"/>
          <w:sz w:val="18"/>
        </w:rPr>
        <w:t>Walsh,</w:t>
      </w:r>
      <w:r>
        <w:rPr>
          <w:color w:val="4C4D4F"/>
          <w:spacing w:val="-18"/>
          <w:w w:val="120"/>
          <w:sz w:val="18"/>
        </w:rPr>
        <w:t> </w:t>
      </w:r>
      <w:r>
        <w:rPr>
          <w:color w:val="4C4D4F"/>
          <w:w w:val="120"/>
          <w:sz w:val="18"/>
        </w:rPr>
        <w:t>S.</w:t>
      </w:r>
      <w:r>
        <w:rPr>
          <w:color w:val="4C4D4F"/>
          <w:spacing w:val="-18"/>
          <w:w w:val="120"/>
          <w:sz w:val="18"/>
        </w:rPr>
        <w:t> </w:t>
      </w:r>
      <w:r>
        <w:rPr>
          <w:color w:val="4C4D4F"/>
          <w:w w:val="120"/>
          <w:sz w:val="18"/>
        </w:rPr>
        <w:t>L.,</w:t>
      </w:r>
      <w:r>
        <w:rPr>
          <w:color w:val="4C4D4F"/>
          <w:spacing w:val="-18"/>
          <w:w w:val="120"/>
          <w:sz w:val="18"/>
        </w:rPr>
        <w:t> </w:t>
      </w:r>
      <w:r>
        <w:rPr>
          <w:color w:val="4C4D4F"/>
          <w:w w:val="120"/>
          <w:sz w:val="18"/>
        </w:rPr>
        <w:t>Bigelow,</w:t>
      </w:r>
      <w:r>
        <w:rPr>
          <w:color w:val="4C4D4F"/>
          <w:spacing w:val="-18"/>
          <w:w w:val="120"/>
          <w:sz w:val="18"/>
        </w:rPr>
        <w:t> </w:t>
      </w:r>
      <w:r>
        <w:rPr>
          <w:color w:val="4C4D4F"/>
          <w:w w:val="120"/>
          <w:sz w:val="18"/>
        </w:rPr>
        <w:t>G.</w:t>
      </w:r>
      <w:r>
        <w:rPr>
          <w:color w:val="4C4D4F"/>
          <w:spacing w:val="-18"/>
          <w:w w:val="120"/>
          <w:sz w:val="18"/>
        </w:rPr>
        <w:t> </w:t>
      </w:r>
      <w:r>
        <w:rPr>
          <w:color w:val="4C4D4F"/>
          <w:w w:val="120"/>
          <w:sz w:val="18"/>
        </w:rPr>
        <w:t>E.,</w:t>
      </w:r>
      <w:r>
        <w:rPr>
          <w:color w:val="4C4D4F"/>
          <w:spacing w:val="-18"/>
          <w:w w:val="120"/>
          <w:sz w:val="18"/>
        </w:rPr>
        <w:t> </w:t>
      </w:r>
      <w:r>
        <w:rPr>
          <w:color w:val="4C4D4F"/>
          <w:w w:val="120"/>
          <w:sz w:val="18"/>
        </w:rPr>
        <w:t>&amp;</w:t>
      </w:r>
      <w:r>
        <w:rPr>
          <w:color w:val="4C4D4F"/>
          <w:spacing w:val="-18"/>
          <w:w w:val="120"/>
          <w:sz w:val="18"/>
        </w:rPr>
        <w:t> </w:t>
      </w:r>
      <w:r>
        <w:rPr>
          <w:color w:val="4C4D4F"/>
          <w:w w:val="120"/>
          <w:sz w:val="18"/>
        </w:rPr>
        <w:t>Strain,</w:t>
      </w:r>
    </w:p>
    <w:p>
      <w:pPr>
        <w:spacing w:line="247" w:lineRule="auto" w:before="7"/>
        <w:ind w:left="500" w:right="695" w:firstLine="0"/>
        <w:jc w:val="left"/>
        <w:rPr>
          <w:sz w:val="18"/>
        </w:rPr>
      </w:pPr>
      <w:r>
        <w:rPr>
          <w:color w:val="4C4D4F"/>
          <w:w w:val="110"/>
          <w:sz w:val="18"/>
        </w:rPr>
        <w:t>E. C. (2007). Sublingual buprenorphine/naloxone precipitated withdrawal in subjects maintained on 100mg of daily methadone. </w:t>
      </w:r>
      <w:r>
        <w:rPr>
          <w:rFonts w:ascii="Arial" w:hAnsi="Arial"/>
          <w:i/>
          <w:color w:val="4C4D4F"/>
          <w:w w:val="110"/>
          <w:sz w:val="18"/>
        </w:rPr>
        <w:t>Drug and</w:t>
      </w:r>
      <w:r>
        <w:rPr>
          <w:rFonts w:ascii="Arial" w:hAnsi="Arial"/>
          <w:i/>
          <w:color w:val="4C4D4F"/>
          <w:spacing w:val="-33"/>
          <w:w w:val="110"/>
          <w:sz w:val="18"/>
        </w:rPr>
        <w:t> </w:t>
      </w:r>
      <w:r>
        <w:rPr>
          <w:rFonts w:ascii="Arial" w:hAnsi="Arial"/>
          <w:i/>
          <w:color w:val="4C4D4F"/>
          <w:spacing w:val="-3"/>
          <w:w w:val="110"/>
          <w:sz w:val="18"/>
        </w:rPr>
        <w:t>Alcohol </w:t>
      </w:r>
      <w:r>
        <w:rPr>
          <w:rFonts w:ascii="Arial" w:hAnsi="Arial"/>
          <w:i/>
          <w:color w:val="4C4D4F"/>
          <w:w w:val="110"/>
          <w:sz w:val="18"/>
        </w:rPr>
        <w:t>Dependence, 90</w:t>
      </w:r>
      <w:r>
        <w:rPr>
          <w:color w:val="4C4D4F"/>
          <w:w w:val="110"/>
          <w:sz w:val="18"/>
        </w:rPr>
        <w:t>(2–3),</w:t>
      </w:r>
      <w:r>
        <w:rPr>
          <w:color w:val="4C4D4F"/>
          <w:spacing w:val="-19"/>
          <w:w w:val="110"/>
          <w:sz w:val="18"/>
        </w:rPr>
        <w:t> </w:t>
      </w:r>
      <w:r>
        <w:rPr>
          <w:color w:val="4C4D4F"/>
          <w:w w:val="110"/>
          <w:sz w:val="18"/>
        </w:rPr>
        <w:t>261–269.</w:t>
      </w:r>
    </w:p>
    <w:p>
      <w:pPr>
        <w:spacing w:after="0" w:line="247" w:lineRule="auto"/>
        <w:jc w:val="left"/>
        <w:rPr>
          <w:sz w:val="18"/>
        </w:rPr>
        <w:sectPr>
          <w:type w:val="continuous"/>
          <w:pgSz w:w="12240" w:h="15840"/>
          <w:pgMar w:top="540" w:bottom="280" w:left="940" w:right="920"/>
          <w:cols w:num="2" w:equalWidth="0">
            <w:col w:w="4980" w:space="240"/>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471" w:hanging="360"/>
        <w:jc w:val="left"/>
        <w:rPr>
          <w:color w:val="4C4D4F"/>
          <w:sz w:val="18"/>
        </w:rPr>
      </w:pPr>
      <w:r>
        <w:rPr>
          <w:color w:val="4C4D4F"/>
          <w:w w:val="115"/>
          <w:sz w:val="18"/>
        </w:rPr>
        <w:t>Zubieta, </w:t>
      </w:r>
      <w:r>
        <w:rPr>
          <w:color w:val="4C4D4F"/>
          <w:w w:val="130"/>
          <w:sz w:val="18"/>
        </w:rPr>
        <w:t>J., </w:t>
      </w:r>
      <w:r>
        <w:rPr>
          <w:color w:val="4C4D4F"/>
          <w:w w:val="115"/>
          <w:sz w:val="18"/>
        </w:rPr>
        <w:t>Greenwald, M. K., Lombardi, U., Woods, </w:t>
      </w:r>
      <w:r>
        <w:rPr>
          <w:color w:val="4C4D4F"/>
          <w:w w:val="130"/>
          <w:sz w:val="18"/>
        </w:rPr>
        <w:t>J. </w:t>
      </w:r>
      <w:r>
        <w:rPr>
          <w:color w:val="4C4D4F"/>
          <w:w w:val="115"/>
          <w:sz w:val="18"/>
        </w:rPr>
        <w:t>H., Kilbourn, M. R., Jewett, D. M., … Johanson, C. E. (2000). Buprenorphine-induced changes</w:t>
      </w:r>
      <w:r>
        <w:rPr>
          <w:color w:val="4C4D4F"/>
          <w:spacing w:val="-19"/>
          <w:w w:val="115"/>
          <w:sz w:val="18"/>
        </w:rPr>
        <w:t> </w:t>
      </w:r>
      <w:r>
        <w:rPr>
          <w:color w:val="4C4D4F"/>
          <w:w w:val="115"/>
          <w:sz w:val="18"/>
        </w:rPr>
        <w:t>in</w:t>
      </w:r>
      <w:r>
        <w:rPr>
          <w:color w:val="4C4D4F"/>
          <w:spacing w:val="-19"/>
          <w:w w:val="115"/>
          <w:sz w:val="18"/>
        </w:rPr>
        <w:t> </w:t>
      </w:r>
      <w:r>
        <w:rPr>
          <w:color w:val="4C4D4F"/>
          <w:w w:val="115"/>
          <w:sz w:val="18"/>
        </w:rPr>
        <w:t>mu-opioid</w:t>
      </w:r>
      <w:r>
        <w:rPr>
          <w:color w:val="4C4D4F"/>
          <w:spacing w:val="-18"/>
          <w:w w:val="115"/>
          <w:sz w:val="18"/>
        </w:rPr>
        <w:t> </w:t>
      </w:r>
      <w:r>
        <w:rPr>
          <w:color w:val="4C4D4F"/>
          <w:w w:val="115"/>
          <w:sz w:val="18"/>
        </w:rPr>
        <w:t>receptor</w:t>
      </w:r>
      <w:r>
        <w:rPr>
          <w:color w:val="4C4D4F"/>
          <w:spacing w:val="-19"/>
          <w:w w:val="115"/>
          <w:sz w:val="18"/>
        </w:rPr>
        <w:t> </w:t>
      </w:r>
      <w:r>
        <w:rPr>
          <w:color w:val="4C4D4F"/>
          <w:w w:val="115"/>
          <w:sz w:val="18"/>
        </w:rPr>
        <w:t>availability</w:t>
      </w:r>
      <w:r>
        <w:rPr>
          <w:color w:val="4C4D4F"/>
          <w:spacing w:val="-19"/>
          <w:w w:val="115"/>
          <w:sz w:val="18"/>
        </w:rPr>
        <w:t> </w:t>
      </w:r>
      <w:r>
        <w:rPr>
          <w:color w:val="4C4D4F"/>
          <w:w w:val="115"/>
          <w:sz w:val="18"/>
        </w:rPr>
        <w:t>in</w:t>
      </w:r>
      <w:r>
        <w:rPr>
          <w:color w:val="4C4D4F"/>
          <w:spacing w:val="-18"/>
          <w:w w:val="115"/>
          <w:sz w:val="18"/>
        </w:rPr>
        <w:t> </w:t>
      </w:r>
      <w:r>
        <w:rPr>
          <w:color w:val="4C4D4F"/>
          <w:w w:val="115"/>
          <w:sz w:val="18"/>
        </w:rPr>
        <w:t>male heroin-dependent</w:t>
      </w:r>
      <w:r>
        <w:rPr>
          <w:color w:val="4C4D4F"/>
          <w:spacing w:val="-40"/>
          <w:w w:val="115"/>
          <w:sz w:val="18"/>
        </w:rPr>
        <w:t> </w:t>
      </w:r>
      <w:r>
        <w:rPr>
          <w:color w:val="4C4D4F"/>
          <w:w w:val="115"/>
          <w:sz w:val="18"/>
        </w:rPr>
        <w:t>volunteers:</w:t>
      </w:r>
      <w:r>
        <w:rPr>
          <w:color w:val="4C4D4F"/>
          <w:spacing w:val="-39"/>
          <w:w w:val="115"/>
          <w:sz w:val="18"/>
        </w:rPr>
        <w:t> </w:t>
      </w:r>
      <w:r>
        <w:rPr>
          <w:color w:val="4C4D4F"/>
          <w:w w:val="115"/>
          <w:sz w:val="18"/>
        </w:rPr>
        <w:t>A</w:t>
      </w:r>
      <w:r>
        <w:rPr>
          <w:color w:val="4C4D4F"/>
          <w:spacing w:val="-39"/>
          <w:w w:val="115"/>
          <w:sz w:val="18"/>
        </w:rPr>
        <w:t> </w:t>
      </w:r>
      <w:r>
        <w:rPr>
          <w:color w:val="4C4D4F"/>
          <w:w w:val="115"/>
          <w:sz w:val="18"/>
        </w:rPr>
        <w:t>preliminary</w:t>
      </w:r>
      <w:r>
        <w:rPr>
          <w:color w:val="4C4D4F"/>
          <w:spacing w:val="-40"/>
          <w:w w:val="115"/>
          <w:sz w:val="18"/>
        </w:rPr>
        <w:t> </w:t>
      </w:r>
      <w:r>
        <w:rPr>
          <w:color w:val="4C4D4F"/>
          <w:spacing w:val="-6"/>
          <w:w w:val="115"/>
          <w:sz w:val="18"/>
        </w:rPr>
        <w:t>study. </w:t>
      </w:r>
      <w:r>
        <w:rPr>
          <w:rFonts w:ascii="Arial" w:hAnsi="Arial"/>
          <w:i/>
          <w:color w:val="4C4D4F"/>
          <w:w w:val="110"/>
          <w:sz w:val="18"/>
        </w:rPr>
        <w:t>Neuropsychopharmacology,</w:t>
      </w:r>
      <w:r>
        <w:rPr>
          <w:rFonts w:ascii="Arial" w:hAnsi="Arial"/>
          <w:i/>
          <w:color w:val="4C4D4F"/>
          <w:spacing w:val="-25"/>
          <w:w w:val="110"/>
          <w:sz w:val="18"/>
        </w:rPr>
        <w:t> </w:t>
      </w:r>
      <w:r>
        <w:rPr>
          <w:rFonts w:ascii="Arial" w:hAnsi="Arial"/>
          <w:i/>
          <w:color w:val="4C4D4F"/>
          <w:w w:val="110"/>
          <w:sz w:val="18"/>
        </w:rPr>
        <w:t>23</w:t>
      </w:r>
      <w:r>
        <w:rPr>
          <w:color w:val="4C4D4F"/>
          <w:w w:val="110"/>
          <w:sz w:val="18"/>
        </w:rPr>
        <w:t>(3),</w:t>
      </w:r>
      <w:r>
        <w:rPr>
          <w:color w:val="4C4D4F"/>
          <w:spacing w:val="-25"/>
          <w:w w:val="110"/>
          <w:sz w:val="18"/>
        </w:rPr>
        <w:t> </w:t>
      </w:r>
      <w:r>
        <w:rPr>
          <w:color w:val="4C4D4F"/>
          <w:w w:val="110"/>
          <w:sz w:val="18"/>
        </w:rPr>
        <w:t>326–334.</w:t>
      </w:r>
    </w:p>
    <w:p>
      <w:pPr>
        <w:pStyle w:val="ListParagraph"/>
        <w:numPr>
          <w:ilvl w:val="0"/>
          <w:numId w:val="51"/>
        </w:numPr>
        <w:tabs>
          <w:tab w:pos="500" w:val="left" w:leader="none"/>
        </w:tabs>
        <w:spacing w:line="247" w:lineRule="auto" w:before="76" w:after="0"/>
        <w:ind w:left="500" w:right="250" w:hanging="360"/>
        <w:jc w:val="left"/>
        <w:rPr>
          <w:color w:val="4C4D4F"/>
          <w:sz w:val="18"/>
        </w:rPr>
      </w:pPr>
      <w:r>
        <w:rPr>
          <w:color w:val="4C4D4F"/>
          <w:spacing w:val="-4"/>
          <w:w w:val="110"/>
          <w:sz w:val="18"/>
        </w:rPr>
        <w:t>Hser, </w:t>
      </w:r>
      <w:r>
        <w:rPr>
          <w:color w:val="4C4D4F"/>
          <w:spacing w:val="-9"/>
          <w:w w:val="110"/>
          <w:sz w:val="18"/>
        </w:rPr>
        <w:t>Y.,  </w:t>
      </w:r>
      <w:r>
        <w:rPr>
          <w:color w:val="4C4D4F"/>
          <w:w w:val="110"/>
          <w:sz w:val="18"/>
        </w:rPr>
        <w:t>Saxon, A. </w:t>
      </w:r>
      <w:r>
        <w:rPr>
          <w:color w:val="4C4D4F"/>
          <w:w w:val="120"/>
          <w:sz w:val="18"/>
        </w:rPr>
        <w:t>J., </w:t>
      </w:r>
      <w:r>
        <w:rPr>
          <w:color w:val="4C4D4F"/>
          <w:w w:val="110"/>
          <w:sz w:val="18"/>
        </w:rPr>
        <w:t>Huang, D., Hasson, A., Thomas, C., Hillhouse, M. … Ling, </w:t>
      </w:r>
      <w:r>
        <w:rPr>
          <w:color w:val="4C4D4F"/>
          <w:spacing w:val="-7"/>
          <w:w w:val="110"/>
          <w:sz w:val="18"/>
        </w:rPr>
        <w:t>W. </w:t>
      </w:r>
      <w:r>
        <w:rPr>
          <w:color w:val="4C4D4F"/>
          <w:w w:val="110"/>
          <w:sz w:val="18"/>
        </w:rPr>
        <w:t>(2014). </w:t>
      </w:r>
      <w:r>
        <w:rPr>
          <w:color w:val="4C4D4F"/>
          <w:spacing w:val="-3"/>
          <w:w w:val="110"/>
          <w:sz w:val="18"/>
        </w:rPr>
        <w:t>Treatment </w:t>
      </w:r>
      <w:r>
        <w:rPr>
          <w:color w:val="4C4D4F"/>
          <w:w w:val="110"/>
          <w:sz w:val="18"/>
        </w:rPr>
        <w:t>retention among patients randomized to buprenorphine/naloxone compared to methadone</w:t>
      </w:r>
      <w:r>
        <w:rPr>
          <w:color w:val="4C4D4F"/>
          <w:spacing w:val="35"/>
          <w:w w:val="110"/>
          <w:sz w:val="18"/>
        </w:rPr>
        <w:t> </w:t>
      </w:r>
      <w:r>
        <w:rPr>
          <w:color w:val="4C4D4F"/>
          <w:spacing w:val="-8"/>
          <w:w w:val="110"/>
          <w:sz w:val="18"/>
        </w:rPr>
        <w:t>in</w:t>
      </w:r>
    </w:p>
    <w:p>
      <w:pPr>
        <w:spacing w:before="3"/>
        <w:ind w:left="701" w:right="0" w:firstLine="0"/>
        <w:jc w:val="left"/>
        <w:rPr>
          <w:sz w:val="18"/>
        </w:rPr>
      </w:pPr>
      <w:r>
        <w:rPr>
          <w:color w:val="4C4D4F"/>
          <w:w w:val="110"/>
          <w:sz w:val="18"/>
        </w:rPr>
        <w:t>a multi-site trial. </w:t>
      </w:r>
      <w:r>
        <w:rPr>
          <w:rFonts w:ascii="Arial" w:hAnsi="Arial"/>
          <w:i/>
          <w:color w:val="4C4D4F"/>
          <w:w w:val="110"/>
          <w:sz w:val="18"/>
        </w:rPr>
        <w:t>Addiction, 109</w:t>
      </w:r>
      <w:r>
        <w:rPr>
          <w:color w:val="4C4D4F"/>
          <w:w w:val="110"/>
          <w:sz w:val="18"/>
        </w:rPr>
        <w:t>(1), 79–87.</w:t>
      </w:r>
    </w:p>
    <w:p>
      <w:pPr>
        <w:pStyle w:val="ListParagraph"/>
        <w:numPr>
          <w:ilvl w:val="0"/>
          <w:numId w:val="51"/>
        </w:numPr>
        <w:tabs>
          <w:tab w:pos="500" w:val="left" w:leader="none"/>
        </w:tabs>
        <w:spacing w:line="247" w:lineRule="auto" w:before="79" w:after="0"/>
        <w:ind w:left="500" w:right="198" w:hanging="360"/>
        <w:jc w:val="left"/>
        <w:rPr>
          <w:color w:val="4C4D4F"/>
          <w:sz w:val="18"/>
        </w:rPr>
      </w:pPr>
      <w:r>
        <w:rPr>
          <w:color w:val="4C4D4F"/>
          <w:w w:val="110"/>
          <w:sz w:val="18"/>
        </w:rPr>
        <w:t>American College of Obstetricians and </w:t>
      </w:r>
      <w:r>
        <w:rPr>
          <w:color w:val="4C4D4F"/>
          <w:spacing w:val="-2"/>
          <w:w w:val="110"/>
          <w:sz w:val="18"/>
        </w:rPr>
        <w:t>Gynecologists </w:t>
      </w:r>
      <w:r>
        <w:rPr>
          <w:color w:val="4C4D4F"/>
          <w:w w:val="110"/>
          <w:sz w:val="18"/>
        </w:rPr>
        <w:t>Committee Opinion. (2017, August). Opioid use and opioid use disorder in pregnancy. Number</w:t>
      </w:r>
      <w:r>
        <w:rPr>
          <w:color w:val="4C4D4F"/>
          <w:spacing w:val="-18"/>
          <w:w w:val="110"/>
          <w:sz w:val="18"/>
        </w:rPr>
        <w:t> </w:t>
      </w:r>
      <w:r>
        <w:rPr>
          <w:color w:val="4C4D4F"/>
          <w:w w:val="110"/>
          <w:sz w:val="18"/>
        </w:rPr>
        <w:t>711.</w:t>
      </w:r>
    </w:p>
    <w:p>
      <w:pPr>
        <w:pStyle w:val="ListParagraph"/>
        <w:numPr>
          <w:ilvl w:val="0"/>
          <w:numId w:val="51"/>
        </w:numPr>
        <w:tabs>
          <w:tab w:pos="500" w:val="left" w:leader="none"/>
        </w:tabs>
        <w:spacing w:line="247" w:lineRule="auto" w:before="75" w:after="0"/>
        <w:ind w:left="500" w:right="240" w:hanging="360"/>
        <w:jc w:val="left"/>
        <w:rPr>
          <w:color w:val="4C4D4F"/>
          <w:sz w:val="18"/>
        </w:rPr>
      </w:pPr>
      <w:r>
        <w:rPr>
          <w:color w:val="4C4D4F"/>
          <w:w w:val="110"/>
          <w:sz w:val="18"/>
        </w:rPr>
        <w:t>Debelak, K., Morrone, </w:t>
      </w:r>
      <w:r>
        <w:rPr>
          <w:color w:val="4C4D4F"/>
          <w:spacing w:val="-7"/>
          <w:w w:val="110"/>
          <w:sz w:val="18"/>
        </w:rPr>
        <w:t>W. </w:t>
      </w:r>
      <w:r>
        <w:rPr>
          <w:color w:val="4C4D4F"/>
          <w:w w:val="110"/>
          <w:sz w:val="18"/>
        </w:rPr>
        <w:t>R., O’Grady, K. E., &amp; Jones, H. E. (2013). Buprenorphine + naloxone in </w:t>
      </w:r>
      <w:r>
        <w:rPr>
          <w:color w:val="4C4D4F"/>
          <w:spacing w:val="-6"/>
          <w:w w:val="110"/>
          <w:sz w:val="18"/>
        </w:rPr>
        <w:t>the </w:t>
      </w:r>
      <w:r>
        <w:rPr>
          <w:color w:val="4C4D4F"/>
          <w:w w:val="110"/>
          <w:sz w:val="18"/>
        </w:rPr>
        <w:t>treatment of opioid dependence during</w:t>
      </w:r>
      <w:r>
        <w:rPr>
          <w:color w:val="4C4D4F"/>
          <w:spacing w:val="2"/>
          <w:w w:val="110"/>
          <w:sz w:val="18"/>
        </w:rPr>
        <w:t> </w:t>
      </w:r>
      <w:r>
        <w:rPr>
          <w:color w:val="4C4D4F"/>
          <w:w w:val="110"/>
          <w:sz w:val="18"/>
        </w:rPr>
        <w:t>pregnancy-</w:t>
      </w:r>
    </w:p>
    <w:p>
      <w:pPr>
        <w:spacing w:line="247" w:lineRule="auto" w:before="1"/>
        <w:ind w:left="500" w:right="35" w:firstLine="0"/>
        <w:jc w:val="left"/>
        <w:rPr>
          <w:sz w:val="18"/>
        </w:rPr>
      </w:pPr>
      <w:r>
        <w:rPr>
          <w:color w:val="4C4D4F"/>
          <w:w w:val="110"/>
          <w:sz w:val="18"/>
        </w:rPr>
        <w:t>initial</w:t>
      </w:r>
      <w:r>
        <w:rPr>
          <w:color w:val="4C4D4F"/>
          <w:spacing w:val="-12"/>
          <w:w w:val="110"/>
          <w:sz w:val="18"/>
        </w:rPr>
        <w:t> </w:t>
      </w:r>
      <w:r>
        <w:rPr>
          <w:color w:val="4C4D4F"/>
          <w:w w:val="110"/>
          <w:sz w:val="18"/>
        </w:rPr>
        <w:t>patient</w:t>
      </w:r>
      <w:r>
        <w:rPr>
          <w:color w:val="4C4D4F"/>
          <w:spacing w:val="-11"/>
          <w:w w:val="110"/>
          <w:sz w:val="18"/>
        </w:rPr>
        <w:t> </w:t>
      </w:r>
      <w:r>
        <w:rPr>
          <w:color w:val="4C4D4F"/>
          <w:w w:val="110"/>
          <w:sz w:val="18"/>
        </w:rPr>
        <w:t>care</w:t>
      </w:r>
      <w:r>
        <w:rPr>
          <w:color w:val="4C4D4F"/>
          <w:spacing w:val="-12"/>
          <w:w w:val="110"/>
          <w:sz w:val="18"/>
        </w:rPr>
        <w:t> </w:t>
      </w:r>
      <w:r>
        <w:rPr>
          <w:color w:val="4C4D4F"/>
          <w:w w:val="110"/>
          <w:sz w:val="18"/>
        </w:rPr>
        <w:t>and</w:t>
      </w:r>
      <w:r>
        <w:rPr>
          <w:color w:val="4C4D4F"/>
          <w:spacing w:val="-11"/>
          <w:w w:val="110"/>
          <w:sz w:val="18"/>
        </w:rPr>
        <w:t> </w:t>
      </w:r>
      <w:r>
        <w:rPr>
          <w:color w:val="4C4D4F"/>
          <w:w w:val="110"/>
          <w:sz w:val="18"/>
        </w:rPr>
        <w:t>outcome</w:t>
      </w:r>
      <w:r>
        <w:rPr>
          <w:color w:val="4C4D4F"/>
          <w:spacing w:val="-12"/>
          <w:w w:val="110"/>
          <w:sz w:val="18"/>
        </w:rPr>
        <w:t> </w:t>
      </w:r>
      <w:r>
        <w:rPr>
          <w:color w:val="4C4D4F"/>
          <w:w w:val="110"/>
          <w:sz w:val="18"/>
        </w:rPr>
        <w:t>data.</w:t>
      </w:r>
      <w:r>
        <w:rPr>
          <w:color w:val="4C4D4F"/>
          <w:spacing w:val="-12"/>
          <w:w w:val="110"/>
          <w:sz w:val="18"/>
        </w:rPr>
        <w:t> </w:t>
      </w:r>
      <w:r>
        <w:rPr>
          <w:rFonts w:ascii="Arial" w:hAnsi="Arial"/>
          <w:i/>
          <w:color w:val="4C4D4F"/>
          <w:w w:val="110"/>
          <w:sz w:val="18"/>
        </w:rPr>
        <w:t>American</w:t>
      </w:r>
      <w:r>
        <w:rPr>
          <w:rFonts w:ascii="Arial" w:hAnsi="Arial"/>
          <w:i/>
          <w:color w:val="4C4D4F"/>
          <w:spacing w:val="-11"/>
          <w:w w:val="110"/>
          <w:sz w:val="18"/>
        </w:rPr>
        <w:t> </w:t>
      </w:r>
      <w:r>
        <w:rPr>
          <w:rFonts w:ascii="Arial" w:hAnsi="Arial"/>
          <w:i/>
          <w:color w:val="4C4D4F"/>
          <w:spacing w:val="-3"/>
          <w:w w:val="110"/>
          <w:sz w:val="18"/>
        </w:rPr>
        <w:t>Journal </w:t>
      </w:r>
      <w:r>
        <w:rPr>
          <w:rFonts w:ascii="Arial" w:hAnsi="Arial"/>
          <w:i/>
          <w:color w:val="4C4D4F"/>
          <w:w w:val="110"/>
          <w:sz w:val="18"/>
        </w:rPr>
        <w:t>on Addictions, 22,</w:t>
      </w:r>
      <w:r>
        <w:rPr>
          <w:rFonts w:ascii="Arial" w:hAnsi="Arial"/>
          <w:i/>
          <w:color w:val="4C4D4F"/>
          <w:spacing w:val="-21"/>
          <w:w w:val="110"/>
          <w:sz w:val="18"/>
        </w:rPr>
        <w:t> </w:t>
      </w:r>
      <w:r>
        <w:rPr>
          <w:color w:val="4C4D4F"/>
          <w:w w:val="110"/>
          <w:sz w:val="18"/>
        </w:rPr>
        <w:t>252–254.</w:t>
      </w:r>
    </w:p>
    <w:p>
      <w:pPr>
        <w:pStyle w:val="ListParagraph"/>
        <w:numPr>
          <w:ilvl w:val="0"/>
          <w:numId w:val="51"/>
        </w:numPr>
        <w:tabs>
          <w:tab w:pos="500" w:val="left" w:leader="none"/>
        </w:tabs>
        <w:spacing w:line="247" w:lineRule="auto" w:before="73" w:after="0"/>
        <w:ind w:left="500" w:right="150" w:hanging="360"/>
        <w:jc w:val="left"/>
        <w:rPr>
          <w:color w:val="4C4D4F"/>
          <w:sz w:val="18"/>
        </w:rPr>
      </w:pPr>
      <w:r>
        <w:rPr>
          <w:color w:val="4C4D4F"/>
          <w:w w:val="115"/>
          <w:sz w:val="18"/>
        </w:rPr>
        <w:t>Wiegand, S. L., Stringer, E. M., Stuebe, A. M., Jones, H., Seashore, C., &amp; Thorp, </w:t>
      </w:r>
      <w:r>
        <w:rPr>
          <w:color w:val="4C4D4F"/>
          <w:w w:val="135"/>
          <w:sz w:val="18"/>
        </w:rPr>
        <w:t>J. </w:t>
      </w:r>
      <w:r>
        <w:rPr>
          <w:color w:val="4C4D4F"/>
          <w:w w:val="115"/>
          <w:sz w:val="18"/>
        </w:rPr>
        <w:t>(2015). Buprenorphine and</w:t>
      </w:r>
      <w:r>
        <w:rPr>
          <w:color w:val="4C4D4F"/>
          <w:spacing w:val="-29"/>
          <w:w w:val="115"/>
          <w:sz w:val="18"/>
        </w:rPr>
        <w:t> </w:t>
      </w:r>
      <w:r>
        <w:rPr>
          <w:color w:val="4C4D4F"/>
          <w:w w:val="115"/>
          <w:sz w:val="18"/>
        </w:rPr>
        <w:t>naloxone</w:t>
      </w:r>
      <w:r>
        <w:rPr>
          <w:color w:val="4C4D4F"/>
          <w:spacing w:val="-29"/>
          <w:w w:val="115"/>
          <w:sz w:val="18"/>
        </w:rPr>
        <w:t> </w:t>
      </w:r>
      <w:r>
        <w:rPr>
          <w:color w:val="4C4D4F"/>
          <w:w w:val="115"/>
          <w:sz w:val="18"/>
        </w:rPr>
        <w:t>compared</w:t>
      </w:r>
      <w:r>
        <w:rPr>
          <w:color w:val="4C4D4F"/>
          <w:spacing w:val="-29"/>
          <w:w w:val="115"/>
          <w:sz w:val="18"/>
        </w:rPr>
        <w:t> </w:t>
      </w:r>
      <w:r>
        <w:rPr>
          <w:color w:val="4C4D4F"/>
          <w:w w:val="115"/>
          <w:sz w:val="18"/>
        </w:rPr>
        <w:t>with</w:t>
      </w:r>
      <w:r>
        <w:rPr>
          <w:color w:val="4C4D4F"/>
          <w:spacing w:val="-29"/>
          <w:w w:val="115"/>
          <w:sz w:val="18"/>
        </w:rPr>
        <w:t> </w:t>
      </w:r>
      <w:r>
        <w:rPr>
          <w:color w:val="4C4D4F"/>
          <w:w w:val="115"/>
          <w:sz w:val="18"/>
        </w:rPr>
        <w:t>methadone</w:t>
      </w:r>
      <w:r>
        <w:rPr>
          <w:color w:val="4C4D4F"/>
          <w:spacing w:val="-28"/>
          <w:w w:val="115"/>
          <w:sz w:val="18"/>
        </w:rPr>
        <w:t> </w:t>
      </w:r>
      <w:r>
        <w:rPr>
          <w:color w:val="4C4D4F"/>
          <w:w w:val="115"/>
          <w:sz w:val="18"/>
        </w:rPr>
        <w:t>treatment</w:t>
      </w:r>
      <w:r>
        <w:rPr>
          <w:color w:val="4C4D4F"/>
          <w:spacing w:val="-29"/>
          <w:w w:val="115"/>
          <w:sz w:val="18"/>
        </w:rPr>
        <w:t> </w:t>
      </w:r>
      <w:r>
        <w:rPr>
          <w:color w:val="4C4D4F"/>
          <w:spacing w:val="-8"/>
          <w:w w:val="115"/>
          <w:sz w:val="18"/>
        </w:rPr>
        <w:t>in </w:t>
      </w:r>
      <w:r>
        <w:rPr>
          <w:color w:val="4C4D4F"/>
          <w:w w:val="110"/>
          <w:sz w:val="18"/>
        </w:rPr>
        <w:t>pregnancy.</w:t>
      </w:r>
      <w:r>
        <w:rPr>
          <w:color w:val="4C4D4F"/>
          <w:spacing w:val="-24"/>
          <w:w w:val="110"/>
          <w:sz w:val="18"/>
        </w:rPr>
        <w:t> </w:t>
      </w:r>
      <w:r>
        <w:rPr>
          <w:rFonts w:ascii="Arial" w:hAnsi="Arial"/>
          <w:i/>
          <w:color w:val="4C4D4F"/>
          <w:w w:val="110"/>
          <w:sz w:val="18"/>
        </w:rPr>
        <w:t>Obstetrics</w:t>
      </w:r>
      <w:r>
        <w:rPr>
          <w:rFonts w:ascii="Arial" w:hAnsi="Arial"/>
          <w:i/>
          <w:color w:val="4C4D4F"/>
          <w:spacing w:val="-24"/>
          <w:w w:val="110"/>
          <w:sz w:val="18"/>
        </w:rPr>
        <w:t> </w:t>
      </w:r>
      <w:r>
        <w:rPr>
          <w:rFonts w:ascii="Arial" w:hAnsi="Arial"/>
          <w:i/>
          <w:color w:val="4C4D4F"/>
          <w:w w:val="110"/>
          <w:sz w:val="18"/>
        </w:rPr>
        <w:t>&amp;</w:t>
      </w:r>
      <w:r>
        <w:rPr>
          <w:rFonts w:ascii="Arial" w:hAnsi="Arial"/>
          <w:i/>
          <w:color w:val="4C4D4F"/>
          <w:spacing w:val="-23"/>
          <w:w w:val="110"/>
          <w:sz w:val="18"/>
        </w:rPr>
        <w:t> </w:t>
      </w:r>
      <w:r>
        <w:rPr>
          <w:rFonts w:ascii="Arial" w:hAnsi="Arial"/>
          <w:i/>
          <w:color w:val="4C4D4F"/>
          <w:w w:val="110"/>
          <w:sz w:val="18"/>
        </w:rPr>
        <w:t>Gynecology,</w:t>
      </w:r>
      <w:r>
        <w:rPr>
          <w:rFonts w:ascii="Arial" w:hAnsi="Arial"/>
          <w:i/>
          <w:color w:val="4C4D4F"/>
          <w:spacing w:val="-24"/>
          <w:w w:val="110"/>
          <w:sz w:val="18"/>
        </w:rPr>
        <w:t> </w:t>
      </w:r>
      <w:r>
        <w:rPr>
          <w:rFonts w:ascii="Arial" w:hAnsi="Arial"/>
          <w:i/>
          <w:color w:val="4C4D4F"/>
          <w:w w:val="110"/>
          <w:sz w:val="18"/>
        </w:rPr>
        <w:t>125,</w:t>
      </w:r>
      <w:r>
        <w:rPr>
          <w:rFonts w:ascii="Arial" w:hAnsi="Arial"/>
          <w:i/>
          <w:color w:val="4C4D4F"/>
          <w:spacing w:val="-24"/>
          <w:w w:val="110"/>
          <w:sz w:val="18"/>
        </w:rPr>
        <w:t> </w:t>
      </w:r>
      <w:r>
        <w:rPr>
          <w:color w:val="4C4D4F"/>
          <w:w w:val="110"/>
          <w:sz w:val="18"/>
        </w:rPr>
        <w:t>363–368.</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American Society of Addiction Medicine.</w:t>
      </w:r>
      <w:r>
        <w:rPr>
          <w:color w:val="4C4D4F"/>
          <w:spacing w:val="-15"/>
          <w:w w:val="110"/>
          <w:sz w:val="18"/>
        </w:rPr>
        <w:t> </w:t>
      </w:r>
      <w:r>
        <w:rPr>
          <w:color w:val="4C4D4F"/>
          <w:w w:val="110"/>
          <w:sz w:val="18"/>
        </w:rPr>
        <w:t>(2015).</w:t>
      </w:r>
    </w:p>
    <w:p>
      <w:pPr>
        <w:spacing w:line="249" w:lineRule="auto" w:before="6"/>
        <w:ind w:left="500" w:right="324" w:firstLine="0"/>
        <w:jc w:val="left"/>
        <w:rPr>
          <w:sz w:val="18"/>
        </w:rPr>
      </w:pPr>
      <w:r>
        <w:rPr>
          <w:rFonts w:ascii="Arial"/>
          <w:i/>
          <w:color w:val="4C4D4F"/>
          <w:w w:val="105"/>
          <w:sz w:val="18"/>
        </w:rPr>
        <w:t>The</w:t>
      </w:r>
      <w:r>
        <w:rPr>
          <w:rFonts w:ascii="Arial"/>
          <w:i/>
          <w:color w:val="4C4D4F"/>
          <w:spacing w:val="-14"/>
          <w:w w:val="105"/>
          <w:sz w:val="18"/>
        </w:rPr>
        <w:t> </w:t>
      </w:r>
      <w:r>
        <w:rPr>
          <w:rFonts w:ascii="Arial"/>
          <w:i/>
          <w:color w:val="4C4D4F"/>
          <w:w w:val="105"/>
          <w:sz w:val="18"/>
        </w:rPr>
        <w:t>ASAM</w:t>
      </w:r>
      <w:r>
        <w:rPr>
          <w:rFonts w:ascii="Arial"/>
          <w:i/>
          <w:color w:val="4C4D4F"/>
          <w:spacing w:val="-14"/>
          <w:w w:val="105"/>
          <w:sz w:val="18"/>
        </w:rPr>
        <w:t> </w:t>
      </w:r>
      <w:r>
        <w:rPr>
          <w:rFonts w:ascii="Arial"/>
          <w:i/>
          <w:color w:val="4C4D4F"/>
          <w:w w:val="105"/>
          <w:sz w:val="18"/>
        </w:rPr>
        <w:t>national</w:t>
      </w:r>
      <w:r>
        <w:rPr>
          <w:rFonts w:ascii="Arial"/>
          <w:i/>
          <w:color w:val="4C4D4F"/>
          <w:spacing w:val="-14"/>
          <w:w w:val="105"/>
          <w:sz w:val="18"/>
        </w:rPr>
        <w:t> </w:t>
      </w:r>
      <w:r>
        <w:rPr>
          <w:rFonts w:ascii="Arial"/>
          <w:i/>
          <w:color w:val="4C4D4F"/>
          <w:w w:val="105"/>
          <w:sz w:val="18"/>
        </w:rPr>
        <w:t>practice</w:t>
      </w:r>
      <w:r>
        <w:rPr>
          <w:rFonts w:ascii="Arial"/>
          <w:i/>
          <w:color w:val="4C4D4F"/>
          <w:spacing w:val="-14"/>
          <w:w w:val="105"/>
          <w:sz w:val="18"/>
        </w:rPr>
        <w:t> </w:t>
      </w:r>
      <w:r>
        <w:rPr>
          <w:rFonts w:ascii="Arial"/>
          <w:i/>
          <w:color w:val="4C4D4F"/>
          <w:w w:val="105"/>
          <w:sz w:val="18"/>
        </w:rPr>
        <w:t>guideline</w:t>
      </w:r>
      <w:r>
        <w:rPr>
          <w:rFonts w:ascii="Arial"/>
          <w:i/>
          <w:color w:val="4C4D4F"/>
          <w:spacing w:val="-13"/>
          <w:w w:val="105"/>
          <w:sz w:val="18"/>
        </w:rPr>
        <w:t> </w:t>
      </w:r>
      <w:r>
        <w:rPr>
          <w:rFonts w:ascii="Arial"/>
          <w:i/>
          <w:color w:val="4C4D4F"/>
          <w:w w:val="105"/>
          <w:sz w:val="18"/>
        </w:rPr>
        <w:t>for</w:t>
      </w:r>
      <w:r>
        <w:rPr>
          <w:rFonts w:ascii="Arial"/>
          <w:i/>
          <w:color w:val="4C4D4F"/>
          <w:spacing w:val="-14"/>
          <w:w w:val="105"/>
          <w:sz w:val="18"/>
        </w:rPr>
        <w:t> </w:t>
      </w:r>
      <w:r>
        <w:rPr>
          <w:rFonts w:ascii="Arial"/>
          <w:i/>
          <w:color w:val="4C4D4F"/>
          <w:w w:val="105"/>
          <w:sz w:val="18"/>
        </w:rPr>
        <w:t>the</w:t>
      </w:r>
      <w:r>
        <w:rPr>
          <w:rFonts w:ascii="Arial"/>
          <w:i/>
          <w:color w:val="4C4D4F"/>
          <w:spacing w:val="-14"/>
          <w:w w:val="105"/>
          <w:sz w:val="18"/>
        </w:rPr>
        <w:t> </w:t>
      </w:r>
      <w:r>
        <w:rPr>
          <w:rFonts w:ascii="Arial"/>
          <w:i/>
          <w:color w:val="4C4D4F"/>
          <w:w w:val="105"/>
          <w:sz w:val="18"/>
        </w:rPr>
        <w:t>use</w:t>
      </w:r>
      <w:r>
        <w:rPr>
          <w:rFonts w:ascii="Arial"/>
          <w:i/>
          <w:color w:val="4C4D4F"/>
          <w:spacing w:val="-14"/>
          <w:w w:val="105"/>
          <w:sz w:val="18"/>
        </w:rPr>
        <w:t> </w:t>
      </w:r>
      <w:r>
        <w:rPr>
          <w:rFonts w:ascii="Arial"/>
          <w:i/>
          <w:color w:val="4C4D4F"/>
          <w:spacing w:val="-9"/>
          <w:w w:val="105"/>
          <w:sz w:val="18"/>
        </w:rPr>
        <w:t>of </w:t>
      </w:r>
      <w:r>
        <w:rPr>
          <w:rFonts w:ascii="Arial"/>
          <w:i/>
          <w:color w:val="4C4D4F"/>
          <w:w w:val="105"/>
          <w:sz w:val="18"/>
        </w:rPr>
        <w:t>medications in the treatment of addiction involving opioid use. </w:t>
      </w:r>
      <w:r>
        <w:rPr>
          <w:color w:val="4C4D4F"/>
          <w:w w:val="105"/>
          <w:sz w:val="18"/>
        </w:rPr>
        <w:t>Chevy Chase, MD:</w:t>
      </w:r>
      <w:r>
        <w:rPr>
          <w:color w:val="4C4D4F"/>
          <w:spacing w:val="-1"/>
          <w:w w:val="105"/>
          <w:sz w:val="18"/>
        </w:rPr>
        <w:t> </w:t>
      </w:r>
      <w:r>
        <w:rPr>
          <w:color w:val="4C4D4F"/>
          <w:spacing w:val="-3"/>
          <w:w w:val="105"/>
          <w:sz w:val="18"/>
        </w:rPr>
        <w:t>Author.</w:t>
      </w:r>
    </w:p>
    <w:p>
      <w:pPr>
        <w:pStyle w:val="ListParagraph"/>
        <w:numPr>
          <w:ilvl w:val="0"/>
          <w:numId w:val="51"/>
        </w:numPr>
        <w:tabs>
          <w:tab w:pos="500" w:val="left" w:leader="none"/>
        </w:tabs>
        <w:spacing w:line="247" w:lineRule="auto" w:before="72" w:after="0"/>
        <w:ind w:left="500" w:right="195" w:hanging="360"/>
        <w:jc w:val="left"/>
        <w:rPr>
          <w:color w:val="4C4D4F"/>
          <w:sz w:val="18"/>
        </w:rPr>
      </w:pPr>
      <w:r>
        <w:rPr>
          <w:color w:val="4C4D4F"/>
          <w:w w:val="110"/>
          <w:sz w:val="18"/>
        </w:rPr>
        <w:t>Substance Abuse and Mental Health Services Administration.</w:t>
      </w:r>
      <w:r>
        <w:rPr>
          <w:color w:val="4C4D4F"/>
          <w:spacing w:val="-29"/>
          <w:w w:val="110"/>
          <w:sz w:val="18"/>
        </w:rPr>
        <w:t> </w:t>
      </w:r>
      <w:r>
        <w:rPr>
          <w:color w:val="4C4D4F"/>
          <w:w w:val="110"/>
          <w:sz w:val="18"/>
        </w:rPr>
        <w:t>(2018).</w:t>
      </w:r>
      <w:r>
        <w:rPr>
          <w:color w:val="4C4D4F"/>
          <w:spacing w:val="-28"/>
          <w:w w:val="110"/>
          <w:sz w:val="18"/>
        </w:rPr>
        <w:t> </w:t>
      </w:r>
      <w:r>
        <w:rPr>
          <w:rFonts w:ascii="Arial"/>
          <w:i/>
          <w:color w:val="4C4D4F"/>
          <w:w w:val="110"/>
          <w:sz w:val="18"/>
        </w:rPr>
        <w:t>Clinical</w:t>
      </w:r>
      <w:r>
        <w:rPr>
          <w:rFonts w:ascii="Arial"/>
          <w:i/>
          <w:color w:val="4C4D4F"/>
          <w:spacing w:val="-28"/>
          <w:w w:val="110"/>
          <w:sz w:val="18"/>
        </w:rPr>
        <w:t> </w:t>
      </w:r>
      <w:r>
        <w:rPr>
          <w:rFonts w:ascii="Arial"/>
          <w:i/>
          <w:color w:val="4C4D4F"/>
          <w:w w:val="110"/>
          <w:sz w:val="18"/>
        </w:rPr>
        <w:t>guidance</w:t>
      </w:r>
      <w:r>
        <w:rPr>
          <w:rFonts w:ascii="Arial"/>
          <w:i/>
          <w:color w:val="4C4D4F"/>
          <w:spacing w:val="-29"/>
          <w:w w:val="110"/>
          <w:sz w:val="18"/>
        </w:rPr>
        <w:t> </w:t>
      </w:r>
      <w:r>
        <w:rPr>
          <w:rFonts w:ascii="Arial"/>
          <w:i/>
          <w:color w:val="4C4D4F"/>
          <w:w w:val="110"/>
          <w:sz w:val="18"/>
        </w:rPr>
        <w:t>for</w:t>
      </w:r>
      <w:r>
        <w:rPr>
          <w:rFonts w:ascii="Arial"/>
          <w:i/>
          <w:color w:val="4C4D4F"/>
          <w:spacing w:val="-28"/>
          <w:w w:val="110"/>
          <w:sz w:val="18"/>
        </w:rPr>
        <w:t> </w:t>
      </w:r>
      <w:r>
        <w:rPr>
          <w:rFonts w:ascii="Arial"/>
          <w:i/>
          <w:color w:val="4C4D4F"/>
          <w:w w:val="110"/>
          <w:sz w:val="18"/>
        </w:rPr>
        <w:t>treating </w:t>
      </w:r>
      <w:r>
        <w:rPr>
          <w:rFonts w:ascii="Arial"/>
          <w:i/>
          <w:color w:val="4C4D4F"/>
          <w:w w:val="110"/>
          <w:sz w:val="18"/>
        </w:rPr>
        <w:t>pregnant and parenting women with opioid use disorder</w:t>
      </w:r>
      <w:r>
        <w:rPr>
          <w:rFonts w:ascii="Arial"/>
          <w:i/>
          <w:color w:val="4C4D4F"/>
          <w:spacing w:val="-27"/>
          <w:w w:val="110"/>
          <w:sz w:val="18"/>
        </w:rPr>
        <w:t> </w:t>
      </w:r>
      <w:r>
        <w:rPr>
          <w:rFonts w:ascii="Arial"/>
          <w:i/>
          <w:color w:val="4C4D4F"/>
          <w:w w:val="110"/>
          <w:sz w:val="18"/>
        </w:rPr>
        <w:t>and</w:t>
      </w:r>
      <w:r>
        <w:rPr>
          <w:rFonts w:ascii="Arial"/>
          <w:i/>
          <w:color w:val="4C4D4F"/>
          <w:spacing w:val="-27"/>
          <w:w w:val="110"/>
          <w:sz w:val="18"/>
        </w:rPr>
        <w:t> </w:t>
      </w:r>
      <w:r>
        <w:rPr>
          <w:rFonts w:ascii="Arial"/>
          <w:i/>
          <w:color w:val="4C4D4F"/>
          <w:w w:val="110"/>
          <w:sz w:val="18"/>
        </w:rPr>
        <w:t>their</w:t>
      </w:r>
      <w:r>
        <w:rPr>
          <w:rFonts w:ascii="Arial"/>
          <w:i/>
          <w:color w:val="4C4D4F"/>
          <w:spacing w:val="-26"/>
          <w:w w:val="110"/>
          <w:sz w:val="18"/>
        </w:rPr>
        <w:t> </w:t>
      </w:r>
      <w:r>
        <w:rPr>
          <w:rFonts w:ascii="Arial"/>
          <w:i/>
          <w:color w:val="4C4D4F"/>
          <w:w w:val="110"/>
          <w:sz w:val="18"/>
        </w:rPr>
        <w:t>infants.</w:t>
      </w:r>
      <w:r>
        <w:rPr>
          <w:rFonts w:ascii="Arial"/>
          <w:i/>
          <w:color w:val="4C4D4F"/>
          <w:spacing w:val="-27"/>
          <w:w w:val="110"/>
          <w:sz w:val="18"/>
        </w:rPr>
        <w:t> </w:t>
      </w:r>
      <w:r>
        <w:rPr>
          <w:color w:val="4C4D4F"/>
          <w:w w:val="110"/>
          <w:sz w:val="18"/>
        </w:rPr>
        <w:t>HHS</w:t>
      </w:r>
      <w:r>
        <w:rPr>
          <w:color w:val="4C4D4F"/>
          <w:spacing w:val="-27"/>
          <w:w w:val="110"/>
          <w:sz w:val="18"/>
        </w:rPr>
        <w:t> </w:t>
      </w:r>
      <w:r>
        <w:rPr>
          <w:color w:val="4C4D4F"/>
          <w:w w:val="110"/>
          <w:sz w:val="18"/>
        </w:rPr>
        <w:t>Publication</w:t>
      </w:r>
      <w:r>
        <w:rPr>
          <w:color w:val="4C4D4F"/>
          <w:spacing w:val="-26"/>
          <w:w w:val="110"/>
          <w:sz w:val="18"/>
        </w:rPr>
        <w:t> </w:t>
      </w:r>
      <w:r>
        <w:rPr>
          <w:color w:val="4C4D4F"/>
          <w:w w:val="110"/>
          <w:sz w:val="18"/>
        </w:rPr>
        <w:t>No.</w:t>
      </w:r>
      <w:r>
        <w:rPr>
          <w:color w:val="4C4D4F"/>
          <w:spacing w:val="-27"/>
          <w:w w:val="110"/>
          <w:sz w:val="18"/>
        </w:rPr>
        <w:t> </w:t>
      </w:r>
      <w:r>
        <w:rPr>
          <w:color w:val="4C4D4F"/>
          <w:spacing w:val="-3"/>
          <w:w w:val="110"/>
          <w:sz w:val="18"/>
        </w:rPr>
        <w:t>(SMA) </w:t>
      </w:r>
      <w:r>
        <w:rPr>
          <w:color w:val="4C4D4F"/>
          <w:w w:val="110"/>
          <w:sz w:val="18"/>
        </w:rPr>
        <w:t>18-5054. Rockville, MD: Substance Abuse and </w:t>
      </w:r>
      <w:r>
        <w:rPr>
          <w:color w:val="4C4D4F"/>
          <w:spacing w:val="-3"/>
          <w:w w:val="110"/>
          <w:sz w:val="18"/>
        </w:rPr>
        <w:t>Mental </w:t>
      </w:r>
      <w:r>
        <w:rPr>
          <w:color w:val="4C4D4F"/>
          <w:w w:val="110"/>
          <w:sz w:val="18"/>
        </w:rPr>
        <w:t>Health Services</w:t>
      </w:r>
      <w:r>
        <w:rPr>
          <w:color w:val="4C4D4F"/>
          <w:spacing w:val="-10"/>
          <w:w w:val="110"/>
          <w:sz w:val="18"/>
        </w:rPr>
        <w:t> </w:t>
      </w:r>
      <w:r>
        <w:rPr>
          <w:color w:val="4C4D4F"/>
          <w:w w:val="110"/>
          <w:sz w:val="18"/>
        </w:rPr>
        <w:t>Administration.</w:t>
      </w:r>
    </w:p>
    <w:p>
      <w:pPr>
        <w:pStyle w:val="ListParagraph"/>
        <w:numPr>
          <w:ilvl w:val="0"/>
          <w:numId w:val="51"/>
        </w:numPr>
        <w:tabs>
          <w:tab w:pos="500" w:val="left" w:leader="none"/>
        </w:tabs>
        <w:spacing w:line="247" w:lineRule="auto" w:before="77" w:after="0"/>
        <w:ind w:left="500" w:right="78" w:hanging="360"/>
        <w:jc w:val="left"/>
        <w:rPr>
          <w:color w:val="4C4D4F"/>
          <w:sz w:val="18"/>
        </w:rPr>
      </w:pPr>
      <w:r>
        <w:rPr>
          <w:color w:val="4C4D4F"/>
          <w:w w:val="110"/>
          <w:sz w:val="18"/>
        </w:rPr>
        <w:t>Chavoustie, S., Frost, M., </w:t>
      </w:r>
      <w:r>
        <w:rPr>
          <w:color w:val="4C4D4F"/>
          <w:spacing w:val="-3"/>
          <w:w w:val="110"/>
          <w:sz w:val="18"/>
        </w:rPr>
        <w:t>Snyder, </w:t>
      </w:r>
      <w:r>
        <w:rPr>
          <w:color w:val="4C4D4F"/>
          <w:w w:val="110"/>
          <w:sz w:val="18"/>
        </w:rPr>
        <w:t>O., Owen, </w:t>
      </w:r>
      <w:r>
        <w:rPr>
          <w:color w:val="4C4D4F"/>
          <w:w w:val="120"/>
          <w:sz w:val="18"/>
        </w:rPr>
        <w:t>J., </w:t>
      </w:r>
      <w:r>
        <w:rPr>
          <w:color w:val="4C4D4F"/>
          <w:w w:val="110"/>
          <w:sz w:val="18"/>
        </w:rPr>
        <w:t>Darwish, M., Dammerman, R., &amp; Sanjurjo, </w:t>
      </w:r>
      <w:r>
        <w:rPr>
          <w:color w:val="4C4D4F"/>
          <w:spacing w:val="-12"/>
          <w:w w:val="110"/>
          <w:sz w:val="18"/>
        </w:rPr>
        <w:t>V. </w:t>
      </w:r>
      <w:r>
        <w:rPr>
          <w:color w:val="4C4D4F"/>
          <w:w w:val="110"/>
          <w:sz w:val="18"/>
        </w:rPr>
        <w:t>(2017). Buprenorphine implants in medical treatment of </w:t>
      </w:r>
      <w:r>
        <w:rPr>
          <w:color w:val="4C4D4F"/>
          <w:spacing w:val="-3"/>
          <w:w w:val="110"/>
          <w:sz w:val="18"/>
        </w:rPr>
        <w:t>opioid </w:t>
      </w:r>
      <w:r>
        <w:rPr>
          <w:color w:val="4C4D4F"/>
          <w:w w:val="110"/>
          <w:sz w:val="18"/>
        </w:rPr>
        <w:t>addiction. </w:t>
      </w:r>
      <w:r>
        <w:rPr>
          <w:rFonts w:ascii="Arial" w:hAnsi="Arial"/>
          <w:i/>
          <w:color w:val="4C4D4F"/>
          <w:w w:val="110"/>
          <w:sz w:val="18"/>
        </w:rPr>
        <w:t>Expert Review of Clinical Pharmacology, </w:t>
      </w:r>
      <w:r>
        <w:rPr>
          <w:rFonts w:ascii="Arial" w:hAnsi="Arial"/>
          <w:i/>
          <w:color w:val="4C4D4F"/>
          <w:w w:val="110"/>
          <w:sz w:val="18"/>
        </w:rPr>
        <w:t>10</w:t>
      </w:r>
      <w:r>
        <w:rPr>
          <w:color w:val="4C4D4F"/>
          <w:w w:val="110"/>
          <w:sz w:val="18"/>
        </w:rPr>
        <w:t>(8),</w:t>
      </w:r>
      <w:r>
        <w:rPr>
          <w:color w:val="4C4D4F"/>
          <w:spacing w:val="-6"/>
          <w:w w:val="110"/>
          <w:sz w:val="18"/>
        </w:rPr>
        <w:t> </w:t>
      </w:r>
      <w:r>
        <w:rPr>
          <w:color w:val="4C4D4F"/>
          <w:w w:val="110"/>
          <w:sz w:val="18"/>
        </w:rPr>
        <w:t>799–807.</w:t>
      </w:r>
    </w:p>
    <w:p>
      <w:pPr>
        <w:pStyle w:val="ListParagraph"/>
        <w:numPr>
          <w:ilvl w:val="0"/>
          <w:numId w:val="51"/>
        </w:numPr>
        <w:tabs>
          <w:tab w:pos="500" w:val="left" w:leader="none"/>
        </w:tabs>
        <w:spacing w:line="247" w:lineRule="auto" w:before="74" w:after="0"/>
        <w:ind w:left="500" w:right="338" w:hanging="360"/>
        <w:jc w:val="left"/>
        <w:rPr>
          <w:color w:val="4C4D4F"/>
          <w:sz w:val="18"/>
        </w:rPr>
      </w:pPr>
      <w:r>
        <w:rPr>
          <w:color w:val="4C4D4F"/>
          <w:spacing w:val="-4"/>
          <w:w w:val="110"/>
          <w:sz w:val="18"/>
        </w:rPr>
        <w:t>Hser, </w:t>
      </w:r>
      <w:r>
        <w:rPr>
          <w:color w:val="4C4D4F"/>
          <w:spacing w:val="-13"/>
          <w:w w:val="110"/>
          <w:sz w:val="18"/>
        </w:rPr>
        <w:t>Y. </w:t>
      </w:r>
      <w:r>
        <w:rPr>
          <w:color w:val="4C4D4F"/>
          <w:w w:val="110"/>
          <w:sz w:val="18"/>
        </w:rPr>
        <w:t>I., Huang, D., Saxon, A. </w:t>
      </w:r>
      <w:r>
        <w:rPr>
          <w:color w:val="4C4D4F"/>
          <w:w w:val="120"/>
          <w:sz w:val="18"/>
        </w:rPr>
        <w:t>J., </w:t>
      </w:r>
      <w:r>
        <w:rPr>
          <w:color w:val="4C4D4F"/>
          <w:spacing w:val="-5"/>
          <w:w w:val="110"/>
          <w:sz w:val="18"/>
        </w:rPr>
        <w:t>Woody, </w:t>
      </w:r>
      <w:r>
        <w:rPr>
          <w:color w:val="4C4D4F"/>
          <w:w w:val="110"/>
          <w:sz w:val="18"/>
        </w:rPr>
        <w:t>G., Moskowitz, A. L., Matthews, A. G., &amp; Ling, </w:t>
      </w:r>
      <w:r>
        <w:rPr>
          <w:color w:val="4C4D4F"/>
          <w:spacing w:val="-7"/>
          <w:w w:val="110"/>
          <w:sz w:val="18"/>
        </w:rPr>
        <w:t>W. </w:t>
      </w:r>
      <w:r>
        <w:rPr>
          <w:color w:val="4C4D4F"/>
          <w:w w:val="110"/>
          <w:sz w:val="18"/>
        </w:rPr>
        <w:t>(2017).</w:t>
      </w:r>
      <w:r>
        <w:rPr>
          <w:color w:val="4C4D4F"/>
          <w:spacing w:val="-9"/>
          <w:w w:val="110"/>
          <w:sz w:val="18"/>
        </w:rPr>
        <w:t> </w:t>
      </w:r>
      <w:r>
        <w:rPr>
          <w:color w:val="4C4D4F"/>
          <w:w w:val="110"/>
          <w:sz w:val="18"/>
        </w:rPr>
        <w:t>Distinctive</w:t>
      </w:r>
      <w:r>
        <w:rPr>
          <w:color w:val="4C4D4F"/>
          <w:spacing w:val="-8"/>
          <w:w w:val="110"/>
          <w:sz w:val="18"/>
        </w:rPr>
        <w:t> </w:t>
      </w:r>
      <w:r>
        <w:rPr>
          <w:color w:val="4C4D4F"/>
          <w:w w:val="110"/>
          <w:sz w:val="18"/>
        </w:rPr>
        <w:t>trajectories</w:t>
      </w:r>
      <w:r>
        <w:rPr>
          <w:color w:val="4C4D4F"/>
          <w:spacing w:val="-8"/>
          <w:w w:val="110"/>
          <w:sz w:val="18"/>
        </w:rPr>
        <w:t> </w:t>
      </w:r>
      <w:r>
        <w:rPr>
          <w:color w:val="4C4D4F"/>
          <w:w w:val="110"/>
          <w:sz w:val="18"/>
        </w:rPr>
        <w:t>of</w:t>
      </w:r>
      <w:r>
        <w:rPr>
          <w:color w:val="4C4D4F"/>
          <w:spacing w:val="-8"/>
          <w:w w:val="110"/>
          <w:sz w:val="18"/>
        </w:rPr>
        <w:t> </w:t>
      </w:r>
      <w:r>
        <w:rPr>
          <w:color w:val="4C4D4F"/>
          <w:w w:val="110"/>
          <w:sz w:val="18"/>
        </w:rPr>
        <w:t>opioid</w:t>
      </w:r>
      <w:r>
        <w:rPr>
          <w:color w:val="4C4D4F"/>
          <w:spacing w:val="-9"/>
          <w:w w:val="110"/>
          <w:sz w:val="18"/>
        </w:rPr>
        <w:t> </w:t>
      </w:r>
      <w:r>
        <w:rPr>
          <w:color w:val="4C4D4F"/>
          <w:w w:val="110"/>
          <w:sz w:val="18"/>
        </w:rPr>
        <w:t>use</w:t>
      </w:r>
      <w:r>
        <w:rPr>
          <w:color w:val="4C4D4F"/>
          <w:spacing w:val="-8"/>
          <w:w w:val="110"/>
          <w:sz w:val="18"/>
        </w:rPr>
        <w:t> </w:t>
      </w:r>
      <w:r>
        <w:rPr>
          <w:color w:val="4C4D4F"/>
          <w:w w:val="110"/>
          <w:sz w:val="18"/>
        </w:rPr>
        <w:t>over</w:t>
      </w:r>
      <w:r>
        <w:rPr>
          <w:color w:val="4C4D4F"/>
          <w:spacing w:val="-8"/>
          <w:w w:val="110"/>
          <w:sz w:val="18"/>
        </w:rPr>
        <w:t> </w:t>
      </w:r>
      <w:r>
        <w:rPr>
          <w:color w:val="4C4D4F"/>
          <w:w w:val="110"/>
          <w:sz w:val="18"/>
        </w:rPr>
        <w:t>an extended follow-up of patients in a multisite trial</w:t>
      </w:r>
      <w:r>
        <w:rPr>
          <w:color w:val="4C4D4F"/>
          <w:spacing w:val="10"/>
          <w:w w:val="110"/>
          <w:sz w:val="18"/>
        </w:rPr>
        <w:t> </w:t>
      </w:r>
      <w:r>
        <w:rPr>
          <w:color w:val="4C4D4F"/>
          <w:spacing w:val="-9"/>
          <w:w w:val="110"/>
          <w:sz w:val="18"/>
        </w:rPr>
        <w:t>on</w:t>
      </w:r>
    </w:p>
    <w:p>
      <w:pPr>
        <w:spacing w:line="247" w:lineRule="auto" w:before="2"/>
        <w:ind w:left="500" w:right="0" w:firstLine="0"/>
        <w:jc w:val="left"/>
        <w:rPr>
          <w:sz w:val="18"/>
        </w:rPr>
      </w:pPr>
      <w:r>
        <w:rPr>
          <w:color w:val="4C4D4F"/>
          <w:w w:val="110"/>
          <w:sz w:val="18"/>
        </w:rPr>
        <w:t>buprenorphine + naloxone and methadone. </w:t>
      </w:r>
      <w:r>
        <w:rPr>
          <w:rFonts w:ascii="Arial" w:hAnsi="Arial"/>
          <w:i/>
          <w:color w:val="4C4D4F"/>
          <w:w w:val="110"/>
          <w:sz w:val="18"/>
        </w:rPr>
        <w:t>Journal of </w:t>
      </w:r>
      <w:r>
        <w:rPr>
          <w:rFonts w:ascii="Arial" w:hAnsi="Arial"/>
          <w:i/>
          <w:color w:val="4C4D4F"/>
          <w:w w:val="110"/>
          <w:sz w:val="18"/>
        </w:rPr>
        <w:t>Addiction Medicine, 11</w:t>
      </w:r>
      <w:r>
        <w:rPr>
          <w:color w:val="4C4D4F"/>
          <w:w w:val="110"/>
          <w:sz w:val="18"/>
        </w:rPr>
        <w:t>(1), 63–69.</w:t>
      </w:r>
    </w:p>
    <w:p>
      <w:pPr>
        <w:pStyle w:val="ListParagraph"/>
        <w:numPr>
          <w:ilvl w:val="0"/>
          <w:numId w:val="51"/>
        </w:numPr>
        <w:tabs>
          <w:tab w:pos="500" w:val="left" w:leader="none"/>
        </w:tabs>
        <w:spacing w:line="247" w:lineRule="auto" w:before="73" w:after="0"/>
        <w:ind w:left="500" w:right="708" w:hanging="360"/>
        <w:jc w:val="left"/>
        <w:rPr>
          <w:color w:val="4C4D4F"/>
          <w:sz w:val="18"/>
        </w:rPr>
      </w:pPr>
      <w:r>
        <w:rPr>
          <w:color w:val="4C4D4F"/>
          <w:w w:val="115"/>
          <w:sz w:val="18"/>
        </w:rPr>
        <w:t>Ling,</w:t>
      </w:r>
      <w:r>
        <w:rPr>
          <w:color w:val="4C4D4F"/>
          <w:spacing w:val="-29"/>
          <w:w w:val="115"/>
          <w:sz w:val="18"/>
        </w:rPr>
        <w:t> </w:t>
      </w:r>
      <w:r>
        <w:rPr>
          <w:color w:val="4C4D4F"/>
          <w:spacing w:val="-5"/>
          <w:w w:val="115"/>
          <w:sz w:val="18"/>
        </w:rPr>
        <w:t>W.,</w:t>
      </w:r>
      <w:r>
        <w:rPr>
          <w:color w:val="4C4D4F"/>
          <w:spacing w:val="-29"/>
          <w:w w:val="115"/>
          <w:sz w:val="18"/>
        </w:rPr>
        <w:t> </w:t>
      </w:r>
      <w:r>
        <w:rPr>
          <w:color w:val="4C4D4F"/>
          <w:w w:val="115"/>
          <w:sz w:val="18"/>
        </w:rPr>
        <w:t>Hillhouse,</w:t>
      </w:r>
      <w:r>
        <w:rPr>
          <w:color w:val="4C4D4F"/>
          <w:spacing w:val="-28"/>
          <w:w w:val="115"/>
          <w:sz w:val="18"/>
        </w:rPr>
        <w:t> </w:t>
      </w:r>
      <w:r>
        <w:rPr>
          <w:color w:val="4C4D4F"/>
          <w:w w:val="115"/>
          <w:sz w:val="18"/>
        </w:rPr>
        <w:t>M.,</w:t>
      </w:r>
      <w:r>
        <w:rPr>
          <w:color w:val="4C4D4F"/>
          <w:spacing w:val="-29"/>
          <w:w w:val="115"/>
          <w:sz w:val="18"/>
        </w:rPr>
        <w:t> </w:t>
      </w:r>
      <w:r>
        <w:rPr>
          <w:color w:val="4C4D4F"/>
          <w:spacing w:val="-3"/>
          <w:w w:val="115"/>
          <w:sz w:val="18"/>
        </w:rPr>
        <w:t>Domier,</w:t>
      </w:r>
      <w:r>
        <w:rPr>
          <w:color w:val="4C4D4F"/>
          <w:spacing w:val="-28"/>
          <w:w w:val="115"/>
          <w:sz w:val="18"/>
        </w:rPr>
        <w:t> </w:t>
      </w:r>
      <w:r>
        <w:rPr>
          <w:color w:val="4C4D4F"/>
          <w:w w:val="115"/>
          <w:sz w:val="18"/>
        </w:rPr>
        <w:t>C.,</w:t>
      </w:r>
      <w:r>
        <w:rPr>
          <w:color w:val="4C4D4F"/>
          <w:spacing w:val="-29"/>
          <w:w w:val="115"/>
          <w:sz w:val="18"/>
        </w:rPr>
        <w:t> </w:t>
      </w:r>
      <w:r>
        <w:rPr>
          <w:color w:val="4C4D4F"/>
          <w:w w:val="115"/>
          <w:sz w:val="18"/>
        </w:rPr>
        <w:t>Doraimani, G.,</w:t>
      </w:r>
      <w:r>
        <w:rPr>
          <w:color w:val="4C4D4F"/>
          <w:spacing w:val="-21"/>
          <w:w w:val="115"/>
          <w:sz w:val="18"/>
        </w:rPr>
        <w:t> </w:t>
      </w:r>
      <w:r>
        <w:rPr>
          <w:color w:val="4C4D4F"/>
          <w:spacing w:val="-3"/>
          <w:w w:val="115"/>
          <w:sz w:val="18"/>
        </w:rPr>
        <w:t>Hunter,</w:t>
      </w:r>
      <w:r>
        <w:rPr>
          <w:color w:val="4C4D4F"/>
          <w:spacing w:val="-20"/>
          <w:w w:val="115"/>
          <w:sz w:val="18"/>
        </w:rPr>
        <w:t> </w:t>
      </w:r>
      <w:r>
        <w:rPr>
          <w:color w:val="4C4D4F"/>
          <w:w w:val="120"/>
          <w:sz w:val="18"/>
        </w:rPr>
        <w:t>J.,</w:t>
      </w:r>
      <w:r>
        <w:rPr>
          <w:color w:val="4C4D4F"/>
          <w:spacing w:val="-23"/>
          <w:w w:val="120"/>
          <w:sz w:val="18"/>
        </w:rPr>
        <w:t> </w:t>
      </w:r>
      <w:r>
        <w:rPr>
          <w:color w:val="4C4D4F"/>
          <w:w w:val="115"/>
          <w:sz w:val="18"/>
        </w:rPr>
        <w:t>Thomas,</w:t>
      </w:r>
      <w:r>
        <w:rPr>
          <w:color w:val="4C4D4F"/>
          <w:spacing w:val="-21"/>
          <w:w w:val="115"/>
          <w:sz w:val="18"/>
        </w:rPr>
        <w:t> </w:t>
      </w:r>
      <w:r>
        <w:rPr>
          <w:color w:val="4C4D4F"/>
          <w:w w:val="115"/>
          <w:sz w:val="18"/>
        </w:rPr>
        <w:t>C.,</w:t>
      </w:r>
      <w:r>
        <w:rPr>
          <w:color w:val="4C4D4F"/>
          <w:spacing w:val="-20"/>
          <w:w w:val="115"/>
          <w:sz w:val="18"/>
        </w:rPr>
        <w:t> </w:t>
      </w:r>
      <w:r>
        <w:rPr>
          <w:color w:val="4C4D4F"/>
          <w:w w:val="115"/>
          <w:sz w:val="18"/>
        </w:rPr>
        <w:t>…</w:t>
      </w:r>
      <w:r>
        <w:rPr>
          <w:color w:val="4C4D4F"/>
          <w:spacing w:val="-20"/>
          <w:w w:val="115"/>
          <w:sz w:val="18"/>
        </w:rPr>
        <w:t> </w:t>
      </w:r>
      <w:r>
        <w:rPr>
          <w:color w:val="4C4D4F"/>
          <w:w w:val="115"/>
          <w:sz w:val="18"/>
        </w:rPr>
        <w:t>Bilangi,</w:t>
      </w:r>
      <w:r>
        <w:rPr>
          <w:color w:val="4C4D4F"/>
          <w:spacing w:val="-21"/>
          <w:w w:val="115"/>
          <w:sz w:val="18"/>
        </w:rPr>
        <w:t> </w:t>
      </w:r>
      <w:r>
        <w:rPr>
          <w:color w:val="4C4D4F"/>
          <w:w w:val="115"/>
          <w:sz w:val="18"/>
        </w:rPr>
        <w:t>R.</w:t>
      </w:r>
      <w:r>
        <w:rPr>
          <w:color w:val="4C4D4F"/>
          <w:spacing w:val="-20"/>
          <w:w w:val="115"/>
          <w:sz w:val="18"/>
        </w:rPr>
        <w:t> </w:t>
      </w:r>
      <w:r>
        <w:rPr>
          <w:color w:val="4C4D4F"/>
          <w:spacing w:val="-3"/>
          <w:w w:val="115"/>
          <w:sz w:val="18"/>
        </w:rPr>
        <w:t>(2009).</w:t>
      </w:r>
    </w:p>
    <w:p>
      <w:pPr>
        <w:spacing w:before="2"/>
        <w:ind w:left="500" w:right="0" w:firstLine="0"/>
        <w:jc w:val="left"/>
        <w:rPr>
          <w:sz w:val="18"/>
        </w:rPr>
      </w:pPr>
      <w:r>
        <w:rPr>
          <w:color w:val="4C4D4F"/>
          <w:w w:val="115"/>
          <w:sz w:val="18"/>
        </w:rPr>
        <w:t>Buprenorphine</w:t>
      </w:r>
      <w:r>
        <w:rPr>
          <w:color w:val="4C4D4F"/>
          <w:spacing w:val="-18"/>
          <w:w w:val="115"/>
          <w:sz w:val="18"/>
        </w:rPr>
        <w:t> </w:t>
      </w:r>
      <w:r>
        <w:rPr>
          <w:color w:val="4C4D4F"/>
          <w:w w:val="115"/>
          <w:sz w:val="18"/>
        </w:rPr>
        <w:t>tapering</w:t>
      </w:r>
      <w:r>
        <w:rPr>
          <w:color w:val="4C4D4F"/>
          <w:spacing w:val="-18"/>
          <w:w w:val="115"/>
          <w:sz w:val="18"/>
        </w:rPr>
        <w:t> </w:t>
      </w:r>
      <w:r>
        <w:rPr>
          <w:color w:val="4C4D4F"/>
          <w:w w:val="115"/>
          <w:sz w:val="18"/>
        </w:rPr>
        <w:t>schedule</w:t>
      </w:r>
      <w:r>
        <w:rPr>
          <w:color w:val="4C4D4F"/>
          <w:spacing w:val="-17"/>
          <w:w w:val="115"/>
          <w:sz w:val="18"/>
        </w:rPr>
        <w:t> </w:t>
      </w:r>
      <w:r>
        <w:rPr>
          <w:color w:val="4C4D4F"/>
          <w:w w:val="115"/>
          <w:sz w:val="18"/>
        </w:rPr>
        <w:t>and</w:t>
      </w:r>
      <w:r>
        <w:rPr>
          <w:color w:val="4C4D4F"/>
          <w:spacing w:val="-18"/>
          <w:w w:val="115"/>
          <w:sz w:val="18"/>
        </w:rPr>
        <w:t> </w:t>
      </w:r>
      <w:r>
        <w:rPr>
          <w:color w:val="4C4D4F"/>
          <w:w w:val="115"/>
          <w:sz w:val="18"/>
        </w:rPr>
        <w:t>illicit</w:t>
      </w:r>
      <w:r>
        <w:rPr>
          <w:color w:val="4C4D4F"/>
          <w:spacing w:val="-17"/>
          <w:w w:val="115"/>
          <w:sz w:val="18"/>
        </w:rPr>
        <w:t> </w:t>
      </w:r>
      <w:r>
        <w:rPr>
          <w:color w:val="4C4D4F"/>
          <w:w w:val="115"/>
          <w:sz w:val="18"/>
        </w:rPr>
        <w:t>opioid</w:t>
      </w:r>
      <w:r>
        <w:rPr>
          <w:color w:val="4C4D4F"/>
          <w:spacing w:val="-18"/>
          <w:w w:val="115"/>
          <w:sz w:val="18"/>
        </w:rPr>
        <w:t> </w:t>
      </w:r>
      <w:r>
        <w:rPr>
          <w:color w:val="4C4D4F"/>
          <w:w w:val="115"/>
          <w:sz w:val="18"/>
        </w:rPr>
        <w:t>use.</w:t>
      </w:r>
    </w:p>
    <w:p>
      <w:pPr>
        <w:spacing w:before="5"/>
        <w:ind w:left="500" w:right="0" w:firstLine="0"/>
        <w:jc w:val="left"/>
        <w:rPr>
          <w:sz w:val="18"/>
        </w:rPr>
      </w:pPr>
      <w:r>
        <w:rPr>
          <w:rFonts w:ascii="Arial" w:hAnsi="Arial"/>
          <w:i/>
          <w:color w:val="4C4D4F"/>
          <w:w w:val="105"/>
          <w:sz w:val="18"/>
        </w:rPr>
        <w:t>Addiction, 104</w:t>
      </w:r>
      <w:r>
        <w:rPr>
          <w:color w:val="4C4D4F"/>
          <w:w w:val="105"/>
          <w:sz w:val="18"/>
        </w:rPr>
        <w:t>(2), 256–265.</w:t>
      </w:r>
    </w:p>
    <w:p>
      <w:pPr>
        <w:pStyle w:val="ListParagraph"/>
        <w:numPr>
          <w:ilvl w:val="0"/>
          <w:numId w:val="51"/>
        </w:numPr>
        <w:tabs>
          <w:tab w:pos="500" w:val="left" w:leader="none"/>
        </w:tabs>
        <w:spacing w:line="247" w:lineRule="auto" w:before="80" w:after="0"/>
        <w:ind w:left="500" w:right="332" w:hanging="360"/>
        <w:jc w:val="left"/>
        <w:rPr>
          <w:color w:val="4C4D4F"/>
          <w:sz w:val="18"/>
        </w:rPr>
      </w:pPr>
      <w:r>
        <w:rPr>
          <w:color w:val="4C4D4F"/>
          <w:w w:val="110"/>
          <w:sz w:val="18"/>
        </w:rPr>
        <w:t>Substance Abuse and Mental Health Services Administration. (2016). Sublingual and </w:t>
      </w:r>
      <w:r>
        <w:rPr>
          <w:color w:val="4C4D4F"/>
          <w:spacing w:val="-2"/>
          <w:w w:val="110"/>
          <w:sz w:val="18"/>
        </w:rPr>
        <w:t>transmucosal </w:t>
      </w:r>
      <w:r>
        <w:rPr>
          <w:color w:val="4C4D4F"/>
          <w:w w:val="110"/>
          <w:sz w:val="18"/>
        </w:rPr>
        <w:t>buprenorphine for opioid use disorder:</w:t>
      </w:r>
      <w:r>
        <w:rPr>
          <w:color w:val="4C4D4F"/>
          <w:spacing w:val="-22"/>
          <w:w w:val="110"/>
          <w:sz w:val="18"/>
        </w:rPr>
        <w:t> </w:t>
      </w:r>
      <w:r>
        <w:rPr>
          <w:color w:val="4C4D4F"/>
          <w:w w:val="110"/>
          <w:sz w:val="18"/>
        </w:rPr>
        <w:t>Review</w:t>
      </w:r>
    </w:p>
    <w:p>
      <w:pPr>
        <w:spacing w:line="247" w:lineRule="auto" w:before="1"/>
        <w:ind w:left="500" w:right="324" w:firstLine="0"/>
        <w:jc w:val="left"/>
        <w:rPr>
          <w:sz w:val="18"/>
        </w:rPr>
      </w:pPr>
      <w:r>
        <w:rPr>
          <w:color w:val="4C4D4F"/>
          <w:w w:val="110"/>
          <w:sz w:val="18"/>
        </w:rPr>
        <w:t>and update. </w:t>
      </w:r>
      <w:r>
        <w:rPr>
          <w:rFonts w:ascii="Arial"/>
          <w:i/>
          <w:color w:val="4C4D4F"/>
          <w:w w:val="110"/>
          <w:sz w:val="18"/>
        </w:rPr>
        <w:t>Advisory, </w:t>
      </w:r>
      <w:r>
        <w:rPr>
          <w:color w:val="4C4D4F"/>
          <w:w w:val="110"/>
          <w:sz w:val="18"/>
        </w:rPr>
        <w:t>Vol. 15, Issue 1. Rockville, MD: Substance Abuse and Mental Health Services Administration.</w:t>
      </w: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09"/>
          <w:sz w:val="18"/>
        </w:rPr>
        <w:br w:type="column"/>
      </w:r>
      <w:r>
        <w:rPr>
          <w:color w:val="4C4D4F"/>
          <w:w w:val="110"/>
          <w:sz w:val="18"/>
        </w:rPr>
        <w:t>American Society of Addiction Medicine.</w:t>
      </w:r>
      <w:r>
        <w:rPr>
          <w:color w:val="4C4D4F"/>
          <w:spacing w:val="-16"/>
          <w:w w:val="110"/>
          <w:sz w:val="18"/>
        </w:rPr>
        <w:t> </w:t>
      </w:r>
      <w:r>
        <w:rPr>
          <w:color w:val="4C4D4F"/>
          <w:w w:val="110"/>
          <w:sz w:val="18"/>
        </w:rPr>
        <w:t>(2015).</w:t>
      </w:r>
    </w:p>
    <w:p>
      <w:pPr>
        <w:spacing w:line="249" w:lineRule="auto" w:before="6"/>
        <w:ind w:left="500" w:right="458" w:firstLine="0"/>
        <w:jc w:val="left"/>
        <w:rPr>
          <w:sz w:val="18"/>
        </w:rPr>
      </w:pPr>
      <w:r>
        <w:rPr>
          <w:rFonts w:ascii="Arial"/>
          <w:i/>
          <w:color w:val="4C4D4F"/>
          <w:w w:val="105"/>
          <w:sz w:val="18"/>
        </w:rPr>
        <w:t>The</w:t>
      </w:r>
      <w:r>
        <w:rPr>
          <w:rFonts w:ascii="Arial"/>
          <w:i/>
          <w:color w:val="4C4D4F"/>
          <w:spacing w:val="-14"/>
          <w:w w:val="105"/>
          <w:sz w:val="18"/>
        </w:rPr>
        <w:t> </w:t>
      </w:r>
      <w:r>
        <w:rPr>
          <w:rFonts w:ascii="Arial"/>
          <w:i/>
          <w:color w:val="4C4D4F"/>
          <w:w w:val="105"/>
          <w:sz w:val="18"/>
        </w:rPr>
        <w:t>ASAM</w:t>
      </w:r>
      <w:r>
        <w:rPr>
          <w:rFonts w:ascii="Arial"/>
          <w:i/>
          <w:color w:val="4C4D4F"/>
          <w:spacing w:val="-14"/>
          <w:w w:val="105"/>
          <w:sz w:val="18"/>
        </w:rPr>
        <w:t> </w:t>
      </w:r>
      <w:r>
        <w:rPr>
          <w:rFonts w:ascii="Arial"/>
          <w:i/>
          <w:color w:val="4C4D4F"/>
          <w:w w:val="105"/>
          <w:sz w:val="18"/>
        </w:rPr>
        <w:t>national</w:t>
      </w:r>
      <w:r>
        <w:rPr>
          <w:rFonts w:ascii="Arial"/>
          <w:i/>
          <w:color w:val="4C4D4F"/>
          <w:spacing w:val="-14"/>
          <w:w w:val="105"/>
          <w:sz w:val="18"/>
        </w:rPr>
        <w:t> </w:t>
      </w:r>
      <w:r>
        <w:rPr>
          <w:rFonts w:ascii="Arial"/>
          <w:i/>
          <w:color w:val="4C4D4F"/>
          <w:w w:val="105"/>
          <w:sz w:val="18"/>
        </w:rPr>
        <w:t>practice</w:t>
      </w:r>
      <w:r>
        <w:rPr>
          <w:rFonts w:ascii="Arial"/>
          <w:i/>
          <w:color w:val="4C4D4F"/>
          <w:spacing w:val="-13"/>
          <w:w w:val="105"/>
          <w:sz w:val="18"/>
        </w:rPr>
        <w:t> </w:t>
      </w:r>
      <w:r>
        <w:rPr>
          <w:rFonts w:ascii="Arial"/>
          <w:i/>
          <w:color w:val="4C4D4F"/>
          <w:w w:val="105"/>
          <w:sz w:val="18"/>
        </w:rPr>
        <w:t>guideline</w:t>
      </w:r>
      <w:r>
        <w:rPr>
          <w:rFonts w:ascii="Arial"/>
          <w:i/>
          <w:color w:val="4C4D4F"/>
          <w:spacing w:val="-14"/>
          <w:w w:val="105"/>
          <w:sz w:val="18"/>
        </w:rPr>
        <w:t> </w:t>
      </w:r>
      <w:r>
        <w:rPr>
          <w:rFonts w:ascii="Arial"/>
          <w:i/>
          <w:color w:val="4C4D4F"/>
          <w:w w:val="105"/>
          <w:sz w:val="18"/>
        </w:rPr>
        <w:t>for</w:t>
      </w:r>
      <w:r>
        <w:rPr>
          <w:rFonts w:ascii="Arial"/>
          <w:i/>
          <w:color w:val="4C4D4F"/>
          <w:spacing w:val="-14"/>
          <w:w w:val="105"/>
          <w:sz w:val="18"/>
        </w:rPr>
        <w:t> </w:t>
      </w:r>
      <w:r>
        <w:rPr>
          <w:rFonts w:ascii="Arial"/>
          <w:i/>
          <w:color w:val="4C4D4F"/>
          <w:w w:val="105"/>
          <w:sz w:val="18"/>
        </w:rPr>
        <w:t>the</w:t>
      </w:r>
      <w:r>
        <w:rPr>
          <w:rFonts w:ascii="Arial"/>
          <w:i/>
          <w:color w:val="4C4D4F"/>
          <w:spacing w:val="-14"/>
          <w:w w:val="105"/>
          <w:sz w:val="18"/>
        </w:rPr>
        <w:t> </w:t>
      </w:r>
      <w:r>
        <w:rPr>
          <w:rFonts w:ascii="Arial"/>
          <w:i/>
          <w:color w:val="4C4D4F"/>
          <w:w w:val="105"/>
          <w:sz w:val="18"/>
        </w:rPr>
        <w:t>use</w:t>
      </w:r>
      <w:r>
        <w:rPr>
          <w:rFonts w:ascii="Arial"/>
          <w:i/>
          <w:color w:val="4C4D4F"/>
          <w:spacing w:val="-13"/>
          <w:w w:val="105"/>
          <w:sz w:val="18"/>
        </w:rPr>
        <w:t> </w:t>
      </w:r>
      <w:r>
        <w:rPr>
          <w:rFonts w:ascii="Arial"/>
          <w:i/>
          <w:color w:val="4C4D4F"/>
          <w:spacing w:val="-9"/>
          <w:w w:val="105"/>
          <w:sz w:val="18"/>
        </w:rPr>
        <w:t>of </w:t>
      </w:r>
      <w:r>
        <w:rPr>
          <w:rFonts w:ascii="Arial"/>
          <w:i/>
          <w:color w:val="4C4D4F"/>
          <w:w w:val="105"/>
          <w:sz w:val="18"/>
        </w:rPr>
        <w:t>medications in the treatment of addiction involving opioid use. </w:t>
      </w:r>
      <w:r>
        <w:rPr>
          <w:color w:val="4C4D4F"/>
          <w:w w:val="105"/>
          <w:sz w:val="18"/>
        </w:rPr>
        <w:t>Chevy Chase, MD:</w:t>
      </w:r>
      <w:r>
        <w:rPr>
          <w:color w:val="4C4D4F"/>
          <w:spacing w:val="-1"/>
          <w:w w:val="105"/>
          <w:sz w:val="18"/>
        </w:rPr>
        <w:t> </w:t>
      </w:r>
      <w:r>
        <w:rPr>
          <w:color w:val="4C4D4F"/>
          <w:spacing w:val="-3"/>
          <w:w w:val="105"/>
          <w:sz w:val="18"/>
        </w:rPr>
        <w:t>Author.</w:t>
      </w:r>
    </w:p>
    <w:p>
      <w:pPr>
        <w:pStyle w:val="ListParagraph"/>
        <w:numPr>
          <w:ilvl w:val="0"/>
          <w:numId w:val="51"/>
        </w:numPr>
        <w:tabs>
          <w:tab w:pos="500" w:val="left" w:leader="none"/>
        </w:tabs>
        <w:spacing w:line="249" w:lineRule="auto" w:before="72" w:after="0"/>
        <w:ind w:left="500" w:right="368" w:hanging="360"/>
        <w:jc w:val="left"/>
        <w:rPr>
          <w:color w:val="4C4D4F"/>
          <w:sz w:val="18"/>
        </w:rPr>
      </w:pPr>
      <w:r>
        <w:rPr>
          <w:color w:val="4C4D4F"/>
          <w:w w:val="110"/>
          <w:sz w:val="18"/>
        </w:rPr>
        <w:t>Henry-Edwards, S., Gowing, L., White, </w:t>
      </w:r>
      <w:r>
        <w:rPr>
          <w:color w:val="4C4D4F"/>
          <w:w w:val="120"/>
          <w:sz w:val="18"/>
        </w:rPr>
        <w:t>J., </w:t>
      </w:r>
      <w:r>
        <w:rPr>
          <w:color w:val="4C4D4F"/>
          <w:w w:val="110"/>
          <w:sz w:val="18"/>
        </w:rPr>
        <w:t>Ali, R.,  Bell, </w:t>
      </w:r>
      <w:r>
        <w:rPr>
          <w:color w:val="4C4D4F"/>
          <w:w w:val="120"/>
          <w:sz w:val="18"/>
        </w:rPr>
        <w:t>J., </w:t>
      </w:r>
      <w:r>
        <w:rPr>
          <w:color w:val="4C4D4F"/>
          <w:w w:val="110"/>
          <w:sz w:val="18"/>
        </w:rPr>
        <w:t>Brough, R., … Quigley, A. (2003). </w:t>
      </w:r>
      <w:r>
        <w:rPr>
          <w:rFonts w:ascii="Arial" w:hAnsi="Arial"/>
          <w:i/>
          <w:color w:val="4C4D4F"/>
          <w:w w:val="110"/>
          <w:sz w:val="18"/>
        </w:rPr>
        <w:t>Clinical </w:t>
      </w:r>
      <w:r>
        <w:rPr>
          <w:rFonts w:ascii="Arial" w:hAnsi="Arial"/>
          <w:i/>
          <w:color w:val="4C4D4F"/>
          <w:w w:val="105"/>
          <w:sz w:val="18"/>
        </w:rPr>
        <w:t>guidelines</w:t>
      </w:r>
      <w:r>
        <w:rPr>
          <w:rFonts w:ascii="Arial" w:hAnsi="Arial"/>
          <w:i/>
          <w:color w:val="4C4D4F"/>
          <w:spacing w:val="-16"/>
          <w:w w:val="105"/>
          <w:sz w:val="18"/>
        </w:rPr>
        <w:t> </w:t>
      </w:r>
      <w:r>
        <w:rPr>
          <w:rFonts w:ascii="Arial" w:hAnsi="Arial"/>
          <w:i/>
          <w:color w:val="4C4D4F"/>
          <w:w w:val="105"/>
          <w:sz w:val="18"/>
        </w:rPr>
        <w:t>and</w:t>
      </w:r>
      <w:r>
        <w:rPr>
          <w:rFonts w:ascii="Arial" w:hAnsi="Arial"/>
          <w:i/>
          <w:color w:val="4C4D4F"/>
          <w:spacing w:val="-16"/>
          <w:w w:val="105"/>
          <w:sz w:val="18"/>
        </w:rPr>
        <w:t> </w:t>
      </w:r>
      <w:r>
        <w:rPr>
          <w:rFonts w:ascii="Arial" w:hAnsi="Arial"/>
          <w:i/>
          <w:color w:val="4C4D4F"/>
          <w:w w:val="105"/>
          <w:sz w:val="18"/>
        </w:rPr>
        <w:t>procedures</w:t>
      </w:r>
      <w:r>
        <w:rPr>
          <w:rFonts w:ascii="Arial" w:hAnsi="Arial"/>
          <w:i/>
          <w:color w:val="4C4D4F"/>
          <w:spacing w:val="-16"/>
          <w:w w:val="105"/>
          <w:sz w:val="18"/>
        </w:rPr>
        <w:t> </w:t>
      </w:r>
      <w:r>
        <w:rPr>
          <w:rFonts w:ascii="Arial" w:hAnsi="Arial"/>
          <w:i/>
          <w:color w:val="4C4D4F"/>
          <w:w w:val="105"/>
          <w:sz w:val="18"/>
        </w:rPr>
        <w:t>for</w:t>
      </w:r>
      <w:r>
        <w:rPr>
          <w:rFonts w:ascii="Arial" w:hAnsi="Arial"/>
          <w:i/>
          <w:color w:val="4C4D4F"/>
          <w:spacing w:val="-16"/>
          <w:w w:val="105"/>
          <w:sz w:val="18"/>
        </w:rPr>
        <w:t> </w:t>
      </w:r>
      <w:r>
        <w:rPr>
          <w:rFonts w:ascii="Arial" w:hAnsi="Arial"/>
          <w:i/>
          <w:color w:val="4C4D4F"/>
          <w:w w:val="105"/>
          <w:sz w:val="18"/>
        </w:rPr>
        <w:t>the</w:t>
      </w:r>
      <w:r>
        <w:rPr>
          <w:rFonts w:ascii="Arial" w:hAnsi="Arial"/>
          <w:i/>
          <w:color w:val="4C4D4F"/>
          <w:spacing w:val="-16"/>
          <w:w w:val="105"/>
          <w:sz w:val="18"/>
        </w:rPr>
        <w:t> </w:t>
      </w:r>
      <w:r>
        <w:rPr>
          <w:rFonts w:ascii="Arial" w:hAnsi="Arial"/>
          <w:i/>
          <w:color w:val="4C4D4F"/>
          <w:w w:val="105"/>
          <w:sz w:val="18"/>
        </w:rPr>
        <w:t>use</w:t>
      </w:r>
      <w:r>
        <w:rPr>
          <w:rFonts w:ascii="Arial" w:hAnsi="Arial"/>
          <w:i/>
          <w:color w:val="4C4D4F"/>
          <w:spacing w:val="-16"/>
          <w:w w:val="105"/>
          <w:sz w:val="18"/>
        </w:rPr>
        <w:t> </w:t>
      </w:r>
      <w:r>
        <w:rPr>
          <w:rFonts w:ascii="Arial" w:hAnsi="Arial"/>
          <w:i/>
          <w:color w:val="4C4D4F"/>
          <w:w w:val="105"/>
          <w:sz w:val="18"/>
        </w:rPr>
        <w:t>of</w:t>
      </w:r>
      <w:r>
        <w:rPr>
          <w:rFonts w:ascii="Arial" w:hAnsi="Arial"/>
          <w:i/>
          <w:color w:val="4C4D4F"/>
          <w:spacing w:val="-16"/>
          <w:w w:val="105"/>
          <w:sz w:val="18"/>
        </w:rPr>
        <w:t> </w:t>
      </w:r>
      <w:r>
        <w:rPr>
          <w:rFonts w:ascii="Arial" w:hAnsi="Arial"/>
          <w:i/>
          <w:color w:val="4C4D4F"/>
          <w:w w:val="105"/>
          <w:sz w:val="18"/>
        </w:rPr>
        <w:t>methadone in</w:t>
      </w:r>
      <w:r>
        <w:rPr>
          <w:rFonts w:ascii="Arial" w:hAnsi="Arial"/>
          <w:i/>
          <w:color w:val="4C4D4F"/>
          <w:spacing w:val="-14"/>
          <w:w w:val="105"/>
          <w:sz w:val="18"/>
        </w:rPr>
        <w:t> </w:t>
      </w:r>
      <w:r>
        <w:rPr>
          <w:rFonts w:ascii="Arial" w:hAnsi="Arial"/>
          <w:i/>
          <w:color w:val="4C4D4F"/>
          <w:w w:val="105"/>
          <w:sz w:val="18"/>
        </w:rPr>
        <w:t>the</w:t>
      </w:r>
      <w:r>
        <w:rPr>
          <w:rFonts w:ascii="Arial" w:hAnsi="Arial"/>
          <w:i/>
          <w:color w:val="4C4D4F"/>
          <w:spacing w:val="-14"/>
          <w:w w:val="105"/>
          <w:sz w:val="18"/>
        </w:rPr>
        <w:t> </w:t>
      </w:r>
      <w:r>
        <w:rPr>
          <w:rFonts w:ascii="Arial" w:hAnsi="Arial"/>
          <w:i/>
          <w:color w:val="4C4D4F"/>
          <w:w w:val="105"/>
          <w:sz w:val="18"/>
        </w:rPr>
        <w:t>maintenance</w:t>
      </w:r>
      <w:r>
        <w:rPr>
          <w:rFonts w:ascii="Arial" w:hAnsi="Arial"/>
          <w:i/>
          <w:color w:val="4C4D4F"/>
          <w:spacing w:val="-14"/>
          <w:w w:val="105"/>
          <w:sz w:val="18"/>
        </w:rPr>
        <w:t> </w:t>
      </w:r>
      <w:r>
        <w:rPr>
          <w:rFonts w:ascii="Arial" w:hAnsi="Arial"/>
          <w:i/>
          <w:color w:val="4C4D4F"/>
          <w:w w:val="105"/>
          <w:sz w:val="18"/>
        </w:rPr>
        <w:t>treatment</w:t>
      </w:r>
      <w:r>
        <w:rPr>
          <w:rFonts w:ascii="Arial" w:hAnsi="Arial"/>
          <w:i/>
          <w:color w:val="4C4D4F"/>
          <w:spacing w:val="-14"/>
          <w:w w:val="105"/>
          <w:sz w:val="18"/>
        </w:rPr>
        <w:t> </w:t>
      </w:r>
      <w:r>
        <w:rPr>
          <w:rFonts w:ascii="Arial" w:hAnsi="Arial"/>
          <w:i/>
          <w:color w:val="4C4D4F"/>
          <w:w w:val="105"/>
          <w:sz w:val="18"/>
        </w:rPr>
        <w:t>of</w:t>
      </w:r>
      <w:r>
        <w:rPr>
          <w:rFonts w:ascii="Arial" w:hAnsi="Arial"/>
          <w:i/>
          <w:color w:val="4C4D4F"/>
          <w:spacing w:val="-14"/>
          <w:w w:val="105"/>
          <w:sz w:val="18"/>
        </w:rPr>
        <w:t> </w:t>
      </w:r>
      <w:r>
        <w:rPr>
          <w:rFonts w:ascii="Arial" w:hAnsi="Arial"/>
          <w:i/>
          <w:color w:val="4C4D4F"/>
          <w:w w:val="105"/>
          <w:sz w:val="18"/>
        </w:rPr>
        <w:t>opioid</w:t>
      </w:r>
      <w:r>
        <w:rPr>
          <w:rFonts w:ascii="Arial" w:hAnsi="Arial"/>
          <w:i/>
          <w:color w:val="4C4D4F"/>
          <w:spacing w:val="-14"/>
          <w:w w:val="105"/>
          <w:sz w:val="18"/>
        </w:rPr>
        <w:t> </w:t>
      </w:r>
      <w:r>
        <w:rPr>
          <w:rFonts w:ascii="Arial" w:hAnsi="Arial"/>
          <w:i/>
          <w:color w:val="4C4D4F"/>
          <w:w w:val="105"/>
          <w:sz w:val="18"/>
        </w:rPr>
        <w:t>dependence. </w:t>
      </w:r>
      <w:r>
        <w:rPr>
          <w:color w:val="4C4D4F"/>
          <w:w w:val="110"/>
          <w:sz w:val="18"/>
        </w:rPr>
        <w:t>Publication approval number: 3263 (JN</w:t>
      </w:r>
      <w:r>
        <w:rPr>
          <w:color w:val="4C4D4F"/>
          <w:spacing w:val="-7"/>
          <w:w w:val="110"/>
          <w:sz w:val="18"/>
        </w:rPr>
        <w:t> </w:t>
      </w:r>
      <w:r>
        <w:rPr>
          <w:color w:val="4C4D4F"/>
          <w:w w:val="110"/>
          <w:sz w:val="18"/>
        </w:rPr>
        <w:t>7616).</w:t>
      </w:r>
    </w:p>
    <w:p>
      <w:pPr>
        <w:pStyle w:val="ListParagraph"/>
        <w:numPr>
          <w:ilvl w:val="0"/>
          <w:numId w:val="51"/>
        </w:numPr>
        <w:tabs>
          <w:tab w:pos="500" w:val="left" w:leader="none"/>
        </w:tabs>
        <w:spacing w:line="249" w:lineRule="auto" w:before="67" w:after="0"/>
        <w:ind w:left="500" w:right="245" w:hanging="360"/>
        <w:jc w:val="left"/>
        <w:rPr>
          <w:color w:val="4C4D4F"/>
          <w:sz w:val="18"/>
        </w:rPr>
      </w:pPr>
      <w:r>
        <w:rPr>
          <w:color w:val="4C4D4F"/>
          <w:spacing w:val="-3"/>
          <w:w w:val="105"/>
          <w:sz w:val="18"/>
        </w:rPr>
        <w:t>World </w:t>
      </w:r>
      <w:r>
        <w:rPr>
          <w:color w:val="4C4D4F"/>
          <w:w w:val="105"/>
          <w:sz w:val="18"/>
        </w:rPr>
        <w:t>Health Organization. (2009). </w:t>
      </w:r>
      <w:r>
        <w:rPr>
          <w:rFonts w:ascii="Arial"/>
          <w:i/>
          <w:color w:val="4C4D4F"/>
          <w:w w:val="105"/>
          <w:sz w:val="18"/>
        </w:rPr>
        <w:t>Guidelines for the </w:t>
      </w:r>
      <w:r>
        <w:rPr>
          <w:rFonts w:ascii="Arial"/>
          <w:i/>
          <w:color w:val="4C4D4F"/>
          <w:w w:val="105"/>
          <w:sz w:val="18"/>
        </w:rPr>
        <w:t>psychosocially</w:t>
      </w:r>
      <w:r>
        <w:rPr>
          <w:rFonts w:ascii="Arial"/>
          <w:i/>
          <w:color w:val="4C4D4F"/>
          <w:spacing w:val="-27"/>
          <w:w w:val="105"/>
          <w:sz w:val="18"/>
        </w:rPr>
        <w:t> </w:t>
      </w:r>
      <w:r>
        <w:rPr>
          <w:rFonts w:ascii="Arial"/>
          <w:i/>
          <w:color w:val="4C4D4F"/>
          <w:w w:val="105"/>
          <w:sz w:val="18"/>
        </w:rPr>
        <w:t>assisted</w:t>
      </w:r>
      <w:r>
        <w:rPr>
          <w:rFonts w:ascii="Arial"/>
          <w:i/>
          <w:color w:val="4C4D4F"/>
          <w:spacing w:val="-27"/>
          <w:w w:val="105"/>
          <w:sz w:val="18"/>
        </w:rPr>
        <w:t> </w:t>
      </w:r>
      <w:r>
        <w:rPr>
          <w:rFonts w:ascii="Arial"/>
          <w:i/>
          <w:color w:val="4C4D4F"/>
          <w:w w:val="105"/>
          <w:sz w:val="18"/>
        </w:rPr>
        <w:t>pharmacological</w:t>
      </w:r>
      <w:r>
        <w:rPr>
          <w:rFonts w:ascii="Arial"/>
          <w:i/>
          <w:color w:val="4C4D4F"/>
          <w:spacing w:val="-27"/>
          <w:w w:val="105"/>
          <w:sz w:val="18"/>
        </w:rPr>
        <w:t> </w:t>
      </w:r>
      <w:r>
        <w:rPr>
          <w:rFonts w:ascii="Arial"/>
          <w:i/>
          <w:color w:val="4C4D4F"/>
          <w:w w:val="105"/>
          <w:sz w:val="18"/>
        </w:rPr>
        <w:t>treatment</w:t>
      </w:r>
      <w:r>
        <w:rPr>
          <w:rFonts w:ascii="Arial"/>
          <w:i/>
          <w:color w:val="4C4D4F"/>
          <w:spacing w:val="-27"/>
          <w:w w:val="105"/>
          <w:sz w:val="18"/>
        </w:rPr>
        <w:t> </w:t>
      </w:r>
      <w:r>
        <w:rPr>
          <w:rFonts w:ascii="Arial"/>
          <w:i/>
          <w:color w:val="4C4D4F"/>
          <w:w w:val="105"/>
          <w:sz w:val="18"/>
        </w:rPr>
        <w:t>of opioid dependence. </w:t>
      </w:r>
      <w:r>
        <w:rPr>
          <w:color w:val="4C4D4F"/>
          <w:w w:val="105"/>
          <w:sz w:val="18"/>
        </w:rPr>
        <w:t>Geneva, Switzerland: WHO</w:t>
      </w:r>
      <w:r>
        <w:rPr>
          <w:color w:val="4C4D4F"/>
          <w:spacing w:val="15"/>
          <w:w w:val="105"/>
          <w:sz w:val="18"/>
        </w:rPr>
        <w:t> </w:t>
      </w:r>
      <w:r>
        <w:rPr>
          <w:color w:val="4C4D4F"/>
          <w:spacing w:val="-4"/>
          <w:w w:val="105"/>
          <w:sz w:val="18"/>
        </w:rPr>
        <w:t>Press.</w:t>
      </w:r>
    </w:p>
    <w:p>
      <w:pPr>
        <w:pStyle w:val="ListParagraph"/>
        <w:numPr>
          <w:ilvl w:val="0"/>
          <w:numId w:val="51"/>
        </w:numPr>
        <w:tabs>
          <w:tab w:pos="500" w:val="left" w:leader="none"/>
        </w:tabs>
        <w:spacing w:line="247" w:lineRule="auto" w:before="69" w:after="0"/>
        <w:ind w:left="500" w:right="842" w:hanging="360"/>
        <w:jc w:val="left"/>
        <w:rPr>
          <w:color w:val="4C4D4F"/>
          <w:sz w:val="18"/>
        </w:rPr>
      </w:pPr>
      <w:r>
        <w:rPr>
          <w:color w:val="4C4D4F"/>
          <w:w w:val="115"/>
          <w:sz w:val="18"/>
        </w:rPr>
        <w:t>Ling,</w:t>
      </w:r>
      <w:r>
        <w:rPr>
          <w:color w:val="4C4D4F"/>
          <w:spacing w:val="-29"/>
          <w:w w:val="115"/>
          <w:sz w:val="18"/>
        </w:rPr>
        <w:t> </w:t>
      </w:r>
      <w:r>
        <w:rPr>
          <w:color w:val="4C4D4F"/>
          <w:spacing w:val="-5"/>
          <w:w w:val="115"/>
          <w:sz w:val="18"/>
        </w:rPr>
        <w:t>W.,</w:t>
      </w:r>
      <w:r>
        <w:rPr>
          <w:color w:val="4C4D4F"/>
          <w:spacing w:val="-29"/>
          <w:w w:val="115"/>
          <w:sz w:val="18"/>
        </w:rPr>
        <w:t> </w:t>
      </w:r>
      <w:r>
        <w:rPr>
          <w:color w:val="4C4D4F"/>
          <w:w w:val="115"/>
          <w:sz w:val="18"/>
        </w:rPr>
        <w:t>Hillhouse,</w:t>
      </w:r>
      <w:r>
        <w:rPr>
          <w:color w:val="4C4D4F"/>
          <w:spacing w:val="-28"/>
          <w:w w:val="115"/>
          <w:sz w:val="18"/>
        </w:rPr>
        <w:t> </w:t>
      </w:r>
      <w:r>
        <w:rPr>
          <w:color w:val="4C4D4F"/>
          <w:w w:val="115"/>
          <w:sz w:val="18"/>
        </w:rPr>
        <w:t>M.,</w:t>
      </w:r>
      <w:r>
        <w:rPr>
          <w:color w:val="4C4D4F"/>
          <w:spacing w:val="-29"/>
          <w:w w:val="115"/>
          <w:sz w:val="18"/>
        </w:rPr>
        <w:t> </w:t>
      </w:r>
      <w:r>
        <w:rPr>
          <w:color w:val="4C4D4F"/>
          <w:spacing w:val="-3"/>
          <w:w w:val="115"/>
          <w:sz w:val="18"/>
        </w:rPr>
        <w:t>Domier,</w:t>
      </w:r>
      <w:r>
        <w:rPr>
          <w:color w:val="4C4D4F"/>
          <w:spacing w:val="-28"/>
          <w:w w:val="115"/>
          <w:sz w:val="18"/>
        </w:rPr>
        <w:t> </w:t>
      </w:r>
      <w:r>
        <w:rPr>
          <w:color w:val="4C4D4F"/>
          <w:w w:val="115"/>
          <w:sz w:val="18"/>
        </w:rPr>
        <w:t>C.,</w:t>
      </w:r>
      <w:r>
        <w:rPr>
          <w:color w:val="4C4D4F"/>
          <w:spacing w:val="-29"/>
          <w:w w:val="115"/>
          <w:sz w:val="18"/>
        </w:rPr>
        <w:t> </w:t>
      </w:r>
      <w:r>
        <w:rPr>
          <w:color w:val="4C4D4F"/>
          <w:w w:val="115"/>
          <w:sz w:val="18"/>
        </w:rPr>
        <w:t>Doraimani, G.,</w:t>
      </w:r>
      <w:r>
        <w:rPr>
          <w:color w:val="4C4D4F"/>
          <w:spacing w:val="-21"/>
          <w:w w:val="115"/>
          <w:sz w:val="18"/>
        </w:rPr>
        <w:t> </w:t>
      </w:r>
      <w:r>
        <w:rPr>
          <w:color w:val="4C4D4F"/>
          <w:spacing w:val="-3"/>
          <w:w w:val="115"/>
          <w:sz w:val="18"/>
        </w:rPr>
        <w:t>Hunter,</w:t>
      </w:r>
      <w:r>
        <w:rPr>
          <w:color w:val="4C4D4F"/>
          <w:spacing w:val="-20"/>
          <w:w w:val="115"/>
          <w:sz w:val="18"/>
        </w:rPr>
        <w:t> </w:t>
      </w:r>
      <w:r>
        <w:rPr>
          <w:color w:val="4C4D4F"/>
          <w:w w:val="120"/>
          <w:sz w:val="18"/>
        </w:rPr>
        <w:t>J.,</w:t>
      </w:r>
      <w:r>
        <w:rPr>
          <w:color w:val="4C4D4F"/>
          <w:spacing w:val="-23"/>
          <w:w w:val="120"/>
          <w:sz w:val="18"/>
        </w:rPr>
        <w:t> </w:t>
      </w:r>
      <w:r>
        <w:rPr>
          <w:color w:val="4C4D4F"/>
          <w:w w:val="115"/>
          <w:sz w:val="18"/>
        </w:rPr>
        <w:t>Thomas,</w:t>
      </w:r>
      <w:r>
        <w:rPr>
          <w:color w:val="4C4D4F"/>
          <w:spacing w:val="-20"/>
          <w:w w:val="115"/>
          <w:sz w:val="18"/>
        </w:rPr>
        <w:t> </w:t>
      </w:r>
      <w:r>
        <w:rPr>
          <w:color w:val="4C4D4F"/>
          <w:w w:val="115"/>
          <w:sz w:val="18"/>
        </w:rPr>
        <w:t>C.,</w:t>
      </w:r>
      <w:r>
        <w:rPr>
          <w:color w:val="4C4D4F"/>
          <w:spacing w:val="-21"/>
          <w:w w:val="115"/>
          <w:sz w:val="18"/>
        </w:rPr>
        <w:t> </w:t>
      </w:r>
      <w:r>
        <w:rPr>
          <w:color w:val="4C4D4F"/>
          <w:w w:val="115"/>
          <w:sz w:val="18"/>
        </w:rPr>
        <w:t>…</w:t>
      </w:r>
      <w:r>
        <w:rPr>
          <w:color w:val="4C4D4F"/>
          <w:spacing w:val="-20"/>
          <w:w w:val="115"/>
          <w:sz w:val="18"/>
        </w:rPr>
        <w:t> </w:t>
      </w:r>
      <w:r>
        <w:rPr>
          <w:color w:val="4C4D4F"/>
          <w:w w:val="115"/>
          <w:sz w:val="18"/>
        </w:rPr>
        <w:t>Bilangi,</w:t>
      </w:r>
      <w:r>
        <w:rPr>
          <w:color w:val="4C4D4F"/>
          <w:spacing w:val="-21"/>
          <w:w w:val="115"/>
          <w:sz w:val="18"/>
        </w:rPr>
        <w:t> </w:t>
      </w:r>
      <w:r>
        <w:rPr>
          <w:color w:val="4C4D4F"/>
          <w:w w:val="115"/>
          <w:sz w:val="18"/>
        </w:rPr>
        <w:t>R.</w:t>
      </w:r>
      <w:r>
        <w:rPr>
          <w:color w:val="4C4D4F"/>
          <w:spacing w:val="-20"/>
          <w:w w:val="115"/>
          <w:sz w:val="18"/>
        </w:rPr>
        <w:t> </w:t>
      </w:r>
      <w:r>
        <w:rPr>
          <w:color w:val="4C4D4F"/>
          <w:spacing w:val="-3"/>
          <w:w w:val="115"/>
          <w:sz w:val="18"/>
        </w:rPr>
        <w:t>(2009).</w:t>
      </w:r>
    </w:p>
    <w:p>
      <w:pPr>
        <w:spacing w:before="2"/>
        <w:ind w:left="500" w:right="0" w:firstLine="0"/>
        <w:jc w:val="left"/>
        <w:rPr>
          <w:sz w:val="18"/>
        </w:rPr>
      </w:pPr>
      <w:r>
        <w:rPr>
          <w:color w:val="4C4D4F"/>
          <w:w w:val="115"/>
          <w:sz w:val="18"/>
        </w:rPr>
        <w:t>Buprenorphine tapering schedule and illicit opioid use.</w:t>
      </w:r>
    </w:p>
    <w:p>
      <w:pPr>
        <w:spacing w:before="6"/>
        <w:ind w:left="500" w:right="0" w:firstLine="0"/>
        <w:jc w:val="left"/>
        <w:rPr>
          <w:sz w:val="18"/>
        </w:rPr>
      </w:pPr>
      <w:r>
        <w:rPr>
          <w:rFonts w:ascii="Arial" w:hAnsi="Arial"/>
          <w:i/>
          <w:color w:val="4C4D4F"/>
          <w:w w:val="105"/>
          <w:sz w:val="18"/>
        </w:rPr>
        <w:t>Addiction, 104</w:t>
      </w:r>
      <w:r>
        <w:rPr>
          <w:color w:val="4C4D4F"/>
          <w:w w:val="105"/>
          <w:sz w:val="18"/>
        </w:rPr>
        <w:t>(2), 256–265.</w:t>
      </w:r>
    </w:p>
    <w:p>
      <w:pPr>
        <w:pStyle w:val="ListParagraph"/>
        <w:numPr>
          <w:ilvl w:val="0"/>
          <w:numId w:val="51"/>
        </w:numPr>
        <w:tabs>
          <w:tab w:pos="500" w:val="left" w:leader="none"/>
        </w:tabs>
        <w:spacing w:line="240" w:lineRule="auto" w:before="79" w:after="0"/>
        <w:ind w:left="500" w:right="0" w:hanging="360"/>
        <w:jc w:val="left"/>
        <w:rPr>
          <w:color w:val="4C4D4F"/>
          <w:sz w:val="18"/>
        </w:rPr>
      </w:pPr>
      <w:r>
        <w:rPr>
          <w:color w:val="4C4D4F"/>
          <w:w w:val="110"/>
          <w:sz w:val="18"/>
        </w:rPr>
        <w:t>Food and Drug Administration. (2017,</w:t>
      </w:r>
      <w:r>
        <w:rPr>
          <w:color w:val="4C4D4F"/>
          <w:spacing w:val="-19"/>
          <w:w w:val="110"/>
          <w:sz w:val="18"/>
        </w:rPr>
        <w:t> </w:t>
      </w:r>
      <w:r>
        <w:rPr>
          <w:color w:val="4C4D4F"/>
          <w:w w:val="110"/>
          <w:sz w:val="18"/>
        </w:rPr>
        <w:t>May).</w:t>
      </w:r>
    </w:p>
    <w:p>
      <w:pPr>
        <w:spacing w:line="249" w:lineRule="auto" w:before="6"/>
        <w:ind w:left="500" w:right="385" w:firstLine="0"/>
        <w:jc w:val="both"/>
        <w:rPr>
          <w:sz w:val="18"/>
        </w:rPr>
      </w:pPr>
      <w:r>
        <w:rPr>
          <w:rFonts w:ascii="Arial"/>
          <w:i/>
          <w:color w:val="4C4D4F"/>
          <w:sz w:val="18"/>
        </w:rPr>
        <w:t>Appropriate use checklist: Buprenorphine-containing </w:t>
      </w:r>
      <w:r>
        <w:rPr>
          <w:rFonts w:ascii="Arial"/>
          <w:i/>
          <w:color w:val="4C4D4F"/>
          <w:w w:val="105"/>
          <w:sz w:val="18"/>
        </w:rPr>
        <w:t>transmucosal</w:t>
      </w:r>
      <w:r>
        <w:rPr>
          <w:rFonts w:ascii="Arial"/>
          <w:i/>
          <w:color w:val="4C4D4F"/>
          <w:spacing w:val="-14"/>
          <w:w w:val="105"/>
          <w:sz w:val="18"/>
        </w:rPr>
        <w:t> </w:t>
      </w:r>
      <w:r>
        <w:rPr>
          <w:rFonts w:ascii="Arial"/>
          <w:i/>
          <w:color w:val="4C4D4F"/>
          <w:w w:val="105"/>
          <w:sz w:val="18"/>
        </w:rPr>
        <w:t>products</w:t>
      </w:r>
      <w:r>
        <w:rPr>
          <w:rFonts w:ascii="Arial"/>
          <w:i/>
          <w:color w:val="4C4D4F"/>
          <w:spacing w:val="-14"/>
          <w:w w:val="105"/>
          <w:sz w:val="18"/>
        </w:rPr>
        <w:t> </w:t>
      </w:r>
      <w:r>
        <w:rPr>
          <w:rFonts w:ascii="Arial"/>
          <w:i/>
          <w:color w:val="4C4D4F"/>
          <w:w w:val="105"/>
          <w:sz w:val="18"/>
        </w:rPr>
        <w:t>for</w:t>
      </w:r>
      <w:r>
        <w:rPr>
          <w:rFonts w:ascii="Arial"/>
          <w:i/>
          <w:color w:val="4C4D4F"/>
          <w:spacing w:val="-14"/>
          <w:w w:val="105"/>
          <w:sz w:val="18"/>
        </w:rPr>
        <w:t> </w:t>
      </w:r>
      <w:r>
        <w:rPr>
          <w:rFonts w:ascii="Arial"/>
          <w:i/>
          <w:color w:val="4C4D4F"/>
          <w:w w:val="105"/>
          <w:sz w:val="18"/>
        </w:rPr>
        <w:t>opioid</w:t>
      </w:r>
      <w:r>
        <w:rPr>
          <w:rFonts w:ascii="Arial"/>
          <w:i/>
          <w:color w:val="4C4D4F"/>
          <w:spacing w:val="-13"/>
          <w:w w:val="105"/>
          <w:sz w:val="18"/>
        </w:rPr>
        <w:t> </w:t>
      </w:r>
      <w:r>
        <w:rPr>
          <w:rFonts w:ascii="Arial"/>
          <w:i/>
          <w:color w:val="4C4D4F"/>
          <w:w w:val="105"/>
          <w:sz w:val="18"/>
        </w:rPr>
        <w:t>dependence.</w:t>
      </w:r>
      <w:r>
        <w:rPr>
          <w:rFonts w:ascii="Arial"/>
          <w:i/>
          <w:color w:val="4C4D4F"/>
          <w:spacing w:val="-15"/>
          <w:w w:val="105"/>
          <w:sz w:val="18"/>
        </w:rPr>
        <w:t> </w:t>
      </w:r>
      <w:r>
        <w:rPr>
          <w:color w:val="4C4D4F"/>
          <w:spacing w:val="-3"/>
          <w:w w:val="105"/>
          <w:sz w:val="18"/>
        </w:rPr>
        <w:t>Silver </w:t>
      </w:r>
      <w:r>
        <w:rPr>
          <w:color w:val="4C4D4F"/>
          <w:w w:val="105"/>
          <w:sz w:val="18"/>
        </w:rPr>
        <w:t>Spring, MD:</w:t>
      </w:r>
      <w:r>
        <w:rPr>
          <w:color w:val="4C4D4F"/>
          <w:spacing w:val="-2"/>
          <w:w w:val="105"/>
          <w:sz w:val="18"/>
        </w:rPr>
        <w:t> </w:t>
      </w:r>
      <w:r>
        <w:rPr>
          <w:color w:val="4C4D4F"/>
          <w:spacing w:val="-3"/>
          <w:w w:val="105"/>
          <w:sz w:val="18"/>
        </w:rPr>
        <w:t>Author.</w:t>
      </w:r>
    </w:p>
    <w:p>
      <w:pPr>
        <w:pStyle w:val="ListParagraph"/>
        <w:numPr>
          <w:ilvl w:val="0"/>
          <w:numId w:val="51"/>
        </w:numPr>
        <w:tabs>
          <w:tab w:pos="500" w:val="left" w:leader="none"/>
        </w:tabs>
        <w:spacing w:line="240" w:lineRule="auto" w:before="70" w:after="0"/>
        <w:ind w:left="500" w:right="0" w:hanging="360"/>
        <w:jc w:val="left"/>
        <w:rPr>
          <w:color w:val="4C4D4F"/>
          <w:sz w:val="18"/>
        </w:rPr>
      </w:pPr>
      <w:r>
        <w:rPr>
          <w:color w:val="4C4D4F"/>
          <w:w w:val="110"/>
          <w:sz w:val="18"/>
        </w:rPr>
        <w:t>American Society of Addiction Medicine.</w:t>
      </w:r>
      <w:r>
        <w:rPr>
          <w:color w:val="4C4D4F"/>
          <w:spacing w:val="-16"/>
          <w:w w:val="110"/>
          <w:sz w:val="18"/>
        </w:rPr>
        <w:t> </w:t>
      </w:r>
      <w:r>
        <w:rPr>
          <w:color w:val="4C4D4F"/>
          <w:w w:val="110"/>
          <w:sz w:val="18"/>
        </w:rPr>
        <w:t>(2017).</w:t>
      </w:r>
    </w:p>
    <w:p>
      <w:pPr>
        <w:spacing w:line="247" w:lineRule="auto" w:before="7"/>
        <w:ind w:left="500" w:right="253" w:firstLine="0"/>
        <w:jc w:val="left"/>
        <w:rPr>
          <w:sz w:val="18"/>
        </w:rPr>
      </w:pPr>
      <w:r>
        <w:rPr>
          <w:color w:val="4C4D4F"/>
          <w:w w:val="110"/>
          <w:sz w:val="18"/>
        </w:rPr>
        <w:t>Sample treatment agreement. Retrieved October </w:t>
      </w:r>
      <w:r>
        <w:rPr>
          <w:color w:val="4C4D4F"/>
          <w:spacing w:val="-6"/>
          <w:w w:val="110"/>
          <w:sz w:val="18"/>
        </w:rPr>
        <w:t>19, </w:t>
      </w:r>
      <w:r>
        <w:rPr>
          <w:color w:val="4C4D4F"/>
          <w:w w:val="110"/>
          <w:sz w:val="18"/>
        </w:rPr>
        <w:t>2017, from</w:t>
      </w:r>
      <w:r>
        <w:rPr>
          <w:color w:val="4C4D4F"/>
          <w:spacing w:val="-5"/>
          <w:w w:val="110"/>
          <w:sz w:val="18"/>
        </w:rPr>
        <w:t> </w:t>
      </w:r>
      <w:hyperlink r:id="rId104">
        <w:r>
          <w:rPr>
            <w:color w:val="205E9E"/>
            <w:w w:val="110"/>
            <w:sz w:val="18"/>
            <w:u w:val="single" w:color="205E9E"/>
          </w:rPr>
          <w:t>www.asam.org/docs/default-source</w:t>
        </w:r>
      </w:hyperlink>
    </w:p>
    <w:p>
      <w:pPr>
        <w:spacing w:line="247" w:lineRule="auto" w:before="2"/>
        <w:ind w:left="500" w:right="855" w:firstLine="0"/>
        <w:jc w:val="left"/>
        <w:rPr>
          <w:sz w:val="18"/>
        </w:rPr>
      </w:pPr>
      <w:r>
        <w:rPr>
          <w:color w:val="205E9E"/>
          <w:w w:val="115"/>
          <w:sz w:val="18"/>
          <w:u w:val="single" w:color="205E9E"/>
        </w:rPr>
        <w:t>/advocacy/sample-treatment-agreement30fa</w:t>
      </w:r>
      <w:r>
        <w:rPr>
          <w:color w:val="205E9E"/>
          <w:w w:val="115"/>
          <w:sz w:val="18"/>
        </w:rPr>
        <w:t> </w:t>
      </w:r>
      <w:r>
        <w:rPr>
          <w:color w:val="205E9E"/>
          <w:spacing w:val="-1"/>
          <w:w w:val="115"/>
          <w:sz w:val="18"/>
          <w:u w:val="single" w:color="205E9E"/>
        </w:rPr>
        <w:t>159472bc604ca5b7ff000030b21a.pdf?sfvrsn=0</w:t>
      </w:r>
    </w:p>
    <w:p>
      <w:pPr>
        <w:pStyle w:val="ListParagraph"/>
        <w:numPr>
          <w:ilvl w:val="0"/>
          <w:numId w:val="51"/>
        </w:numPr>
        <w:tabs>
          <w:tab w:pos="500" w:val="left" w:leader="none"/>
        </w:tabs>
        <w:spacing w:line="247" w:lineRule="auto" w:before="74" w:after="0"/>
        <w:ind w:left="500" w:right="172" w:hanging="360"/>
        <w:jc w:val="left"/>
        <w:rPr>
          <w:color w:val="4C4D4F"/>
          <w:sz w:val="18"/>
        </w:rPr>
      </w:pPr>
      <w:r>
        <w:rPr>
          <w:color w:val="4C4D4F"/>
          <w:w w:val="115"/>
          <w:sz w:val="18"/>
        </w:rPr>
        <w:t>Food and Drug Administration. (2017). FDA Drug Safety Communication: FDA urges caution about withholding</w:t>
      </w:r>
      <w:r>
        <w:rPr>
          <w:color w:val="4C4D4F"/>
          <w:spacing w:val="-25"/>
          <w:w w:val="115"/>
          <w:sz w:val="18"/>
        </w:rPr>
        <w:t> </w:t>
      </w:r>
      <w:r>
        <w:rPr>
          <w:color w:val="4C4D4F"/>
          <w:w w:val="115"/>
          <w:sz w:val="18"/>
        </w:rPr>
        <w:t>opioid</w:t>
      </w:r>
      <w:r>
        <w:rPr>
          <w:color w:val="4C4D4F"/>
          <w:spacing w:val="-24"/>
          <w:w w:val="115"/>
          <w:sz w:val="18"/>
        </w:rPr>
        <w:t> </w:t>
      </w:r>
      <w:r>
        <w:rPr>
          <w:color w:val="4C4D4F"/>
          <w:w w:val="115"/>
          <w:sz w:val="18"/>
        </w:rPr>
        <w:t>addiction</w:t>
      </w:r>
      <w:r>
        <w:rPr>
          <w:color w:val="4C4D4F"/>
          <w:spacing w:val="-25"/>
          <w:w w:val="115"/>
          <w:sz w:val="18"/>
        </w:rPr>
        <w:t> </w:t>
      </w:r>
      <w:r>
        <w:rPr>
          <w:color w:val="4C4D4F"/>
          <w:w w:val="115"/>
          <w:sz w:val="18"/>
        </w:rPr>
        <w:t>medications</w:t>
      </w:r>
      <w:r>
        <w:rPr>
          <w:color w:val="4C4D4F"/>
          <w:spacing w:val="-24"/>
          <w:w w:val="115"/>
          <w:sz w:val="18"/>
        </w:rPr>
        <w:t> </w:t>
      </w:r>
      <w:r>
        <w:rPr>
          <w:color w:val="4C4D4F"/>
          <w:w w:val="115"/>
          <w:sz w:val="18"/>
        </w:rPr>
        <w:t>from</w:t>
      </w:r>
      <w:r>
        <w:rPr>
          <w:color w:val="4C4D4F"/>
          <w:spacing w:val="-25"/>
          <w:w w:val="115"/>
          <w:sz w:val="18"/>
        </w:rPr>
        <w:t> </w:t>
      </w:r>
      <w:r>
        <w:rPr>
          <w:color w:val="4C4D4F"/>
          <w:spacing w:val="-3"/>
          <w:w w:val="115"/>
          <w:sz w:val="18"/>
        </w:rPr>
        <w:t>patients </w:t>
      </w:r>
      <w:r>
        <w:rPr>
          <w:color w:val="4C4D4F"/>
          <w:w w:val="115"/>
          <w:sz w:val="18"/>
        </w:rPr>
        <w:t>taking benzodiazepines or CNS depressants: Careful medication management can reduce risks. Retrieved December 18, 2017, from</w:t>
      </w:r>
      <w:r>
        <w:rPr>
          <w:color w:val="205E9E"/>
          <w:w w:val="115"/>
          <w:sz w:val="18"/>
        </w:rPr>
        <w:t> </w:t>
      </w:r>
      <w:hyperlink r:id="rId75">
        <w:r>
          <w:rPr>
            <w:color w:val="205E9E"/>
            <w:w w:val="115"/>
            <w:sz w:val="18"/>
            <w:u w:val="single" w:color="205E9E"/>
          </w:rPr>
          <w:t>www.fda.gov/Drugs/Drug</w:t>
        </w:r>
      </w:hyperlink>
      <w:r>
        <w:rPr>
          <w:color w:val="205E9E"/>
          <w:w w:val="115"/>
          <w:sz w:val="18"/>
          <w:u w:val="single" w:color="205E9E"/>
        </w:rPr>
        <w:t> Safety/ucm575307.htm</w:t>
      </w:r>
    </w:p>
    <w:p>
      <w:pPr>
        <w:pStyle w:val="ListParagraph"/>
        <w:numPr>
          <w:ilvl w:val="0"/>
          <w:numId w:val="51"/>
        </w:numPr>
        <w:tabs>
          <w:tab w:pos="500" w:val="left" w:leader="none"/>
        </w:tabs>
        <w:spacing w:line="247" w:lineRule="auto" w:before="79" w:after="0"/>
        <w:ind w:left="500" w:right="267" w:hanging="360"/>
        <w:jc w:val="left"/>
        <w:rPr>
          <w:color w:val="4C4D4F"/>
          <w:sz w:val="18"/>
        </w:rPr>
      </w:pPr>
      <w:r>
        <w:rPr>
          <w:color w:val="4C4D4F"/>
          <w:w w:val="110"/>
          <w:sz w:val="18"/>
        </w:rPr>
        <w:t>Lintzeris, N., &amp; Nielsen, S. (2010). Benzodiazepines, methadone and buprenorphine: Interactions and clinical</w:t>
      </w:r>
      <w:r>
        <w:rPr>
          <w:color w:val="4C4D4F"/>
          <w:spacing w:val="-31"/>
          <w:w w:val="110"/>
          <w:sz w:val="18"/>
        </w:rPr>
        <w:t> </w:t>
      </w:r>
      <w:r>
        <w:rPr>
          <w:color w:val="4C4D4F"/>
          <w:w w:val="110"/>
          <w:sz w:val="18"/>
        </w:rPr>
        <w:t>management.</w:t>
      </w:r>
      <w:r>
        <w:rPr>
          <w:color w:val="4C4D4F"/>
          <w:spacing w:val="-31"/>
          <w:w w:val="110"/>
          <w:sz w:val="18"/>
        </w:rPr>
        <w:t> </w:t>
      </w:r>
      <w:r>
        <w:rPr>
          <w:rFonts w:ascii="Arial" w:hAnsi="Arial"/>
          <w:i/>
          <w:color w:val="4C4D4F"/>
          <w:w w:val="110"/>
          <w:sz w:val="18"/>
        </w:rPr>
        <w:t>American</w:t>
      </w:r>
      <w:r>
        <w:rPr>
          <w:rFonts w:ascii="Arial" w:hAnsi="Arial"/>
          <w:i/>
          <w:color w:val="4C4D4F"/>
          <w:spacing w:val="-30"/>
          <w:w w:val="110"/>
          <w:sz w:val="18"/>
        </w:rPr>
        <w:t> </w:t>
      </w:r>
      <w:r>
        <w:rPr>
          <w:rFonts w:ascii="Arial" w:hAnsi="Arial"/>
          <w:i/>
          <w:color w:val="4C4D4F"/>
          <w:w w:val="110"/>
          <w:sz w:val="18"/>
        </w:rPr>
        <w:t>Journal</w:t>
      </w:r>
      <w:r>
        <w:rPr>
          <w:rFonts w:ascii="Arial" w:hAnsi="Arial"/>
          <w:i/>
          <w:color w:val="4C4D4F"/>
          <w:spacing w:val="-31"/>
          <w:w w:val="110"/>
          <w:sz w:val="18"/>
        </w:rPr>
        <w:t> </w:t>
      </w:r>
      <w:r>
        <w:rPr>
          <w:rFonts w:ascii="Arial" w:hAnsi="Arial"/>
          <w:i/>
          <w:color w:val="4C4D4F"/>
          <w:w w:val="110"/>
          <w:sz w:val="18"/>
        </w:rPr>
        <w:t>on</w:t>
      </w:r>
      <w:r>
        <w:rPr>
          <w:rFonts w:ascii="Arial" w:hAnsi="Arial"/>
          <w:i/>
          <w:color w:val="4C4D4F"/>
          <w:spacing w:val="-30"/>
          <w:w w:val="110"/>
          <w:sz w:val="18"/>
        </w:rPr>
        <w:t> </w:t>
      </w:r>
      <w:r>
        <w:rPr>
          <w:rFonts w:ascii="Arial" w:hAnsi="Arial"/>
          <w:i/>
          <w:color w:val="4C4D4F"/>
          <w:w w:val="110"/>
          <w:sz w:val="18"/>
        </w:rPr>
        <w:t>Addictions, </w:t>
      </w:r>
      <w:r>
        <w:rPr>
          <w:rFonts w:ascii="Arial" w:hAnsi="Arial"/>
          <w:i/>
          <w:color w:val="4C4D4F"/>
          <w:w w:val="110"/>
          <w:sz w:val="18"/>
        </w:rPr>
        <w:t>19</w:t>
      </w:r>
      <w:r>
        <w:rPr>
          <w:color w:val="4C4D4F"/>
          <w:w w:val="110"/>
          <w:sz w:val="18"/>
        </w:rPr>
        <w:t>(1),</w:t>
      </w:r>
      <w:r>
        <w:rPr>
          <w:color w:val="4C4D4F"/>
          <w:spacing w:val="-6"/>
          <w:w w:val="110"/>
          <w:sz w:val="18"/>
        </w:rPr>
        <w:t> </w:t>
      </w:r>
      <w:r>
        <w:rPr>
          <w:color w:val="4C4D4F"/>
          <w:w w:val="110"/>
          <w:sz w:val="18"/>
        </w:rPr>
        <w:t>59–72.</w:t>
      </w:r>
    </w:p>
    <w:p>
      <w:pPr>
        <w:pStyle w:val="ListParagraph"/>
        <w:numPr>
          <w:ilvl w:val="0"/>
          <w:numId w:val="51"/>
        </w:numPr>
        <w:tabs>
          <w:tab w:pos="500" w:val="left" w:leader="none"/>
        </w:tabs>
        <w:spacing w:line="247" w:lineRule="auto" w:before="73" w:after="0"/>
        <w:ind w:left="500" w:right="208" w:hanging="360"/>
        <w:jc w:val="left"/>
        <w:rPr>
          <w:color w:val="4C4D4F"/>
          <w:sz w:val="18"/>
        </w:rPr>
      </w:pPr>
      <w:r>
        <w:rPr>
          <w:color w:val="4C4D4F"/>
          <w:w w:val="110"/>
          <w:sz w:val="18"/>
        </w:rPr>
        <w:t>Lofwall, M. R., &amp; Walsh, S. L. (2014). A review of buprenorphine diversion and misuse: The current evidence base and experiences from around the </w:t>
      </w:r>
      <w:r>
        <w:rPr>
          <w:color w:val="4C4D4F"/>
          <w:spacing w:val="-3"/>
          <w:w w:val="110"/>
          <w:sz w:val="18"/>
        </w:rPr>
        <w:t>world. </w:t>
      </w:r>
      <w:r>
        <w:rPr>
          <w:rFonts w:ascii="Arial" w:hAnsi="Arial"/>
          <w:i/>
          <w:color w:val="4C4D4F"/>
          <w:w w:val="110"/>
          <w:sz w:val="18"/>
        </w:rPr>
        <w:t>Journal</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Medicine,</w:t>
      </w:r>
      <w:r>
        <w:rPr>
          <w:rFonts w:ascii="Arial" w:hAnsi="Arial"/>
          <w:i/>
          <w:color w:val="4C4D4F"/>
          <w:spacing w:val="-13"/>
          <w:w w:val="110"/>
          <w:sz w:val="18"/>
        </w:rPr>
        <w:t> </w:t>
      </w:r>
      <w:r>
        <w:rPr>
          <w:rFonts w:ascii="Arial" w:hAnsi="Arial"/>
          <w:i/>
          <w:color w:val="4C4D4F"/>
          <w:w w:val="110"/>
          <w:sz w:val="18"/>
        </w:rPr>
        <w:t>8</w:t>
      </w:r>
      <w:r>
        <w:rPr>
          <w:color w:val="4C4D4F"/>
          <w:w w:val="110"/>
          <w:sz w:val="18"/>
        </w:rPr>
        <w:t>(5),</w:t>
      </w:r>
      <w:r>
        <w:rPr>
          <w:color w:val="4C4D4F"/>
          <w:spacing w:val="-12"/>
          <w:w w:val="110"/>
          <w:sz w:val="18"/>
        </w:rPr>
        <w:t> </w:t>
      </w:r>
      <w:r>
        <w:rPr>
          <w:color w:val="4C4D4F"/>
          <w:w w:val="110"/>
          <w:sz w:val="18"/>
        </w:rPr>
        <w:t>315–326.</w:t>
      </w:r>
    </w:p>
    <w:p>
      <w:pPr>
        <w:pStyle w:val="ListParagraph"/>
        <w:numPr>
          <w:ilvl w:val="0"/>
          <w:numId w:val="51"/>
        </w:numPr>
        <w:tabs>
          <w:tab w:pos="500" w:val="left" w:leader="none"/>
        </w:tabs>
        <w:spacing w:line="247" w:lineRule="auto" w:before="75" w:after="0"/>
        <w:ind w:left="500" w:right="398" w:hanging="360"/>
        <w:jc w:val="left"/>
        <w:rPr>
          <w:color w:val="4C4D4F"/>
          <w:sz w:val="18"/>
        </w:rPr>
      </w:pPr>
      <w:r>
        <w:rPr>
          <w:color w:val="4C4D4F"/>
          <w:w w:val="115"/>
          <w:sz w:val="18"/>
        </w:rPr>
        <w:t>Liebschutz,</w:t>
      </w:r>
      <w:r>
        <w:rPr>
          <w:color w:val="4C4D4F"/>
          <w:spacing w:val="-32"/>
          <w:w w:val="115"/>
          <w:sz w:val="18"/>
        </w:rPr>
        <w:t> </w:t>
      </w:r>
      <w:r>
        <w:rPr>
          <w:color w:val="4C4D4F"/>
          <w:w w:val="135"/>
          <w:sz w:val="18"/>
        </w:rPr>
        <w:t>J.</w:t>
      </w:r>
      <w:r>
        <w:rPr>
          <w:color w:val="4C4D4F"/>
          <w:spacing w:val="-41"/>
          <w:w w:val="135"/>
          <w:sz w:val="18"/>
        </w:rPr>
        <w:t> </w:t>
      </w:r>
      <w:r>
        <w:rPr>
          <w:color w:val="4C4D4F"/>
          <w:w w:val="115"/>
          <w:sz w:val="18"/>
        </w:rPr>
        <w:t>M.,</w:t>
      </w:r>
      <w:r>
        <w:rPr>
          <w:color w:val="4C4D4F"/>
          <w:spacing w:val="-31"/>
          <w:w w:val="115"/>
          <w:sz w:val="18"/>
        </w:rPr>
        <w:t> </w:t>
      </w:r>
      <w:r>
        <w:rPr>
          <w:color w:val="4C4D4F"/>
          <w:w w:val="115"/>
          <w:sz w:val="18"/>
        </w:rPr>
        <w:t>Crooks,</w:t>
      </w:r>
      <w:r>
        <w:rPr>
          <w:color w:val="4C4D4F"/>
          <w:spacing w:val="-31"/>
          <w:w w:val="115"/>
          <w:sz w:val="18"/>
        </w:rPr>
        <w:t> </w:t>
      </w:r>
      <w:r>
        <w:rPr>
          <w:color w:val="4C4D4F"/>
          <w:w w:val="115"/>
          <w:sz w:val="18"/>
        </w:rPr>
        <w:t>D.,</w:t>
      </w:r>
      <w:r>
        <w:rPr>
          <w:color w:val="4C4D4F"/>
          <w:spacing w:val="-31"/>
          <w:w w:val="115"/>
          <w:sz w:val="18"/>
        </w:rPr>
        <w:t> </w:t>
      </w:r>
      <w:r>
        <w:rPr>
          <w:color w:val="4C4D4F"/>
          <w:w w:val="115"/>
          <w:sz w:val="18"/>
        </w:rPr>
        <w:t>Herman,</w:t>
      </w:r>
      <w:r>
        <w:rPr>
          <w:color w:val="4C4D4F"/>
          <w:spacing w:val="-31"/>
          <w:w w:val="115"/>
          <w:sz w:val="18"/>
        </w:rPr>
        <w:t> </w:t>
      </w:r>
      <w:r>
        <w:rPr>
          <w:color w:val="4C4D4F"/>
          <w:w w:val="115"/>
          <w:sz w:val="18"/>
        </w:rPr>
        <w:t>D.,</w:t>
      </w:r>
      <w:r>
        <w:rPr>
          <w:color w:val="4C4D4F"/>
          <w:spacing w:val="-31"/>
          <w:w w:val="115"/>
          <w:sz w:val="18"/>
        </w:rPr>
        <w:t> </w:t>
      </w:r>
      <w:r>
        <w:rPr>
          <w:color w:val="4C4D4F"/>
          <w:w w:val="115"/>
          <w:sz w:val="18"/>
        </w:rPr>
        <w:t>Anderson, B.,</w:t>
      </w:r>
      <w:r>
        <w:rPr>
          <w:color w:val="4C4D4F"/>
          <w:spacing w:val="-13"/>
          <w:w w:val="115"/>
          <w:sz w:val="18"/>
        </w:rPr>
        <w:t> </w:t>
      </w:r>
      <w:r>
        <w:rPr>
          <w:color w:val="4C4D4F"/>
          <w:spacing w:val="-4"/>
          <w:w w:val="115"/>
          <w:sz w:val="18"/>
        </w:rPr>
        <w:t>Tsui,</w:t>
      </w:r>
      <w:r>
        <w:rPr>
          <w:color w:val="4C4D4F"/>
          <w:spacing w:val="-13"/>
          <w:w w:val="115"/>
          <w:sz w:val="18"/>
        </w:rPr>
        <w:t> </w:t>
      </w:r>
      <w:r>
        <w:rPr>
          <w:color w:val="4C4D4F"/>
          <w:w w:val="135"/>
          <w:sz w:val="18"/>
        </w:rPr>
        <w:t>J.,</w:t>
      </w:r>
      <w:r>
        <w:rPr>
          <w:color w:val="4C4D4F"/>
          <w:spacing w:val="-22"/>
          <w:w w:val="135"/>
          <w:sz w:val="18"/>
        </w:rPr>
        <w:t> </w:t>
      </w:r>
      <w:r>
        <w:rPr>
          <w:color w:val="4C4D4F"/>
          <w:w w:val="115"/>
          <w:sz w:val="18"/>
        </w:rPr>
        <w:t>Meshesha,</w:t>
      </w:r>
      <w:r>
        <w:rPr>
          <w:color w:val="4C4D4F"/>
          <w:spacing w:val="-13"/>
          <w:w w:val="115"/>
          <w:sz w:val="18"/>
        </w:rPr>
        <w:t> </w:t>
      </w:r>
      <w:r>
        <w:rPr>
          <w:color w:val="4C4D4F"/>
          <w:w w:val="115"/>
          <w:sz w:val="18"/>
        </w:rPr>
        <w:t>L.</w:t>
      </w:r>
      <w:r>
        <w:rPr>
          <w:color w:val="4C4D4F"/>
          <w:spacing w:val="-12"/>
          <w:w w:val="115"/>
          <w:sz w:val="18"/>
        </w:rPr>
        <w:t> </w:t>
      </w:r>
      <w:r>
        <w:rPr>
          <w:color w:val="4C4D4F"/>
          <w:w w:val="115"/>
          <w:sz w:val="18"/>
        </w:rPr>
        <w:t>Z.,</w:t>
      </w:r>
      <w:r>
        <w:rPr>
          <w:color w:val="4C4D4F"/>
          <w:spacing w:val="-13"/>
          <w:w w:val="115"/>
          <w:sz w:val="18"/>
        </w:rPr>
        <w:t> </w:t>
      </w:r>
      <w:r>
        <w:rPr>
          <w:color w:val="4C4D4F"/>
          <w:w w:val="115"/>
          <w:sz w:val="18"/>
        </w:rPr>
        <w:t>…</w:t>
      </w:r>
      <w:r>
        <w:rPr>
          <w:color w:val="4C4D4F"/>
          <w:spacing w:val="-12"/>
          <w:w w:val="115"/>
          <w:sz w:val="18"/>
        </w:rPr>
        <w:t> </w:t>
      </w:r>
      <w:r>
        <w:rPr>
          <w:color w:val="4C4D4F"/>
          <w:w w:val="115"/>
          <w:sz w:val="18"/>
        </w:rPr>
        <w:t>Stein,</w:t>
      </w:r>
      <w:r>
        <w:rPr>
          <w:color w:val="4C4D4F"/>
          <w:spacing w:val="-13"/>
          <w:w w:val="115"/>
          <w:sz w:val="18"/>
        </w:rPr>
        <w:t> </w:t>
      </w:r>
      <w:r>
        <w:rPr>
          <w:color w:val="4C4D4F"/>
          <w:w w:val="115"/>
          <w:sz w:val="18"/>
        </w:rPr>
        <w:t>M.</w:t>
      </w:r>
      <w:r>
        <w:rPr>
          <w:color w:val="4C4D4F"/>
          <w:spacing w:val="-12"/>
          <w:w w:val="115"/>
          <w:sz w:val="18"/>
        </w:rPr>
        <w:t> </w:t>
      </w:r>
      <w:r>
        <w:rPr>
          <w:color w:val="4C4D4F"/>
          <w:w w:val="115"/>
          <w:sz w:val="18"/>
        </w:rPr>
        <w:t>(2014).</w:t>
      </w:r>
    </w:p>
    <w:p>
      <w:pPr>
        <w:spacing w:line="247" w:lineRule="auto" w:before="2"/>
        <w:ind w:left="500" w:right="0" w:firstLine="0"/>
        <w:jc w:val="left"/>
        <w:rPr>
          <w:sz w:val="18"/>
        </w:rPr>
      </w:pPr>
      <w:r>
        <w:rPr>
          <w:color w:val="4C4D4F"/>
          <w:w w:val="110"/>
          <w:sz w:val="18"/>
        </w:rPr>
        <w:t>Buprenorphine treatment for hospitalized, opioid- dependent patients: A randomized clinical trial. </w:t>
      </w:r>
      <w:r>
        <w:rPr>
          <w:rFonts w:ascii="Arial" w:hAnsi="Arial"/>
          <w:i/>
          <w:color w:val="4C4D4F"/>
          <w:w w:val="110"/>
          <w:sz w:val="18"/>
        </w:rPr>
        <w:t>JAMA </w:t>
      </w:r>
      <w:r>
        <w:rPr>
          <w:rFonts w:ascii="Arial" w:hAnsi="Arial"/>
          <w:i/>
          <w:color w:val="4C4D4F"/>
          <w:w w:val="110"/>
          <w:sz w:val="18"/>
        </w:rPr>
        <w:t>Internal Medicine, 174</w:t>
      </w:r>
      <w:r>
        <w:rPr>
          <w:color w:val="4C4D4F"/>
          <w:w w:val="110"/>
          <w:sz w:val="18"/>
        </w:rPr>
        <w:t>(8), 1369–1376.</w:t>
      </w:r>
    </w:p>
    <w:p>
      <w:pPr>
        <w:pStyle w:val="ListParagraph"/>
        <w:numPr>
          <w:ilvl w:val="0"/>
          <w:numId w:val="51"/>
        </w:numPr>
        <w:tabs>
          <w:tab w:pos="500" w:val="left" w:leader="none"/>
        </w:tabs>
        <w:spacing w:line="247" w:lineRule="auto" w:before="71" w:after="0"/>
        <w:ind w:left="500" w:right="335" w:hanging="360"/>
        <w:jc w:val="left"/>
        <w:rPr>
          <w:color w:val="4C4D4F"/>
          <w:sz w:val="18"/>
        </w:rPr>
      </w:pPr>
      <w:r>
        <w:rPr>
          <w:color w:val="4C4D4F"/>
          <w:w w:val="110"/>
          <w:sz w:val="18"/>
        </w:rPr>
        <w:t>Weiss, L., Netherland, </w:t>
      </w:r>
      <w:r>
        <w:rPr>
          <w:color w:val="4C4D4F"/>
          <w:w w:val="130"/>
          <w:sz w:val="18"/>
        </w:rPr>
        <w:t>J., </w:t>
      </w:r>
      <w:r>
        <w:rPr>
          <w:color w:val="4C4D4F"/>
          <w:w w:val="110"/>
          <w:sz w:val="18"/>
        </w:rPr>
        <w:t>Egan, </w:t>
      </w:r>
      <w:r>
        <w:rPr>
          <w:color w:val="4C4D4F"/>
          <w:w w:val="130"/>
          <w:sz w:val="18"/>
        </w:rPr>
        <w:t>J. </w:t>
      </w:r>
      <w:r>
        <w:rPr>
          <w:color w:val="4C4D4F"/>
          <w:w w:val="110"/>
          <w:sz w:val="18"/>
        </w:rPr>
        <w:t>E., Flanigan, </w:t>
      </w:r>
      <w:r>
        <w:rPr>
          <w:color w:val="4C4D4F"/>
          <w:spacing w:val="-11"/>
          <w:w w:val="110"/>
          <w:sz w:val="18"/>
        </w:rPr>
        <w:t>T. P., </w:t>
      </w:r>
      <w:r>
        <w:rPr>
          <w:color w:val="4C4D4F"/>
          <w:w w:val="110"/>
          <w:sz w:val="18"/>
        </w:rPr>
        <w:t>Fiellin, D. A., Finkelstein, R., &amp; Altice, </w:t>
      </w:r>
      <w:r>
        <w:rPr>
          <w:color w:val="4C4D4F"/>
          <w:spacing w:val="-15"/>
          <w:w w:val="110"/>
          <w:sz w:val="18"/>
        </w:rPr>
        <w:t>F. </w:t>
      </w:r>
      <w:r>
        <w:rPr>
          <w:color w:val="4C4D4F"/>
          <w:w w:val="110"/>
          <w:sz w:val="18"/>
        </w:rPr>
        <w:t>L. (2011). Integration of buprenorphine/naloxone treatment into HIV clinical care: Lessons from the BHIVES </w:t>
      </w:r>
      <w:r>
        <w:rPr>
          <w:color w:val="4C4D4F"/>
          <w:w w:val="105"/>
          <w:sz w:val="18"/>
        </w:rPr>
        <w:t>collaborative.</w:t>
      </w:r>
      <w:r>
        <w:rPr>
          <w:color w:val="4C4D4F"/>
          <w:spacing w:val="-12"/>
          <w:w w:val="105"/>
          <w:sz w:val="18"/>
        </w:rPr>
        <w:t> </w:t>
      </w:r>
      <w:r>
        <w:rPr>
          <w:rFonts w:ascii="Arial" w:hAnsi="Arial"/>
          <w:i/>
          <w:color w:val="4C4D4F"/>
          <w:w w:val="105"/>
          <w:sz w:val="18"/>
        </w:rPr>
        <w:t>Journal</w:t>
      </w:r>
      <w:r>
        <w:rPr>
          <w:rFonts w:ascii="Arial" w:hAnsi="Arial"/>
          <w:i/>
          <w:color w:val="4C4D4F"/>
          <w:spacing w:val="-11"/>
          <w:w w:val="105"/>
          <w:sz w:val="18"/>
        </w:rPr>
        <w:t> </w:t>
      </w:r>
      <w:r>
        <w:rPr>
          <w:rFonts w:ascii="Arial" w:hAnsi="Arial"/>
          <w:i/>
          <w:color w:val="4C4D4F"/>
          <w:w w:val="105"/>
          <w:sz w:val="18"/>
        </w:rPr>
        <w:t>of</w:t>
      </w:r>
      <w:r>
        <w:rPr>
          <w:rFonts w:ascii="Arial" w:hAnsi="Arial"/>
          <w:i/>
          <w:color w:val="4C4D4F"/>
          <w:spacing w:val="-11"/>
          <w:w w:val="105"/>
          <w:sz w:val="18"/>
        </w:rPr>
        <w:t> </w:t>
      </w:r>
      <w:r>
        <w:rPr>
          <w:rFonts w:ascii="Arial" w:hAnsi="Arial"/>
          <w:i/>
          <w:color w:val="4C4D4F"/>
          <w:w w:val="105"/>
          <w:sz w:val="18"/>
        </w:rPr>
        <w:t>Acquired</w:t>
      </w:r>
      <w:r>
        <w:rPr>
          <w:rFonts w:ascii="Arial" w:hAnsi="Arial"/>
          <w:i/>
          <w:color w:val="4C4D4F"/>
          <w:spacing w:val="-11"/>
          <w:w w:val="105"/>
          <w:sz w:val="18"/>
        </w:rPr>
        <w:t> </w:t>
      </w:r>
      <w:r>
        <w:rPr>
          <w:rFonts w:ascii="Arial" w:hAnsi="Arial"/>
          <w:i/>
          <w:color w:val="4C4D4F"/>
          <w:w w:val="105"/>
          <w:sz w:val="18"/>
        </w:rPr>
        <w:t>Immune</w:t>
      </w:r>
      <w:r>
        <w:rPr>
          <w:rFonts w:ascii="Arial" w:hAnsi="Arial"/>
          <w:i/>
          <w:color w:val="4C4D4F"/>
          <w:spacing w:val="-12"/>
          <w:w w:val="105"/>
          <w:sz w:val="18"/>
        </w:rPr>
        <w:t> </w:t>
      </w:r>
      <w:r>
        <w:rPr>
          <w:rFonts w:ascii="Arial" w:hAnsi="Arial"/>
          <w:i/>
          <w:color w:val="4C4D4F"/>
          <w:w w:val="105"/>
          <w:sz w:val="18"/>
        </w:rPr>
        <w:t>Deﬁciency </w:t>
      </w:r>
      <w:r>
        <w:rPr>
          <w:rFonts w:ascii="Arial" w:hAnsi="Arial"/>
          <w:i/>
          <w:color w:val="4C4D4F"/>
          <w:w w:val="110"/>
          <w:sz w:val="18"/>
        </w:rPr>
        <w:t>Syndromes, 56</w:t>
      </w:r>
      <w:r>
        <w:rPr>
          <w:color w:val="4C4D4F"/>
          <w:w w:val="110"/>
          <w:sz w:val="18"/>
        </w:rPr>
        <w:t>(Suppl. 1),</w:t>
      </w:r>
      <w:r>
        <w:rPr>
          <w:color w:val="4C4D4F"/>
          <w:spacing w:val="-24"/>
          <w:w w:val="110"/>
          <w:sz w:val="18"/>
        </w:rPr>
        <w:t> </w:t>
      </w:r>
      <w:r>
        <w:rPr>
          <w:color w:val="4C4D4F"/>
          <w:w w:val="110"/>
          <w:sz w:val="18"/>
        </w:rPr>
        <w:t>S68–S75.</w:t>
      </w:r>
    </w:p>
    <w:p>
      <w:pPr>
        <w:spacing w:after="0" w:line="247" w:lineRule="auto"/>
        <w:jc w:val="left"/>
        <w:rPr>
          <w:sz w:val="18"/>
        </w:rPr>
        <w:sectPr>
          <w:type w:val="continuous"/>
          <w:pgSz w:w="12240" w:h="15840"/>
          <w:pgMar w:top="540" w:bottom="280" w:left="940" w:right="920"/>
          <w:cols w:num="2" w:equalWidth="0">
            <w:col w:w="5026" w:space="194"/>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79" w:hanging="360"/>
        <w:jc w:val="left"/>
        <w:rPr>
          <w:color w:val="4C4D4F"/>
          <w:sz w:val="18"/>
        </w:rPr>
      </w:pPr>
      <w:r>
        <w:rPr>
          <w:color w:val="4C4D4F"/>
          <w:w w:val="110"/>
          <w:sz w:val="18"/>
        </w:rPr>
        <w:t>Weiss, R. D., </w:t>
      </w:r>
      <w:r>
        <w:rPr>
          <w:color w:val="4C4D4F"/>
          <w:spacing w:val="-3"/>
          <w:w w:val="110"/>
          <w:sz w:val="18"/>
        </w:rPr>
        <w:t>Potter, </w:t>
      </w:r>
      <w:r>
        <w:rPr>
          <w:color w:val="4C4D4F"/>
          <w:w w:val="135"/>
          <w:sz w:val="18"/>
        </w:rPr>
        <w:t>J. </w:t>
      </w:r>
      <w:r>
        <w:rPr>
          <w:color w:val="4C4D4F"/>
          <w:w w:val="110"/>
          <w:sz w:val="18"/>
        </w:rPr>
        <w:t>S., Grifﬁn, M. L., Provost, S. E., Fitzmaurice,</w:t>
      </w:r>
      <w:r>
        <w:rPr>
          <w:color w:val="4C4D4F"/>
          <w:spacing w:val="-9"/>
          <w:w w:val="110"/>
          <w:sz w:val="18"/>
        </w:rPr>
        <w:t> </w:t>
      </w:r>
      <w:r>
        <w:rPr>
          <w:color w:val="4C4D4F"/>
          <w:w w:val="110"/>
          <w:sz w:val="18"/>
        </w:rPr>
        <w:t>G.</w:t>
      </w:r>
      <w:r>
        <w:rPr>
          <w:color w:val="4C4D4F"/>
          <w:spacing w:val="-9"/>
          <w:w w:val="110"/>
          <w:sz w:val="18"/>
        </w:rPr>
        <w:t> </w:t>
      </w:r>
      <w:r>
        <w:rPr>
          <w:color w:val="4C4D4F"/>
          <w:w w:val="110"/>
          <w:sz w:val="18"/>
        </w:rPr>
        <w:t>M.,</w:t>
      </w:r>
      <w:r>
        <w:rPr>
          <w:color w:val="4C4D4F"/>
          <w:spacing w:val="-8"/>
          <w:w w:val="110"/>
          <w:sz w:val="18"/>
        </w:rPr>
        <w:t> </w:t>
      </w:r>
      <w:r>
        <w:rPr>
          <w:color w:val="4C4D4F"/>
          <w:w w:val="110"/>
          <w:sz w:val="18"/>
        </w:rPr>
        <w:t>McDermott,</w:t>
      </w:r>
      <w:r>
        <w:rPr>
          <w:color w:val="4C4D4F"/>
          <w:spacing w:val="-9"/>
          <w:w w:val="110"/>
          <w:sz w:val="18"/>
        </w:rPr>
        <w:t> </w:t>
      </w:r>
      <w:r>
        <w:rPr>
          <w:color w:val="4C4D4F"/>
          <w:w w:val="110"/>
          <w:sz w:val="18"/>
        </w:rPr>
        <w:t>K.</w:t>
      </w:r>
      <w:r>
        <w:rPr>
          <w:color w:val="4C4D4F"/>
          <w:spacing w:val="-8"/>
          <w:w w:val="110"/>
          <w:sz w:val="18"/>
        </w:rPr>
        <w:t> </w:t>
      </w:r>
      <w:r>
        <w:rPr>
          <w:color w:val="4C4D4F"/>
          <w:w w:val="110"/>
          <w:sz w:val="18"/>
        </w:rPr>
        <w:t>A.,</w:t>
      </w:r>
      <w:r>
        <w:rPr>
          <w:color w:val="4C4D4F"/>
          <w:spacing w:val="-9"/>
          <w:w w:val="110"/>
          <w:sz w:val="18"/>
        </w:rPr>
        <w:t> </w:t>
      </w:r>
      <w:r>
        <w:rPr>
          <w:color w:val="4C4D4F"/>
          <w:w w:val="110"/>
          <w:sz w:val="18"/>
        </w:rPr>
        <w:t>…</w:t>
      </w:r>
      <w:r>
        <w:rPr>
          <w:color w:val="4C4D4F"/>
          <w:spacing w:val="-8"/>
          <w:w w:val="110"/>
          <w:sz w:val="18"/>
        </w:rPr>
        <w:t> </w:t>
      </w:r>
      <w:r>
        <w:rPr>
          <w:color w:val="4C4D4F"/>
          <w:w w:val="110"/>
          <w:sz w:val="18"/>
        </w:rPr>
        <w:t>Carroll,</w:t>
      </w:r>
      <w:r>
        <w:rPr>
          <w:color w:val="4C4D4F"/>
          <w:spacing w:val="-9"/>
          <w:w w:val="110"/>
          <w:sz w:val="18"/>
        </w:rPr>
        <w:t> </w:t>
      </w:r>
      <w:r>
        <w:rPr>
          <w:color w:val="4C4D4F"/>
          <w:w w:val="110"/>
          <w:sz w:val="18"/>
        </w:rPr>
        <w:t>K.</w:t>
      </w:r>
      <w:r>
        <w:rPr>
          <w:color w:val="4C4D4F"/>
          <w:spacing w:val="-8"/>
          <w:w w:val="110"/>
          <w:sz w:val="18"/>
        </w:rPr>
        <w:t> </w:t>
      </w:r>
      <w:r>
        <w:rPr>
          <w:color w:val="4C4D4F"/>
          <w:spacing w:val="-9"/>
          <w:w w:val="110"/>
          <w:sz w:val="18"/>
        </w:rPr>
        <w:t>M. </w:t>
      </w:r>
      <w:r>
        <w:rPr>
          <w:color w:val="4C4D4F"/>
          <w:w w:val="110"/>
          <w:sz w:val="18"/>
        </w:rPr>
        <w:t>(2015). Long-term outcomes from the National Drug Abuse </w:t>
      </w:r>
      <w:r>
        <w:rPr>
          <w:color w:val="4C4D4F"/>
          <w:spacing w:val="-3"/>
          <w:w w:val="110"/>
          <w:sz w:val="18"/>
        </w:rPr>
        <w:t>Treatment </w:t>
      </w:r>
      <w:r>
        <w:rPr>
          <w:color w:val="4C4D4F"/>
          <w:w w:val="110"/>
          <w:sz w:val="18"/>
        </w:rPr>
        <w:t>Clinical </w:t>
      </w:r>
      <w:r>
        <w:rPr>
          <w:color w:val="4C4D4F"/>
          <w:spacing w:val="-3"/>
          <w:w w:val="110"/>
          <w:sz w:val="18"/>
        </w:rPr>
        <w:t>Trials </w:t>
      </w:r>
      <w:r>
        <w:rPr>
          <w:color w:val="4C4D4F"/>
          <w:w w:val="110"/>
          <w:sz w:val="18"/>
        </w:rPr>
        <w:t>Network Prescription Opioid Addiction </w:t>
      </w:r>
      <w:r>
        <w:rPr>
          <w:color w:val="4C4D4F"/>
          <w:spacing w:val="-3"/>
          <w:w w:val="110"/>
          <w:sz w:val="18"/>
        </w:rPr>
        <w:t>Treatment Study. </w:t>
      </w:r>
      <w:r>
        <w:rPr>
          <w:rFonts w:ascii="Arial" w:hAnsi="Arial"/>
          <w:i/>
          <w:color w:val="4C4D4F"/>
          <w:w w:val="110"/>
          <w:sz w:val="18"/>
        </w:rPr>
        <w:t>Drug and Alcohol </w:t>
      </w:r>
      <w:r>
        <w:rPr>
          <w:rFonts w:ascii="Arial" w:hAnsi="Arial"/>
          <w:i/>
          <w:color w:val="4C4D4F"/>
          <w:w w:val="110"/>
          <w:sz w:val="18"/>
        </w:rPr>
        <w:t>Dependence, 150,</w:t>
      </w:r>
      <w:r>
        <w:rPr>
          <w:rFonts w:ascii="Arial" w:hAnsi="Arial"/>
          <w:i/>
          <w:color w:val="4C4D4F"/>
          <w:spacing w:val="-16"/>
          <w:w w:val="110"/>
          <w:sz w:val="18"/>
        </w:rPr>
        <w:t> </w:t>
      </w:r>
      <w:r>
        <w:rPr>
          <w:color w:val="4C4D4F"/>
          <w:w w:val="110"/>
          <w:sz w:val="18"/>
        </w:rPr>
        <w:t>112–119.</w:t>
      </w:r>
    </w:p>
    <w:p>
      <w:pPr>
        <w:pStyle w:val="ListParagraph"/>
        <w:numPr>
          <w:ilvl w:val="0"/>
          <w:numId w:val="51"/>
        </w:numPr>
        <w:tabs>
          <w:tab w:pos="500" w:val="left" w:leader="none"/>
        </w:tabs>
        <w:spacing w:line="247" w:lineRule="auto" w:before="75" w:after="0"/>
        <w:ind w:left="500" w:right="382" w:hanging="360"/>
        <w:jc w:val="left"/>
        <w:rPr>
          <w:color w:val="4C4D4F"/>
          <w:sz w:val="18"/>
        </w:rPr>
      </w:pPr>
      <w:r>
        <w:rPr>
          <w:color w:val="4C4D4F"/>
          <w:w w:val="110"/>
          <w:sz w:val="18"/>
        </w:rPr>
        <w:t>Substance Abuse and Mental Health Services </w:t>
      </w:r>
      <w:r>
        <w:rPr>
          <w:color w:val="4C4D4F"/>
          <w:w w:val="105"/>
          <w:sz w:val="18"/>
        </w:rPr>
        <w:t>Administration. (2005). </w:t>
      </w:r>
      <w:r>
        <w:rPr>
          <w:rFonts w:ascii="Arial"/>
          <w:i/>
          <w:color w:val="4C4D4F"/>
          <w:w w:val="105"/>
          <w:sz w:val="18"/>
        </w:rPr>
        <w:t>Substance abuse</w:t>
      </w:r>
      <w:r>
        <w:rPr>
          <w:rFonts w:ascii="Arial"/>
          <w:i/>
          <w:color w:val="4C4D4F"/>
          <w:spacing w:val="-33"/>
          <w:w w:val="105"/>
          <w:sz w:val="18"/>
        </w:rPr>
        <w:t> </w:t>
      </w:r>
      <w:r>
        <w:rPr>
          <w:rFonts w:ascii="Arial"/>
          <w:i/>
          <w:color w:val="4C4D4F"/>
          <w:spacing w:val="-3"/>
          <w:w w:val="105"/>
          <w:sz w:val="18"/>
        </w:rPr>
        <w:t>treatment </w:t>
      </w:r>
      <w:r>
        <w:rPr>
          <w:rFonts w:ascii="Arial"/>
          <w:i/>
          <w:color w:val="4C4D4F"/>
          <w:w w:val="105"/>
          <w:sz w:val="18"/>
        </w:rPr>
        <w:t>for</w:t>
      </w:r>
      <w:r>
        <w:rPr>
          <w:rFonts w:ascii="Arial"/>
          <w:i/>
          <w:color w:val="4C4D4F"/>
          <w:spacing w:val="-11"/>
          <w:w w:val="105"/>
          <w:sz w:val="18"/>
        </w:rPr>
        <w:t> </w:t>
      </w:r>
      <w:r>
        <w:rPr>
          <w:rFonts w:ascii="Arial"/>
          <w:i/>
          <w:color w:val="4C4D4F"/>
          <w:w w:val="105"/>
          <w:sz w:val="18"/>
        </w:rPr>
        <w:t>persons</w:t>
      </w:r>
      <w:r>
        <w:rPr>
          <w:rFonts w:ascii="Arial"/>
          <w:i/>
          <w:color w:val="4C4D4F"/>
          <w:spacing w:val="-11"/>
          <w:w w:val="105"/>
          <w:sz w:val="18"/>
        </w:rPr>
        <w:t> </w:t>
      </w:r>
      <w:r>
        <w:rPr>
          <w:rFonts w:ascii="Arial"/>
          <w:i/>
          <w:color w:val="4C4D4F"/>
          <w:w w:val="105"/>
          <w:sz w:val="18"/>
        </w:rPr>
        <w:t>with</w:t>
      </w:r>
      <w:r>
        <w:rPr>
          <w:rFonts w:ascii="Arial"/>
          <w:i/>
          <w:color w:val="4C4D4F"/>
          <w:spacing w:val="-11"/>
          <w:w w:val="105"/>
          <w:sz w:val="18"/>
        </w:rPr>
        <w:t> </w:t>
      </w:r>
      <w:r>
        <w:rPr>
          <w:rFonts w:ascii="Arial"/>
          <w:i/>
          <w:color w:val="4C4D4F"/>
          <w:w w:val="105"/>
          <w:sz w:val="18"/>
        </w:rPr>
        <w:t>cooccurring</w:t>
      </w:r>
      <w:r>
        <w:rPr>
          <w:rFonts w:ascii="Arial"/>
          <w:i/>
          <w:color w:val="4C4D4F"/>
          <w:spacing w:val="-11"/>
          <w:w w:val="105"/>
          <w:sz w:val="18"/>
        </w:rPr>
        <w:t> </w:t>
      </w:r>
      <w:r>
        <w:rPr>
          <w:rFonts w:ascii="Arial"/>
          <w:i/>
          <w:color w:val="4C4D4F"/>
          <w:w w:val="105"/>
          <w:sz w:val="18"/>
        </w:rPr>
        <w:t>disorders.</w:t>
      </w:r>
      <w:r>
        <w:rPr>
          <w:rFonts w:ascii="Arial"/>
          <w:i/>
          <w:color w:val="4C4D4F"/>
          <w:spacing w:val="-12"/>
          <w:w w:val="105"/>
          <w:sz w:val="18"/>
        </w:rPr>
        <w:t> </w:t>
      </w:r>
      <w:r>
        <w:rPr>
          <w:color w:val="4C4D4F"/>
          <w:spacing w:val="-3"/>
          <w:w w:val="105"/>
          <w:sz w:val="18"/>
        </w:rPr>
        <w:t>Treatment</w:t>
      </w:r>
    </w:p>
    <w:p>
      <w:pPr>
        <w:spacing w:line="247" w:lineRule="auto" w:before="0"/>
        <w:ind w:left="500" w:right="64" w:firstLine="0"/>
        <w:jc w:val="left"/>
        <w:rPr>
          <w:sz w:val="18"/>
        </w:rPr>
      </w:pPr>
      <w:r>
        <w:rPr>
          <w:color w:val="4C4D4F"/>
          <w:w w:val="110"/>
          <w:sz w:val="18"/>
        </w:rPr>
        <w:t>Improvement</w:t>
      </w:r>
      <w:r>
        <w:rPr>
          <w:color w:val="4C4D4F"/>
          <w:spacing w:val="-16"/>
          <w:w w:val="110"/>
          <w:sz w:val="18"/>
        </w:rPr>
        <w:t> </w:t>
      </w:r>
      <w:r>
        <w:rPr>
          <w:color w:val="4C4D4F"/>
          <w:w w:val="110"/>
          <w:sz w:val="18"/>
        </w:rPr>
        <w:t>Protocol</w:t>
      </w:r>
      <w:r>
        <w:rPr>
          <w:color w:val="4C4D4F"/>
          <w:spacing w:val="-15"/>
          <w:w w:val="110"/>
          <w:sz w:val="18"/>
        </w:rPr>
        <w:t> </w:t>
      </w:r>
      <w:r>
        <w:rPr>
          <w:color w:val="4C4D4F"/>
          <w:w w:val="110"/>
          <w:sz w:val="18"/>
        </w:rPr>
        <w:t>(TIP)</w:t>
      </w:r>
      <w:r>
        <w:rPr>
          <w:color w:val="4C4D4F"/>
          <w:spacing w:val="-15"/>
          <w:w w:val="110"/>
          <w:sz w:val="18"/>
        </w:rPr>
        <w:t> </w:t>
      </w:r>
      <w:r>
        <w:rPr>
          <w:color w:val="4C4D4F"/>
          <w:w w:val="110"/>
          <w:sz w:val="18"/>
        </w:rPr>
        <w:t>Series</w:t>
      </w:r>
      <w:r>
        <w:rPr>
          <w:color w:val="4C4D4F"/>
          <w:spacing w:val="-16"/>
          <w:w w:val="110"/>
          <w:sz w:val="18"/>
        </w:rPr>
        <w:t> </w:t>
      </w:r>
      <w:r>
        <w:rPr>
          <w:color w:val="4C4D4F"/>
          <w:w w:val="110"/>
          <w:sz w:val="18"/>
        </w:rPr>
        <w:t>42.</w:t>
      </w:r>
      <w:r>
        <w:rPr>
          <w:color w:val="4C4D4F"/>
          <w:spacing w:val="-15"/>
          <w:w w:val="110"/>
          <w:sz w:val="18"/>
        </w:rPr>
        <w:t> </w:t>
      </w:r>
      <w:r>
        <w:rPr>
          <w:color w:val="4C4D4F"/>
          <w:w w:val="110"/>
          <w:sz w:val="18"/>
        </w:rPr>
        <w:t>HHS</w:t>
      </w:r>
      <w:r>
        <w:rPr>
          <w:color w:val="4C4D4F"/>
          <w:spacing w:val="-15"/>
          <w:w w:val="110"/>
          <w:sz w:val="18"/>
        </w:rPr>
        <w:t> </w:t>
      </w:r>
      <w:r>
        <w:rPr>
          <w:color w:val="4C4D4F"/>
          <w:w w:val="110"/>
          <w:sz w:val="18"/>
        </w:rPr>
        <w:t>Publication No. (SMA) 133992. Rockville, MD: Substance Abuse and Mental Health Services</w:t>
      </w:r>
      <w:r>
        <w:rPr>
          <w:color w:val="4C4D4F"/>
          <w:spacing w:val="-13"/>
          <w:w w:val="110"/>
          <w:sz w:val="18"/>
        </w:rPr>
        <w:t> </w:t>
      </w:r>
      <w:r>
        <w:rPr>
          <w:color w:val="4C4D4F"/>
          <w:w w:val="110"/>
          <w:sz w:val="18"/>
        </w:rPr>
        <w:t>Administration.</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0"/>
          <w:sz w:val="18"/>
        </w:rPr>
        <w:t>Center for Substance Abuse </w:t>
      </w:r>
      <w:r>
        <w:rPr>
          <w:color w:val="4C4D4F"/>
          <w:spacing w:val="-3"/>
          <w:w w:val="110"/>
          <w:sz w:val="18"/>
        </w:rPr>
        <w:t>Treatment.</w:t>
      </w:r>
      <w:r>
        <w:rPr>
          <w:color w:val="4C4D4F"/>
          <w:spacing w:val="-25"/>
          <w:w w:val="110"/>
          <w:sz w:val="18"/>
        </w:rPr>
        <w:t> </w:t>
      </w:r>
      <w:r>
        <w:rPr>
          <w:color w:val="4C4D4F"/>
          <w:w w:val="110"/>
          <w:sz w:val="18"/>
        </w:rPr>
        <w:t>(2004).</w:t>
      </w:r>
    </w:p>
    <w:p>
      <w:pPr>
        <w:spacing w:line="249" w:lineRule="auto" w:before="5"/>
        <w:ind w:left="500" w:right="5" w:firstLine="0"/>
        <w:jc w:val="left"/>
        <w:rPr>
          <w:sz w:val="18"/>
        </w:rPr>
      </w:pPr>
      <w:r>
        <w:rPr>
          <w:rFonts w:ascii="Arial"/>
          <w:i/>
          <w:color w:val="4C4D4F"/>
          <w:w w:val="105"/>
          <w:sz w:val="18"/>
        </w:rPr>
        <w:t>Clinical guidelines for the use of buprenorphine in the </w:t>
      </w:r>
      <w:r>
        <w:rPr>
          <w:rFonts w:ascii="Arial"/>
          <w:i/>
          <w:color w:val="4C4D4F"/>
          <w:w w:val="105"/>
          <w:sz w:val="18"/>
        </w:rPr>
        <w:t>treatment of opioid addiction. </w:t>
      </w:r>
      <w:r>
        <w:rPr>
          <w:color w:val="4C4D4F"/>
          <w:w w:val="105"/>
          <w:sz w:val="18"/>
        </w:rPr>
        <w:t>Treatment Improvement Protocol (TIP) Series 40. HHS Publication No. (SMA)</w:t>
      </w:r>
    </w:p>
    <w:p>
      <w:pPr>
        <w:spacing w:line="247" w:lineRule="auto" w:before="0"/>
        <w:ind w:left="500" w:right="85" w:firstLine="0"/>
        <w:jc w:val="left"/>
        <w:rPr>
          <w:sz w:val="18"/>
        </w:rPr>
      </w:pPr>
      <w:r>
        <w:rPr>
          <w:color w:val="4C4D4F"/>
          <w:w w:val="110"/>
          <w:sz w:val="18"/>
        </w:rPr>
        <w:t>04-3939. Rockville, MD: Substance Abuse and Mental Health Services Administration.</w:t>
      </w:r>
    </w:p>
    <w:p>
      <w:pPr>
        <w:pStyle w:val="ListParagraph"/>
        <w:numPr>
          <w:ilvl w:val="0"/>
          <w:numId w:val="51"/>
        </w:numPr>
        <w:tabs>
          <w:tab w:pos="500" w:val="left" w:leader="none"/>
        </w:tabs>
        <w:spacing w:line="247" w:lineRule="auto" w:before="73" w:after="0"/>
        <w:ind w:left="500" w:right="428" w:hanging="360"/>
        <w:jc w:val="left"/>
        <w:rPr>
          <w:color w:val="4C4D4F"/>
          <w:sz w:val="18"/>
        </w:rPr>
      </w:pPr>
      <w:r>
        <w:rPr>
          <w:color w:val="4C4D4F"/>
          <w:w w:val="110"/>
          <w:sz w:val="18"/>
        </w:rPr>
        <w:t>Drug Addiction </w:t>
      </w:r>
      <w:r>
        <w:rPr>
          <w:color w:val="4C4D4F"/>
          <w:spacing w:val="-3"/>
          <w:w w:val="110"/>
          <w:sz w:val="18"/>
        </w:rPr>
        <w:t>Treatment </w:t>
      </w:r>
      <w:r>
        <w:rPr>
          <w:color w:val="4C4D4F"/>
          <w:w w:val="110"/>
          <w:sz w:val="18"/>
        </w:rPr>
        <w:t>Act of 2000, H. R.</w:t>
      </w:r>
      <w:r>
        <w:rPr>
          <w:color w:val="4C4D4F"/>
          <w:spacing w:val="-39"/>
          <w:w w:val="110"/>
          <w:sz w:val="18"/>
        </w:rPr>
        <w:t> </w:t>
      </w:r>
      <w:r>
        <w:rPr>
          <w:color w:val="4C4D4F"/>
          <w:spacing w:val="-4"/>
          <w:w w:val="110"/>
          <w:sz w:val="18"/>
        </w:rPr>
        <w:t>2634 </w:t>
      </w:r>
      <w:r>
        <w:rPr>
          <w:color w:val="4C4D4F"/>
          <w:w w:val="110"/>
          <w:sz w:val="18"/>
        </w:rPr>
        <w:t>(1999–2000).</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Vujanovic, A. A., Bonn-Miller, M. O., &amp; </w:t>
      </w:r>
      <w:r>
        <w:rPr>
          <w:color w:val="4C4D4F"/>
          <w:spacing w:val="-3"/>
          <w:w w:val="110"/>
          <w:sz w:val="18"/>
        </w:rPr>
        <w:t>Petry,</w:t>
      </w:r>
      <w:r>
        <w:rPr>
          <w:color w:val="4C4D4F"/>
          <w:spacing w:val="-36"/>
          <w:w w:val="110"/>
          <w:sz w:val="18"/>
        </w:rPr>
        <w:t> </w:t>
      </w:r>
      <w:r>
        <w:rPr>
          <w:color w:val="4C4D4F"/>
          <w:w w:val="110"/>
          <w:sz w:val="18"/>
        </w:rPr>
        <w:t>N.</w:t>
      </w:r>
    </w:p>
    <w:p>
      <w:pPr>
        <w:spacing w:line="247" w:lineRule="auto" w:before="7"/>
        <w:ind w:left="500" w:right="-1" w:firstLine="0"/>
        <w:jc w:val="left"/>
        <w:rPr>
          <w:sz w:val="18"/>
        </w:rPr>
      </w:pPr>
      <w:r>
        <w:rPr>
          <w:color w:val="4C4D4F"/>
          <w:w w:val="110"/>
          <w:sz w:val="18"/>
        </w:rPr>
        <w:t>M. (2016). Co-occurring posttraumatic stress and substance use: Emerging research on correlates, mechanisms, and treatments—Introduction to the </w:t>
      </w:r>
      <w:r>
        <w:rPr>
          <w:color w:val="4C4D4F"/>
          <w:w w:val="105"/>
          <w:sz w:val="18"/>
        </w:rPr>
        <w:t>special issue. </w:t>
      </w:r>
      <w:r>
        <w:rPr>
          <w:rFonts w:ascii="Arial" w:hAnsi="Arial"/>
          <w:i/>
          <w:color w:val="4C4D4F"/>
          <w:w w:val="105"/>
          <w:sz w:val="18"/>
        </w:rPr>
        <w:t>Psychology of Addictive Behaviors, </w:t>
      </w:r>
      <w:r>
        <w:rPr>
          <w:rFonts w:ascii="Arial" w:hAnsi="Arial"/>
          <w:i/>
          <w:color w:val="4C4D4F"/>
          <w:spacing w:val="-4"/>
          <w:w w:val="105"/>
          <w:sz w:val="18"/>
        </w:rPr>
        <w:t>30</w:t>
      </w:r>
      <w:r>
        <w:rPr>
          <w:color w:val="4C4D4F"/>
          <w:spacing w:val="-4"/>
          <w:w w:val="105"/>
          <w:sz w:val="18"/>
        </w:rPr>
        <w:t>(7), </w:t>
      </w:r>
      <w:r>
        <w:rPr>
          <w:color w:val="4C4D4F"/>
          <w:w w:val="110"/>
          <w:sz w:val="18"/>
        </w:rPr>
        <w:t>713–719.</w:t>
      </w:r>
    </w:p>
    <w:p>
      <w:pPr>
        <w:pStyle w:val="ListParagraph"/>
        <w:numPr>
          <w:ilvl w:val="0"/>
          <w:numId w:val="51"/>
        </w:numPr>
        <w:tabs>
          <w:tab w:pos="500" w:val="left" w:leader="none"/>
        </w:tabs>
        <w:spacing w:line="247" w:lineRule="auto" w:before="75" w:after="0"/>
        <w:ind w:left="500" w:right="308" w:hanging="360"/>
        <w:jc w:val="left"/>
        <w:rPr>
          <w:color w:val="4C4D4F"/>
          <w:sz w:val="18"/>
        </w:rPr>
      </w:pPr>
      <w:r>
        <w:rPr>
          <w:color w:val="4C4D4F"/>
          <w:spacing w:val="-3"/>
          <w:w w:val="110"/>
          <w:sz w:val="18"/>
        </w:rPr>
        <w:t>Stitzer, </w:t>
      </w:r>
      <w:r>
        <w:rPr>
          <w:color w:val="4C4D4F"/>
          <w:w w:val="110"/>
          <w:sz w:val="18"/>
        </w:rPr>
        <w:t>M. L., &amp; </w:t>
      </w:r>
      <w:r>
        <w:rPr>
          <w:color w:val="4C4D4F"/>
          <w:spacing w:val="-4"/>
          <w:w w:val="110"/>
          <w:sz w:val="18"/>
        </w:rPr>
        <w:t>Vandrey, </w:t>
      </w:r>
      <w:r>
        <w:rPr>
          <w:color w:val="4C4D4F"/>
          <w:w w:val="110"/>
          <w:sz w:val="18"/>
        </w:rPr>
        <w:t>R. (2008). Contingency management: Utility in the treatment of drug </w:t>
      </w:r>
      <w:r>
        <w:rPr>
          <w:color w:val="4C4D4F"/>
          <w:spacing w:val="-4"/>
          <w:w w:val="110"/>
          <w:sz w:val="18"/>
        </w:rPr>
        <w:t>abuse </w:t>
      </w:r>
      <w:r>
        <w:rPr>
          <w:color w:val="4C4D4F"/>
          <w:w w:val="105"/>
          <w:sz w:val="18"/>
        </w:rPr>
        <w:t>disorders.</w:t>
      </w:r>
      <w:r>
        <w:rPr>
          <w:color w:val="4C4D4F"/>
          <w:spacing w:val="-27"/>
          <w:w w:val="105"/>
          <w:sz w:val="18"/>
        </w:rPr>
        <w:t> </w:t>
      </w:r>
      <w:r>
        <w:rPr>
          <w:rFonts w:ascii="Arial" w:hAnsi="Arial"/>
          <w:i/>
          <w:color w:val="4C4D4F"/>
          <w:w w:val="105"/>
          <w:sz w:val="18"/>
        </w:rPr>
        <w:t>Clinical</w:t>
      </w:r>
      <w:r>
        <w:rPr>
          <w:rFonts w:ascii="Arial" w:hAnsi="Arial"/>
          <w:i/>
          <w:color w:val="4C4D4F"/>
          <w:spacing w:val="-27"/>
          <w:w w:val="105"/>
          <w:sz w:val="18"/>
        </w:rPr>
        <w:t> </w:t>
      </w:r>
      <w:r>
        <w:rPr>
          <w:rFonts w:ascii="Arial" w:hAnsi="Arial"/>
          <w:i/>
          <w:color w:val="4C4D4F"/>
          <w:w w:val="105"/>
          <w:sz w:val="18"/>
        </w:rPr>
        <w:t>Pharmacology</w:t>
      </w:r>
      <w:r>
        <w:rPr>
          <w:rFonts w:ascii="Arial" w:hAnsi="Arial"/>
          <w:i/>
          <w:color w:val="4C4D4F"/>
          <w:spacing w:val="-27"/>
          <w:w w:val="105"/>
          <w:sz w:val="18"/>
        </w:rPr>
        <w:t> </w:t>
      </w:r>
      <w:r>
        <w:rPr>
          <w:rFonts w:ascii="Arial" w:hAnsi="Arial"/>
          <w:i/>
          <w:color w:val="4C4D4F"/>
          <w:w w:val="105"/>
          <w:sz w:val="18"/>
        </w:rPr>
        <w:t>and</w:t>
      </w:r>
      <w:r>
        <w:rPr>
          <w:rFonts w:ascii="Arial" w:hAnsi="Arial"/>
          <w:i/>
          <w:color w:val="4C4D4F"/>
          <w:spacing w:val="-27"/>
          <w:w w:val="105"/>
          <w:sz w:val="18"/>
        </w:rPr>
        <w:t> </w:t>
      </w:r>
      <w:r>
        <w:rPr>
          <w:rFonts w:ascii="Arial" w:hAnsi="Arial"/>
          <w:i/>
          <w:color w:val="4C4D4F"/>
          <w:w w:val="105"/>
          <w:sz w:val="18"/>
        </w:rPr>
        <w:t>Therapeutics, </w:t>
      </w:r>
      <w:r>
        <w:rPr>
          <w:rFonts w:ascii="Arial" w:hAnsi="Arial"/>
          <w:i/>
          <w:color w:val="4C4D4F"/>
          <w:w w:val="110"/>
          <w:sz w:val="18"/>
        </w:rPr>
        <w:t>83</w:t>
      </w:r>
      <w:r>
        <w:rPr>
          <w:color w:val="4C4D4F"/>
          <w:w w:val="110"/>
          <w:sz w:val="18"/>
        </w:rPr>
        <w:t>(4),</w:t>
      </w:r>
      <w:r>
        <w:rPr>
          <w:color w:val="4C4D4F"/>
          <w:spacing w:val="-6"/>
          <w:w w:val="110"/>
          <w:sz w:val="18"/>
        </w:rPr>
        <w:t> </w:t>
      </w:r>
      <w:r>
        <w:rPr>
          <w:color w:val="4C4D4F"/>
          <w:w w:val="110"/>
          <w:sz w:val="18"/>
        </w:rPr>
        <w:t>644–647.</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20"/>
          <w:sz w:val="18"/>
        </w:rPr>
        <w:t>Donovan,</w:t>
      </w:r>
      <w:r>
        <w:rPr>
          <w:color w:val="4C4D4F"/>
          <w:spacing w:val="-28"/>
          <w:w w:val="120"/>
          <w:sz w:val="18"/>
        </w:rPr>
        <w:t> </w:t>
      </w:r>
      <w:r>
        <w:rPr>
          <w:color w:val="4C4D4F"/>
          <w:w w:val="120"/>
          <w:sz w:val="18"/>
        </w:rPr>
        <w:t>D.</w:t>
      </w:r>
      <w:r>
        <w:rPr>
          <w:color w:val="4C4D4F"/>
          <w:spacing w:val="-27"/>
          <w:w w:val="120"/>
          <w:sz w:val="18"/>
        </w:rPr>
        <w:t> </w:t>
      </w:r>
      <w:r>
        <w:rPr>
          <w:color w:val="4C4D4F"/>
          <w:w w:val="120"/>
          <w:sz w:val="18"/>
        </w:rPr>
        <w:t>M.,</w:t>
      </w:r>
      <w:r>
        <w:rPr>
          <w:color w:val="4C4D4F"/>
          <w:spacing w:val="-28"/>
          <w:w w:val="120"/>
          <w:sz w:val="18"/>
        </w:rPr>
        <w:t> </w:t>
      </w:r>
      <w:r>
        <w:rPr>
          <w:color w:val="4C4D4F"/>
          <w:w w:val="120"/>
          <w:sz w:val="18"/>
        </w:rPr>
        <w:t>Ingalsbe,</w:t>
      </w:r>
      <w:r>
        <w:rPr>
          <w:color w:val="4C4D4F"/>
          <w:spacing w:val="-27"/>
          <w:w w:val="120"/>
          <w:sz w:val="18"/>
        </w:rPr>
        <w:t> </w:t>
      </w:r>
      <w:r>
        <w:rPr>
          <w:color w:val="4C4D4F"/>
          <w:w w:val="120"/>
          <w:sz w:val="18"/>
        </w:rPr>
        <w:t>M.</w:t>
      </w:r>
      <w:r>
        <w:rPr>
          <w:color w:val="4C4D4F"/>
          <w:spacing w:val="-27"/>
          <w:w w:val="120"/>
          <w:sz w:val="18"/>
        </w:rPr>
        <w:t> </w:t>
      </w:r>
      <w:r>
        <w:rPr>
          <w:color w:val="4C4D4F"/>
          <w:w w:val="120"/>
          <w:sz w:val="18"/>
        </w:rPr>
        <w:t>H.,</w:t>
      </w:r>
      <w:r>
        <w:rPr>
          <w:color w:val="4C4D4F"/>
          <w:spacing w:val="-28"/>
          <w:w w:val="120"/>
          <w:sz w:val="18"/>
        </w:rPr>
        <w:t> </w:t>
      </w:r>
      <w:r>
        <w:rPr>
          <w:color w:val="4C4D4F"/>
          <w:w w:val="120"/>
          <w:sz w:val="18"/>
        </w:rPr>
        <w:t>Benbow,</w:t>
      </w:r>
      <w:r>
        <w:rPr>
          <w:color w:val="4C4D4F"/>
          <w:spacing w:val="-27"/>
          <w:w w:val="120"/>
          <w:sz w:val="18"/>
        </w:rPr>
        <w:t> </w:t>
      </w:r>
      <w:r>
        <w:rPr>
          <w:color w:val="4C4D4F"/>
          <w:w w:val="125"/>
          <w:sz w:val="18"/>
        </w:rPr>
        <w:t>J.,</w:t>
      </w:r>
      <w:r>
        <w:rPr>
          <w:color w:val="4C4D4F"/>
          <w:spacing w:val="-30"/>
          <w:w w:val="125"/>
          <w:sz w:val="18"/>
        </w:rPr>
        <w:t> </w:t>
      </w:r>
      <w:r>
        <w:rPr>
          <w:color w:val="4C4D4F"/>
          <w:w w:val="120"/>
          <w:sz w:val="18"/>
        </w:rPr>
        <w:t>&amp;</w:t>
      </w:r>
      <w:r>
        <w:rPr>
          <w:color w:val="4C4D4F"/>
          <w:spacing w:val="-27"/>
          <w:w w:val="120"/>
          <w:sz w:val="18"/>
        </w:rPr>
        <w:t> </w:t>
      </w:r>
      <w:r>
        <w:rPr>
          <w:color w:val="4C4D4F"/>
          <w:spacing w:val="-3"/>
          <w:w w:val="120"/>
          <w:sz w:val="18"/>
        </w:rPr>
        <w:t>Daley,</w:t>
      </w:r>
    </w:p>
    <w:p>
      <w:pPr>
        <w:spacing w:line="247" w:lineRule="auto" w:before="8"/>
        <w:ind w:left="500" w:right="0" w:firstLine="0"/>
        <w:jc w:val="left"/>
        <w:rPr>
          <w:sz w:val="18"/>
        </w:rPr>
      </w:pPr>
      <w:r>
        <w:rPr>
          <w:color w:val="4C4D4F"/>
          <w:w w:val="110"/>
          <w:sz w:val="18"/>
        </w:rPr>
        <w:t>D. C. (2013). 12-step interventions and mutual support programs for substance use disorders: An overview. </w:t>
      </w:r>
      <w:r>
        <w:rPr>
          <w:rFonts w:ascii="Arial" w:hAnsi="Arial"/>
          <w:i/>
          <w:color w:val="4C4D4F"/>
          <w:w w:val="110"/>
          <w:sz w:val="18"/>
        </w:rPr>
        <w:t>Social Work in Public Health, 28</w:t>
      </w:r>
      <w:r>
        <w:rPr>
          <w:color w:val="4C4D4F"/>
          <w:w w:val="110"/>
          <w:sz w:val="18"/>
        </w:rPr>
        <w:t>(3–4), 313–332.</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20"/>
          <w:sz w:val="18"/>
        </w:rPr>
        <w:t>Donovan,</w:t>
      </w:r>
      <w:r>
        <w:rPr>
          <w:color w:val="4C4D4F"/>
          <w:spacing w:val="-28"/>
          <w:w w:val="120"/>
          <w:sz w:val="18"/>
        </w:rPr>
        <w:t> </w:t>
      </w:r>
      <w:r>
        <w:rPr>
          <w:color w:val="4C4D4F"/>
          <w:w w:val="120"/>
          <w:sz w:val="18"/>
        </w:rPr>
        <w:t>D.</w:t>
      </w:r>
      <w:r>
        <w:rPr>
          <w:color w:val="4C4D4F"/>
          <w:spacing w:val="-27"/>
          <w:w w:val="120"/>
          <w:sz w:val="18"/>
        </w:rPr>
        <w:t> </w:t>
      </w:r>
      <w:r>
        <w:rPr>
          <w:color w:val="4C4D4F"/>
          <w:w w:val="120"/>
          <w:sz w:val="18"/>
        </w:rPr>
        <w:t>M.,</w:t>
      </w:r>
      <w:r>
        <w:rPr>
          <w:color w:val="4C4D4F"/>
          <w:spacing w:val="-28"/>
          <w:w w:val="120"/>
          <w:sz w:val="18"/>
        </w:rPr>
        <w:t> </w:t>
      </w:r>
      <w:r>
        <w:rPr>
          <w:color w:val="4C4D4F"/>
          <w:w w:val="120"/>
          <w:sz w:val="18"/>
        </w:rPr>
        <w:t>Ingalsbe,</w:t>
      </w:r>
      <w:r>
        <w:rPr>
          <w:color w:val="4C4D4F"/>
          <w:spacing w:val="-27"/>
          <w:w w:val="120"/>
          <w:sz w:val="18"/>
        </w:rPr>
        <w:t> </w:t>
      </w:r>
      <w:r>
        <w:rPr>
          <w:color w:val="4C4D4F"/>
          <w:w w:val="120"/>
          <w:sz w:val="18"/>
        </w:rPr>
        <w:t>M.</w:t>
      </w:r>
      <w:r>
        <w:rPr>
          <w:color w:val="4C4D4F"/>
          <w:spacing w:val="-27"/>
          <w:w w:val="120"/>
          <w:sz w:val="18"/>
        </w:rPr>
        <w:t> </w:t>
      </w:r>
      <w:r>
        <w:rPr>
          <w:color w:val="4C4D4F"/>
          <w:w w:val="120"/>
          <w:sz w:val="18"/>
        </w:rPr>
        <w:t>H.,</w:t>
      </w:r>
      <w:r>
        <w:rPr>
          <w:color w:val="4C4D4F"/>
          <w:spacing w:val="-28"/>
          <w:w w:val="120"/>
          <w:sz w:val="18"/>
        </w:rPr>
        <w:t> </w:t>
      </w:r>
      <w:r>
        <w:rPr>
          <w:color w:val="4C4D4F"/>
          <w:w w:val="120"/>
          <w:sz w:val="18"/>
        </w:rPr>
        <w:t>Benbow,</w:t>
      </w:r>
      <w:r>
        <w:rPr>
          <w:color w:val="4C4D4F"/>
          <w:spacing w:val="-27"/>
          <w:w w:val="120"/>
          <w:sz w:val="18"/>
        </w:rPr>
        <w:t> </w:t>
      </w:r>
      <w:r>
        <w:rPr>
          <w:color w:val="4C4D4F"/>
          <w:w w:val="125"/>
          <w:sz w:val="18"/>
        </w:rPr>
        <w:t>J.,</w:t>
      </w:r>
      <w:r>
        <w:rPr>
          <w:color w:val="4C4D4F"/>
          <w:spacing w:val="-30"/>
          <w:w w:val="125"/>
          <w:sz w:val="18"/>
        </w:rPr>
        <w:t> </w:t>
      </w:r>
      <w:r>
        <w:rPr>
          <w:color w:val="4C4D4F"/>
          <w:w w:val="120"/>
          <w:sz w:val="18"/>
        </w:rPr>
        <w:t>&amp;</w:t>
      </w:r>
      <w:r>
        <w:rPr>
          <w:color w:val="4C4D4F"/>
          <w:spacing w:val="-27"/>
          <w:w w:val="120"/>
          <w:sz w:val="18"/>
        </w:rPr>
        <w:t> </w:t>
      </w:r>
      <w:r>
        <w:rPr>
          <w:color w:val="4C4D4F"/>
          <w:spacing w:val="-3"/>
          <w:w w:val="120"/>
          <w:sz w:val="18"/>
        </w:rPr>
        <w:t>Daley,</w:t>
      </w:r>
    </w:p>
    <w:p>
      <w:pPr>
        <w:spacing w:line="247" w:lineRule="auto" w:before="7"/>
        <w:ind w:left="500" w:right="0" w:firstLine="0"/>
        <w:jc w:val="left"/>
        <w:rPr>
          <w:sz w:val="18"/>
        </w:rPr>
      </w:pPr>
      <w:r>
        <w:rPr>
          <w:color w:val="4C4D4F"/>
          <w:w w:val="110"/>
          <w:sz w:val="18"/>
        </w:rPr>
        <w:t>D. C. (2013). 12-step interventions and mutual support programs for substance use disorders: An overview. </w:t>
      </w:r>
      <w:r>
        <w:rPr>
          <w:rFonts w:ascii="Arial" w:hAnsi="Arial"/>
          <w:i/>
          <w:color w:val="4C4D4F"/>
          <w:w w:val="110"/>
          <w:sz w:val="18"/>
        </w:rPr>
        <w:t>Social Work in Public Health, 28</w:t>
      </w:r>
      <w:r>
        <w:rPr>
          <w:color w:val="4C4D4F"/>
          <w:w w:val="110"/>
          <w:sz w:val="18"/>
        </w:rPr>
        <w:t>(3–4), 313–332.</w:t>
      </w:r>
    </w:p>
    <w:p>
      <w:pPr>
        <w:pStyle w:val="ListParagraph"/>
        <w:numPr>
          <w:ilvl w:val="0"/>
          <w:numId w:val="51"/>
        </w:numPr>
        <w:tabs>
          <w:tab w:pos="500" w:val="left" w:leader="none"/>
        </w:tabs>
        <w:spacing w:line="249" w:lineRule="auto" w:before="72" w:after="0"/>
        <w:ind w:left="500" w:right="104" w:hanging="360"/>
        <w:jc w:val="left"/>
        <w:rPr>
          <w:color w:val="4C4D4F"/>
          <w:sz w:val="18"/>
        </w:rPr>
      </w:pPr>
      <w:r>
        <w:rPr>
          <w:color w:val="4C4D4F"/>
          <w:w w:val="105"/>
          <w:sz w:val="18"/>
        </w:rPr>
        <w:t>McLellan, A. </w:t>
      </w:r>
      <w:r>
        <w:rPr>
          <w:color w:val="4C4D4F"/>
          <w:spacing w:val="-7"/>
          <w:w w:val="105"/>
          <w:sz w:val="18"/>
        </w:rPr>
        <w:t>T., </w:t>
      </w:r>
      <w:r>
        <w:rPr>
          <w:color w:val="4C4D4F"/>
          <w:w w:val="105"/>
          <w:sz w:val="18"/>
        </w:rPr>
        <w:t>&amp; White, </w:t>
      </w:r>
      <w:r>
        <w:rPr>
          <w:color w:val="4C4D4F"/>
          <w:spacing w:val="-7"/>
          <w:w w:val="105"/>
          <w:sz w:val="18"/>
        </w:rPr>
        <w:t>W. </w:t>
      </w:r>
      <w:r>
        <w:rPr>
          <w:color w:val="4C4D4F"/>
          <w:w w:val="105"/>
          <w:sz w:val="18"/>
        </w:rPr>
        <w:t>(2012). </w:t>
      </w:r>
      <w:r>
        <w:rPr>
          <w:rFonts w:ascii="Arial"/>
          <w:i/>
          <w:color w:val="4C4D4F"/>
          <w:w w:val="105"/>
          <w:sz w:val="18"/>
        </w:rPr>
        <w:t>Opioid </w:t>
      </w:r>
      <w:r>
        <w:rPr>
          <w:rFonts w:ascii="Arial"/>
          <w:i/>
          <w:color w:val="4C4D4F"/>
          <w:w w:val="105"/>
          <w:sz w:val="18"/>
        </w:rPr>
        <w:t>maintenance</w:t>
      </w:r>
      <w:r>
        <w:rPr>
          <w:rFonts w:ascii="Arial"/>
          <w:i/>
          <w:color w:val="4C4D4F"/>
          <w:spacing w:val="-30"/>
          <w:w w:val="105"/>
          <w:sz w:val="18"/>
        </w:rPr>
        <w:t> </w:t>
      </w:r>
      <w:r>
        <w:rPr>
          <w:rFonts w:ascii="Arial"/>
          <w:i/>
          <w:color w:val="4C4D4F"/>
          <w:w w:val="105"/>
          <w:sz w:val="18"/>
        </w:rPr>
        <w:t>and</w:t>
      </w:r>
      <w:r>
        <w:rPr>
          <w:rFonts w:ascii="Arial"/>
          <w:i/>
          <w:color w:val="4C4D4F"/>
          <w:spacing w:val="-29"/>
          <w:w w:val="105"/>
          <w:sz w:val="18"/>
        </w:rPr>
        <w:t> </w:t>
      </w:r>
      <w:r>
        <w:rPr>
          <w:rFonts w:ascii="Arial"/>
          <w:i/>
          <w:color w:val="4C4D4F"/>
          <w:w w:val="105"/>
          <w:sz w:val="18"/>
        </w:rPr>
        <w:t>recovery-oriented</w:t>
      </w:r>
      <w:r>
        <w:rPr>
          <w:rFonts w:ascii="Arial"/>
          <w:i/>
          <w:color w:val="4C4D4F"/>
          <w:spacing w:val="-30"/>
          <w:w w:val="105"/>
          <w:sz w:val="18"/>
        </w:rPr>
        <w:t> </w:t>
      </w:r>
      <w:r>
        <w:rPr>
          <w:rFonts w:ascii="Arial"/>
          <w:i/>
          <w:color w:val="4C4D4F"/>
          <w:w w:val="105"/>
          <w:sz w:val="18"/>
        </w:rPr>
        <w:t>systems</w:t>
      </w:r>
      <w:r>
        <w:rPr>
          <w:rFonts w:ascii="Arial"/>
          <w:i/>
          <w:color w:val="4C4D4F"/>
          <w:spacing w:val="-29"/>
          <w:w w:val="105"/>
          <w:sz w:val="18"/>
        </w:rPr>
        <w:t> </w:t>
      </w:r>
      <w:r>
        <w:rPr>
          <w:rFonts w:ascii="Arial"/>
          <w:i/>
          <w:color w:val="4C4D4F"/>
          <w:w w:val="105"/>
          <w:sz w:val="18"/>
        </w:rPr>
        <w:t>of</w:t>
      </w:r>
      <w:r>
        <w:rPr>
          <w:rFonts w:ascii="Arial"/>
          <w:i/>
          <w:color w:val="4C4D4F"/>
          <w:spacing w:val="-30"/>
          <w:w w:val="105"/>
          <w:sz w:val="18"/>
        </w:rPr>
        <w:t> </w:t>
      </w:r>
      <w:r>
        <w:rPr>
          <w:rFonts w:ascii="Arial"/>
          <w:i/>
          <w:color w:val="4C4D4F"/>
          <w:w w:val="105"/>
          <w:sz w:val="18"/>
        </w:rPr>
        <w:t>care:</w:t>
      </w:r>
      <w:r>
        <w:rPr>
          <w:rFonts w:ascii="Arial"/>
          <w:i/>
          <w:color w:val="4C4D4F"/>
          <w:spacing w:val="-29"/>
          <w:w w:val="105"/>
          <w:sz w:val="18"/>
        </w:rPr>
        <w:t> </w:t>
      </w:r>
      <w:r>
        <w:rPr>
          <w:rFonts w:ascii="Arial"/>
          <w:i/>
          <w:color w:val="4C4D4F"/>
          <w:spacing w:val="-8"/>
          <w:w w:val="105"/>
          <w:sz w:val="18"/>
        </w:rPr>
        <w:t>It </w:t>
      </w:r>
      <w:r>
        <w:rPr>
          <w:rFonts w:ascii="Arial"/>
          <w:i/>
          <w:color w:val="4C4D4F"/>
          <w:w w:val="105"/>
          <w:sz w:val="18"/>
        </w:rPr>
        <w:t>is time to integrate </w:t>
      </w:r>
      <w:r>
        <w:rPr>
          <w:color w:val="4C4D4F"/>
          <w:w w:val="105"/>
          <w:sz w:val="18"/>
        </w:rPr>
        <w:t>(p. 2). London, England: National </w:t>
      </w:r>
      <w:r>
        <w:rPr>
          <w:color w:val="4C4D4F"/>
          <w:spacing w:val="-3"/>
          <w:w w:val="105"/>
          <w:sz w:val="18"/>
        </w:rPr>
        <w:t>Treatment </w:t>
      </w:r>
      <w:r>
        <w:rPr>
          <w:color w:val="4C4D4F"/>
          <w:w w:val="105"/>
          <w:sz w:val="18"/>
        </w:rPr>
        <w:t>Agency for Substance</w:t>
      </w:r>
      <w:r>
        <w:rPr>
          <w:color w:val="4C4D4F"/>
          <w:spacing w:val="24"/>
          <w:w w:val="105"/>
          <w:sz w:val="18"/>
        </w:rPr>
        <w:t> </w:t>
      </w:r>
      <w:r>
        <w:rPr>
          <w:color w:val="4C4D4F"/>
          <w:w w:val="105"/>
          <w:sz w:val="18"/>
        </w:rPr>
        <w:t>Misuse.</w:t>
      </w:r>
    </w:p>
    <w:p>
      <w:pPr>
        <w:pStyle w:val="ListParagraph"/>
        <w:numPr>
          <w:ilvl w:val="0"/>
          <w:numId w:val="51"/>
        </w:numPr>
        <w:tabs>
          <w:tab w:pos="500" w:val="left" w:leader="none"/>
        </w:tabs>
        <w:spacing w:line="240" w:lineRule="auto" w:before="68" w:after="0"/>
        <w:ind w:left="500" w:right="0" w:hanging="360"/>
        <w:jc w:val="left"/>
        <w:rPr>
          <w:color w:val="4C4D4F"/>
          <w:sz w:val="18"/>
        </w:rPr>
      </w:pPr>
      <w:r>
        <w:rPr>
          <w:color w:val="4C4D4F"/>
          <w:w w:val="110"/>
          <w:sz w:val="18"/>
        </w:rPr>
        <w:t>American Society of Addiction Medicine.</w:t>
      </w:r>
      <w:r>
        <w:rPr>
          <w:color w:val="4C4D4F"/>
          <w:spacing w:val="-14"/>
          <w:w w:val="110"/>
          <w:sz w:val="18"/>
        </w:rPr>
        <w:t> </w:t>
      </w:r>
      <w:r>
        <w:rPr>
          <w:color w:val="4C4D4F"/>
          <w:w w:val="110"/>
          <w:sz w:val="18"/>
        </w:rPr>
        <w:t>(2015).</w:t>
      </w:r>
    </w:p>
    <w:p>
      <w:pPr>
        <w:spacing w:line="249" w:lineRule="auto" w:before="6"/>
        <w:ind w:left="500" w:right="278" w:firstLine="0"/>
        <w:jc w:val="left"/>
        <w:rPr>
          <w:sz w:val="18"/>
        </w:rPr>
      </w:pPr>
      <w:r>
        <w:rPr>
          <w:rFonts w:ascii="Arial"/>
          <w:i/>
          <w:color w:val="4C4D4F"/>
          <w:w w:val="105"/>
          <w:sz w:val="18"/>
        </w:rPr>
        <w:t>The</w:t>
      </w:r>
      <w:r>
        <w:rPr>
          <w:rFonts w:ascii="Arial"/>
          <w:i/>
          <w:color w:val="4C4D4F"/>
          <w:spacing w:val="-14"/>
          <w:w w:val="105"/>
          <w:sz w:val="18"/>
        </w:rPr>
        <w:t> </w:t>
      </w:r>
      <w:r>
        <w:rPr>
          <w:rFonts w:ascii="Arial"/>
          <w:i/>
          <w:color w:val="4C4D4F"/>
          <w:w w:val="105"/>
          <w:sz w:val="18"/>
        </w:rPr>
        <w:t>ASAM</w:t>
      </w:r>
      <w:r>
        <w:rPr>
          <w:rFonts w:ascii="Arial"/>
          <w:i/>
          <w:color w:val="4C4D4F"/>
          <w:spacing w:val="-14"/>
          <w:w w:val="105"/>
          <w:sz w:val="18"/>
        </w:rPr>
        <w:t> </w:t>
      </w:r>
      <w:r>
        <w:rPr>
          <w:rFonts w:ascii="Arial"/>
          <w:i/>
          <w:color w:val="4C4D4F"/>
          <w:w w:val="105"/>
          <w:sz w:val="18"/>
        </w:rPr>
        <w:t>national</w:t>
      </w:r>
      <w:r>
        <w:rPr>
          <w:rFonts w:ascii="Arial"/>
          <w:i/>
          <w:color w:val="4C4D4F"/>
          <w:spacing w:val="-14"/>
          <w:w w:val="105"/>
          <w:sz w:val="18"/>
        </w:rPr>
        <w:t> </w:t>
      </w:r>
      <w:r>
        <w:rPr>
          <w:rFonts w:ascii="Arial"/>
          <w:i/>
          <w:color w:val="4C4D4F"/>
          <w:w w:val="105"/>
          <w:sz w:val="18"/>
        </w:rPr>
        <w:t>practice</w:t>
      </w:r>
      <w:r>
        <w:rPr>
          <w:rFonts w:ascii="Arial"/>
          <w:i/>
          <w:color w:val="4C4D4F"/>
          <w:spacing w:val="-14"/>
          <w:w w:val="105"/>
          <w:sz w:val="18"/>
        </w:rPr>
        <w:t> </w:t>
      </w:r>
      <w:r>
        <w:rPr>
          <w:rFonts w:ascii="Arial"/>
          <w:i/>
          <w:color w:val="4C4D4F"/>
          <w:w w:val="105"/>
          <w:sz w:val="18"/>
        </w:rPr>
        <w:t>guideline</w:t>
      </w:r>
      <w:r>
        <w:rPr>
          <w:rFonts w:ascii="Arial"/>
          <w:i/>
          <w:color w:val="4C4D4F"/>
          <w:spacing w:val="-13"/>
          <w:w w:val="105"/>
          <w:sz w:val="18"/>
        </w:rPr>
        <w:t> </w:t>
      </w:r>
      <w:r>
        <w:rPr>
          <w:rFonts w:ascii="Arial"/>
          <w:i/>
          <w:color w:val="4C4D4F"/>
          <w:w w:val="105"/>
          <w:sz w:val="18"/>
        </w:rPr>
        <w:t>for</w:t>
      </w:r>
      <w:r>
        <w:rPr>
          <w:rFonts w:ascii="Arial"/>
          <w:i/>
          <w:color w:val="4C4D4F"/>
          <w:spacing w:val="-14"/>
          <w:w w:val="105"/>
          <w:sz w:val="18"/>
        </w:rPr>
        <w:t> </w:t>
      </w:r>
      <w:r>
        <w:rPr>
          <w:rFonts w:ascii="Arial"/>
          <w:i/>
          <w:color w:val="4C4D4F"/>
          <w:w w:val="105"/>
          <w:sz w:val="18"/>
        </w:rPr>
        <w:t>the</w:t>
      </w:r>
      <w:r>
        <w:rPr>
          <w:rFonts w:ascii="Arial"/>
          <w:i/>
          <w:color w:val="4C4D4F"/>
          <w:spacing w:val="-14"/>
          <w:w w:val="105"/>
          <w:sz w:val="18"/>
        </w:rPr>
        <w:t> </w:t>
      </w:r>
      <w:r>
        <w:rPr>
          <w:rFonts w:ascii="Arial"/>
          <w:i/>
          <w:color w:val="4C4D4F"/>
          <w:w w:val="105"/>
          <w:sz w:val="18"/>
        </w:rPr>
        <w:t>use</w:t>
      </w:r>
      <w:r>
        <w:rPr>
          <w:rFonts w:ascii="Arial"/>
          <w:i/>
          <w:color w:val="4C4D4F"/>
          <w:spacing w:val="-14"/>
          <w:w w:val="105"/>
          <w:sz w:val="18"/>
        </w:rPr>
        <w:t> </w:t>
      </w:r>
      <w:r>
        <w:rPr>
          <w:rFonts w:ascii="Arial"/>
          <w:i/>
          <w:color w:val="4C4D4F"/>
          <w:spacing w:val="-9"/>
          <w:w w:val="105"/>
          <w:sz w:val="18"/>
        </w:rPr>
        <w:t>of </w:t>
      </w:r>
      <w:r>
        <w:rPr>
          <w:rFonts w:ascii="Arial"/>
          <w:i/>
          <w:color w:val="4C4D4F"/>
          <w:w w:val="105"/>
          <w:sz w:val="18"/>
        </w:rPr>
        <w:t>medications in the treatment of addiction involving opioid use. </w:t>
      </w:r>
      <w:r>
        <w:rPr>
          <w:color w:val="4C4D4F"/>
          <w:w w:val="105"/>
          <w:sz w:val="18"/>
        </w:rPr>
        <w:t>Chevy Chase, MD:</w:t>
      </w:r>
      <w:r>
        <w:rPr>
          <w:color w:val="4C4D4F"/>
          <w:spacing w:val="-1"/>
          <w:w w:val="105"/>
          <w:sz w:val="18"/>
        </w:rPr>
        <w:t> </w:t>
      </w:r>
      <w:r>
        <w:rPr>
          <w:color w:val="4C4D4F"/>
          <w:spacing w:val="-3"/>
          <w:w w:val="105"/>
          <w:sz w:val="18"/>
        </w:rPr>
        <w:t>Author.</w:t>
      </w:r>
    </w:p>
    <w:p>
      <w:pPr>
        <w:pStyle w:val="ListParagraph"/>
        <w:numPr>
          <w:ilvl w:val="0"/>
          <w:numId w:val="51"/>
        </w:numPr>
        <w:tabs>
          <w:tab w:pos="500" w:val="left" w:leader="none"/>
        </w:tabs>
        <w:spacing w:line="247" w:lineRule="auto" w:before="72" w:after="0"/>
        <w:ind w:left="500" w:right="113" w:hanging="360"/>
        <w:jc w:val="left"/>
        <w:rPr>
          <w:color w:val="4C4D4F"/>
          <w:sz w:val="18"/>
        </w:rPr>
      </w:pPr>
      <w:r>
        <w:rPr>
          <w:color w:val="4C4D4F"/>
          <w:w w:val="110"/>
          <w:sz w:val="18"/>
        </w:rPr>
        <w:t>Substance Abuse and Mental Health Services Administration.</w:t>
      </w:r>
      <w:r>
        <w:rPr>
          <w:color w:val="4C4D4F"/>
          <w:spacing w:val="-32"/>
          <w:w w:val="110"/>
          <w:sz w:val="18"/>
        </w:rPr>
        <w:t> </w:t>
      </w:r>
      <w:r>
        <w:rPr>
          <w:color w:val="4C4D4F"/>
          <w:w w:val="110"/>
          <w:sz w:val="18"/>
        </w:rPr>
        <w:t>(2012).</w:t>
      </w:r>
      <w:r>
        <w:rPr>
          <w:color w:val="4C4D4F"/>
          <w:spacing w:val="-31"/>
          <w:w w:val="110"/>
          <w:sz w:val="18"/>
        </w:rPr>
        <w:t> </w:t>
      </w:r>
      <w:r>
        <w:rPr>
          <w:rFonts w:ascii="Arial"/>
          <w:i/>
          <w:color w:val="4C4D4F"/>
          <w:w w:val="110"/>
          <w:sz w:val="18"/>
        </w:rPr>
        <w:t>Clinical</w:t>
      </w:r>
      <w:r>
        <w:rPr>
          <w:rFonts w:ascii="Arial"/>
          <w:i/>
          <w:color w:val="4C4D4F"/>
          <w:spacing w:val="-32"/>
          <w:w w:val="110"/>
          <w:sz w:val="18"/>
        </w:rPr>
        <w:t> </w:t>
      </w:r>
      <w:r>
        <w:rPr>
          <w:rFonts w:ascii="Arial"/>
          <w:i/>
          <w:color w:val="4C4D4F"/>
          <w:w w:val="110"/>
          <w:sz w:val="18"/>
        </w:rPr>
        <w:t>drug</w:t>
      </w:r>
      <w:r>
        <w:rPr>
          <w:rFonts w:ascii="Arial"/>
          <w:i/>
          <w:color w:val="4C4D4F"/>
          <w:spacing w:val="-31"/>
          <w:w w:val="110"/>
          <w:sz w:val="18"/>
        </w:rPr>
        <w:t> </w:t>
      </w:r>
      <w:r>
        <w:rPr>
          <w:rFonts w:ascii="Arial"/>
          <w:i/>
          <w:color w:val="4C4D4F"/>
          <w:w w:val="110"/>
          <w:sz w:val="18"/>
        </w:rPr>
        <w:t>testing</w:t>
      </w:r>
      <w:r>
        <w:rPr>
          <w:rFonts w:ascii="Arial"/>
          <w:i/>
          <w:color w:val="4C4D4F"/>
          <w:spacing w:val="-32"/>
          <w:w w:val="110"/>
          <w:sz w:val="18"/>
        </w:rPr>
        <w:t> </w:t>
      </w:r>
      <w:r>
        <w:rPr>
          <w:rFonts w:ascii="Arial"/>
          <w:i/>
          <w:color w:val="4C4D4F"/>
          <w:w w:val="110"/>
          <w:sz w:val="18"/>
        </w:rPr>
        <w:t>in</w:t>
      </w:r>
      <w:r>
        <w:rPr>
          <w:rFonts w:ascii="Arial"/>
          <w:i/>
          <w:color w:val="4C4D4F"/>
          <w:spacing w:val="-31"/>
          <w:w w:val="110"/>
          <w:sz w:val="18"/>
        </w:rPr>
        <w:t> </w:t>
      </w:r>
      <w:r>
        <w:rPr>
          <w:rFonts w:ascii="Arial"/>
          <w:i/>
          <w:color w:val="4C4D4F"/>
          <w:spacing w:val="-3"/>
          <w:w w:val="110"/>
          <w:sz w:val="18"/>
        </w:rPr>
        <w:t>primary </w:t>
      </w:r>
      <w:r>
        <w:rPr>
          <w:rFonts w:ascii="Arial"/>
          <w:i/>
          <w:color w:val="4C4D4F"/>
          <w:w w:val="110"/>
          <w:sz w:val="18"/>
        </w:rPr>
        <w:t>care. </w:t>
      </w:r>
      <w:r>
        <w:rPr>
          <w:color w:val="4C4D4F"/>
          <w:spacing w:val="-3"/>
          <w:w w:val="110"/>
          <w:sz w:val="18"/>
        </w:rPr>
        <w:t>Technical </w:t>
      </w:r>
      <w:r>
        <w:rPr>
          <w:color w:val="4C4D4F"/>
          <w:w w:val="110"/>
          <w:sz w:val="18"/>
        </w:rPr>
        <w:t>Assistance Publication</w:t>
      </w:r>
      <w:r>
        <w:rPr>
          <w:color w:val="4C4D4F"/>
          <w:spacing w:val="-39"/>
          <w:w w:val="110"/>
          <w:sz w:val="18"/>
        </w:rPr>
        <w:t> </w:t>
      </w:r>
      <w:r>
        <w:rPr>
          <w:color w:val="4C4D4F"/>
          <w:spacing w:val="-4"/>
          <w:w w:val="110"/>
          <w:sz w:val="18"/>
        </w:rPr>
        <w:t>(TAP) </w:t>
      </w:r>
      <w:r>
        <w:rPr>
          <w:color w:val="4C4D4F"/>
          <w:w w:val="110"/>
          <w:sz w:val="18"/>
        </w:rPr>
        <w:t>Series</w:t>
      </w:r>
    </w:p>
    <w:p>
      <w:pPr>
        <w:spacing w:line="247" w:lineRule="auto" w:before="0"/>
        <w:ind w:left="500" w:right="412" w:firstLine="0"/>
        <w:jc w:val="both"/>
        <w:rPr>
          <w:sz w:val="18"/>
        </w:rPr>
      </w:pPr>
      <w:r>
        <w:rPr>
          <w:color w:val="4C4D4F"/>
          <w:w w:val="110"/>
          <w:sz w:val="18"/>
        </w:rPr>
        <w:t>32.</w:t>
      </w:r>
      <w:r>
        <w:rPr>
          <w:color w:val="4C4D4F"/>
          <w:spacing w:val="-10"/>
          <w:w w:val="110"/>
          <w:sz w:val="18"/>
        </w:rPr>
        <w:t> </w:t>
      </w:r>
      <w:r>
        <w:rPr>
          <w:color w:val="4C4D4F"/>
          <w:w w:val="110"/>
          <w:sz w:val="18"/>
        </w:rPr>
        <w:t>HHS</w:t>
      </w:r>
      <w:r>
        <w:rPr>
          <w:color w:val="4C4D4F"/>
          <w:spacing w:val="-9"/>
          <w:w w:val="110"/>
          <w:sz w:val="18"/>
        </w:rPr>
        <w:t> </w:t>
      </w:r>
      <w:r>
        <w:rPr>
          <w:color w:val="4C4D4F"/>
          <w:w w:val="110"/>
          <w:sz w:val="18"/>
        </w:rPr>
        <w:t>Publication</w:t>
      </w:r>
      <w:r>
        <w:rPr>
          <w:color w:val="4C4D4F"/>
          <w:spacing w:val="-9"/>
          <w:w w:val="110"/>
          <w:sz w:val="18"/>
        </w:rPr>
        <w:t> </w:t>
      </w:r>
      <w:r>
        <w:rPr>
          <w:color w:val="4C4D4F"/>
          <w:w w:val="110"/>
          <w:sz w:val="18"/>
        </w:rPr>
        <w:t>No.</w:t>
      </w:r>
      <w:r>
        <w:rPr>
          <w:color w:val="4C4D4F"/>
          <w:spacing w:val="-10"/>
          <w:w w:val="110"/>
          <w:sz w:val="18"/>
        </w:rPr>
        <w:t> </w:t>
      </w:r>
      <w:r>
        <w:rPr>
          <w:color w:val="4C4D4F"/>
          <w:w w:val="110"/>
          <w:sz w:val="18"/>
        </w:rPr>
        <w:t>(SMA)</w:t>
      </w:r>
      <w:r>
        <w:rPr>
          <w:color w:val="4C4D4F"/>
          <w:spacing w:val="-9"/>
          <w:w w:val="110"/>
          <w:sz w:val="18"/>
        </w:rPr>
        <w:t> </w:t>
      </w:r>
      <w:r>
        <w:rPr>
          <w:color w:val="4C4D4F"/>
          <w:w w:val="110"/>
          <w:sz w:val="18"/>
        </w:rPr>
        <w:t>12-4668.</w:t>
      </w:r>
      <w:r>
        <w:rPr>
          <w:color w:val="4C4D4F"/>
          <w:spacing w:val="-9"/>
          <w:w w:val="110"/>
          <w:sz w:val="18"/>
        </w:rPr>
        <w:t> </w:t>
      </w:r>
      <w:r>
        <w:rPr>
          <w:color w:val="4C4D4F"/>
          <w:w w:val="110"/>
          <w:sz w:val="18"/>
        </w:rPr>
        <w:t>Rockville, MD: Substance Abuse and Mental Health Services Administration.</w:t>
      </w:r>
    </w:p>
    <w:p>
      <w:pPr>
        <w:pStyle w:val="ListParagraph"/>
        <w:numPr>
          <w:ilvl w:val="0"/>
          <w:numId w:val="51"/>
        </w:numPr>
        <w:tabs>
          <w:tab w:pos="500" w:val="left" w:leader="none"/>
        </w:tabs>
        <w:spacing w:line="247" w:lineRule="auto" w:before="100" w:after="0"/>
        <w:ind w:left="500" w:right="157" w:hanging="360"/>
        <w:jc w:val="left"/>
        <w:rPr>
          <w:color w:val="4C4D4F"/>
          <w:sz w:val="18"/>
        </w:rPr>
      </w:pPr>
      <w:r>
        <w:rPr>
          <w:color w:val="4C4D4F"/>
          <w:w w:val="119"/>
          <w:sz w:val="18"/>
        </w:rPr>
        <w:br w:type="column"/>
      </w:r>
      <w:r>
        <w:rPr>
          <w:color w:val="4C4D4F"/>
          <w:w w:val="110"/>
          <w:sz w:val="18"/>
        </w:rPr>
        <w:t>Jarvis, M., Williams, </w:t>
      </w:r>
      <w:r>
        <w:rPr>
          <w:color w:val="4C4D4F"/>
          <w:w w:val="120"/>
          <w:sz w:val="18"/>
        </w:rPr>
        <w:t>J., </w:t>
      </w:r>
      <w:r>
        <w:rPr>
          <w:color w:val="4C4D4F"/>
          <w:w w:val="110"/>
          <w:sz w:val="18"/>
        </w:rPr>
        <w:t>Hurford, M., Lindsay, D., Lincoln, </w:t>
      </w:r>
      <w:r>
        <w:rPr>
          <w:color w:val="4C4D4F"/>
          <w:spacing w:val="-11"/>
          <w:w w:val="110"/>
          <w:sz w:val="18"/>
        </w:rPr>
        <w:t>P., </w:t>
      </w:r>
      <w:r>
        <w:rPr>
          <w:color w:val="4C4D4F"/>
          <w:w w:val="110"/>
          <w:sz w:val="18"/>
        </w:rPr>
        <w:t>Giles, L., … Safarian, </w:t>
      </w:r>
      <w:r>
        <w:rPr>
          <w:color w:val="4C4D4F"/>
          <w:spacing w:val="-10"/>
          <w:w w:val="110"/>
          <w:sz w:val="18"/>
        </w:rPr>
        <w:t>T. </w:t>
      </w:r>
      <w:r>
        <w:rPr>
          <w:color w:val="4C4D4F"/>
          <w:w w:val="110"/>
          <w:sz w:val="18"/>
        </w:rPr>
        <w:t>(2017). Appropriate use of drug testing in clinical addiction medicine. </w:t>
      </w:r>
      <w:r>
        <w:rPr>
          <w:rFonts w:ascii="Arial" w:hAnsi="Arial"/>
          <w:i/>
          <w:color w:val="4C4D4F"/>
          <w:w w:val="110"/>
          <w:sz w:val="18"/>
        </w:rPr>
        <w:t>Journal of </w:t>
      </w:r>
      <w:r>
        <w:rPr>
          <w:rFonts w:ascii="Arial" w:hAnsi="Arial"/>
          <w:i/>
          <w:color w:val="4C4D4F"/>
          <w:w w:val="110"/>
          <w:sz w:val="18"/>
        </w:rPr>
        <w:t>Addiction Medicine, 11</w:t>
      </w:r>
      <w:r>
        <w:rPr>
          <w:color w:val="4C4D4F"/>
          <w:w w:val="110"/>
          <w:sz w:val="18"/>
        </w:rPr>
        <w:t>(3),</w:t>
      </w:r>
      <w:r>
        <w:rPr>
          <w:color w:val="4C4D4F"/>
          <w:spacing w:val="-25"/>
          <w:w w:val="110"/>
          <w:sz w:val="18"/>
        </w:rPr>
        <w:t> </w:t>
      </w:r>
      <w:r>
        <w:rPr>
          <w:color w:val="4C4D4F"/>
          <w:w w:val="110"/>
          <w:sz w:val="18"/>
        </w:rPr>
        <w:t>163–173.</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spacing w:val="-3"/>
          <w:w w:val="115"/>
          <w:sz w:val="18"/>
        </w:rPr>
        <w:t>Stoller,</w:t>
      </w:r>
      <w:r>
        <w:rPr>
          <w:color w:val="4C4D4F"/>
          <w:spacing w:val="-15"/>
          <w:w w:val="115"/>
          <w:sz w:val="18"/>
        </w:rPr>
        <w:t> </w:t>
      </w:r>
      <w:r>
        <w:rPr>
          <w:color w:val="4C4D4F"/>
          <w:w w:val="115"/>
          <w:sz w:val="18"/>
        </w:rPr>
        <w:t>K.</w:t>
      </w:r>
      <w:r>
        <w:rPr>
          <w:color w:val="4C4D4F"/>
          <w:spacing w:val="-14"/>
          <w:w w:val="115"/>
          <w:sz w:val="18"/>
        </w:rPr>
        <w:t> </w:t>
      </w:r>
      <w:r>
        <w:rPr>
          <w:color w:val="4C4D4F"/>
          <w:w w:val="115"/>
          <w:sz w:val="18"/>
        </w:rPr>
        <w:t>B.,</w:t>
      </w:r>
      <w:r>
        <w:rPr>
          <w:color w:val="4C4D4F"/>
          <w:spacing w:val="-15"/>
          <w:w w:val="115"/>
          <w:sz w:val="18"/>
        </w:rPr>
        <w:t> </w:t>
      </w:r>
      <w:r>
        <w:rPr>
          <w:color w:val="4C4D4F"/>
          <w:w w:val="115"/>
          <w:sz w:val="18"/>
        </w:rPr>
        <w:t>Stephens,</w:t>
      </w:r>
      <w:r>
        <w:rPr>
          <w:color w:val="4C4D4F"/>
          <w:spacing w:val="-14"/>
          <w:w w:val="115"/>
          <w:sz w:val="18"/>
        </w:rPr>
        <w:t> </w:t>
      </w:r>
      <w:r>
        <w:rPr>
          <w:color w:val="4C4D4F"/>
          <w:w w:val="115"/>
          <w:sz w:val="18"/>
        </w:rPr>
        <w:t>M.</w:t>
      </w:r>
      <w:r>
        <w:rPr>
          <w:color w:val="4C4D4F"/>
          <w:spacing w:val="-14"/>
          <w:w w:val="115"/>
          <w:sz w:val="18"/>
        </w:rPr>
        <w:t> </w:t>
      </w:r>
      <w:r>
        <w:rPr>
          <w:color w:val="4C4D4F"/>
          <w:w w:val="115"/>
          <w:sz w:val="18"/>
        </w:rPr>
        <w:t>A.</w:t>
      </w:r>
      <w:r>
        <w:rPr>
          <w:color w:val="4C4D4F"/>
          <w:spacing w:val="-15"/>
          <w:w w:val="115"/>
          <w:sz w:val="18"/>
        </w:rPr>
        <w:t> </w:t>
      </w:r>
      <w:r>
        <w:rPr>
          <w:color w:val="4C4D4F"/>
          <w:w w:val="115"/>
          <w:sz w:val="18"/>
        </w:rPr>
        <w:t>C.,</w:t>
      </w:r>
      <w:r>
        <w:rPr>
          <w:color w:val="4C4D4F"/>
          <w:spacing w:val="-14"/>
          <w:w w:val="115"/>
          <w:sz w:val="18"/>
        </w:rPr>
        <w:t> </w:t>
      </w:r>
      <w:r>
        <w:rPr>
          <w:color w:val="4C4D4F"/>
          <w:w w:val="115"/>
          <w:sz w:val="18"/>
        </w:rPr>
        <w:t>&amp;</w:t>
      </w:r>
      <w:r>
        <w:rPr>
          <w:color w:val="4C4D4F"/>
          <w:spacing w:val="-15"/>
          <w:w w:val="115"/>
          <w:sz w:val="18"/>
        </w:rPr>
        <w:t> </w:t>
      </w:r>
      <w:r>
        <w:rPr>
          <w:color w:val="4C4D4F"/>
          <w:spacing w:val="-3"/>
          <w:w w:val="115"/>
          <w:sz w:val="18"/>
        </w:rPr>
        <w:t>Schorr,</w:t>
      </w:r>
      <w:r>
        <w:rPr>
          <w:color w:val="4C4D4F"/>
          <w:spacing w:val="-14"/>
          <w:w w:val="115"/>
          <w:sz w:val="18"/>
        </w:rPr>
        <w:t> </w:t>
      </w:r>
      <w:r>
        <w:rPr>
          <w:color w:val="4C4D4F"/>
          <w:w w:val="115"/>
          <w:sz w:val="18"/>
        </w:rPr>
        <w:t>A.</w:t>
      </w:r>
      <w:r>
        <w:rPr>
          <w:color w:val="4C4D4F"/>
          <w:spacing w:val="-14"/>
          <w:w w:val="115"/>
          <w:sz w:val="18"/>
        </w:rPr>
        <w:t> </w:t>
      </w:r>
      <w:r>
        <w:rPr>
          <w:color w:val="4C4D4F"/>
          <w:w w:val="115"/>
          <w:sz w:val="18"/>
        </w:rPr>
        <w:t>(2016).</w:t>
      </w:r>
    </w:p>
    <w:p>
      <w:pPr>
        <w:spacing w:line="247" w:lineRule="auto" w:before="7"/>
        <w:ind w:left="500" w:right="168" w:firstLine="0"/>
        <w:jc w:val="left"/>
        <w:rPr>
          <w:sz w:val="18"/>
        </w:rPr>
      </w:pPr>
      <w:r>
        <w:rPr>
          <w:color w:val="4C4D4F"/>
          <w:w w:val="115"/>
          <w:sz w:val="18"/>
        </w:rPr>
        <w:t>Integrated</w:t>
      </w:r>
      <w:r>
        <w:rPr>
          <w:color w:val="4C4D4F"/>
          <w:spacing w:val="-31"/>
          <w:w w:val="115"/>
          <w:sz w:val="18"/>
        </w:rPr>
        <w:t> </w:t>
      </w:r>
      <w:r>
        <w:rPr>
          <w:color w:val="4C4D4F"/>
          <w:w w:val="115"/>
          <w:sz w:val="18"/>
        </w:rPr>
        <w:t>service</w:t>
      </w:r>
      <w:r>
        <w:rPr>
          <w:color w:val="4C4D4F"/>
          <w:spacing w:val="-30"/>
          <w:w w:val="115"/>
          <w:sz w:val="18"/>
        </w:rPr>
        <w:t> </w:t>
      </w:r>
      <w:r>
        <w:rPr>
          <w:color w:val="4C4D4F"/>
          <w:w w:val="115"/>
          <w:sz w:val="18"/>
        </w:rPr>
        <w:t>delivery</w:t>
      </w:r>
      <w:r>
        <w:rPr>
          <w:color w:val="4C4D4F"/>
          <w:spacing w:val="-30"/>
          <w:w w:val="115"/>
          <w:sz w:val="18"/>
        </w:rPr>
        <w:t> </w:t>
      </w:r>
      <w:r>
        <w:rPr>
          <w:color w:val="4C4D4F"/>
          <w:w w:val="115"/>
          <w:sz w:val="18"/>
        </w:rPr>
        <w:t>models</w:t>
      </w:r>
      <w:r>
        <w:rPr>
          <w:color w:val="4C4D4F"/>
          <w:spacing w:val="-30"/>
          <w:w w:val="115"/>
          <w:sz w:val="18"/>
        </w:rPr>
        <w:t> </w:t>
      </w:r>
      <w:r>
        <w:rPr>
          <w:color w:val="4C4D4F"/>
          <w:w w:val="115"/>
          <w:sz w:val="18"/>
        </w:rPr>
        <w:t>for</w:t>
      </w:r>
      <w:r>
        <w:rPr>
          <w:color w:val="4C4D4F"/>
          <w:spacing w:val="-30"/>
          <w:w w:val="115"/>
          <w:sz w:val="18"/>
        </w:rPr>
        <w:t> </w:t>
      </w:r>
      <w:r>
        <w:rPr>
          <w:color w:val="4C4D4F"/>
          <w:w w:val="115"/>
          <w:sz w:val="18"/>
        </w:rPr>
        <w:t>opioid</w:t>
      </w:r>
      <w:r>
        <w:rPr>
          <w:color w:val="4C4D4F"/>
          <w:spacing w:val="-30"/>
          <w:w w:val="115"/>
          <w:sz w:val="18"/>
        </w:rPr>
        <w:t> </w:t>
      </w:r>
      <w:r>
        <w:rPr>
          <w:color w:val="4C4D4F"/>
          <w:w w:val="115"/>
          <w:sz w:val="18"/>
        </w:rPr>
        <w:t>treatment programs in an era of increasing opioid addiction, health</w:t>
      </w:r>
      <w:r>
        <w:rPr>
          <w:color w:val="4C4D4F"/>
          <w:spacing w:val="-26"/>
          <w:w w:val="115"/>
          <w:sz w:val="18"/>
        </w:rPr>
        <w:t> </w:t>
      </w:r>
      <w:r>
        <w:rPr>
          <w:color w:val="4C4D4F"/>
          <w:w w:val="115"/>
          <w:sz w:val="18"/>
        </w:rPr>
        <w:t>reform,</w:t>
      </w:r>
      <w:r>
        <w:rPr>
          <w:color w:val="4C4D4F"/>
          <w:spacing w:val="-25"/>
          <w:w w:val="115"/>
          <w:sz w:val="18"/>
        </w:rPr>
        <w:t> </w:t>
      </w:r>
      <w:r>
        <w:rPr>
          <w:color w:val="4C4D4F"/>
          <w:w w:val="115"/>
          <w:sz w:val="18"/>
        </w:rPr>
        <w:t>and</w:t>
      </w:r>
      <w:r>
        <w:rPr>
          <w:color w:val="4C4D4F"/>
          <w:spacing w:val="-25"/>
          <w:w w:val="115"/>
          <w:sz w:val="18"/>
        </w:rPr>
        <w:t> </w:t>
      </w:r>
      <w:r>
        <w:rPr>
          <w:color w:val="4C4D4F"/>
          <w:w w:val="115"/>
          <w:sz w:val="18"/>
        </w:rPr>
        <w:t>parity.</w:t>
      </w:r>
      <w:r>
        <w:rPr>
          <w:color w:val="4C4D4F"/>
          <w:spacing w:val="-25"/>
          <w:w w:val="115"/>
          <w:sz w:val="18"/>
        </w:rPr>
        <w:t> </w:t>
      </w:r>
      <w:r>
        <w:rPr>
          <w:color w:val="4C4D4F"/>
          <w:w w:val="115"/>
          <w:sz w:val="18"/>
        </w:rPr>
        <w:t>Retrieved</w:t>
      </w:r>
      <w:r>
        <w:rPr>
          <w:color w:val="4C4D4F"/>
          <w:spacing w:val="-25"/>
          <w:w w:val="115"/>
          <w:sz w:val="18"/>
        </w:rPr>
        <w:t> </w:t>
      </w:r>
      <w:r>
        <w:rPr>
          <w:color w:val="4C4D4F"/>
          <w:w w:val="115"/>
          <w:sz w:val="18"/>
        </w:rPr>
        <w:t>May</w:t>
      </w:r>
      <w:r>
        <w:rPr>
          <w:color w:val="4C4D4F"/>
          <w:spacing w:val="-25"/>
          <w:w w:val="115"/>
          <w:sz w:val="18"/>
        </w:rPr>
        <w:t> </w:t>
      </w:r>
      <w:r>
        <w:rPr>
          <w:color w:val="4C4D4F"/>
          <w:w w:val="115"/>
          <w:sz w:val="18"/>
        </w:rPr>
        <w:t>21,</w:t>
      </w:r>
      <w:r>
        <w:rPr>
          <w:color w:val="4C4D4F"/>
          <w:spacing w:val="-25"/>
          <w:w w:val="115"/>
          <w:sz w:val="18"/>
        </w:rPr>
        <w:t> </w:t>
      </w:r>
      <w:r>
        <w:rPr>
          <w:color w:val="4C4D4F"/>
          <w:w w:val="115"/>
          <w:sz w:val="18"/>
        </w:rPr>
        <w:t>2017,</w:t>
      </w:r>
      <w:r>
        <w:rPr>
          <w:color w:val="4C4D4F"/>
          <w:spacing w:val="-25"/>
          <w:w w:val="115"/>
          <w:sz w:val="18"/>
        </w:rPr>
        <w:t> </w:t>
      </w:r>
      <w:r>
        <w:rPr>
          <w:color w:val="4C4D4F"/>
          <w:spacing w:val="-5"/>
          <w:w w:val="115"/>
          <w:sz w:val="18"/>
        </w:rPr>
        <w:t>from </w:t>
      </w:r>
      <w:hyperlink r:id="rId110">
        <w:r>
          <w:rPr>
            <w:color w:val="205E9E"/>
            <w:w w:val="115"/>
            <w:sz w:val="18"/>
            <w:u w:val="single" w:color="205E9E"/>
          </w:rPr>
          <w:t>www.aatod.org/wp-content/uploads/2016/07/2nd</w:t>
        </w:r>
      </w:hyperlink>
    </w:p>
    <w:p>
      <w:pPr>
        <w:spacing w:before="4"/>
        <w:ind w:left="500" w:right="0" w:firstLine="0"/>
        <w:jc w:val="left"/>
        <w:rPr>
          <w:sz w:val="18"/>
        </w:rPr>
      </w:pPr>
      <w:r>
        <w:rPr>
          <w:color w:val="205E9E"/>
          <w:w w:val="110"/>
          <w:sz w:val="18"/>
          <w:u w:val="single" w:color="205E9E"/>
        </w:rPr>
        <w:t>-Whitepaper-.pdf</w:t>
      </w:r>
    </w:p>
    <w:p>
      <w:pPr>
        <w:pStyle w:val="ListParagraph"/>
        <w:numPr>
          <w:ilvl w:val="0"/>
          <w:numId w:val="51"/>
        </w:numPr>
        <w:tabs>
          <w:tab w:pos="500" w:val="left" w:leader="none"/>
        </w:tabs>
        <w:spacing w:line="247" w:lineRule="auto" w:before="79" w:after="0"/>
        <w:ind w:left="500" w:right="246" w:hanging="360"/>
        <w:jc w:val="left"/>
        <w:rPr>
          <w:color w:val="4C4D4F"/>
          <w:sz w:val="18"/>
        </w:rPr>
      </w:pPr>
      <w:r>
        <w:rPr>
          <w:color w:val="4C4D4F"/>
          <w:w w:val="115"/>
          <w:sz w:val="18"/>
        </w:rPr>
        <w:t>Rich,</w:t>
      </w:r>
      <w:r>
        <w:rPr>
          <w:color w:val="4C4D4F"/>
          <w:spacing w:val="-16"/>
          <w:w w:val="115"/>
          <w:sz w:val="18"/>
        </w:rPr>
        <w:t> </w:t>
      </w:r>
      <w:r>
        <w:rPr>
          <w:color w:val="4C4D4F"/>
          <w:w w:val="135"/>
          <w:sz w:val="18"/>
        </w:rPr>
        <w:t>J.</w:t>
      </w:r>
      <w:r>
        <w:rPr>
          <w:color w:val="4C4D4F"/>
          <w:spacing w:val="-25"/>
          <w:w w:val="135"/>
          <w:sz w:val="18"/>
        </w:rPr>
        <w:t> </w:t>
      </w:r>
      <w:r>
        <w:rPr>
          <w:color w:val="4C4D4F"/>
          <w:w w:val="115"/>
          <w:sz w:val="18"/>
        </w:rPr>
        <w:t>D.,</w:t>
      </w:r>
      <w:r>
        <w:rPr>
          <w:color w:val="4C4D4F"/>
          <w:spacing w:val="-15"/>
          <w:w w:val="115"/>
          <w:sz w:val="18"/>
        </w:rPr>
        <w:t> </w:t>
      </w:r>
      <w:r>
        <w:rPr>
          <w:color w:val="4C4D4F"/>
          <w:w w:val="115"/>
          <w:sz w:val="18"/>
        </w:rPr>
        <w:t>McKenzie,</w:t>
      </w:r>
      <w:r>
        <w:rPr>
          <w:color w:val="4C4D4F"/>
          <w:spacing w:val="-16"/>
          <w:w w:val="115"/>
          <w:sz w:val="18"/>
        </w:rPr>
        <w:t> </w:t>
      </w:r>
      <w:r>
        <w:rPr>
          <w:color w:val="4C4D4F"/>
          <w:w w:val="115"/>
          <w:sz w:val="18"/>
        </w:rPr>
        <w:t>M.,</w:t>
      </w:r>
      <w:r>
        <w:rPr>
          <w:color w:val="4C4D4F"/>
          <w:spacing w:val="-15"/>
          <w:w w:val="115"/>
          <w:sz w:val="18"/>
        </w:rPr>
        <w:t> </w:t>
      </w:r>
      <w:r>
        <w:rPr>
          <w:color w:val="4C4D4F"/>
          <w:w w:val="115"/>
          <w:sz w:val="18"/>
        </w:rPr>
        <w:t>Larney,</w:t>
      </w:r>
      <w:r>
        <w:rPr>
          <w:color w:val="4C4D4F"/>
          <w:spacing w:val="-15"/>
          <w:w w:val="115"/>
          <w:sz w:val="18"/>
        </w:rPr>
        <w:t> </w:t>
      </w:r>
      <w:r>
        <w:rPr>
          <w:color w:val="4C4D4F"/>
          <w:w w:val="115"/>
          <w:sz w:val="18"/>
        </w:rPr>
        <w:t>S.,</w:t>
      </w:r>
      <w:r>
        <w:rPr>
          <w:color w:val="4C4D4F"/>
          <w:spacing w:val="-16"/>
          <w:w w:val="115"/>
          <w:sz w:val="18"/>
        </w:rPr>
        <w:t> </w:t>
      </w:r>
      <w:r>
        <w:rPr>
          <w:color w:val="4C4D4F"/>
          <w:spacing w:val="-3"/>
          <w:w w:val="115"/>
          <w:sz w:val="18"/>
        </w:rPr>
        <w:t>Wong,</w:t>
      </w:r>
      <w:r>
        <w:rPr>
          <w:color w:val="4C4D4F"/>
          <w:spacing w:val="-15"/>
          <w:w w:val="115"/>
          <w:sz w:val="18"/>
        </w:rPr>
        <w:t> </w:t>
      </w:r>
      <w:r>
        <w:rPr>
          <w:color w:val="4C4D4F"/>
          <w:w w:val="135"/>
          <w:sz w:val="18"/>
        </w:rPr>
        <w:t>J.</w:t>
      </w:r>
      <w:r>
        <w:rPr>
          <w:color w:val="4C4D4F"/>
          <w:spacing w:val="-25"/>
          <w:w w:val="135"/>
          <w:sz w:val="18"/>
        </w:rPr>
        <w:t> </w:t>
      </w:r>
      <w:r>
        <w:rPr>
          <w:color w:val="4C4D4F"/>
          <w:w w:val="115"/>
          <w:sz w:val="18"/>
        </w:rPr>
        <w:t>B.,</w:t>
      </w:r>
      <w:r>
        <w:rPr>
          <w:color w:val="4C4D4F"/>
          <w:spacing w:val="-16"/>
          <w:w w:val="115"/>
          <w:sz w:val="18"/>
        </w:rPr>
        <w:t> </w:t>
      </w:r>
      <w:r>
        <w:rPr>
          <w:color w:val="4C4D4F"/>
          <w:spacing w:val="-4"/>
          <w:w w:val="115"/>
          <w:sz w:val="18"/>
        </w:rPr>
        <w:t>Tran, </w:t>
      </w:r>
      <w:r>
        <w:rPr>
          <w:color w:val="4C4D4F"/>
          <w:w w:val="115"/>
          <w:sz w:val="18"/>
        </w:rPr>
        <w:t>L.,</w:t>
      </w:r>
      <w:r>
        <w:rPr>
          <w:color w:val="4C4D4F"/>
          <w:spacing w:val="-20"/>
          <w:w w:val="115"/>
          <w:sz w:val="18"/>
        </w:rPr>
        <w:t> </w:t>
      </w:r>
      <w:r>
        <w:rPr>
          <w:color w:val="4C4D4F"/>
          <w:w w:val="115"/>
          <w:sz w:val="18"/>
        </w:rPr>
        <w:t>Clarke,</w:t>
      </w:r>
      <w:r>
        <w:rPr>
          <w:color w:val="4C4D4F"/>
          <w:spacing w:val="-19"/>
          <w:w w:val="115"/>
          <w:sz w:val="18"/>
        </w:rPr>
        <w:t> </w:t>
      </w:r>
      <w:r>
        <w:rPr>
          <w:color w:val="4C4D4F"/>
          <w:w w:val="135"/>
          <w:sz w:val="18"/>
        </w:rPr>
        <w:t>J.,</w:t>
      </w:r>
      <w:r>
        <w:rPr>
          <w:color w:val="4C4D4F"/>
          <w:spacing w:val="-29"/>
          <w:w w:val="135"/>
          <w:sz w:val="18"/>
        </w:rPr>
        <w:t> </w:t>
      </w:r>
      <w:r>
        <w:rPr>
          <w:color w:val="4C4D4F"/>
          <w:w w:val="115"/>
          <w:sz w:val="18"/>
        </w:rPr>
        <w:t>…</w:t>
      </w:r>
      <w:r>
        <w:rPr>
          <w:color w:val="4C4D4F"/>
          <w:spacing w:val="-19"/>
          <w:w w:val="115"/>
          <w:sz w:val="18"/>
        </w:rPr>
        <w:t> </w:t>
      </w:r>
      <w:r>
        <w:rPr>
          <w:color w:val="4C4D4F"/>
          <w:spacing w:val="-3"/>
          <w:w w:val="115"/>
          <w:sz w:val="18"/>
        </w:rPr>
        <w:t>Zaller,</w:t>
      </w:r>
      <w:r>
        <w:rPr>
          <w:color w:val="4C4D4F"/>
          <w:spacing w:val="-19"/>
          <w:w w:val="115"/>
          <w:sz w:val="18"/>
        </w:rPr>
        <w:t> </w:t>
      </w:r>
      <w:r>
        <w:rPr>
          <w:color w:val="4C4D4F"/>
          <w:w w:val="115"/>
          <w:sz w:val="18"/>
        </w:rPr>
        <w:t>N.</w:t>
      </w:r>
      <w:r>
        <w:rPr>
          <w:color w:val="4C4D4F"/>
          <w:spacing w:val="-19"/>
          <w:w w:val="115"/>
          <w:sz w:val="18"/>
        </w:rPr>
        <w:t> </w:t>
      </w:r>
      <w:r>
        <w:rPr>
          <w:color w:val="4C4D4F"/>
          <w:w w:val="115"/>
          <w:sz w:val="18"/>
        </w:rPr>
        <w:t>(2015,</w:t>
      </w:r>
      <w:r>
        <w:rPr>
          <w:color w:val="4C4D4F"/>
          <w:spacing w:val="-19"/>
          <w:w w:val="115"/>
          <w:sz w:val="18"/>
        </w:rPr>
        <w:t> </w:t>
      </w:r>
      <w:r>
        <w:rPr>
          <w:color w:val="4C4D4F"/>
          <w:w w:val="115"/>
          <w:sz w:val="18"/>
        </w:rPr>
        <w:t>July</w:t>
      </w:r>
      <w:r>
        <w:rPr>
          <w:color w:val="4C4D4F"/>
          <w:spacing w:val="-19"/>
          <w:w w:val="115"/>
          <w:sz w:val="18"/>
        </w:rPr>
        <w:t> </w:t>
      </w:r>
      <w:r>
        <w:rPr>
          <w:color w:val="4C4D4F"/>
          <w:w w:val="115"/>
          <w:sz w:val="18"/>
        </w:rPr>
        <w:t>25).</w:t>
      </w:r>
      <w:r>
        <w:rPr>
          <w:color w:val="4C4D4F"/>
          <w:spacing w:val="-19"/>
          <w:w w:val="115"/>
          <w:sz w:val="18"/>
        </w:rPr>
        <w:t> </w:t>
      </w:r>
      <w:r>
        <w:rPr>
          <w:color w:val="4C4D4F"/>
          <w:w w:val="115"/>
          <w:sz w:val="18"/>
        </w:rPr>
        <w:t>Methadone </w:t>
      </w:r>
      <w:r>
        <w:rPr>
          <w:color w:val="4C4D4F"/>
          <w:w w:val="110"/>
          <w:sz w:val="18"/>
        </w:rPr>
        <w:t>continuation</w:t>
      </w:r>
      <w:r>
        <w:rPr>
          <w:color w:val="4C4D4F"/>
          <w:spacing w:val="-13"/>
          <w:w w:val="110"/>
          <w:sz w:val="18"/>
        </w:rPr>
        <w:t> </w:t>
      </w:r>
      <w:r>
        <w:rPr>
          <w:color w:val="4C4D4F"/>
          <w:w w:val="110"/>
          <w:sz w:val="18"/>
        </w:rPr>
        <w:t>versus</w:t>
      </w:r>
      <w:r>
        <w:rPr>
          <w:color w:val="4C4D4F"/>
          <w:spacing w:val="-12"/>
          <w:w w:val="110"/>
          <w:sz w:val="18"/>
        </w:rPr>
        <w:t> </w:t>
      </w:r>
      <w:r>
        <w:rPr>
          <w:color w:val="4C4D4F"/>
          <w:w w:val="110"/>
          <w:sz w:val="18"/>
        </w:rPr>
        <w:t>forced</w:t>
      </w:r>
      <w:r>
        <w:rPr>
          <w:color w:val="4C4D4F"/>
          <w:spacing w:val="-12"/>
          <w:w w:val="110"/>
          <w:sz w:val="18"/>
        </w:rPr>
        <w:t> </w:t>
      </w:r>
      <w:r>
        <w:rPr>
          <w:color w:val="4C4D4F"/>
          <w:w w:val="110"/>
          <w:sz w:val="18"/>
        </w:rPr>
        <w:t>withdrawal</w:t>
      </w:r>
      <w:r>
        <w:rPr>
          <w:color w:val="4C4D4F"/>
          <w:spacing w:val="-12"/>
          <w:w w:val="110"/>
          <w:sz w:val="18"/>
        </w:rPr>
        <w:t> </w:t>
      </w:r>
      <w:r>
        <w:rPr>
          <w:color w:val="4C4D4F"/>
          <w:w w:val="110"/>
          <w:sz w:val="18"/>
        </w:rPr>
        <w:t>on</w:t>
      </w:r>
      <w:r>
        <w:rPr>
          <w:color w:val="4C4D4F"/>
          <w:spacing w:val="-12"/>
          <w:w w:val="110"/>
          <w:sz w:val="18"/>
        </w:rPr>
        <w:t> </w:t>
      </w:r>
      <w:r>
        <w:rPr>
          <w:color w:val="4C4D4F"/>
          <w:w w:val="110"/>
          <w:sz w:val="18"/>
        </w:rPr>
        <w:t>incarceration </w:t>
      </w:r>
      <w:r>
        <w:rPr>
          <w:color w:val="4C4D4F"/>
          <w:w w:val="115"/>
          <w:sz w:val="18"/>
        </w:rPr>
        <w:t>in</w:t>
      </w:r>
      <w:r>
        <w:rPr>
          <w:color w:val="4C4D4F"/>
          <w:spacing w:val="-17"/>
          <w:w w:val="115"/>
          <w:sz w:val="18"/>
        </w:rPr>
        <w:t> </w:t>
      </w:r>
      <w:r>
        <w:rPr>
          <w:color w:val="4C4D4F"/>
          <w:w w:val="115"/>
          <w:sz w:val="18"/>
        </w:rPr>
        <w:t>a</w:t>
      </w:r>
      <w:r>
        <w:rPr>
          <w:color w:val="4C4D4F"/>
          <w:spacing w:val="-17"/>
          <w:w w:val="115"/>
          <w:sz w:val="18"/>
        </w:rPr>
        <w:t> </w:t>
      </w:r>
      <w:r>
        <w:rPr>
          <w:color w:val="4C4D4F"/>
          <w:w w:val="115"/>
          <w:sz w:val="18"/>
        </w:rPr>
        <w:t>combined</w:t>
      </w:r>
      <w:r>
        <w:rPr>
          <w:color w:val="4C4D4F"/>
          <w:spacing w:val="-16"/>
          <w:w w:val="115"/>
          <w:sz w:val="18"/>
        </w:rPr>
        <w:t> </w:t>
      </w:r>
      <w:r>
        <w:rPr>
          <w:color w:val="4C4D4F"/>
          <w:w w:val="115"/>
          <w:sz w:val="18"/>
        </w:rPr>
        <w:t>US</w:t>
      </w:r>
      <w:r>
        <w:rPr>
          <w:color w:val="4C4D4F"/>
          <w:spacing w:val="-17"/>
          <w:w w:val="115"/>
          <w:sz w:val="18"/>
        </w:rPr>
        <w:t> </w:t>
      </w:r>
      <w:r>
        <w:rPr>
          <w:color w:val="4C4D4F"/>
          <w:w w:val="115"/>
          <w:sz w:val="18"/>
        </w:rPr>
        <w:t>prison</w:t>
      </w:r>
      <w:r>
        <w:rPr>
          <w:color w:val="4C4D4F"/>
          <w:spacing w:val="-16"/>
          <w:w w:val="115"/>
          <w:sz w:val="18"/>
        </w:rPr>
        <w:t> </w:t>
      </w:r>
      <w:r>
        <w:rPr>
          <w:color w:val="4C4D4F"/>
          <w:w w:val="115"/>
          <w:sz w:val="18"/>
        </w:rPr>
        <w:t>and</w:t>
      </w:r>
      <w:r>
        <w:rPr>
          <w:color w:val="4C4D4F"/>
          <w:spacing w:val="-17"/>
          <w:w w:val="115"/>
          <w:sz w:val="18"/>
        </w:rPr>
        <w:t> </w:t>
      </w:r>
      <w:r>
        <w:rPr>
          <w:color w:val="4C4D4F"/>
          <w:w w:val="115"/>
          <w:sz w:val="18"/>
        </w:rPr>
        <w:t>jail:</w:t>
      </w:r>
      <w:r>
        <w:rPr>
          <w:color w:val="4C4D4F"/>
          <w:spacing w:val="-16"/>
          <w:w w:val="115"/>
          <w:sz w:val="18"/>
        </w:rPr>
        <w:t> </w:t>
      </w:r>
      <w:r>
        <w:rPr>
          <w:color w:val="4C4D4F"/>
          <w:w w:val="115"/>
          <w:sz w:val="18"/>
        </w:rPr>
        <w:t>A</w:t>
      </w:r>
      <w:r>
        <w:rPr>
          <w:color w:val="4C4D4F"/>
          <w:spacing w:val="-17"/>
          <w:w w:val="115"/>
          <w:sz w:val="18"/>
        </w:rPr>
        <w:t> </w:t>
      </w:r>
      <w:r>
        <w:rPr>
          <w:color w:val="4C4D4F"/>
          <w:w w:val="115"/>
          <w:sz w:val="18"/>
        </w:rPr>
        <w:t>randomised,</w:t>
      </w:r>
      <w:r>
        <w:rPr>
          <w:color w:val="4C4D4F"/>
          <w:spacing w:val="-17"/>
          <w:w w:val="115"/>
          <w:sz w:val="18"/>
        </w:rPr>
        <w:t> </w:t>
      </w:r>
      <w:r>
        <w:rPr>
          <w:color w:val="4C4D4F"/>
          <w:spacing w:val="-4"/>
          <w:w w:val="115"/>
          <w:sz w:val="18"/>
        </w:rPr>
        <w:t>open- </w:t>
      </w:r>
      <w:r>
        <w:rPr>
          <w:color w:val="4C4D4F"/>
          <w:w w:val="115"/>
          <w:sz w:val="18"/>
        </w:rPr>
        <w:t>label</w:t>
      </w:r>
      <w:r>
        <w:rPr>
          <w:color w:val="4C4D4F"/>
          <w:spacing w:val="-15"/>
          <w:w w:val="115"/>
          <w:sz w:val="18"/>
        </w:rPr>
        <w:t> </w:t>
      </w:r>
      <w:r>
        <w:rPr>
          <w:color w:val="4C4D4F"/>
          <w:w w:val="115"/>
          <w:sz w:val="18"/>
        </w:rPr>
        <w:t>trial.</w:t>
      </w:r>
      <w:r>
        <w:rPr>
          <w:color w:val="4C4D4F"/>
          <w:spacing w:val="-15"/>
          <w:w w:val="115"/>
          <w:sz w:val="18"/>
        </w:rPr>
        <w:t> </w:t>
      </w:r>
      <w:r>
        <w:rPr>
          <w:rFonts w:ascii="Arial" w:hAnsi="Arial"/>
          <w:i/>
          <w:color w:val="4C4D4F"/>
          <w:w w:val="115"/>
          <w:sz w:val="18"/>
        </w:rPr>
        <w:t>Lancet,</w:t>
      </w:r>
      <w:r>
        <w:rPr>
          <w:rFonts w:ascii="Arial" w:hAnsi="Arial"/>
          <w:i/>
          <w:color w:val="4C4D4F"/>
          <w:spacing w:val="-15"/>
          <w:w w:val="115"/>
          <w:sz w:val="18"/>
        </w:rPr>
        <w:t> </w:t>
      </w:r>
      <w:r>
        <w:rPr>
          <w:rFonts w:ascii="Arial" w:hAnsi="Arial"/>
          <w:i/>
          <w:color w:val="4C4D4F"/>
          <w:w w:val="115"/>
          <w:sz w:val="18"/>
        </w:rPr>
        <w:t>386</w:t>
      </w:r>
      <w:r>
        <w:rPr>
          <w:color w:val="4C4D4F"/>
          <w:w w:val="115"/>
          <w:sz w:val="18"/>
        </w:rPr>
        <w:t>(9991),</w:t>
      </w:r>
      <w:r>
        <w:rPr>
          <w:color w:val="4C4D4F"/>
          <w:spacing w:val="-15"/>
          <w:w w:val="115"/>
          <w:sz w:val="18"/>
        </w:rPr>
        <w:t> </w:t>
      </w:r>
      <w:r>
        <w:rPr>
          <w:color w:val="4C4D4F"/>
          <w:w w:val="115"/>
          <w:sz w:val="18"/>
        </w:rPr>
        <w:t>350–359.</w:t>
      </w:r>
    </w:p>
    <w:p>
      <w:pPr>
        <w:pStyle w:val="ListParagraph"/>
        <w:numPr>
          <w:ilvl w:val="0"/>
          <w:numId w:val="51"/>
        </w:numPr>
        <w:tabs>
          <w:tab w:pos="500" w:val="left" w:leader="none"/>
        </w:tabs>
        <w:spacing w:line="247" w:lineRule="auto" w:before="76" w:after="0"/>
        <w:ind w:left="500" w:right="208" w:hanging="360"/>
        <w:jc w:val="left"/>
        <w:rPr>
          <w:color w:val="4C4D4F"/>
          <w:sz w:val="18"/>
        </w:rPr>
      </w:pPr>
      <w:r>
        <w:rPr>
          <w:color w:val="4C4D4F"/>
          <w:w w:val="110"/>
          <w:sz w:val="18"/>
        </w:rPr>
        <w:t>Lofwall, M. R., &amp; Walsh, S. L. (2014). A review of buprenorphine diversion and misuse: The current evidence base and experiences from around the </w:t>
      </w:r>
      <w:r>
        <w:rPr>
          <w:color w:val="4C4D4F"/>
          <w:spacing w:val="-3"/>
          <w:w w:val="110"/>
          <w:sz w:val="18"/>
        </w:rPr>
        <w:t>world. </w:t>
      </w:r>
      <w:r>
        <w:rPr>
          <w:rFonts w:ascii="Arial" w:hAnsi="Arial"/>
          <w:i/>
          <w:color w:val="4C4D4F"/>
          <w:w w:val="110"/>
          <w:sz w:val="18"/>
        </w:rPr>
        <w:t>Journal</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Medicine,</w:t>
      </w:r>
      <w:r>
        <w:rPr>
          <w:rFonts w:ascii="Arial" w:hAnsi="Arial"/>
          <w:i/>
          <w:color w:val="4C4D4F"/>
          <w:spacing w:val="-13"/>
          <w:w w:val="110"/>
          <w:sz w:val="18"/>
        </w:rPr>
        <w:t> </w:t>
      </w:r>
      <w:r>
        <w:rPr>
          <w:rFonts w:ascii="Arial" w:hAnsi="Arial"/>
          <w:i/>
          <w:color w:val="4C4D4F"/>
          <w:w w:val="110"/>
          <w:sz w:val="18"/>
        </w:rPr>
        <w:t>8</w:t>
      </w:r>
      <w:r>
        <w:rPr>
          <w:color w:val="4C4D4F"/>
          <w:w w:val="110"/>
          <w:sz w:val="18"/>
        </w:rPr>
        <w:t>(5),</w:t>
      </w:r>
      <w:r>
        <w:rPr>
          <w:color w:val="4C4D4F"/>
          <w:spacing w:val="-12"/>
          <w:w w:val="110"/>
          <w:sz w:val="18"/>
        </w:rPr>
        <w:t> </w:t>
      </w:r>
      <w:r>
        <w:rPr>
          <w:color w:val="4C4D4F"/>
          <w:w w:val="110"/>
          <w:sz w:val="18"/>
        </w:rPr>
        <w:t>315–326.</w:t>
      </w:r>
    </w:p>
    <w:p>
      <w:pPr>
        <w:pStyle w:val="ListParagraph"/>
        <w:numPr>
          <w:ilvl w:val="0"/>
          <w:numId w:val="51"/>
        </w:numPr>
        <w:tabs>
          <w:tab w:pos="500" w:val="left" w:leader="none"/>
        </w:tabs>
        <w:spacing w:line="247" w:lineRule="auto" w:before="74" w:after="0"/>
        <w:ind w:left="500" w:right="188" w:hanging="360"/>
        <w:jc w:val="left"/>
        <w:rPr>
          <w:color w:val="4C4D4F"/>
          <w:sz w:val="18"/>
        </w:rPr>
      </w:pPr>
      <w:r>
        <w:rPr>
          <w:color w:val="4C4D4F"/>
          <w:w w:val="110"/>
          <w:sz w:val="18"/>
        </w:rPr>
        <w:t>Genberg, B. L., Gillespie, M., Schuster, C. R., Johanson, C.-E., Astemborski, </w:t>
      </w:r>
      <w:r>
        <w:rPr>
          <w:color w:val="4C4D4F"/>
          <w:w w:val="120"/>
          <w:sz w:val="18"/>
        </w:rPr>
        <w:t>J., </w:t>
      </w:r>
      <w:r>
        <w:rPr>
          <w:color w:val="4C4D4F"/>
          <w:w w:val="110"/>
          <w:sz w:val="18"/>
        </w:rPr>
        <w:t>Kirk, G. D., … Mehta, S. H. (2013). Prevalence and correlates of street-obtained buprenorphine use among current and former injectors in Baltimore, Maryland. </w:t>
      </w:r>
      <w:r>
        <w:rPr>
          <w:rFonts w:ascii="Arial" w:hAnsi="Arial"/>
          <w:i/>
          <w:color w:val="4C4D4F"/>
          <w:w w:val="110"/>
          <w:sz w:val="18"/>
        </w:rPr>
        <w:t>Addictive Behaviors, 38</w:t>
      </w:r>
      <w:r>
        <w:rPr>
          <w:color w:val="4C4D4F"/>
          <w:w w:val="110"/>
          <w:sz w:val="18"/>
        </w:rPr>
        <w:t>(12), 2868–2873.</w:t>
      </w:r>
    </w:p>
    <w:p>
      <w:pPr>
        <w:pStyle w:val="ListParagraph"/>
        <w:numPr>
          <w:ilvl w:val="0"/>
          <w:numId w:val="51"/>
        </w:numPr>
        <w:tabs>
          <w:tab w:pos="500" w:val="left" w:leader="none"/>
        </w:tabs>
        <w:spacing w:line="247" w:lineRule="auto" w:before="76" w:after="0"/>
        <w:ind w:left="500" w:right="602" w:hanging="360"/>
        <w:jc w:val="left"/>
        <w:rPr>
          <w:color w:val="4C4D4F"/>
          <w:sz w:val="18"/>
        </w:rPr>
      </w:pPr>
      <w:r>
        <w:rPr>
          <w:color w:val="4C4D4F"/>
          <w:w w:val="115"/>
          <w:sz w:val="18"/>
        </w:rPr>
        <w:t>Schuman-Olivier, Z., Albanese, M., Nelson, S. E., Roland,</w:t>
      </w:r>
      <w:r>
        <w:rPr>
          <w:color w:val="4C4D4F"/>
          <w:spacing w:val="-13"/>
          <w:w w:val="115"/>
          <w:sz w:val="18"/>
        </w:rPr>
        <w:t> </w:t>
      </w:r>
      <w:r>
        <w:rPr>
          <w:color w:val="4C4D4F"/>
          <w:w w:val="115"/>
          <w:sz w:val="18"/>
        </w:rPr>
        <w:t>L.,</w:t>
      </w:r>
      <w:r>
        <w:rPr>
          <w:color w:val="4C4D4F"/>
          <w:spacing w:val="-12"/>
          <w:w w:val="115"/>
          <w:sz w:val="18"/>
        </w:rPr>
        <w:t> </w:t>
      </w:r>
      <w:r>
        <w:rPr>
          <w:color w:val="4C4D4F"/>
          <w:w w:val="115"/>
          <w:sz w:val="18"/>
        </w:rPr>
        <w:t>Puopolo,</w:t>
      </w:r>
      <w:r>
        <w:rPr>
          <w:color w:val="4C4D4F"/>
          <w:spacing w:val="-13"/>
          <w:w w:val="115"/>
          <w:sz w:val="18"/>
        </w:rPr>
        <w:t> </w:t>
      </w:r>
      <w:r>
        <w:rPr>
          <w:color w:val="4C4D4F"/>
          <w:spacing w:val="-10"/>
          <w:w w:val="115"/>
          <w:sz w:val="18"/>
        </w:rPr>
        <w:t>F.,</w:t>
      </w:r>
      <w:r>
        <w:rPr>
          <w:color w:val="4C4D4F"/>
          <w:spacing w:val="-12"/>
          <w:w w:val="115"/>
          <w:sz w:val="18"/>
        </w:rPr>
        <w:t> </w:t>
      </w:r>
      <w:r>
        <w:rPr>
          <w:color w:val="4C4D4F"/>
          <w:spacing w:val="-3"/>
          <w:w w:val="115"/>
          <w:sz w:val="18"/>
        </w:rPr>
        <w:t>Klinker,</w:t>
      </w:r>
      <w:r>
        <w:rPr>
          <w:color w:val="4C4D4F"/>
          <w:spacing w:val="-12"/>
          <w:w w:val="115"/>
          <w:sz w:val="18"/>
        </w:rPr>
        <w:t> </w:t>
      </w:r>
      <w:r>
        <w:rPr>
          <w:color w:val="4C4D4F"/>
          <w:w w:val="115"/>
          <w:sz w:val="18"/>
        </w:rPr>
        <w:t>L.,</w:t>
      </w:r>
      <w:r>
        <w:rPr>
          <w:color w:val="4C4D4F"/>
          <w:spacing w:val="-13"/>
          <w:w w:val="115"/>
          <w:sz w:val="18"/>
        </w:rPr>
        <w:t> </w:t>
      </w:r>
      <w:r>
        <w:rPr>
          <w:color w:val="4C4D4F"/>
          <w:w w:val="115"/>
          <w:sz w:val="18"/>
        </w:rPr>
        <w:t>&amp;</w:t>
      </w:r>
      <w:r>
        <w:rPr>
          <w:color w:val="4C4D4F"/>
          <w:spacing w:val="-12"/>
          <w:w w:val="115"/>
          <w:sz w:val="18"/>
        </w:rPr>
        <w:t> </w:t>
      </w:r>
      <w:r>
        <w:rPr>
          <w:color w:val="4C4D4F"/>
          <w:spacing w:val="-3"/>
          <w:w w:val="115"/>
          <w:sz w:val="18"/>
        </w:rPr>
        <w:t>Shaffer,</w:t>
      </w:r>
      <w:r>
        <w:rPr>
          <w:color w:val="4C4D4F"/>
          <w:spacing w:val="-12"/>
          <w:w w:val="115"/>
          <w:sz w:val="18"/>
        </w:rPr>
        <w:t> </w:t>
      </w:r>
      <w:r>
        <w:rPr>
          <w:color w:val="4C4D4F"/>
          <w:w w:val="115"/>
          <w:sz w:val="18"/>
        </w:rPr>
        <w:t>H.</w:t>
      </w:r>
      <w:r>
        <w:rPr>
          <w:color w:val="4C4D4F"/>
          <w:spacing w:val="-13"/>
          <w:w w:val="115"/>
          <w:sz w:val="18"/>
        </w:rPr>
        <w:t> </w:t>
      </w:r>
      <w:r>
        <w:rPr>
          <w:color w:val="4C4D4F"/>
          <w:w w:val="135"/>
          <w:sz w:val="18"/>
        </w:rPr>
        <w:t>J. </w:t>
      </w:r>
      <w:r>
        <w:rPr>
          <w:color w:val="4C4D4F"/>
          <w:w w:val="115"/>
          <w:sz w:val="18"/>
        </w:rPr>
        <w:t>(2010).</w:t>
      </w:r>
      <w:r>
        <w:rPr>
          <w:color w:val="4C4D4F"/>
          <w:spacing w:val="-35"/>
          <w:w w:val="115"/>
          <w:sz w:val="18"/>
        </w:rPr>
        <w:t> </w:t>
      </w:r>
      <w:r>
        <w:rPr>
          <w:color w:val="4C4D4F"/>
          <w:w w:val="115"/>
          <w:sz w:val="18"/>
        </w:rPr>
        <w:t>Self-treatment:</w:t>
      </w:r>
      <w:r>
        <w:rPr>
          <w:color w:val="4C4D4F"/>
          <w:spacing w:val="-35"/>
          <w:w w:val="115"/>
          <w:sz w:val="18"/>
        </w:rPr>
        <w:t> </w:t>
      </w:r>
      <w:r>
        <w:rPr>
          <w:color w:val="4C4D4F"/>
          <w:w w:val="115"/>
          <w:sz w:val="18"/>
        </w:rPr>
        <w:t>Illicit</w:t>
      </w:r>
      <w:r>
        <w:rPr>
          <w:color w:val="4C4D4F"/>
          <w:spacing w:val="-35"/>
          <w:w w:val="115"/>
          <w:sz w:val="18"/>
        </w:rPr>
        <w:t> </w:t>
      </w:r>
      <w:r>
        <w:rPr>
          <w:color w:val="4C4D4F"/>
          <w:w w:val="115"/>
          <w:sz w:val="18"/>
        </w:rPr>
        <w:t>buprenorphine</w:t>
      </w:r>
      <w:r>
        <w:rPr>
          <w:color w:val="4C4D4F"/>
          <w:spacing w:val="-34"/>
          <w:w w:val="115"/>
          <w:sz w:val="18"/>
        </w:rPr>
        <w:t> </w:t>
      </w:r>
      <w:r>
        <w:rPr>
          <w:color w:val="4C4D4F"/>
          <w:w w:val="115"/>
          <w:sz w:val="18"/>
        </w:rPr>
        <w:t>use</w:t>
      </w:r>
      <w:r>
        <w:rPr>
          <w:color w:val="4C4D4F"/>
          <w:spacing w:val="-35"/>
          <w:w w:val="115"/>
          <w:sz w:val="18"/>
        </w:rPr>
        <w:t> </w:t>
      </w:r>
      <w:r>
        <w:rPr>
          <w:color w:val="4C4D4F"/>
          <w:spacing w:val="-8"/>
          <w:w w:val="115"/>
          <w:sz w:val="18"/>
        </w:rPr>
        <w:t>by </w:t>
      </w:r>
      <w:r>
        <w:rPr>
          <w:color w:val="4C4D4F"/>
          <w:w w:val="115"/>
          <w:sz w:val="18"/>
        </w:rPr>
        <w:t>opioid-dependent</w:t>
      </w:r>
      <w:r>
        <w:rPr>
          <w:color w:val="4C4D4F"/>
          <w:spacing w:val="-31"/>
          <w:w w:val="115"/>
          <w:sz w:val="18"/>
        </w:rPr>
        <w:t> </w:t>
      </w:r>
      <w:r>
        <w:rPr>
          <w:color w:val="4C4D4F"/>
          <w:w w:val="115"/>
          <w:sz w:val="18"/>
        </w:rPr>
        <w:t>treatment</w:t>
      </w:r>
      <w:r>
        <w:rPr>
          <w:color w:val="4C4D4F"/>
          <w:spacing w:val="-30"/>
          <w:w w:val="115"/>
          <w:sz w:val="18"/>
        </w:rPr>
        <w:t> </w:t>
      </w:r>
      <w:r>
        <w:rPr>
          <w:color w:val="4C4D4F"/>
          <w:w w:val="115"/>
          <w:sz w:val="18"/>
        </w:rPr>
        <w:t>seekers.</w:t>
      </w:r>
      <w:r>
        <w:rPr>
          <w:color w:val="4C4D4F"/>
          <w:spacing w:val="-32"/>
          <w:w w:val="115"/>
          <w:sz w:val="18"/>
        </w:rPr>
        <w:t> </w:t>
      </w:r>
      <w:r>
        <w:rPr>
          <w:rFonts w:ascii="Arial" w:hAnsi="Arial"/>
          <w:i/>
          <w:color w:val="4C4D4F"/>
          <w:w w:val="115"/>
          <w:sz w:val="18"/>
        </w:rPr>
        <w:t>Journal</w:t>
      </w:r>
      <w:r>
        <w:rPr>
          <w:rFonts w:ascii="Arial" w:hAnsi="Arial"/>
          <w:i/>
          <w:color w:val="4C4D4F"/>
          <w:spacing w:val="-30"/>
          <w:w w:val="115"/>
          <w:sz w:val="18"/>
        </w:rPr>
        <w:t> </w:t>
      </w:r>
      <w:r>
        <w:rPr>
          <w:rFonts w:ascii="Arial" w:hAnsi="Arial"/>
          <w:i/>
          <w:color w:val="4C4D4F"/>
          <w:w w:val="115"/>
          <w:sz w:val="18"/>
        </w:rPr>
        <w:t>of </w:t>
      </w:r>
      <w:r>
        <w:rPr>
          <w:rFonts w:ascii="Arial" w:hAnsi="Arial"/>
          <w:i/>
          <w:color w:val="4C4D4F"/>
          <w:w w:val="115"/>
          <w:sz w:val="18"/>
        </w:rPr>
        <w:t>Substance</w:t>
      </w:r>
      <w:r>
        <w:rPr>
          <w:rFonts w:ascii="Arial" w:hAnsi="Arial"/>
          <w:i/>
          <w:color w:val="4C4D4F"/>
          <w:spacing w:val="-32"/>
          <w:w w:val="115"/>
          <w:sz w:val="18"/>
        </w:rPr>
        <w:t> </w:t>
      </w:r>
      <w:r>
        <w:rPr>
          <w:rFonts w:ascii="Arial" w:hAnsi="Arial"/>
          <w:i/>
          <w:color w:val="4C4D4F"/>
          <w:w w:val="115"/>
          <w:sz w:val="18"/>
        </w:rPr>
        <w:t>Abuse</w:t>
      </w:r>
      <w:r>
        <w:rPr>
          <w:rFonts w:ascii="Arial" w:hAnsi="Arial"/>
          <w:i/>
          <w:color w:val="4C4D4F"/>
          <w:spacing w:val="-31"/>
          <w:w w:val="115"/>
          <w:sz w:val="18"/>
        </w:rPr>
        <w:t> </w:t>
      </w:r>
      <w:r>
        <w:rPr>
          <w:rFonts w:ascii="Arial" w:hAnsi="Arial"/>
          <w:i/>
          <w:color w:val="4C4D4F"/>
          <w:spacing w:val="-3"/>
          <w:w w:val="115"/>
          <w:sz w:val="18"/>
        </w:rPr>
        <w:t>Treatment,</w:t>
      </w:r>
      <w:r>
        <w:rPr>
          <w:rFonts w:ascii="Arial" w:hAnsi="Arial"/>
          <w:i/>
          <w:color w:val="4C4D4F"/>
          <w:spacing w:val="-32"/>
          <w:w w:val="115"/>
          <w:sz w:val="18"/>
        </w:rPr>
        <w:t> </w:t>
      </w:r>
      <w:r>
        <w:rPr>
          <w:rFonts w:ascii="Arial" w:hAnsi="Arial"/>
          <w:i/>
          <w:color w:val="4C4D4F"/>
          <w:w w:val="115"/>
          <w:sz w:val="18"/>
        </w:rPr>
        <w:t>39</w:t>
      </w:r>
      <w:r>
        <w:rPr>
          <w:color w:val="4C4D4F"/>
          <w:w w:val="115"/>
          <w:sz w:val="18"/>
        </w:rPr>
        <w:t>(1),</w:t>
      </w:r>
      <w:r>
        <w:rPr>
          <w:color w:val="4C4D4F"/>
          <w:spacing w:val="-31"/>
          <w:w w:val="115"/>
          <w:sz w:val="18"/>
        </w:rPr>
        <w:t> </w:t>
      </w:r>
      <w:r>
        <w:rPr>
          <w:color w:val="4C4D4F"/>
          <w:w w:val="115"/>
          <w:sz w:val="18"/>
        </w:rPr>
        <w:t>41–50.</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5"/>
          <w:sz w:val="18"/>
        </w:rPr>
        <w:t>Cicero,</w:t>
      </w:r>
      <w:r>
        <w:rPr>
          <w:color w:val="4C4D4F"/>
          <w:spacing w:val="-12"/>
          <w:w w:val="115"/>
          <w:sz w:val="18"/>
        </w:rPr>
        <w:t> </w:t>
      </w:r>
      <w:r>
        <w:rPr>
          <w:color w:val="4C4D4F"/>
          <w:spacing w:val="-10"/>
          <w:w w:val="115"/>
          <w:sz w:val="18"/>
        </w:rPr>
        <w:t>T.</w:t>
      </w:r>
      <w:r>
        <w:rPr>
          <w:color w:val="4C4D4F"/>
          <w:spacing w:val="-12"/>
          <w:w w:val="115"/>
          <w:sz w:val="18"/>
        </w:rPr>
        <w:t> </w:t>
      </w:r>
      <w:r>
        <w:rPr>
          <w:color w:val="4C4D4F"/>
          <w:w w:val="125"/>
          <w:sz w:val="18"/>
        </w:rPr>
        <w:t>J.,</w:t>
      </w:r>
      <w:r>
        <w:rPr>
          <w:color w:val="4C4D4F"/>
          <w:spacing w:val="-17"/>
          <w:w w:val="125"/>
          <w:sz w:val="18"/>
        </w:rPr>
        <w:t> </w:t>
      </w:r>
      <w:r>
        <w:rPr>
          <w:color w:val="4C4D4F"/>
          <w:w w:val="115"/>
          <w:sz w:val="18"/>
        </w:rPr>
        <w:t>Ellis,</w:t>
      </w:r>
      <w:r>
        <w:rPr>
          <w:color w:val="4C4D4F"/>
          <w:spacing w:val="-12"/>
          <w:w w:val="115"/>
          <w:sz w:val="18"/>
        </w:rPr>
        <w:t> </w:t>
      </w:r>
      <w:r>
        <w:rPr>
          <w:color w:val="4C4D4F"/>
          <w:w w:val="115"/>
          <w:sz w:val="18"/>
        </w:rPr>
        <w:t>M.</w:t>
      </w:r>
      <w:r>
        <w:rPr>
          <w:color w:val="4C4D4F"/>
          <w:spacing w:val="-12"/>
          <w:w w:val="115"/>
          <w:sz w:val="18"/>
        </w:rPr>
        <w:t> </w:t>
      </w:r>
      <w:r>
        <w:rPr>
          <w:color w:val="4C4D4F"/>
          <w:w w:val="115"/>
          <w:sz w:val="18"/>
        </w:rPr>
        <w:t>S.,</w:t>
      </w:r>
      <w:r>
        <w:rPr>
          <w:color w:val="4C4D4F"/>
          <w:spacing w:val="-11"/>
          <w:w w:val="115"/>
          <w:sz w:val="18"/>
        </w:rPr>
        <w:t> </w:t>
      </w:r>
      <w:r>
        <w:rPr>
          <w:color w:val="4C4D4F"/>
          <w:w w:val="115"/>
          <w:sz w:val="18"/>
        </w:rPr>
        <w:t>Surratt,</w:t>
      </w:r>
      <w:r>
        <w:rPr>
          <w:color w:val="4C4D4F"/>
          <w:spacing w:val="-12"/>
          <w:w w:val="115"/>
          <w:sz w:val="18"/>
        </w:rPr>
        <w:t> </w:t>
      </w:r>
      <w:r>
        <w:rPr>
          <w:color w:val="4C4D4F"/>
          <w:w w:val="115"/>
          <w:sz w:val="18"/>
        </w:rPr>
        <w:t>H.</w:t>
      </w:r>
      <w:r>
        <w:rPr>
          <w:color w:val="4C4D4F"/>
          <w:spacing w:val="-12"/>
          <w:w w:val="115"/>
          <w:sz w:val="18"/>
        </w:rPr>
        <w:t> </w:t>
      </w:r>
      <w:r>
        <w:rPr>
          <w:color w:val="4C4D4F"/>
          <w:w w:val="115"/>
          <w:sz w:val="18"/>
        </w:rPr>
        <w:t>L.,</w:t>
      </w:r>
      <w:r>
        <w:rPr>
          <w:color w:val="4C4D4F"/>
          <w:spacing w:val="-12"/>
          <w:w w:val="115"/>
          <w:sz w:val="18"/>
        </w:rPr>
        <w:t> </w:t>
      </w:r>
      <w:r>
        <w:rPr>
          <w:color w:val="4C4D4F"/>
          <w:w w:val="115"/>
          <w:sz w:val="18"/>
        </w:rPr>
        <w:t>&amp;</w:t>
      </w:r>
      <w:r>
        <w:rPr>
          <w:color w:val="4C4D4F"/>
          <w:spacing w:val="-12"/>
          <w:w w:val="115"/>
          <w:sz w:val="18"/>
        </w:rPr>
        <w:t> </w:t>
      </w:r>
      <w:r>
        <w:rPr>
          <w:color w:val="4C4D4F"/>
          <w:w w:val="115"/>
          <w:sz w:val="18"/>
        </w:rPr>
        <w:t>Kurtz,</w:t>
      </w:r>
    </w:p>
    <w:p>
      <w:pPr>
        <w:spacing w:line="247" w:lineRule="auto" w:before="8"/>
        <w:ind w:left="500" w:right="278" w:firstLine="0"/>
        <w:jc w:val="left"/>
        <w:rPr>
          <w:sz w:val="18"/>
        </w:rPr>
      </w:pPr>
      <w:r>
        <w:rPr>
          <w:color w:val="4C4D4F"/>
          <w:w w:val="110"/>
          <w:sz w:val="18"/>
        </w:rPr>
        <w:t>S. P. (2014). Factors contributing to the rise of buprenorphine misuse: 2008-2013. </w:t>
      </w:r>
      <w:r>
        <w:rPr>
          <w:rFonts w:ascii="Arial" w:hAnsi="Arial"/>
          <w:i/>
          <w:color w:val="4C4D4F"/>
          <w:w w:val="110"/>
          <w:sz w:val="18"/>
        </w:rPr>
        <w:t>Drug and Alcohol </w:t>
      </w:r>
      <w:r>
        <w:rPr>
          <w:rFonts w:ascii="Arial" w:hAnsi="Arial"/>
          <w:i/>
          <w:color w:val="4C4D4F"/>
          <w:w w:val="110"/>
          <w:sz w:val="18"/>
        </w:rPr>
        <w:t>Dependence, 142, </w:t>
      </w:r>
      <w:r>
        <w:rPr>
          <w:color w:val="4C4D4F"/>
          <w:w w:val="110"/>
          <w:sz w:val="18"/>
        </w:rPr>
        <w:t>98–104.</w:t>
      </w:r>
    </w:p>
    <w:p>
      <w:pPr>
        <w:pStyle w:val="ListParagraph"/>
        <w:numPr>
          <w:ilvl w:val="0"/>
          <w:numId w:val="51"/>
        </w:numPr>
        <w:tabs>
          <w:tab w:pos="500" w:val="left" w:leader="none"/>
        </w:tabs>
        <w:spacing w:line="247" w:lineRule="auto" w:before="71" w:after="0"/>
        <w:ind w:left="500" w:right="208" w:hanging="360"/>
        <w:jc w:val="left"/>
        <w:rPr>
          <w:color w:val="4C4D4F"/>
          <w:sz w:val="18"/>
        </w:rPr>
      </w:pPr>
      <w:r>
        <w:rPr>
          <w:color w:val="4C4D4F"/>
          <w:w w:val="110"/>
          <w:sz w:val="18"/>
        </w:rPr>
        <w:t>Lofwall, M. R., &amp; Walsh, S. L. (2014). A review of buprenorphine diversion and misuse: The current evidence base and experiences from around the </w:t>
      </w:r>
      <w:r>
        <w:rPr>
          <w:color w:val="4C4D4F"/>
          <w:spacing w:val="-3"/>
          <w:w w:val="110"/>
          <w:sz w:val="18"/>
        </w:rPr>
        <w:t>world. </w:t>
      </w:r>
      <w:r>
        <w:rPr>
          <w:rFonts w:ascii="Arial" w:hAnsi="Arial"/>
          <w:i/>
          <w:color w:val="4C4D4F"/>
          <w:w w:val="110"/>
          <w:sz w:val="18"/>
        </w:rPr>
        <w:t>Journal</w:t>
      </w:r>
      <w:r>
        <w:rPr>
          <w:rFonts w:ascii="Arial" w:hAnsi="Arial"/>
          <w:i/>
          <w:color w:val="4C4D4F"/>
          <w:spacing w:val="-13"/>
          <w:w w:val="110"/>
          <w:sz w:val="18"/>
        </w:rPr>
        <w:t> </w:t>
      </w:r>
      <w:r>
        <w:rPr>
          <w:rFonts w:ascii="Arial" w:hAnsi="Arial"/>
          <w:i/>
          <w:color w:val="4C4D4F"/>
          <w:w w:val="110"/>
          <w:sz w:val="18"/>
        </w:rPr>
        <w:t>of</w:t>
      </w:r>
      <w:r>
        <w:rPr>
          <w:rFonts w:ascii="Arial" w:hAnsi="Arial"/>
          <w:i/>
          <w:color w:val="4C4D4F"/>
          <w:spacing w:val="-13"/>
          <w:w w:val="110"/>
          <w:sz w:val="18"/>
        </w:rPr>
        <w:t> </w:t>
      </w:r>
      <w:r>
        <w:rPr>
          <w:rFonts w:ascii="Arial" w:hAnsi="Arial"/>
          <w:i/>
          <w:color w:val="4C4D4F"/>
          <w:w w:val="110"/>
          <w:sz w:val="18"/>
        </w:rPr>
        <w:t>Addiction</w:t>
      </w:r>
      <w:r>
        <w:rPr>
          <w:rFonts w:ascii="Arial" w:hAnsi="Arial"/>
          <w:i/>
          <w:color w:val="4C4D4F"/>
          <w:spacing w:val="-13"/>
          <w:w w:val="110"/>
          <w:sz w:val="18"/>
        </w:rPr>
        <w:t> </w:t>
      </w:r>
      <w:r>
        <w:rPr>
          <w:rFonts w:ascii="Arial" w:hAnsi="Arial"/>
          <w:i/>
          <w:color w:val="4C4D4F"/>
          <w:w w:val="110"/>
          <w:sz w:val="18"/>
        </w:rPr>
        <w:t>Medicine,</w:t>
      </w:r>
      <w:r>
        <w:rPr>
          <w:rFonts w:ascii="Arial" w:hAnsi="Arial"/>
          <w:i/>
          <w:color w:val="4C4D4F"/>
          <w:spacing w:val="-13"/>
          <w:w w:val="110"/>
          <w:sz w:val="18"/>
        </w:rPr>
        <w:t> </w:t>
      </w:r>
      <w:r>
        <w:rPr>
          <w:rFonts w:ascii="Arial" w:hAnsi="Arial"/>
          <w:i/>
          <w:color w:val="4C4D4F"/>
          <w:w w:val="110"/>
          <w:sz w:val="18"/>
        </w:rPr>
        <w:t>8</w:t>
      </w:r>
      <w:r>
        <w:rPr>
          <w:color w:val="4C4D4F"/>
          <w:w w:val="110"/>
          <w:sz w:val="18"/>
        </w:rPr>
        <w:t>(5),</w:t>
      </w:r>
      <w:r>
        <w:rPr>
          <w:color w:val="4C4D4F"/>
          <w:spacing w:val="-12"/>
          <w:w w:val="110"/>
          <w:sz w:val="18"/>
        </w:rPr>
        <w:t> </w:t>
      </w:r>
      <w:r>
        <w:rPr>
          <w:color w:val="4C4D4F"/>
          <w:w w:val="110"/>
          <w:sz w:val="18"/>
        </w:rPr>
        <w:t>315–326.</w:t>
      </w:r>
    </w:p>
    <w:p>
      <w:pPr>
        <w:pStyle w:val="ListParagraph"/>
        <w:numPr>
          <w:ilvl w:val="0"/>
          <w:numId w:val="51"/>
        </w:numPr>
        <w:tabs>
          <w:tab w:pos="500" w:val="left" w:leader="none"/>
        </w:tabs>
        <w:spacing w:line="247" w:lineRule="auto" w:before="75" w:after="0"/>
        <w:ind w:left="500" w:right="205" w:hanging="360"/>
        <w:jc w:val="left"/>
        <w:rPr>
          <w:color w:val="4C4D4F"/>
          <w:sz w:val="18"/>
        </w:rPr>
      </w:pPr>
      <w:r>
        <w:rPr>
          <w:color w:val="4C4D4F"/>
          <w:w w:val="115"/>
          <w:sz w:val="18"/>
        </w:rPr>
        <w:t>United States National Library of Medicine. (2017, October).</w:t>
      </w:r>
      <w:r>
        <w:rPr>
          <w:color w:val="4C4D4F"/>
          <w:spacing w:val="-29"/>
          <w:w w:val="115"/>
          <w:sz w:val="18"/>
        </w:rPr>
        <w:t> </w:t>
      </w:r>
      <w:r>
        <w:rPr>
          <w:color w:val="4C4D4F"/>
          <w:w w:val="115"/>
          <w:sz w:val="18"/>
        </w:rPr>
        <w:t>Buprenorphine</w:t>
      </w:r>
      <w:r>
        <w:rPr>
          <w:color w:val="4C4D4F"/>
          <w:spacing w:val="-29"/>
          <w:w w:val="115"/>
          <w:sz w:val="18"/>
        </w:rPr>
        <w:t> </w:t>
      </w:r>
      <w:r>
        <w:rPr>
          <w:color w:val="4C4D4F"/>
          <w:w w:val="115"/>
          <w:sz w:val="18"/>
        </w:rPr>
        <w:t>sublingual</w:t>
      </w:r>
      <w:r>
        <w:rPr>
          <w:color w:val="4C4D4F"/>
          <w:spacing w:val="-29"/>
          <w:w w:val="115"/>
          <w:sz w:val="18"/>
        </w:rPr>
        <w:t> </w:t>
      </w:r>
      <w:r>
        <w:rPr>
          <w:color w:val="4C4D4F"/>
          <w:w w:val="115"/>
          <w:sz w:val="18"/>
        </w:rPr>
        <w:t>and</w:t>
      </w:r>
      <w:r>
        <w:rPr>
          <w:color w:val="4C4D4F"/>
          <w:spacing w:val="-29"/>
          <w:w w:val="115"/>
          <w:sz w:val="18"/>
        </w:rPr>
        <w:t> </w:t>
      </w:r>
      <w:r>
        <w:rPr>
          <w:color w:val="4C4D4F"/>
          <w:w w:val="115"/>
          <w:sz w:val="18"/>
        </w:rPr>
        <w:t>buccal</w:t>
      </w:r>
      <w:r>
        <w:rPr>
          <w:color w:val="4C4D4F"/>
          <w:spacing w:val="-29"/>
          <w:w w:val="115"/>
          <w:sz w:val="18"/>
        </w:rPr>
        <w:t> </w:t>
      </w:r>
      <w:r>
        <w:rPr>
          <w:color w:val="4C4D4F"/>
          <w:spacing w:val="-3"/>
          <w:w w:val="115"/>
          <w:sz w:val="18"/>
        </w:rPr>
        <w:t>(opioid </w:t>
      </w:r>
      <w:r>
        <w:rPr>
          <w:color w:val="4C4D4F"/>
          <w:w w:val="115"/>
          <w:sz w:val="18"/>
        </w:rPr>
        <w:t>dependence). Retrieved December 18, 2017, from</w:t>
      </w:r>
      <w:r>
        <w:rPr>
          <w:color w:val="205E9E"/>
          <w:w w:val="115"/>
          <w:sz w:val="18"/>
          <w:u w:val="single" w:color="205E9E"/>
        </w:rPr>
        <w:t> https://medlineplus.gov/druginfo/meds/a605002.html</w:t>
      </w:r>
    </w:p>
    <w:p>
      <w:pPr>
        <w:pStyle w:val="ListParagraph"/>
        <w:numPr>
          <w:ilvl w:val="0"/>
          <w:numId w:val="51"/>
        </w:numPr>
        <w:tabs>
          <w:tab w:pos="500" w:val="left" w:leader="none"/>
        </w:tabs>
        <w:spacing w:line="240" w:lineRule="auto" w:before="76" w:after="0"/>
        <w:ind w:left="500" w:right="0" w:hanging="360"/>
        <w:jc w:val="left"/>
        <w:rPr>
          <w:color w:val="4C4D4F"/>
          <w:sz w:val="18"/>
        </w:rPr>
      </w:pPr>
      <w:r>
        <w:rPr>
          <w:color w:val="4C4D4F"/>
          <w:w w:val="110"/>
          <w:sz w:val="18"/>
        </w:rPr>
        <w:t>American Society of Addiction Medicine.</w:t>
      </w:r>
      <w:r>
        <w:rPr>
          <w:color w:val="4C4D4F"/>
          <w:spacing w:val="-16"/>
          <w:w w:val="110"/>
          <w:sz w:val="18"/>
        </w:rPr>
        <w:t> </w:t>
      </w:r>
      <w:r>
        <w:rPr>
          <w:color w:val="4C4D4F"/>
          <w:w w:val="110"/>
          <w:sz w:val="18"/>
        </w:rPr>
        <w:t>(2016).</w:t>
      </w:r>
    </w:p>
    <w:p>
      <w:pPr>
        <w:spacing w:line="247" w:lineRule="auto" w:before="7"/>
        <w:ind w:left="500" w:right="342" w:firstLine="0"/>
        <w:jc w:val="left"/>
        <w:rPr>
          <w:sz w:val="18"/>
        </w:rPr>
      </w:pPr>
      <w:r>
        <w:rPr>
          <w:color w:val="4C4D4F"/>
          <w:w w:val="115"/>
          <w:sz w:val="18"/>
        </w:rPr>
        <w:t>Sample ofﬁce-based opioid use disorder policy and procedure</w:t>
      </w:r>
      <w:r>
        <w:rPr>
          <w:color w:val="4C4D4F"/>
          <w:spacing w:val="-36"/>
          <w:w w:val="115"/>
          <w:sz w:val="18"/>
        </w:rPr>
        <w:t> </w:t>
      </w:r>
      <w:r>
        <w:rPr>
          <w:color w:val="4C4D4F"/>
          <w:w w:val="115"/>
          <w:sz w:val="18"/>
        </w:rPr>
        <w:t>manual.</w:t>
      </w:r>
      <w:r>
        <w:rPr>
          <w:color w:val="4C4D4F"/>
          <w:spacing w:val="-35"/>
          <w:w w:val="115"/>
          <w:sz w:val="18"/>
        </w:rPr>
        <w:t> </w:t>
      </w:r>
      <w:r>
        <w:rPr>
          <w:color w:val="4C4D4F"/>
          <w:w w:val="115"/>
          <w:sz w:val="18"/>
        </w:rPr>
        <w:t>Retrieved</w:t>
      </w:r>
      <w:r>
        <w:rPr>
          <w:color w:val="4C4D4F"/>
          <w:spacing w:val="-35"/>
          <w:w w:val="115"/>
          <w:sz w:val="18"/>
        </w:rPr>
        <w:t> </w:t>
      </w:r>
      <w:r>
        <w:rPr>
          <w:color w:val="4C4D4F"/>
          <w:w w:val="115"/>
          <w:sz w:val="18"/>
        </w:rPr>
        <w:t>October</w:t>
      </w:r>
      <w:r>
        <w:rPr>
          <w:color w:val="4C4D4F"/>
          <w:spacing w:val="-36"/>
          <w:w w:val="115"/>
          <w:sz w:val="18"/>
        </w:rPr>
        <w:t> </w:t>
      </w:r>
      <w:r>
        <w:rPr>
          <w:color w:val="4C4D4F"/>
          <w:w w:val="115"/>
          <w:sz w:val="18"/>
        </w:rPr>
        <w:t>19,</w:t>
      </w:r>
      <w:r>
        <w:rPr>
          <w:color w:val="4C4D4F"/>
          <w:spacing w:val="-35"/>
          <w:w w:val="115"/>
          <w:sz w:val="18"/>
        </w:rPr>
        <w:t> </w:t>
      </w:r>
      <w:r>
        <w:rPr>
          <w:color w:val="4C4D4F"/>
          <w:w w:val="115"/>
          <w:sz w:val="18"/>
        </w:rPr>
        <w:t>2017,</w:t>
      </w:r>
      <w:r>
        <w:rPr>
          <w:color w:val="4C4D4F"/>
          <w:spacing w:val="-35"/>
          <w:w w:val="115"/>
          <w:sz w:val="18"/>
        </w:rPr>
        <w:t> </w:t>
      </w:r>
      <w:r>
        <w:rPr>
          <w:color w:val="4C4D4F"/>
          <w:w w:val="115"/>
          <w:sz w:val="18"/>
        </w:rPr>
        <w:t>from </w:t>
      </w:r>
      <w:hyperlink r:id="rId54">
        <w:r>
          <w:rPr>
            <w:color w:val="205E9E"/>
            <w:spacing w:val="-1"/>
            <w:w w:val="110"/>
            <w:sz w:val="18"/>
            <w:u w:val="single" w:color="205E9E"/>
          </w:rPr>
          <w:t>www.asam.org/docs/default-source/advocacy/sample</w:t>
        </w:r>
      </w:hyperlink>
    </w:p>
    <w:p>
      <w:pPr>
        <w:spacing w:before="3"/>
        <w:ind w:left="500" w:right="0" w:firstLine="0"/>
        <w:jc w:val="left"/>
        <w:rPr>
          <w:sz w:val="18"/>
        </w:rPr>
      </w:pPr>
      <w:r>
        <w:rPr>
          <w:color w:val="205E9E"/>
          <w:w w:val="110"/>
          <w:sz w:val="18"/>
          <w:u w:val="single" w:color="205E9E"/>
        </w:rPr>
        <w:t>-diversion-policy.pdf?sfvrsn=0</w:t>
      </w:r>
    </w:p>
    <w:p>
      <w:pPr>
        <w:pStyle w:val="ListParagraph"/>
        <w:numPr>
          <w:ilvl w:val="0"/>
          <w:numId w:val="51"/>
        </w:numPr>
        <w:tabs>
          <w:tab w:pos="500" w:val="left" w:leader="none"/>
        </w:tabs>
        <w:spacing w:line="247" w:lineRule="auto" w:before="79" w:after="0"/>
        <w:ind w:left="500" w:right="436" w:hanging="360"/>
        <w:jc w:val="left"/>
        <w:rPr>
          <w:color w:val="4C4D4F"/>
          <w:sz w:val="18"/>
        </w:rPr>
      </w:pPr>
      <w:r>
        <w:rPr>
          <w:color w:val="4C4D4F"/>
          <w:w w:val="110"/>
          <w:sz w:val="18"/>
        </w:rPr>
        <w:t>Substance Abuse and Mental Health Services Administration.</w:t>
      </w:r>
      <w:r>
        <w:rPr>
          <w:color w:val="4C4D4F"/>
          <w:spacing w:val="-34"/>
          <w:w w:val="110"/>
          <w:sz w:val="18"/>
        </w:rPr>
        <w:t> </w:t>
      </w:r>
      <w:r>
        <w:rPr>
          <w:color w:val="4C4D4F"/>
          <w:w w:val="110"/>
          <w:sz w:val="18"/>
        </w:rPr>
        <w:t>(2015).</w:t>
      </w:r>
      <w:r>
        <w:rPr>
          <w:color w:val="4C4D4F"/>
          <w:spacing w:val="-34"/>
          <w:w w:val="110"/>
          <w:sz w:val="18"/>
        </w:rPr>
        <w:t> </w:t>
      </w:r>
      <w:r>
        <w:rPr>
          <w:rFonts w:ascii="Arial"/>
          <w:i/>
          <w:color w:val="4C4D4F"/>
          <w:w w:val="110"/>
          <w:sz w:val="18"/>
        </w:rPr>
        <w:t>Federal</w:t>
      </w:r>
      <w:r>
        <w:rPr>
          <w:rFonts w:ascii="Arial"/>
          <w:i/>
          <w:color w:val="4C4D4F"/>
          <w:spacing w:val="-34"/>
          <w:w w:val="110"/>
          <w:sz w:val="18"/>
        </w:rPr>
        <w:t> </w:t>
      </w:r>
      <w:r>
        <w:rPr>
          <w:rFonts w:ascii="Arial"/>
          <w:i/>
          <w:color w:val="4C4D4F"/>
          <w:w w:val="110"/>
          <w:sz w:val="18"/>
        </w:rPr>
        <w:t>guidelines</w:t>
      </w:r>
      <w:r>
        <w:rPr>
          <w:rFonts w:ascii="Arial"/>
          <w:i/>
          <w:color w:val="4C4D4F"/>
          <w:spacing w:val="-34"/>
          <w:w w:val="110"/>
          <w:sz w:val="18"/>
        </w:rPr>
        <w:t> </w:t>
      </w:r>
      <w:r>
        <w:rPr>
          <w:rFonts w:ascii="Arial"/>
          <w:i/>
          <w:color w:val="4C4D4F"/>
          <w:w w:val="110"/>
          <w:sz w:val="18"/>
        </w:rPr>
        <w:t>for</w:t>
      </w:r>
      <w:r>
        <w:rPr>
          <w:rFonts w:ascii="Arial"/>
          <w:i/>
          <w:color w:val="4C4D4F"/>
          <w:spacing w:val="-33"/>
          <w:w w:val="110"/>
          <w:sz w:val="18"/>
        </w:rPr>
        <w:t> </w:t>
      </w:r>
      <w:r>
        <w:rPr>
          <w:rFonts w:ascii="Arial"/>
          <w:i/>
          <w:color w:val="4C4D4F"/>
          <w:spacing w:val="-3"/>
          <w:w w:val="110"/>
          <w:sz w:val="18"/>
        </w:rPr>
        <w:t>opioid </w:t>
      </w:r>
      <w:r>
        <w:rPr>
          <w:rFonts w:ascii="Arial"/>
          <w:i/>
          <w:color w:val="4C4D4F"/>
          <w:w w:val="110"/>
          <w:sz w:val="18"/>
        </w:rPr>
        <w:t>treatment</w:t>
      </w:r>
      <w:r>
        <w:rPr>
          <w:rFonts w:ascii="Arial"/>
          <w:i/>
          <w:color w:val="4C4D4F"/>
          <w:spacing w:val="-17"/>
          <w:w w:val="110"/>
          <w:sz w:val="18"/>
        </w:rPr>
        <w:t> </w:t>
      </w:r>
      <w:r>
        <w:rPr>
          <w:rFonts w:ascii="Arial"/>
          <w:i/>
          <w:color w:val="4C4D4F"/>
          <w:w w:val="110"/>
          <w:sz w:val="18"/>
        </w:rPr>
        <w:t>programs.</w:t>
      </w:r>
      <w:r>
        <w:rPr>
          <w:rFonts w:ascii="Arial"/>
          <w:i/>
          <w:color w:val="4C4D4F"/>
          <w:spacing w:val="-17"/>
          <w:w w:val="110"/>
          <w:sz w:val="18"/>
        </w:rPr>
        <w:t> </w:t>
      </w:r>
      <w:r>
        <w:rPr>
          <w:color w:val="4C4D4F"/>
          <w:w w:val="110"/>
          <w:sz w:val="18"/>
        </w:rPr>
        <w:t>HHS</w:t>
      </w:r>
      <w:r>
        <w:rPr>
          <w:color w:val="4C4D4F"/>
          <w:spacing w:val="-16"/>
          <w:w w:val="110"/>
          <w:sz w:val="18"/>
        </w:rPr>
        <w:t> </w:t>
      </w:r>
      <w:r>
        <w:rPr>
          <w:color w:val="4C4D4F"/>
          <w:w w:val="110"/>
          <w:sz w:val="18"/>
        </w:rPr>
        <w:t>Publication</w:t>
      </w:r>
      <w:r>
        <w:rPr>
          <w:color w:val="4C4D4F"/>
          <w:spacing w:val="-17"/>
          <w:w w:val="110"/>
          <w:sz w:val="18"/>
        </w:rPr>
        <w:t> </w:t>
      </w:r>
      <w:r>
        <w:rPr>
          <w:color w:val="4C4D4F"/>
          <w:w w:val="110"/>
          <w:sz w:val="18"/>
        </w:rPr>
        <w:t>No.</w:t>
      </w:r>
      <w:r>
        <w:rPr>
          <w:color w:val="4C4D4F"/>
          <w:spacing w:val="-17"/>
          <w:w w:val="110"/>
          <w:sz w:val="18"/>
        </w:rPr>
        <w:t> </w:t>
      </w:r>
      <w:r>
        <w:rPr>
          <w:color w:val="4C4D4F"/>
          <w:w w:val="110"/>
          <w:sz w:val="18"/>
        </w:rPr>
        <w:t>(SMA)</w:t>
      </w:r>
    </w:p>
    <w:p>
      <w:pPr>
        <w:spacing w:line="247" w:lineRule="auto" w:before="0"/>
        <w:ind w:left="500" w:right="0" w:firstLine="0"/>
        <w:jc w:val="left"/>
        <w:rPr>
          <w:sz w:val="18"/>
        </w:rPr>
      </w:pPr>
      <w:r>
        <w:rPr>
          <w:color w:val="4C4D4F"/>
          <w:w w:val="110"/>
          <w:sz w:val="18"/>
        </w:rPr>
        <w:t>PEP15-FEDGUIDEOTP. Rockville, MD: Substance Abuse and Mental Health Services Administration.</w:t>
      </w:r>
    </w:p>
    <w:p>
      <w:pPr>
        <w:spacing w:after="0" w:line="247" w:lineRule="auto"/>
        <w:jc w:val="left"/>
        <w:rPr>
          <w:sz w:val="18"/>
        </w:rPr>
        <w:sectPr>
          <w:type w:val="continuous"/>
          <w:pgSz w:w="12240" w:h="15840"/>
          <w:pgMar w:top="540" w:bottom="280" w:left="940" w:right="920"/>
          <w:cols w:num="2" w:equalWidth="0">
            <w:col w:w="4980" w:space="240"/>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146" w:hanging="360"/>
        <w:jc w:val="left"/>
        <w:rPr>
          <w:color w:val="4C4D4F"/>
          <w:sz w:val="18"/>
        </w:rPr>
      </w:pPr>
      <w:r>
        <w:rPr>
          <w:color w:val="4C4D4F"/>
          <w:w w:val="115"/>
          <w:sz w:val="18"/>
        </w:rPr>
        <w:t>Medication Assisted </w:t>
      </w:r>
      <w:r>
        <w:rPr>
          <w:color w:val="4C4D4F"/>
          <w:spacing w:val="-3"/>
          <w:w w:val="115"/>
          <w:sz w:val="18"/>
        </w:rPr>
        <w:t>Treatment </w:t>
      </w:r>
      <w:r>
        <w:rPr>
          <w:color w:val="4C4D4F"/>
          <w:w w:val="115"/>
          <w:sz w:val="18"/>
        </w:rPr>
        <w:t>for Opioid Use Disorders.</w:t>
      </w:r>
      <w:r>
        <w:rPr>
          <w:color w:val="4C4D4F"/>
          <w:spacing w:val="-19"/>
          <w:w w:val="115"/>
          <w:sz w:val="18"/>
        </w:rPr>
        <w:t> </w:t>
      </w:r>
      <w:r>
        <w:rPr>
          <w:color w:val="4C4D4F"/>
          <w:w w:val="115"/>
          <w:sz w:val="18"/>
        </w:rPr>
        <w:t>HHS</w:t>
      </w:r>
      <w:r>
        <w:rPr>
          <w:color w:val="4C4D4F"/>
          <w:spacing w:val="-19"/>
          <w:w w:val="115"/>
          <w:sz w:val="18"/>
        </w:rPr>
        <w:t> </w:t>
      </w:r>
      <w:r>
        <w:rPr>
          <w:color w:val="4C4D4F"/>
          <w:w w:val="115"/>
          <w:sz w:val="18"/>
        </w:rPr>
        <w:t>Final</w:t>
      </w:r>
      <w:r>
        <w:rPr>
          <w:color w:val="4C4D4F"/>
          <w:spacing w:val="-19"/>
          <w:w w:val="115"/>
          <w:sz w:val="18"/>
        </w:rPr>
        <w:t> </w:t>
      </w:r>
      <w:r>
        <w:rPr>
          <w:color w:val="4C4D4F"/>
          <w:w w:val="115"/>
          <w:sz w:val="18"/>
        </w:rPr>
        <w:t>Rule,</w:t>
      </w:r>
      <w:r>
        <w:rPr>
          <w:color w:val="4C4D4F"/>
          <w:spacing w:val="-19"/>
          <w:w w:val="115"/>
          <w:sz w:val="18"/>
        </w:rPr>
        <w:t> </w:t>
      </w:r>
      <w:r>
        <w:rPr>
          <w:color w:val="4C4D4F"/>
          <w:w w:val="115"/>
          <w:sz w:val="18"/>
        </w:rPr>
        <w:t>Fed.</w:t>
      </w:r>
      <w:r>
        <w:rPr>
          <w:color w:val="4C4D4F"/>
          <w:spacing w:val="-19"/>
          <w:w w:val="115"/>
          <w:sz w:val="18"/>
        </w:rPr>
        <w:t> </w:t>
      </w:r>
      <w:r>
        <w:rPr>
          <w:color w:val="4C4D4F"/>
          <w:w w:val="115"/>
          <w:sz w:val="18"/>
        </w:rPr>
        <w:t>Reg.</w:t>
      </w:r>
      <w:r>
        <w:rPr>
          <w:color w:val="4C4D4F"/>
          <w:spacing w:val="-19"/>
          <w:w w:val="115"/>
          <w:sz w:val="18"/>
        </w:rPr>
        <w:t> </w:t>
      </w:r>
      <w:r>
        <w:rPr>
          <w:color w:val="4C4D4F"/>
          <w:w w:val="115"/>
          <w:sz w:val="18"/>
        </w:rPr>
        <w:t>81</w:t>
      </w:r>
      <w:r>
        <w:rPr>
          <w:color w:val="4C4D4F"/>
          <w:spacing w:val="-19"/>
          <w:w w:val="115"/>
          <w:sz w:val="18"/>
        </w:rPr>
        <w:t> </w:t>
      </w:r>
      <w:r>
        <w:rPr>
          <w:color w:val="4C4D4F"/>
          <w:w w:val="115"/>
          <w:sz w:val="18"/>
        </w:rPr>
        <w:t>44711</w:t>
      </w:r>
      <w:r>
        <w:rPr>
          <w:color w:val="4C4D4F"/>
          <w:spacing w:val="-19"/>
          <w:w w:val="115"/>
          <w:sz w:val="18"/>
        </w:rPr>
        <w:t> </w:t>
      </w:r>
      <w:r>
        <w:rPr>
          <w:color w:val="4C4D4F"/>
          <w:w w:val="115"/>
          <w:sz w:val="18"/>
        </w:rPr>
        <w:t>(July</w:t>
      </w:r>
      <w:r>
        <w:rPr>
          <w:color w:val="4C4D4F"/>
          <w:spacing w:val="-19"/>
          <w:w w:val="115"/>
          <w:sz w:val="18"/>
        </w:rPr>
        <w:t> </w:t>
      </w:r>
      <w:r>
        <w:rPr>
          <w:color w:val="4C4D4F"/>
          <w:spacing w:val="-9"/>
          <w:w w:val="115"/>
          <w:sz w:val="18"/>
        </w:rPr>
        <w:t>8, </w:t>
      </w:r>
      <w:r>
        <w:rPr>
          <w:color w:val="4C4D4F"/>
          <w:w w:val="115"/>
          <w:sz w:val="18"/>
        </w:rPr>
        <w:t>2016)</w:t>
      </w:r>
      <w:r>
        <w:rPr>
          <w:color w:val="4C4D4F"/>
          <w:spacing w:val="-11"/>
          <w:w w:val="115"/>
          <w:sz w:val="18"/>
        </w:rPr>
        <w:t> </w:t>
      </w:r>
      <w:r>
        <w:rPr>
          <w:color w:val="4C4D4F"/>
          <w:w w:val="115"/>
          <w:sz w:val="18"/>
        </w:rPr>
        <w:t>(to</w:t>
      </w:r>
      <w:r>
        <w:rPr>
          <w:color w:val="4C4D4F"/>
          <w:spacing w:val="-11"/>
          <w:w w:val="115"/>
          <w:sz w:val="18"/>
        </w:rPr>
        <w:t> </w:t>
      </w:r>
      <w:r>
        <w:rPr>
          <w:color w:val="4C4D4F"/>
          <w:w w:val="115"/>
          <w:sz w:val="18"/>
        </w:rPr>
        <w:t>be</w:t>
      </w:r>
      <w:r>
        <w:rPr>
          <w:color w:val="4C4D4F"/>
          <w:spacing w:val="-11"/>
          <w:w w:val="115"/>
          <w:sz w:val="18"/>
        </w:rPr>
        <w:t> </w:t>
      </w:r>
      <w:r>
        <w:rPr>
          <w:color w:val="4C4D4F"/>
          <w:w w:val="115"/>
          <w:sz w:val="18"/>
        </w:rPr>
        <w:t>codiﬁed</w:t>
      </w:r>
      <w:r>
        <w:rPr>
          <w:color w:val="4C4D4F"/>
          <w:spacing w:val="-11"/>
          <w:w w:val="115"/>
          <w:sz w:val="18"/>
        </w:rPr>
        <w:t> </w:t>
      </w:r>
      <w:r>
        <w:rPr>
          <w:color w:val="4C4D4F"/>
          <w:w w:val="115"/>
          <w:sz w:val="18"/>
        </w:rPr>
        <w:t>at</w:t>
      </w:r>
      <w:r>
        <w:rPr>
          <w:color w:val="4C4D4F"/>
          <w:spacing w:val="-10"/>
          <w:w w:val="115"/>
          <w:sz w:val="18"/>
        </w:rPr>
        <w:t> </w:t>
      </w:r>
      <w:r>
        <w:rPr>
          <w:color w:val="4C4D4F"/>
          <w:w w:val="115"/>
          <w:sz w:val="18"/>
        </w:rPr>
        <w:t>42</w:t>
      </w:r>
      <w:r>
        <w:rPr>
          <w:color w:val="4C4D4F"/>
          <w:spacing w:val="-11"/>
          <w:w w:val="115"/>
          <w:sz w:val="18"/>
        </w:rPr>
        <w:t> </w:t>
      </w:r>
      <w:r>
        <w:rPr>
          <w:color w:val="4C4D4F"/>
          <w:w w:val="115"/>
          <w:sz w:val="18"/>
        </w:rPr>
        <w:t>CFR</w:t>
      </w:r>
      <w:r>
        <w:rPr>
          <w:color w:val="4C4D4F"/>
          <w:spacing w:val="-11"/>
          <w:w w:val="115"/>
          <w:sz w:val="18"/>
        </w:rPr>
        <w:t> </w:t>
      </w:r>
      <w:r>
        <w:rPr>
          <w:color w:val="4C4D4F"/>
          <w:w w:val="115"/>
          <w:sz w:val="18"/>
        </w:rPr>
        <w:t>pt.</w:t>
      </w:r>
      <w:r>
        <w:rPr>
          <w:color w:val="4C4D4F"/>
          <w:spacing w:val="-11"/>
          <w:w w:val="115"/>
          <w:sz w:val="18"/>
        </w:rPr>
        <w:t> </w:t>
      </w:r>
      <w:r>
        <w:rPr>
          <w:color w:val="4C4D4F"/>
          <w:w w:val="115"/>
          <w:sz w:val="18"/>
        </w:rPr>
        <w:t>8).</w:t>
      </w:r>
    </w:p>
    <w:p>
      <w:pPr>
        <w:pStyle w:val="ListParagraph"/>
        <w:numPr>
          <w:ilvl w:val="0"/>
          <w:numId w:val="51"/>
        </w:numPr>
        <w:tabs>
          <w:tab w:pos="500" w:val="left" w:leader="none"/>
        </w:tabs>
        <w:spacing w:line="247" w:lineRule="auto" w:before="75" w:after="0"/>
        <w:ind w:left="500" w:right="329" w:hanging="360"/>
        <w:jc w:val="left"/>
        <w:rPr>
          <w:color w:val="4C4D4F"/>
          <w:sz w:val="18"/>
        </w:rPr>
      </w:pPr>
      <w:r>
        <w:rPr>
          <w:color w:val="4C4D4F"/>
          <w:w w:val="110"/>
          <w:sz w:val="18"/>
        </w:rPr>
        <w:t>Physical</w:t>
      </w:r>
      <w:r>
        <w:rPr>
          <w:color w:val="4C4D4F"/>
          <w:spacing w:val="-9"/>
          <w:w w:val="110"/>
          <w:sz w:val="18"/>
        </w:rPr>
        <w:t> </w:t>
      </w:r>
      <w:r>
        <w:rPr>
          <w:color w:val="4C4D4F"/>
          <w:w w:val="110"/>
          <w:sz w:val="18"/>
        </w:rPr>
        <w:t>security</w:t>
      </w:r>
      <w:r>
        <w:rPr>
          <w:color w:val="4C4D4F"/>
          <w:spacing w:val="-9"/>
          <w:w w:val="110"/>
          <w:sz w:val="18"/>
        </w:rPr>
        <w:t> </w:t>
      </w:r>
      <w:r>
        <w:rPr>
          <w:color w:val="4C4D4F"/>
          <w:w w:val="110"/>
          <w:sz w:val="18"/>
        </w:rPr>
        <w:t>controls</w:t>
      </w:r>
      <w:r>
        <w:rPr>
          <w:color w:val="4C4D4F"/>
          <w:spacing w:val="-9"/>
          <w:w w:val="110"/>
          <w:sz w:val="18"/>
        </w:rPr>
        <w:t> </w:t>
      </w:r>
      <w:r>
        <w:rPr>
          <w:color w:val="4C4D4F"/>
          <w:w w:val="110"/>
          <w:sz w:val="18"/>
        </w:rPr>
        <w:t>for</w:t>
      </w:r>
      <w:r>
        <w:rPr>
          <w:color w:val="4C4D4F"/>
          <w:spacing w:val="-8"/>
          <w:w w:val="110"/>
          <w:sz w:val="18"/>
        </w:rPr>
        <w:t> </w:t>
      </w:r>
      <w:r>
        <w:rPr>
          <w:color w:val="4C4D4F"/>
          <w:w w:val="110"/>
          <w:sz w:val="18"/>
        </w:rPr>
        <w:t>practitioners,</w:t>
      </w:r>
      <w:r>
        <w:rPr>
          <w:color w:val="4C4D4F"/>
          <w:spacing w:val="-9"/>
          <w:w w:val="110"/>
          <w:sz w:val="18"/>
        </w:rPr>
        <w:t> </w:t>
      </w:r>
      <w:r>
        <w:rPr>
          <w:color w:val="4C4D4F"/>
          <w:w w:val="110"/>
          <w:sz w:val="18"/>
        </w:rPr>
        <w:t>21</w:t>
      </w:r>
      <w:r>
        <w:rPr>
          <w:color w:val="4C4D4F"/>
          <w:spacing w:val="-9"/>
          <w:w w:val="110"/>
          <w:sz w:val="18"/>
        </w:rPr>
        <w:t> </w:t>
      </w:r>
      <w:r>
        <w:rPr>
          <w:color w:val="4C4D4F"/>
          <w:w w:val="110"/>
          <w:sz w:val="18"/>
        </w:rPr>
        <w:t>CFR</w:t>
      </w:r>
      <w:r>
        <w:rPr>
          <w:color w:val="4C4D4F"/>
          <w:spacing w:val="-9"/>
          <w:w w:val="110"/>
          <w:sz w:val="18"/>
        </w:rPr>
        <w:t> </w:t>
      </w:r>
      <w:r>
        <w:rPr>
          <w:color w:val="4C4D4F"/>
          <w:spacing w:val="-17"/>
          <w:w w:val="110"/>
          <w:sz w:val="18"/>
        </w:rPr>
        <w:t>§ </w:t>
      </w:r>
      <w:r>
        <w:rPr>
          <w:color w:val="4C4D4F"/>
          <w:w w:val="110"/>
          <w:sz w:val="18"/>
        </w:rPr>
        <w:t>1301.75</w:t>
      </w:r>
      <w:r>
        <w:rPr>
          <w:color w:val="4C4D4F"/>
          <w:spacing w:val="-6"/>
          <w:w w:val="110"/>
          <w:sz w:val="18"/>
        </w:rPr>
        <w:t> </w:t>
      </w:r>
      <w:r>
        <w:rPr>
          <w:color w:val="4C4D4F"/>
          <w:w w:val="110"/>
          <w:sz w:val="18"/>
        </w:rPr>
        <w:t>(2016).</w:t>
      </w:r>
    </w:p>
    <w:p>
      <w:pPr>
        <w:pStyle w:val="ListParagraph"/>
        <w:numPr>
          <w:ilvl w:val="0"/>
          <w:numId w:val="51"/>
        </w:numPr>
        <w:tabs>
          <w:tab w:pos="500" w:val="left" w:leader="none"/>
        </w:tabs>
        <w:spacing w:line="240" w:lineRule="auto" w:before="74" w:after="0"/>
        <w:ind w:left="500" w:right="0" w:hanging="360"/>
        <w:jc w:val="left"/>
        <w:rPr>
          <w:color w:val="4C4D4F"/>
          <w:sz w:val="18"/>
        </w:rPr>
      </w:pPr>
      <w:r>
        <w:rPr>
          <w:color w:val="4C4D4F"/>
          <w:w w:val="110"/>
          <w:sz w:val="18"/>
        </w:rPr>
        <w:t>American Society of Addiction Medicine.</w:t>
      </w:r>
      <w:r>
        <w:rPr>
          <w:color w:val="4C4D4F"/>
          <w:spacing w:val="-15"/>
          <w:w w:val="110"/>
          <w:sz w:val="18"/>
        </w:rPr>
        <w:t> </w:t>
      </w:r>
      <w:r>
        <w:rPr>
          <w:color w:val="4C4D4F"/>
          <w:w w:val="110"/>
          <w:sz w:val="18"/>
        </w:rPr>
        <w:t>(2016).</w:t>
      </w:r>
    </w:p>
    <w:p>
      <w:pPr>
        <w:spacing w:line="247" w:lineRule="auto" w:before="7"/>
        <w:ind w:left="500" w:right="192" w:firstLine="0"/>
        <w:jc w:val="left"/>
        <w:rPr>
          <w:sz w:val="18"/>
        </w:rPr>
      </w:pPr>
      <w:r>
        <w:rPr>
          <w:color w:val="4C4D4F"/>
          <w:w w:val="115"/>
          <w:sz w:val="18"/>
        </w:rPr>
        <w:t>Sample ofﬁce-based opioid use disorder policy and procedure</w:t>
      </w:r>
      <w:r>
        <w:rPr>
          <w:color w:val="4C4D4F"/>
          <w:spacing w:val="-36"/>
          <w:w w:val="115"/>
          <w:sz w:val="18"/>
        </w:rPr>
        <w:t> </w:t>
      </w:r>
      <w:r>
        <w:rPr>
          <w:color w:val="4C4D4F"/>
          <w:w w:val="115"/>
          <w:sz w:val="18"/>
        </w:rPr>
        <w:t>manual.</w:t>
      </w:r>
      <w:r>
        <w:rPr>
          <w:color w:val="4C4D4F"/>
          <w:spacing w:val="-35"/>
          <w:w w:val="115"/>
          <w:sz w:val="18"/>
        </w:rPr>
        <w:t> </w:t>
      </w:r>
      <w:r>
        <w:rPr>
          <w:color w:val="4C4D4F"/>
          <w:w w:val="115"/>
          <w:sz w:val="18"/>
        </w:rPr>
        <w:t>Retrieved</w:t>
      </w:r>
      <w:r>
        <w:rPr>
          <w:color w:val="4C4D4F"/>
          <w:spacing w:val="-35"/>
          <w:w w:val="115"/>
          <w:sz w:val="18"/>
        </w:rPr>
        <w:t> </w:t>
      </w:r>
      <w:r>
        <w:rPr>
          <w:color w:val="4C4D4F"/>
          <w:w w:val="115"/>
          <w:sz w:val="18"/>
        </w:rPr>
        <w:t>October</w:t>
      </w:r>
      <w:r>
        <w:rPr>
          <w:color w:val="4C4D4F"/>
          <w:spacing w:val="-35"/>
          <w:w w:val="115"/>
          <w:sz w:val="18"/>
        </w:rPr>
        <w:t> </w:t>
      </w:r>
      <w:r>
        <w:rPr>
          <w:color w:val="4C4D4F"/>
          <w:w w:val="115"/>
          <w:sz w:val="18"/>
        </w:rPr>
        <w:t>19,</w:t>
      </w:r>
      <w:r>
        <w:rPr>
          <w:color w:val="4C4D4F"/>
          <w:spacing w:val="-35"/>
          <w:w w:val="115"/>
          <w:sz w:val="18"/>
        </w:rPr>
        <w:t> </w:t>
      </w:r>
      <w:r>
        <w:rPr>
          <w:color w:val="4C4D4F"/>
          <w:w w:val="115"/>
          <w:sz w:val="18"/>
        </w:rPr>
        <w:t>2017,</w:t>
      </w:r>
      <w:r>
        <w:rPr>
          <w:color w:val="4C4D4F"/>
          <w:spacing w:val="-36"/>
          <w:w w:val="115"/>
          <w:sz w:val="18"/>
        </w:rPr>
        <w:t> </w:t>
      </w:r>
      <w:r>
        <w:rPr>
          <w:color w:val="4C4D4F"/>
          <w:w w:val="115"/>
          <w:sz w:val="18"/>
        </w:rPr>
        <w:t>from </w:t>
      </w:r>
      <w:hyperlink r:id="rId54">
        <w:r>
          <w:rPr>
            <w:color w:val="205E9E"/>
            <w:spacing w:val="-1"/>
            <w:w w:val="110"/>
            <w:sz w:val="18"/>
            <w:u w:val="single" w:color="205E9E"/>
          </w:rPr>
          <w:t>www.asam.org/docs/default-source/advocacy/sample</w:t>
        </w:r>
      </w:hyperlink>
    </w:p>
    <w:p>
      <w:pPr>
        <w:spacing w:before="3"/>
        <w:ind w:left="500" w:right="0" w:firstLine="0"/>
        <w:jc w:val="left"/>
        <w:rPr>
          <w:sz w:val="18"/>
        </w:rPr>
      </w:pPr>
      <w:r>
        <w:rPr>
          <w:color w:val="205E9E"/>
          <w:w w:val="110"/>
          <w:sz w:val="18"/>
          <w:u w:val="single" w:color="205E9E"/>
        </w:rPr>
        <w:t>-diversion-policy.pdf?sfvrsn=0</w:t>
      </w:r>
    </w:p>
    <w:p>
      <w:pPr>
        <w:pStyle w:val="ListParagraph"/>
        <w:numPr>
          <w:ilvl w:val="0"/>
          <w:numId w:val="51"/>
        </w:numPr>
        <w:tabs>
          <w:tab w:pos="500" w:val="left" w:leader="none"/>
        </w:tabs>
        <w:spacing w:line="247" w:lineRule="auto" w:before="79" w:after="0"/>
        <w:ind w:left="500" w:right="329" w:hanging="360"/>
        <w:jc w:val="left"/>
        <w:rPr>
          <w:color w:val="4C4D4F"/>
          <w:sz w:val="18"/>
        </w:rPr>
      </w:pPr>
      <w:r>
        <w:rPr>
          <w:color w:val="4C4D4F"/>
          <w:w w:val="110"/>
          <w:sz w:val="18"/>
        </w:rPr>
        <w:t>Records for manufacturers, distributors, dispensers, researchers, importers, exporters, registrants that reverse distribute, and collectors, 21 CFR § </w:t>
      </w:r>
      <w:r>
        <w:rPr>
          <w:color w:val="4C4D4F"/>
          <w:spacing w:val="-3"/>
          <w:w w:val="110"/>
          <w:sz w:val="18"/>
        </w:rPr>
        <w:t>1304.22 </w:t>
      </w:r>
      <w:r>
        <w:rPr>
          <w:color w:val="4C4D4F"/>
          <w:w w:val="110"/>
          <w:sz w:val="18"/>
        </w:rPr>
        <w:t>(2014).</w:t>
      </w:r>
    </w:p>
    <w:p>
      <w:pPr>
        <w:pStyle w:val="ListParagraph"/>
        <w:numPr>
          <w:ilvl w:val="0"/>
          <w:numId w:val="51"/>
        </w:numPr>
        <w:tabs>
          <w:tab w:pos="500" w:val="left" w:leader="none"/>
        </w:tabs>
        <w:spacing w:line="247" w:lineRule="auto" w:before="76" w:after="0"/>
        <w:ind w:left="500" w:right="108" w:hanging="360"/>
        <w:jc w:val="left"/>
        <w:rPr>
          <w:color w:val="4C4D4F"/>
          <w:sz w:val="18"/>
        </w:rPr>
      </w:pPr>
      <w:r>
        <w:rPr>
          <w:color w:val="4C4D4F"/>
          <w:w w:val="110"/>
          <w:sz w:val="18"/>
        </w:rPr>
        <w:t>Lofwall, M., &amp; Walsh, S. (2014). A review of buprenorphine diversion and misuse: The current evidence base and experiences from around the </w:t>
      </w:r>
      <w:r>
        <w:rPr>
          <w:color w:val="4C4D4F"/>
          <w:spacing w:val="-4"/>
          <w:w w:val="110"/>
          <w:sz w:val="18"/>
        </w:rPr>
        <w:t>world </w:t>
      </w:r>
      <w:r>
        <w:rPr>
          <w:color w:val="4C4D4F"/>
          <w:w w:val="110"/>
          <w:sz w:val="18"/>
        </w:rPr>
        <w:t>(p.</w:t>
      </w:r>
      <w:r>
        <w:rPr>
          <w:color w:val="4C4D4F"/>
          <w:spacing w:val="-30"/>
          <w:w w:val="110"/>
          <w:sz w:val="18"/>
        </w:rPr>
        <w:t> </w:t>
      </w:r>
      <w:r>
        <w:rPr>
          <w:color w:val="4C4D4F"/>
          <w:w w:val="110"/>
          <w:sz w:val="18"/>
        </w:rPr>
        <w:t>316).</w:t>
      </w:r>
      <w:r>
        <w:rPr>
          <w:color w:val="4C4D4F"/>
          <w:spacing w:val="-30"/>
          <w:w w:val="110"/>
          <w:sz w:val="18"/>
        </w:rPr>
        <w:t> </w:t>
      </w:r>
      <w:r>
        <w:rPr>
          <w:rFonts w:ascii="Arial" w:hAnsi="Arial"/>
          <w:i/>
          <w:color w:val="4C4D4F"/>
          <w:w w:val="110"/>
          <w:sz w:val="18"/>
        </w:rPr>
        <w:t>Journal</w:t>
      </w:r>
      <w:r>
        <w:rPr>
          <w:rFonts w:ascii="Arial" w:hAnsi="Arial"/>
          <w:i/>
          <w:color w:val="4C4D4F"/>
          <w:spacing w:val="-29"/>
          <w:w w:val="110"/>
          <w:sz w:val="18"/>
        </w:rPr>
        <w:t> </w:t>
      </w:r>
      <w:r>
        <w:rPr>
          <w:rFonts w:ascii="Arial" w:hAnsi="Arial"/>
          <w:i/>
          <w:color w:val="4C4D4F"/>
          <w:w w:val="110"/>
          <w:sz w:val="18"/>
        </w:rPr>
        <w:t>of</w:t>
      </w:r>
      <w:r>
        <w:rPr>
          <w:rFonts w:ascii="Arial" w:hAnsi="Arial"/>
          <w:i/>
          <w:color w:val="4C4D4F"/>
          <w:spacing w:val="-30"/>
          <w:w w:val="110"/>
          <w:sz w:val="18"/>
        </w:rPr>
        <w:t> </w:t>
      </w:r>
      <w:r>
        <w:rPr>
          <w:rFonts w:ascii="Arial" w:hAnsi="Arial"/>
          <w:i/>
          <w:color w:val="4C4D4F"/>
          <w:w w:val="110"/>
          <w:sz w:val="18"/>
        </w:rPr>
        <w:t>Addiction</w:t>
      </w:r>
      <w:r>
        <w:rPr>
          <w:rFonts w:ascii="Arial" w:hAnsi="Arial"/>
          <w:i/>
          <w:color w:val="4C4D4F"/>
          <w:spacing w:val="-29"/>
          <w:w w:val="110"/>
          <w:sz w:val="18"/>
        </w:rPr>
        <w:t> </w:t>
      </w:r>
      <w:r>
        <w:rPr>
          <w:rFonts w:ascii="Arial" w:hAnsi="Arial"/>
          <w:i/>
          <w:color w:val="4C4D4F"/>
          <w:w w:val="110"/>
          <w:sz w:val="18"/>
        </w:rPr>
        <w:t>Medicine,</w:t>
      </w:r>
      <w:r>
        <w:rPr>
          <w:rFonts w:ascii="Arial" w:hAnsi="Arial"/>
          <w:i/>
          <w:color w:val="4C4D4F"/>
          <w:spacing w:val="-30"/>
          <w:w w:val="110"/>
          <w:sz w:val="18"/>
        </w:rPr>
        <w:t> </w:t>
      </w:r>
      <w:r>
        <w:rPr>
          <w:rFonts w:ascii="Arial" w:hAnsi="Arial"/>
          <w:i/>
          <w:color w:val="4C4D4F"/>
          <w:w w:val="110"/>
          <w:sz w:val="18"/>
        </w:rPr>
        <w:t>8</w:t>
      </w:r>
      <w:r>
        <w:rPr>
          <w:color w:val="4C4D4F"/>
          <w:w w:val="110"/>
          <w:sz w:val="18"/>
        </w:rPr>
        <w:t>(5),</w:t>
      </w:r>
      <w:r>
        <w:rPr>
          <w:color w:val="4C4D4F"/>
          <w:spacing w:val="-29"/>
          <w:w w:val="110"/>
          <w:sz w:val="18"/>
        </w:rPr>
        <w:t> </w:t>
      </w:r>
      <w:r>
        <w:rPr>
          <w:color w:val="4C4D4F"/>
          <w:w w:val="110"/>
          <w:sz w:val="18"/>
        </w:rPr>
        <w:t>315–326.</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w w:val="110"/>
          <w:sz w:val="18"/>
        </w:rPr>
        <w:t>American Society of Addiction Medicine.</w:t>
      </w:r>
      <w:r>
        <w:rPr>
          <w:color w:val="4C4D4F"/>
          <w:spacing w:val="11"/>
          <w:w w:val="110"/>
          <w:sz w:val="18"/>
        </w:rPr>
        <w:t> </w:t>
      </w:r>
      <w:r>
        <w:rPr>
          <w:color w:val="4C4D4F"/>
          <w:w w:val="110"/>
          <w:sz w:val="18"/>
        </w:rPr>
        <w:t>(2016).</w:t>
      </w:r>
    </w:p>
    <w:p>
      <w:pPr>
        <w:spacing w:line="247" w:lineRule="auto" w:before="7"/>
        <w:ind w:left="500" w:right="192" w:firstLine="0"/>
        <w:jc w:val="left"/>
        <w:rPr>
          <w:sz w:val="18"/>
        </w:rPr>
      </w:pPr>
      <w:r>
        <w:rPr>
          <w:color w:val="4C4D4F"/>
          <w:w w:val="115"/>
          <w:sz w:val="18"/>
        </w:rPr>
        <w:t>Sample ofﬁce-based opioid use disorder policy and procedure</w:t>
      </w:r>
      <w:r>
        <w:rPr>
          <w:color w:val="4C4D4F"/>
          <w:spacing w:val="-36"/>
          <w:w w:val="115"/>
          <w:sz w:val="18"/>
        </w:rPr>
        <w:t> </w:t>
      </w:r>
      <w:r>
        <w:rPr>
          <w:color w:val="4C4D4F"/>
          <w:w w:val="115"/>
          <w:sz w:val="18"/>
        </w:rPr>
        <w:t>manual.</w:t>
      </w:r>
      <w:r>
        <w:rPr>
          <w:color w:val="4C4D4F"/>
          <w:spacing w:val="-35"/>
          <w:w w:val="115"/>
          <w:sz w:val="18"/>
        </w:rPr>
        <w:t> </w:t>
      </w:r>
      <w:r>
        <w:rPr>
          <w:color w:val="4C4D4F"/>
          <w:w w:val="115"/>
          <w:sz w:val="18"/>
        </w:rPr>
        <w:t>Retrieved</w:t>
      </w:r>
      <w:r>
        <w:rPr>
          <w:color w:val="4C4D4F"/>
          <w:spacing w:val="-35"/>
          <w:w w:val="115"/>
          <w:sz w:val="18"/>
        </w:rPr>
        <w:t> </w:t>
      </w:r>
      <w:r>
        <w:rPr>
          <w:color w:val="4C4D4F"/>
          <w:w w:val="115"/>
          <w:sz w:val="18"/>
        </w:rPr>
        <w:t>October</w:t>
      </w:r>
      <w:r>
        <w:rPr>
          <w:color w:val="4C4D4F"/>
          <w:spacing w:val="-35"/>
          <w:w w:val="115"/>
          <w:sz w:val="18"/>
        </w:rPr>
        <w:t> </w:t>
      </w:r>
      <w:r>
        <w:rPr>
          <w:color w:val="4C4D4F"/>
          <w:w w:val="115"/>
          <w:sz w:val="18"/>
        </w:rPr>
        <w:t>19,</w:t>
      </w:r>
      <w:r>
        <w:rPr>
          <w:color w:val="4C4D4F"/>
          <w:spacing w:val="-35"/>
          <w:w w:val="115"/>
          <w:sz w:val="18"/>
        </w:rPr>
        <w:t> </w:t>
      </w:r>
      <w:r>
        <w:rPr>
          <w:color w:val="4C4D4F"/>
          <w:w w:val="115"/>
          <w:sz w:val="18"/>
        </w:rPr>
        <w:t>2017,</w:t>
      </w:r>
      <w:r>
        <w:rPr>
          <w:color w:val="4C4D4F"/>
          <w:spacing w:val="-36"/>
          <w:w w:val="115"/>
          <w:sz w:val="18"/>
        </w:rPr>
        <w:t> </w:t>
      </w:r>
      <w:r>
        <w:rPr>
          <w:color w:val="4C4D4F"/>
          <w:w w:val="115"/>
          <w:sz w:val="18"/>
        </w:rPr>
        <w:t>from </w:t>
      </w:r>
      <w:hyperlink r:id="rId54">
        <w:r>
          <w:rPr>
            <w:color w:val="205E9E"/>
            <w:spacing w:val="-1"/>
            <w:w w:val="110"/>
            <w:sz w:val="18"/>
            <w:u w:val="single" w:color="205E9E"/>
          </w:rPr>
          <w:t>www.asam.org/docs/default-source/advocacy/sample</w:t>
        </w:r>
      </w:hyperlink>
    </w:p>
    <w:p>
      <w:pPr>
        <w:spacing w:before="3"/>
        <w:ind w:left="500" w:right="0" w:firstLine="0"/>
        <w:jc w:val="left"/>
        <w:rPr>
          <w:sz w:val="18"/>
        </w:rPr>
      </w:pPr>
      <w:r>
        <w:rPr>
          <w:color w:val="205E9E"/>
          <w:w w:val="110"/>
          <w:sz w:val="18"/>
          <w:u w:val="single" w:color="205E9E"/>
        </w:rPr>
        <w:t>-diversion-policy.pdf?sfvrsn=0</w:t>
      </w:r>
    </w:p>
    <w:p>
      <w:pPr>
        <w:pStyle w:val="ListParagraph"/>
        <w:numPr>
          <w:ilvl w:val="0"/>
          <w:numId w:val="51"/>
        </w:numPr>
        <w:tabs>
          <w:tab w:pos="500" w:val="left" w:leader="none"/>
        </w:tabs>
        <w:spacing w:line="240" w:lineRule="auto" w:before="79" w:after="0"/>
        <w:ind w:left="500" w:right="0" w:hanging="360"/>
        <w:jc w:val="left"/>
        <w:rPr>
          <w:color w:val="4C4D4F"/>
          <w:sz w:val="18"/>
        </w:rPr>
      </w:pPr>
      <w:r>
        <w:rPr>
          <w:color w:val="4C4D4F"/>
          <w:w w:val="110"/>
          <w:sz w:val="18"/>
        </w:rPr>
        <w:t>Velez, C. M., Nicolaidis, C., Korthuis, </w:t>
      </w:r>
      <w:r>
        <w:rPr>
          <w:color w:val="4C4D4F"/>
          <w:spacing w:val="-17"/>
          <w:w w:val="110"/>
          <w:sz w:val="18"/>
        </w:rPr>
        <w:t>P. </w:t>
      </w:r>
      <w:r>
        <w:rPr>
          <w:color w:val="4C4D4F"/>
          <w:spacing w:val="-7"/>
          <w:w w:val="110"/>
          <w:sz w:val="18"/>
        </w:rPr>
        <w:t>T., </w:t>
      </w:r>
      <w:r>
        <w:rPr>
          <w:color w:val="4C4D4F"/>
          <w:w w:val="110"/>
          <w:sz w:val="18"/>
        </w:rPr>
        <w:t>&amp;</w:t>
      </w:r>
      <w:r>
        <w:rPr>
          <w:color w:val="4C4D4F"/>
          <w:spacing w:val="-25"/>
          <w:w w:val="110"/>
          <w:sz w:val="18"/>
        </w:rPr>
        <w:t> </w:t>
      </w:r>
      <w:r>
        <w:rPr>
          <w:color w:val="4C4D4F"/>
          <w:w w:val="110"/>
          <w:sz w:val="18"/>
        </w:rPr>
        <w:t>Englander,</w:t>
      </w:r>
    </w:p>
    <w:p>
      <w:pPr>
        <w:spacing w:line="247" w:lineRule="auto" w:before="8"/>
        <w:ind w:left="500" w:right="513" w:firstLine="0"/>
        <w:jc w:val="left"/>
        <w:rPr>
          <w:sz w:val="18"/>
        </w:rPr>
      </w:pPr>
      <w:r>
        <w:rPr>
          <w:color w:val="4C4D4F"/>
          <w:w w:val="110"/>
          <w:sz w:val="18"/>
        </w:rPr>
        <w:t>H. (2016). “It’s been an experience, a life learning experience”: A qualitative study of hospitalized patients with substance use disorders. </w:t>
      </w:r>
      <w:r>
        <w:rPr>
          <w:rFonts w:ascii="Arial" w:hAnsi="Arial"/>
          <w:i/>
          <w:color w:val="4C4D4F"/>
          <w:w w:val="110"/>
          <w:sz w:val="18"/>
        </w:rPr>
        <w:t>Journal of </w:t>
      </w:r>
      <w:r>
        <w:rPr>
          <w:rFonts w:ascii="Arial" w:hAnsi="Arial"/>
          <w:i/>
          <w:color w:val="4C4D4F"/>
          <w:w w:val="110"/>
          <w:sz w:val="18"/>
        </w:rPr>
        <w:t>General Internal Medicine, 32</w:t>
      </w:r>
      <w:r>
        <w:rPr>
          <w:color w:val="4C4D4F"/>
          <w:w w:val="110"/>
          <w:sz w:val="18"/>
        </w:rPr>
        <w:t>(3), 296–303.</w:t>
      </w:r>
    </w:p>
    <w:p>
      <w:pPr>
        <w:pStyle w:val="ListParagraph"/>
        <w:numPr>
          <w:ilvl w:val="0"/>
          <w:numId w:val="51"/>
        </w:numPr>
        <w:tabs>
          <w:tab w:pos="500" w:val="left" w:leader="none"/>
        </w:tabs>
        <w:spacing w:line="247" w:lineRule="auto" w:before="72" w:after="0"/>
        <w:ind w:left="500" w:right="249" w:hanging="360"/>
        <w:jc w:val="left"/>
        <w:rPr>
          <w:color w:val="4C4D4F"/>
          <w:sz w:val="18"/>
        </w:rPr>
      </w:pPr>
      <w:r>
        <w:rPr>
          <w:color w:val="4C4D4F"/>
          <w:w w:val="115"/>
          <w:sz w:val="18"/>
        </w:rPr>
        <w:t>Liebschutz,</w:t>
      </w:r>
      <w:r>
        <w:rPr>
          <w:color w:val="4C4D4F"/>
          <w:spacing w:val="-32"/>
          <w:w w:val="115"/>
          <w:sz w:val="18"/>
        </w:rPr>
        <w:t> </w:t>
      </w:r>
      <w:r>
        <w:rPr>
          <w:color w:val="4C4D4F"/>
          <w:w w:val="135"/>
          <w:sz w:val="18"/>
        </w:rPr>
        <w:t>J.</w:t>
      </w:r>
      <w:r>
        <w:rPr>
          <w:color w:val="4C4D4F"/>
          <w:spacing w:val="-41"/>
          <w:w w:val="135"/>
          <w:sz w:val="18"/>
        </w:rPr>
        <w:t> </w:t>
      </w:r>
      <w:r>
        <w:rPr>
          <w:color w:val="4C4D4F"/>
          <w:w w:val="115"/>
          <w:sz w:val="18"/>
        </w:rPr>
        <w:t>M.,</w:t>
      </w:r>
      <w:r>
        <w:rPr>
          <w:color w:val="4C4D4F"/>
          <w:spacing w:val="-31"/>
          <w:w w:val="115"/>
          <w:sz w:val="18"/>
        </w:rPr>
        <w:t> </w:t>
      </w:r>
      <w:r>
        <w:rPr>
          <w:color w:val="4C4D4F"/>
          <w:w w:val="115"/>
          <w:sz w:val="18"/>
        </w:rPr>
        <w:t>Crooks,</w:t>
      </w:r>
      <w:r>
        <w:rPr>
          <w:color w:val="4C4D4F"/>
          <w:spacing w:val="-31"/>
          <w:w w:val="115"/>
          <w:sz w:val="18"/>
        </w:rPr>
        <w:t> </w:t>
      </w:r>
      <w:r>
        <w:rPr>
          <w:color w:val="4C4D4F"/>
          <w:w w:val="115"/>
          <w:sz w:val="18"/>
        </w:rPr>
        <w:t>D.,</w:t>
      </w:r>
      <w:r>
        <w:rPr>
          <w:color w:val="4C4D4F"/>
          <w:spacing w:val="-31"/>
          <w:w w:val="115"/>
          <w:sz w:val="18"/>
        </w:rPr>
        <w:t> </w:t>
      </w:r>
      <w:r>
        <w:rPr>
          <w:color w:val="4C4D4F"/>
          <w:w w:val="115"/>
          <w:sz w:val="18"/>
        </w:rPr>
        <w:t>Herman,</w:t>
      </w:r>
      <w:r>
        <w:rPr>
          <w:color w:val="4C4D4F"/>
          <w:spacing w:val="-31"/>
          <w:w w:val="115"/>
          <w:sz w:val="18"/>
        </w:rPr>
        <w:t> </w:t>
      </w:r>
      <w:r>
        <w:rPr>
          <w:color w:val="4C4D4F"/>
          <w:w w:val="115"/>
          <w:sz w:val="18"/>
        </w:rPr>
        <w:t>D.,</w:t>
      </w:r>
      <w:r>
        <w:rPr>
          <w:color w:val="4C4D4F"/>
          <w:spacing w:val="-31"/>
          <w:w w:val="115"/>
          <w:sz w:val="18"/>
        </w:rPr>
        <w:t> </w:t>
      </w:r>
      <w:r>
        <w:rPr>
          <w:color w:val="4C4D4F"/>
          <w:w w:val="115"/>
          <w:sz w:val="18"/>
        </w:rPr>
        <w:t>Anderson, B.,</w:t>
      </w:r>
      <w:r>
        <w:rPr>
          <w:color w:val="4C4D4F"/>
          <w:spacing w:val="-13"/>
          <w:w w:val="115"/>
          <w:sz w:val="18"/>
        </w:rPr>
        <w:t> </w:t>
      </w:r>
      <w:r>
        <w:rPr>
          <w:color w:val="4C4D4F"/>
          <w:spacing w:val="-4"/>
          <w:w w:val="115"/>
          <w:sz w:val="18"/>
        </w:rPr>
        <w:t>Tsui,</w:t>
      </w:r>
      <w:r>
        <w:rPr>
          <w:color w:val="4C4D4F"/>
          <w:spacing w:val="-13"/>
          <w:w w:val="115"/>
          <w:sz w:val="18"/>
        </w:rPr>
        <w:t> </w:t>
      </w:r>
      <w:r>
        <w:rPr>
          <w:color w:val="4C4D4F"/>
          <w:w w:val="135"/>
          <w:sz w:val="18"/>
        </w:rPr>
        <w:t>J.,</w:t>
      </w:r>
      <w:r>
        <w:rPr>
          <w:color w:val="4C4D4F"/>
          <w:spacing w:val="-22"/>
          <w:w w:val="135"/>
          <w:sz w:val="18"/>
        </w:rPr>
        <w:t> </w:t>
      </w:r>
      <w:r>
        <w:rPr>
          <w:color w:val="4C4D4F"/>
          <w:w w:val="115"/>
          <w:sz w:val="18"/>
        </w:rPr>
        <w:t>Meshesha,</w:t>
      </w:r>
      <w:r>
        <w:rPr>
          <w:color w:val="4C4D4F"/>
          <w:spacing w:val="-13"/>
          <w:w w:val="115"/>
          <w:sz w:val="18"/>
        </w:rPr>
        <w:t> </w:t>
      </w:r>
      <w:r>
        <w:rPr>
          <w:color w:val="4C4D4F"/>
          <w:w w:val="115"/>
          <w:sz w:val="18"/>
        </w:rPr>
        <w:t>L.</w:t>
      </w:r>
      <w:r>
        <w:rPr>
          <w:color w:val="4C4D4F"/>
          <w:spacing w:val="-12"/>
          <w:w w:val="115"/>
          <w:sz w:val="18"/>
        </w:rPr>
        <w:t> </w:t>
      </w:r>
      <w:r>
        <w:rPr>
          <w:color w:val="4C4D4F"/>
          <w:w w:val="115"/>
          <w:sz w:val="18"/>
        </w:rPr>
        <w:t>Z.,</w:t>
      </w:r>
      <w:r>
        <w:rPr>
          <w:color w:val="4C4D4F"/>
          <w:spacing w:val="-13"/>
          <w:w w:val="115"/>
          <w:sz w:val="18"/>
        </w:rPr>
        <w:t> </w:t>
      </w:r>
      <w:r>
        <w:rPr>
          <w:color w:val="4C4D4F"/>
          <w:w w:val="115"/>
          <w:sz w:val="18"/>
        </w:rPr>
        <w:t>…</w:t>
      </w:r>
      <w:r>
        <w:rPr>
          <w:color w:val="4C4D4F"/>
          <w:spacing w:val="-12"/>
          <w:w w:val="115"/>
          <w:sz w:val="18"/>
        </w:rPr>
        <w:t> </w:t>
      </w:r>
      <w:r>
        <w:rPr>
          <w:color w:val="4C4D4F"/>
          <w:w w:val="115"/>
          <w:sz w:val="18"/>
        </w:rPr>
        <w:t>Stein,</w:t>
      </w:r>
      <w:r>
        <w:rPr>
          <w:color w:val="4C4D4F"/>
          <w:spacing w:val="-13"/>
          <w:w w:val="115"/>
          <w:sz w:val="18"/>
        </w:rPr>
        <w:t> </w:t>
      </w:r>
      <w:r>
        <w:rPr>
          <w:color w:val="4C4D4F"/>
          <w:w w:val="115"/>
          <w:sz w:val="18"/>
        </w:rPr>
        <w:t>M.</w:t>
      </w:r>
      <w:r>
        <w:rPr>
          <w:color w:val="4C4D4F"/>
          <w:spacing w:val="-12"/>
          <w:w w:val="115"/>
          <w:sz w:val="18"/>
        </w:rPr>
        <w:t> </w:t>
      </w:r>
      <w:r>
        <w:rPr>
          <w:color w:val="4C4D4F"/>
          <w:w w:val="115"/>
          <w:sz w:val="18"/>
        </w:rPr>
        <w:t>(2014).</w:t>
      </w:r>
    </w:p>
    <w:p>
      <w:pPr>
        <w:spacing w:line="247" w:lineRule="auto" w:before="2"/>
        <w:ind w:left="500" w:right="0" w:firstLine="0"/>
        <w:jc w:val="left"/>
        <w:rPr>
          <w:sz w:val="18"/>
        </w:rPr>
      </w:pPr>
      <w:r>
        <w:rPr>
          <w:color w:val="4C4D4F"/>
          <w:w w:val="110"/>
          <w:sz w:val="18"/>
        </w:rPr>
        <w:t>Buprenorphine treatment for hospitalized, opioid- dependent patients: A randomized clinical trial. </w:t>
      </w:r>
      <w:r>
        <w:rPr>
          <w:rFonts w:ascii="Arial" w:hAnsi="Arial"/>
          <w:i/>
          <w:color w:val="4C4D4F"/>
          <w:w w:val="110"/>
          <w:sz w:val="18"/>
        </w:rPr>
        <w:t>JAMA </w:t>
      </w:r>
      <w:r>
        <w:rPr>
          <w:rFonts w:ascii="Arial" w:hAnsi="Arial"/>
          <w:i/>
          <w:color w:val="4C4D4F"/>
          <w:w w:val="110"/>
          <w:sz w:val="18"/>
        </w:rPr>
        <w:t>Internal Medicine, 174</w:t>
      </w:r>
      <w:r>
        <w:rPr>
          <w:color w:val="4C4D4F"/>
          <w:w w:val="110"/>
          <w:sz w:val="18"/>
        </w:rPr>
        <w:t>(8), 1369–1376.</w:t>
      </w:r>
    </w:p>
    <w:p>
      <w:pPr>
        <w:pStyle w:val="ListParagraph"/>
        <w:numPr>
          <w:ilvl w:val="0"/>
          <w:numId w:val="51"/>
        </w:numPr>
        <w:tabs>
          <w:tab w:pos="500" w:val="left" w:leader="none"/>
        </w:tabs>
        <w:spacing w:line="247" w:lineRule="auto" w:before="72" w:after="0"/>
        <w:ind w:left="500" w:right="243" w:hanging="360"/>
        <w:jc w:val="left"/>
        <w:rPr>
          <w:color w:val="4C4D4F"/>
          <w:sz w:val="18"/>
        </w:rPr>
      </w:pPr>
      <w:r>
        <w:rPr>
          <w:color w:val="4C4D4F"/>
          <w:w w:val="110"/>
          <w:sz w:val="18"/>
        </w:rPr>
        <w:t>D’Onofrio, G., O’Connor, </w:t>
      </w:r>
      <w:r>
        <w:rPr>
          <w:color w:val="4C4D4F"/>
          <w:spacing w:val="-17"/>
          <w:w w:val="110"/>
          <w:sz w:val="18"/>
        </w:rPr>
        <w:t>P. </w:t>
      </w:r>
      <w:r>
        <w:rPr>
          <w:color w:val="4C4D4F"/>
          <w:w w:val="110"/>
          <w:sz w:val="18"/>
        </w:rPr>
        <w:t>G., Pantalon, M. </w:t>
      </w:r>
      <w:r>
        <w:rPr>
          <w:color w:val="4C4D4F"/>
          <w:spacing w:val="-8"/>
          <w:w w:val="110"/>
          <w:sz w:val="18"/>
        </w:rPr>
        <w:t>V., </w:t>
      </w:r>
      <w:r>
        <w:rPr>
          <w:color w:val="4C4D4F"/>
          <w:w w:val="110"/>
          <w:sz w:val="18"/>
        </w:rPr>
        <w:t>Chawarski, M. C., Busch, S. H., Owens, </w:t>
      </w:r>
      <w:r>
        <w:rPr>
          <w:color w:val="4C4D4F"/>
          <w:spacing w:val="-17"/>
          <w:w w:val="110"/>
          <w:sz w:val="18"/>
        </w:rPr>
        <w:t>P. </w:t>
      </w:r>
      <w:r>
        <w:rPr>
          <w:color w:val="4C4D4F"/>
          <w:w w:val="110"/>
          <w:sz w:val="18"/>
        </w:rPr>
        <w:t>H., … Fiellin, D. A. (2015). Emergency department-initiated buprenorphine/naloxone treatment for opioid dependence: A randomized clinical trial. </w:t>
      </w:r>
      <w:r>
        <w:rPr>
          <w:rFonts w:ascii="Arial" w:hAnsi="Arial"/>
          <w:i/>
          <w:color w:val="4C4D4F"/>
          <w:w w:val="110"/>
          <w:sz w:val="18"/>
        </w:rPr>
        <w:t>JAMA, </w:t>
      </w:r>
      <w:r>
        <w:rPr>
          <w:rFonts w:ascii="Arial" w:hAnsi="Arial"/>
          <w:i/>
          <w:color w:val="4C4D4F"/>
          <w:w w:val="110"/>
          <w:sz w:val="18"/>
        </w:rPr>
        <w:t>313</w:t>
      </w:r>
      <w:r>
        <w:rPr>
          <w:color w:val="4C4D4F"/>
          <w:w w:val="110"/>
          <w:sz w:val="18"/>
        </w:rPr>
        <w:t>(16),</w:t>
      </w:r>
      <w:r>
        <w:rPr>
          <w:color w:val="4C4D4F"/>
          <w:spacing w:val="-6"/>
          <w:w w:val="110"/>
          <w:sz w:val="18"/>
        </w:rPr>
        <w:t> </w:t>
      </w:r>
      <w:r>
        <w:rPr>
          <w:color w:val="4C4D4F"/>
          <w:w w:val="110"/>
          <w:sz w:val="18"/>
        </w:rPr>
        <w:t>1636–1644.</w:t>
      </w:r>
    </w:p>
    <w:p>
      <w:pPr>
        <w:pStyle w:val="ListParagraph"/>
        <w:numPr>
          <w:ilvl w:val="0"/>
          <w:numId w:val="51"/>
        </w:numPr>
        <w:tabs>
          <w:tab w:pos="500" w:val="left" w:leader="none"/>
        </w:tabs>
        <w:spacing w:line="240" w:lineRule="auto" w:before="75" w:after="0"/>
        <w:ind w:left="500" w:right="0" w:hanging="360"/>
        <w:jc w:val="left"/>
        <w:rPr>
          <w:color w:val="4C4D4F"/>
          <w:sz w:val="18"/>
        </w:rPr>
      </w:pPr>
      <w:r>
        <w:rPr>
          <w:color w:val="4C4D4F"/>
          <w:spacing w:val="-3"/>
          <w:w w:val="115"/>
          <w:sz w:val="18"/>
        </w:rPr>
        <w:t>Naeger,</w:t>
      </w:r>
      <w:r>
        <w:rPr>
          <w:color w:val="4C4D4F"/>
          <w:spacing w:val="-12"/>
          <w:w w:val="115"/>
          <w:sz w:val="18"/>
        </w:rPr>
        <w:t> </w:t>
      </w:r>
      <w:r>
        <w:rPr>
          <w:color w:val="4C4D4F"/>
          <w:w w:val="115"/>
          <w:sz w:val="18"/>
        </w:rPr>
        <w:t>S.,</w:t>
      </w:r>
      <w:r>
        <w:rPr>
          <w:color w:val="4C4D4F"/>
          <w:spacing w:val="-11"/>
          <w:w w:val="115"/>
          <w:sz w:val="18"/>
        </w:rPr>
        <w:t> </w:t>
      </w:r>
      <w:r>
        <w:rPr>
          <w:color w:val="4C4D4F"/>
          <w:w w:val="115"/>
          <w:sz w:val="18"/>
        </w:rPr>
        <w:t>Ali,</w:t>
      </w:r>
      <w:r>
        <w:rPr>
          <w:color w:val="4C4D4F"/>
          <w:spacing w:val="-12"/>
          <w:w w:val="115"/>
          <w:sz w:val="18"/>
        </w:rPr>
        <w:t> </w:t>
      </w:r>
      <w:r>
        <w:rPr>
          <w:color w:val="4C4D4F"/>
          <w:w w:val="115"/>
          <w:sz w:val="18"/>
        </w:rPr>
        <w:t>M.</w:t>
      </w:r>
      <w:r>
        <w:rPr>
          <w:color w:val="4C4D4F"/>
          <w:spacing w:val="-11"/>
          <w:w w:val="115"/>
          <w:sz w:val="18"/>
        </w:rPr>
        <w:t> </w:t>
      </w:r>
      <w:r>
        <w:rPr>
          <w:color w:val="4C4D4F"/>
          <w:w w:val="115"/>
          <w:sz w:val="18"/>
        </w:rPr>
        <w:t>M.,</w:t>
      </w:r>
      <w:r>
        <w:rPr>
          <w:color w:val="4C4D4F"/>
          <w:spacing w:val="-12"/>
          <w:w w:val="115"/>
          <w:sz w:val="18"/>
        </w:rPr>
        <w:t> </w:t>
      </w:r>
      <w:r>
        <w:rPr>
          <w:color w:val="4C4D4F"/>
          <w:spacing w:val="-3"/>
          <w:w w:val="115"/>
          <w:sz w:val="18"/>
        </w:rPr>
        <w:t>Mutter,</w:t>
      </w:r>
      <w:r>
        <w:rPr>
          <w:color w:val="4C4D4F"/>
          <w:spacing w:val="-11"/>
          <w:w w:val="115"/>
          <w:sz w:val="18"/>
        </w:rPr>
        <w:t> </w:t>
      </w:r>
      <w:r>
        <w:rPr>
          <w:color w:val="4C4D4F"/>
          <w:w w:val="115"/>
          <w:sz w:val="18"/>
        </w:rPr>
        <w:t>R.,</w:t>
      </w:r>
      <w:r>
        <w:rPr>
          <w:color w:val="4C4D4F"/>
          <w:spacing w:val="-12"/>
          <w:w w:val="115"/>
          <w:sz w:val="18"/>
        </w:rPr>
        <w:t> </w:t>
      </w:r>
      <w:r>
        <w:rPr>
          <w:color w:val="4C4D4F"/>
          <w:w w:val="115"/>
          <w:sz w:val="18"/>
        </w:rPr>
        <w:t>Mark,</w:t>
      </w:r>
      <w:r>
        <w:rPr>
          <w:color w:val="4C4D4F"/>
          <w:spacing w:val="-11"/>
          <w:w w:val="115"/>
          <w:sz w:val="18"/>
        </w:rPr>
        <w:t> </w:t>
      </w:r>
      <w:r>
        <w:rPr>
          <w:color w:val="4C4D4F"/>
          <w:spacing w:val="-7"/>
          <w:w w:val="115"/>
          <w:sz w:val="18"/>
        </w:rPr>
        <w:t>T.,</w:t>
      </w:r>
      <w:r>
        <w:rPr>
          <w:color w:val="4C4D4F"/>
          <w:spacing w:val="-12"/>
          <w:w w:val="115"/>
          <w:sz w:val="18"/>
        </w:rPr>
        <w:t> </w:t>
      </w:r>
      <w:r>
        <w:rPr>
          <w:color w:val="4C4D4F"/>
          <w:w w:val="115"/>
          <w:sz w:val="18"/>
        </w:rPr>
        <w:t>&amp;</w:t>
      </w:r>
      <w:r>
        <w:rPr>
          <w:color w:val="4C4D4F"/>
          <w:spacing w:val="-11"/>
          <w:w w:val="115"/>
          <w:sz w:val="18"/>
        </w:rPr>
        <w:t> </w:t>
      </w:r>
      <w:r>
        <w:rPr>
          <w:color w:val="4C4D4F"/>
          <w:w w:val="115"/>
          <w:sz w:val="18"/>
        </w:rPr>
        <w:t>Hughey,</w:t>
      </w:r>
    </w:p>
    <w:p>
      <w:pPr>
        <w:spacing w:line="247" w:lineRule="auto" w:before="7"/>
        <w:ind w:left="500" w:right="219" w:firstLine="0"/>
        <w:jc w:val="left"/>
        <w:rPr>
          <w:sz w:val="18"/>
        </w:rPr>
      </w:pPr>
      <w:r>
        <w:rPr>
          <w:color w:val="4C4D4F"/>
          <w:w w:val="110"/>
          <w:sz w:val="18"/>
        </w:rPr>
        <w:t>L. (2016). Post-discharge prescription ﬁlls following </w:t>
      </w:r>
      <w:r>
        <w:rPr>
          <w:color w:val="4C4D4F"/>
          <w:w w:val="105"/>
          <w:sz w:val="18"/>
        </w:rPr>
        <w:t>an opioid hospitalization. </w:t>
      </w:r>
      <w:r>
        <w:rPr>
          <w:rFonts w:ascii="Arial" w:hAnsi="Arial"/>
          <w:i/>
          <w:color w:val="4C4D4F"/>
          <w:w w:val="105"/>
          <w:sz w:val="18"/>
        </w:rPr>
        <w:t>Psychiatric Services,</w:t>
      </w:r>
      <w:r>
        <w:rPr>
          <w:rFonts w:ascii="Arial" w:hAnsi="Arial"/>
          <w:i/>
          <w:color w:val="4C4D4F"/>
          <w:spacing w:val="-19"/>
          <w:w w:val="105"/>
          <w:sz w:val="18"/>
        </w:rPr>
        <w:t> </w:t>
      </w:r>
      <w:r>
        <w:rPr>
          <w:rFonts w:ascii="Arial" w:hAnsi="Arial"/>
          <w:i/>
          <w:color w:val="4C4D4F"/>
          <w:spacing w:val="-3"/>
          <w:w w:val="105"/>
          <w:sz w:val="18"/>
        </w:rPr>
        <w:t>67</w:t>
      </w:r>
      <w:r>
        <w:rPr>
          <w:color w:val="4C4D4F"/>
          <w:spacing w:val="-3"/>
          <w:w w:val="105"/>
          <w:sz w:val="18"/>
        </w:rPr>
        <w:t>(11), </w:t>
      </w:r>
      <w:r>
        <w:rPr>
          <w:color w:val="4C4D4F"/>
          <w:w w:val="110"/>
          <w:sz w:val="18"/>
        </w:rPr>
        <w:t>1264–1267.</w:t>
      </w:r>
    </w:p>
    <w:p>
      <w:pPr>
        <w:pStyle w:val="ListParagraph"/>
        <w:numPr>
          <w:ilvl w:val="0"/>
          <w:numId w:val="51"/>
        </w:numPr>
        <w:tabs>
          <w:tab w:pos="500" w:val="left" w:leader="none"/>
        </w:tabs>
        <w:spacing w:line="247" w:lineRule="auto" w:before="74" w:after="0"/>
        <w:ind w:left="500" w:right="38" w:hanging="360"/>
        <w:jc w:val="left"/>
        <w:rPr>
          <w:color w:val="4C4D4F"/>
          <w:sz w:val="18"/>
        </w:rPr>
      </w:pPr>
      <w:r>
        <w:rPr>
          <w:color w:val="4C4D4F"/>
          <w:w w:val="110"/>
          <w:sz w:val="18"/>
        </w:rPr>
        <w:t>Weiss, A. </w:t>
      </w:r>
      <w:r>
        <w:rPr>
          <w:color w:val="4C4D4F"/>
          <w:w w:val="120"/>
          <w:sz w:val="18"/>
        </w:rPr>
        <w:t>J., </w:t>
      </w:r>
      <w:r>
        <w:rPr>
          <w:color w:val="4C4D4F"/>
          <w:w w:val="110"/>
          <w:sz w:val="18"/>
        </w:rPr>
        <w:t>Elixhauser, A., Barrett, M. L., </w:t>
      </w:r>
      <w:r>
        <w:rPr>
          <w:color w:val="4C4D4F"/>
          <w:spacing w:val="-3"/>
          <w:w w:val="110"/>
          <w:sz w:val="18"/>
        </w:rPr>
        <w:t>Steiner, </w:t>
      </w:r>
      <w:r>
        <w:rPr>
          <w:color w:val="4C4D4F"/>
          <w:w w:val="110"/>
          <w:sz w:val="18"/>
        </w:rPr>
        <w:t>C.</w:t>
      </w:r>
      <w:r>
        <w:rPr>
          <w:color w:val="4C4D4F"/>
          <w:spacing w:val="-23"/>
          <w:w w:val="110"/>
          <w:sz w:val="18"/>
        </w:rPr>
        <w:t> </w:t>
      </w:r>
      <w:r>
        <w:rPr>
          <w:color w:val="4C4D4F"/>
          <w:spacing w:val="-5"/>
          <w:w w:val="110"/>
          <w:sz w:val="18"/>
        </w:rPr>
        <w:t>A., </w:t>
      </w:r>
      <w:r>
        <w:rPr>
          <w:color w:val="4C4D4F"/>
          <w:w w:val="110"/>
          <w:sz w:val="18"/>
        </w:rPr>
        <w:t>Bailey, M. K., &amp; O’Malley, L. (2017, January). </w:t>
      </w:r>
      <w:r>
        <w:rPr>
          <w:rFonts w:ascii="Arial" w:hAnsi="Arial"/>
          <w:i/>
          <w:color w:val="4C4D4F"/>
          <w:w w:val="110"/>
          <w:sz w:val="18"/>
        </w:rPr>
        <w:t>Opioid- </w:t>
      </w:r>
      <w:r>
        <w:rPr>
          <w:rFonts w:ascii="Arial" w:hAnsi="Arial"/>
          <w:i/>
          <w:color w:val="4C4D4F"/>
          <w:w w:val="110"/>
          <w:sz w:val="18"/>
        </w:rPr>
        <w:t>related inpatient stays and emergency department visits</w:t>
      </w:r>
      <w:r>
        <w:rPr>
          <w:rFonts w:ascii="Arial" w:hAnsi="Arial"/>
          <w:i/>
          <w:color w:val="4C4D4F"/>
          <w:spacing w:val="-16"/>
          <w:w w:val="110"/>
          <w:sz w:val="18"/>
        </w:rPr>
        <w:t> </w:t>
      </w:r>
      <w:r>
        <w:rPr>
          <w:rFonts w:ascii="Arial" w:hAnsi="Arial"/>
          <w:i/>
          <w:color w:val="4C4D4F"/>
          <w:w w:val="110"/>
          <w:sz w:val="18"/>
        </w:rPr>
        <w:t>by</w:t>
      </w:r>
      <w:r>
        <w:rPr>
          <w:rFonts w:ascii="Arial" w:hAnsi="Arial"/>
          <w:i/>
          <w:color w:val="4C4D4F"/>
          <w:spacing w:val="-16"/>
          <w:w w:val="110"/>
          <w:sz w:val="18"/>
        </w:rPr>
        <w:t> </w:t>
      </w:r>
      <w:r>
        <w:rPr>
          <w:rFonts w:ascii="Arial" w:hAnsi="Arial"/>
          <w:i/>
          <w:color w:val="4C4D4F"/>
          <w:w w:val="110"/>
          <w:sz w:val="18"/>
        </w:rPr>
        <w:t>state,</w:t>
      </w:r>
      <w:r>
        <w:rPr>
          <w:rFonts w:ascii="Arial" w:hAnsi="Arial"/>
          <w:i/>
          <w:color w:val="4C4D4F"/>
          <w:spacing w:val="-16"/>
          <w:w w:val="110"/>
          <w:sz w:val="18"/>
        </w:rPr>
        <w:t> </w:t>
      </w:r>
      <w:r>
        <w:rPr>
          <w:color w:val="4C4D4F"/>
          <w:w w:val="110"/>
          <w:sz w:val="18"/>
        </w:rPr>
        <w:t>2009–2014.</w:t>
      </w:r>
      <w:r>
        <w:rPr>
          <w:color w:val="4C4D4F"/>
          <w:spacing w:val="-15"/>
          <w:w w:val="110"/>
          <w:sz w:val="18"/>
        </w:rPr>
        <w:t> </w:t>
      </w:r>
      <w:r>
        <w:rPr>
          <w:color w:val="4C4D4F"/>
          <w:w w:val="110"/>
          <w:sz w:val="18"/>
        </w:rPr>
        <w:t>HCUP</w:t>
      </w:r>
      <w:r>
        <w:rPr>
          <w:color w:val="4C4D4F"/>
          <w:spacing w:val="-16"/>
          <w:w w:val="110"/>
          <w:sz w:val="18"/>
        </w:rPr>
        <w:t> </w:t>
      </w:r>
      <w:r>
        <w:rPr>
          <w:color w:val="4C4D4F"/>
          <w:w w:val="110"/>
          <w:sz w:val="18"/>
        </w:rPr>
        <w:t>Statistical</w:t>
      </w:r>
      <w:r>
        <w:rPr>
          <w:color w:val="4C4D4F"/>
          <w:spacing w:val="-16"/>
          <w:w w:val="110"/>
          <w:sz w:val="18"/>
        </w:rPr>
        <w:t> </w:t>
      </w:r>
      <w:r>
        <w:rPr>
          <w:color w:val="4C4D4F"/>
          <w:w w:val="110"/>
          <w:sz w:val="18"/>
        </w:rPr>
        <w:t>Brief</w:t>
      </w:r>
      <w:r>
        <w:rPr>
          <w:color w:val="4C4D4F"/>
          <w:spacing w:val="-15"/>
          <w:w w:val="110"/>
          <w:sz w:val="18"/>
        </w:rPr>
        <w:t> </w:t>
      </w:r>
      <w:r>
        <w:rPr>
          <w:color w:val="4C4D4F"/>
          <w:w w:val="110"/>
          <w:sz w:val="18"/>
        </w:rPr>
        <w:t>No.</w:t>
      </w:r>
    </w:p>
    <w:p>
      <w:pPr>
        <w:spacing w:line="247" w:lineRule="auto" w:before="2"/>
        <w:ind w:left="500" w:right="128" w:firstLine="0"/>
        <w:jc w:val="left"/>
        <w:rPr>
          <w:sz w:val="18"/>
        </w:rPr>
      </w:pPr>
      <w:r>
        <w:rPr>
          <w:color w:val="4C4D4F"/>
          <w:w w:val="110"/>
          <w:sz w:val="18"/>
        </w:rPr>
        <w:t>219. Rockville, MD: Agency for Healthcare Research and Quality.</w:t>
      </w:r>
    </w:p>
    <w:p>
      <w:pPr>
        <w:pStyle w:val="ListParagraph"/>
        <w:numPr>
          <w:ilvl w:val="0"/>
          <w:numId w:val="51"/>
        </w:numPr>
        <w:tabs>
          <w:tab w:pos="500" w:val="left" w:leader="none"/>
        </w:tabs>
        <w:spacing w:line="247" w:lineRule="auto" w:before="74" w:after="0"/>
        <w:ind w:left="500" w:right="469" w:hanging="360"/>
        <w:jc w:val="left"/>
        <w:rPr>
          <w:color w:val="4C4D4F"/>
          <w:sz w:val="18"/>
        </w:rPr>
      </w:pPr>
      <w:r>
        <w:rPr>
          <w:color w:val="4C4D4F"/>
          <w:w w:val="115"/>
          <w:sz w:val="18"/>
        </w:rPr>
        <w:t>Agency for Healthcare Research and Quality (2019).</w:t>
      </w:r>
      <w:r>
        <w:rPr>
          <w:color w:val="4C4D4F"/>
          <w:spacing w:val="-27"/>
          <w:w w:val="115"/>
          <w:sz w:val="18"/>
        </w:rPr>
        <w:t> </w:t>
      </w:r>
      <w:r>
        <w:rPr>
          <w:color w:val="4C4D4F"/>
          <w:w w:val="115"/>
          <w:sz w:val="18"/>
        </w:rPr>
        <w:t>Rate</w:t>
      </w:r>
      <w:r>
        <w:rPr>
          <w:color w:val="4C4D4F"/>
          <w:spacing w:val="-27"/>
          <w:w w:val="115"/>
          <w:sz w:val="18"/>
        </w:rPr>
        <w:t> </w:t>
      </w:r>
      <w:r>
        <w:rPr>
          <w:color w:val="4C4D4F"/>
          <w:w w:val="115"/>
          <w:sz w:val="18"/>
        </w:rPr>
        <w:t>of</w:t>
      </w:r>
      <w:r>
        <w:rPr>
          <w:color w:val="4C4D4F"/>
          <w:spacing w:val="-27"/>
          <w:w w:val="115"/>
          <w:sz w:val="18"/>
        </w:rPr>
        <w:t> </w:t>
      </w:r>
      <w:r>
        <w:rPr>
          <w:color w:val="4C4D4F"/>
          <w:w w:val="115"/>
          <w:sz w:val="18"/>
        </w:rPr>
        <w:t>Opioid-Related</w:t>
      </w:r>
      <w:r>
        <w:rPr>
          <w:color w:val="4C4D4F"/>
          <w:spacing w:val="-27"/>
          <w:w w:val="115"/>
          <w:sz w:val="18"/>
        </w:rPr>
        <w:t> </w:t>
      </w:r>
      <w:r>
        <w:rPr>
          <w:color w:val="4C4D4F"/>
          <w:w w:val="115"/>
          <w:sz w:val="18"/>
        </w:rPr>
        <w:t>Inpatient</w:t>
      </w:r>
      <w:r>
        <w:rPr>
          <w:color w:val="4C4D4F"/>
          <w:spacing w:val="-27"/>
          <w:w w:val="115"/>
          <w:sz w:val="18"/>
        </w:rPr>
        <w:t> </w:t>
      </w:r>
      <w:r>
        <w:rPr>
          <w:color w:val="4C4D4F"/>
          <w:w w:val="115"/>
          <w:sz w:val="18"/>
        </w:rPr>
        <w:t>Stays</w:t>
      </w:r>
      <w:r>
        <w:rPr>
          <w:color w:val="4C4D4F"/>
          <w:spacing w:val="-27"/>
          <w:w w:val="115"/>
          <w:sz w:val="18"/>
        </w:rPr>
        <w:t> </w:t>
      </w:r>
      <w:r>
        <w:rPr>
          <w:color w:val="4C4D4F"/>
          <w:spacing w:val="-6"/>
          <w:w w:val="115"/>
          <w:sz w:val="18"/>
        </w:rPr>
        <w:t>per </w:t>
      </w:r>
      <w:r>
        <w:rPr>
          <w:color w:val="4C4D4F"/>
          <w:w w:val="115"/>
          <w:sz w:val="18"/>
        </w:rPr>
        <w:t>100,000 Population. Retrieved January 11, 2020, from</w:t>
      </w:r>
      <w:r>
        <w:rPr>
          <w:color w:val="205E9E"/>
          <w:w w:val="115"/>
          <w:sz w:val="18"/>
        </w:rPr>
        <w:t> </w:t>
      </w:r>
      <w:hyperlink r:id="rId111">
        <w:r>
          <w:rPr>
            <w:color w:val="205E9E"/>
            <w:w w:val="115"/>
            <w:sz w:val="18"/>
            <w:u w:val="single" w:color="205E9E"/>
          </w:rPr>
          <w:t>https://www.hcup-us.ahrq.gov/faststats/</w:t>
        </w:r>
      </w:hyperlink>
      <w:r>
        <w:rPr>
          <w:color w:val="205E9E"/>
          <w:w w:val="115"/>
          <w:sz w:val="18"/>
          <w:u w:val="single" w:color="205E9E"/>
        </w:rPr>
        <w:t> OpioidUseMap?setting=IP</w:t>
      </w:r>
    </w:p>
    <w:p>
      <w:pPr>
        <w:pStyle w:val="ListParagraph"/>
        <w:numPr>
          <w:ilvl w:val="0"/>
          <w:numId w:val="51"/>
        </w:numPr>
        <w:tabs>
          <w:tab w:pos="500" w:val="left" w:leader="none"/>
        </w:tabs>
        <w:spacing w:line="240" w:lineRule="auto" w:before="100" w:after="0"/>
        <w:ind w:left="500" w:right="0" w:hanging="360"/>
        <w:jc w:val="left"/>
        <w:rPr>
          <w:color w:val="4C4D4F"/>
          <w:sz w:val="18"/>
        </w:rPr>
      </w:pPr>
      <w:r>
        <w:rPr>
          <w:color w:val="4C4D4F"/>
          <w:w w:val="111"/>
          <w:sz w:val="18"/>
        </w:rPr>
        <w:br w:type="column"/>
      </w:r>
      <w:r>
        <w:rPr>
          <w:color w:val="4C4D4F"/>
          <w:w w:val="110"/>
          <w:sz w:val="18"/>
        </w:rPr>
        <w:t>Administering or dispensing of narcotic drugs, 21</w:t>
      </w:r>
      <w:r>
        <w:rPr>
          <w:color w:val="4C4D4F"/>
          <w:spacing w:val="-2"/>
          <w:w w:val="110"/>
          <w:sz w:val="18"/>
        </w:rPr>
        <w:t> </w:t>
      </w:r>
      <w:r>
        <w:rPr>
          <w:color w:val="4C4D4F"/>
          <w:w w:val="110"/>
          <w:sz w:val="18"/>
        </w:rPr>
        <w:t>CFR</w:t>
      </w:r>
    </w:p>
    <w:p>
      <w:pPr>
        <w:spacing w:before="7"/>
        <w:ind w:left="500" w:right="0" w:firstLine="0"/>
        <w:jc w:val="left"/>
        <w:rPr>
          <w:sz w:val="18"/>
        </w:rPr>
      </w:pPr>
      <w:r>
        <w:rPr>
          <w:color w:val="4C4D4F"/>
          <w:w w:val="120"/>
          <w:sz w:val="18"/>
        </w:rPr>
        <w:t>§ 1306.07 (2005).</w:t>
      </w:r>
    </w:p>
    <w:p>
      <w:pPr>
        <w:pStyle w:val="ListParagraph"/>
        <w:numPr>
          <w:ilvl w:val="0"/>
          <w:numId w:val="51"/>
        </w:numPr>
        <w:tabs>
          <w:tab w:pos="500" w:val="left" w:leader="none"/>
        </w:tabs>
        <w:spacing w:line="247" w:lineRule="auto" w:before="79" w:after="0"/>
        <w:ind w:left="500" w:right="352" w:hanging="360"/>
        <w:jc w:val="left"/>
        <w:rPr>
          <w:color w:val="4C4D4F"/>
          <w:sz w:val="18"/>
        </w:rPr>
      </w:pPr>
      <w:r>
        <w:rPr>
          <w:color w:val="4C4D4F"/>
          <w:w w:val="110"/>
          <w:sz w:val="18"/>
        </w:rPr>
        <w:t>Alford, D., Compton, </w:t>
      </w:r>
      <w:r>
        <w:rPr>
          <w:color w:val="4C4D4F"/>
          <w:spacing w:val="-11"/>
          <w:w w:val="110"/>
          <w:sz w:val="18"/>
        </w:rPr>
        <w:t>P., </w:t>
      </w:r>
      <w:r>
        <w:rPr>
          <w:color w:val="4C4D4F"/>
          <w:w w:val="110"/>
          <w:sz w:val="18"/>
        </w:rPr>
        <w:t>&amp; Samet, H. (2006). Acute pain management for patients receiving maintenance methadone or buprenorphine therapy. Annals of Internal Medicine, 144(2),</w:t>
      </w:r>
      <w:r>
        <w:rPr>
          <w:color w:val="4C4D4F"/>
          <w:spacing w:val="-14"/>
          <w:w w:val="110"/>
          <w:sz w:val="18"/>
        </w:rPr>
        <w:t> </w:t>
      </w:r>
      <w:r>
        <w:rPr>
          <w:color w:val="4C4D4F"/>
          <w:w w:val="110"/>
          <w:sz w:val="18"/>
        </w:rPr>
        <w:t>127–134.</w:t>
      </w:r>
    </w:p>
    <w:p>
      <w:pPr>
        <w:pStyle w:val="ListParagraph"/>
        <w:numPr>
          <w:ilvl w:val="0"/>
          <w:numId w:val="51"/>
        </w:numPr>
        <w:tabs>
          <w:tab w:pos="500" w:val="left" w:leader="none"/>
        </w:tabs>
        <w:spacing w:line="247" w:lineRule="auto" w:before="76" w:after="0"/>
        <w:ind w:left="500" w:right="405" w:hanging="360"/>
        <w:jc w:val="left"/>
        <w:rPr>
          <w:color w:val="4C4D4F"/>
          <w:sz w:val="18"/>
        </w:rPr>
      </w:pPr>
      <w:r>
        <w:rPr>
          <w:color w:val="4C4D4F"/>
          <w:w w:val="110"/>
          <w:sz w:val="18"/>
        </w:rPr>
        <w:t>Sen, S., Arulkumar, S., Cornett, E. M., Gayle, </w:t>
      </w:r>
      <w:r>
        <w:rPr>
          <w:color w:val="4C4D4F"/>
          <w:w w:val="135"/>
          <w:sz w:val="18"/>
        </w:rPr>
        <w:t>J. </w:t>
      </w:r>
      <w:r>
        <w:rPr>
          <w:color w:val="4C4D4F"/>
          <w:w w:val="110"/>
          <w:sz w:val="18"/>
        </w:rPr>
        <w:t>A., </w:t>
      </w:r>
      <w:r>
        <w:rPr>
          <w:color w:val="4C4D4F"/>
          <w:spacing w:val="-3"/>
          <w:w w:val="110"/>
          <w:sz w:val="18"/>
        </w:rPr>
        <w:t>Flower, </w:t>
      </w:r>
      <w:r>
        <w:rPr>
          <w:color w:val="4C4D4F"/>
          <w:w w:val="110"/>
          <w:sz w:val="18"/>
        </w:rPr>
        <w:t>R. R., Fox, C. </w:t>
      </w:r>
      <w:r>
        <w:rPr>
          <w:color w:val="4C4D4F"/>
          <w:w w:val="135"/>
          <w:sz w:val="18"/>
        </w:rPr>
        <w:t>J., </w:t>
      </w:r>
      <w:r>
        <w:rPr>
          <w:color w:val="4C4D4F"/>
          <w:w w:val="110"/>
          <w:sz w:val="18"/>
        </w:rPr>
        <w:t>&amp; Kaye, A. D. (2016). New pain management options for the  surgical  patient on</w:t>
      </w:r>
      <w:r>
        <w:rPr>
          <w:color w:val="4C4D4F"/>
          <w:spacing w:val="-15"/>
          <w:w w:val="110"/>
          <w:sz w:val="18"/>
        </w:rPr>
        <w:t> </w:t>
      </w:r>
      <w:r>
        <w:rPr>
          <w:color w:val="4C4D4F"/>
          <w:w w:val="110"/>
          <w:sz w:val="18"/>
        </w:rPr>
        <w:t>methadone</w:t>
      </w:r>
      <w:r>
        <w:rPr>
          <w:color w:val="4C4D4F"/>
          <w:spacing w:val="-15"/>
          <w:w w:val="110"/>
          <w:sz w:val="18"/>
        </w:rPr>
        <w:t> </w:t>
      </w:r>
      <w:r>
        <w:rPr>
          <w:color w:val="4C4D4F"/>
          <w:w w:val="110"/>
          <w:sz w:val="18"/>
        </w:rPr>
        <w:t>and</w:t>
      </w:r>
      <w:r>
        <w:rPr>
          <w:color w:val="4C4D4F"/>
          <w:spacing w:val="-15"/>
          <w:w w:val="110"/>
          <w:sz w:val="18"/>
        </w:rPr>
        <w:t> </w:t>
      </w:r>
      <w:r>
        <w:rPr>
          <w:color w:val="4C4D4F"/>
          <w:w w:val="110"/>
          <w:sz w:val="18"/>
        </w:rPr>
        <w:t>buprenorphine.</w:t>
      </w:r>
      <w:r>
        <w:rPr>
          <w:color w:val="4C4D4F"/>
          <w:spacing w:val="-15"/>
          <w:w w:val="110"/>
          <w:sz w:val="18"/>
        </w:rPr>
        <w:t> </w:t>
      </w:r>
      <w:r>
        <w:rPr>
          <w:rFonts w:ascii="Arial"/>
          <w:i/>
          <w:color w:val="4C4D4F"/>
          <w:w w:val="110"/>
          <w:sz w:val="18"/>
        </w:rPr>
        <w:t>Current</w:t>
      </w:r>
      <w:r>
        <w:rPr>
          <w:rFonts w:ascii="Arial"/>
          <w:i/>
          <w:color w:val="4C4D4F"/>
          <w:spacing w:val="-15"/>
          <w:w w:val="110"/>
          <w:sz w:val="18"/>
        </w:rPr>
        <w:t> </w:t>
      </w:r>
      <w:r>
        <w:rPr>
          <w:rFonts w:ascii="Arial"/>
          <w:i/>
          <w:color w:val="4C4D4F"/>
          <w:w w:val="110"/>
          <w:sz w:val="18"/>
        </w:rPr>
        <w:t>Pain</w:t>
      </w:r>
      <w:r>
        <w:rPr>
          <w:rFonts w:ascii="Arial"/>
          <w:i/>
          <w:color w:val="4C4D4F"/>
          <w:spacing w:val="-15"/>
          <w:w w:val="110"/>
          <w:sz w:val="18"/>
        </w:rPr>
        <w:t> </w:t>
      </w:r>
      <w:r>
        <w:rPr>
          <w:rFonts w:ascii="Arial"/>
          <w:i/>
          <w:color w:val="4C4D4F"/>
          <w:spacing w:val="-6"/>
          <w:w w:val="110"/>
          <w:sz w:val="18"/>
        </w:rPr>
        <w:t>and </w:t>
      </w:r>
      <w:r>
        <w:rPr>
          <w:rFonts w:ascii="Arial"/>
          <w:i/>
          <w:color w:val="4C4D4F"/>
          <w:w w:val="110"/>
          <w:sz w:val="18"/>
        </w:rPr>
        <w:t>Headache Reports, 20</w:t>
      </w:r>
      <w:r>
        <w:rPr>
          <w:color w:val="4C4D4F"/>
          <w:w w:val="110"/>
          <w:sz w:val="18"/>
        </w:rPr>
        <w:t>(3),</w:t>
      </w:r>
      <w:r>
        <w:rPr>
          <w:color w:val="4C4D4F"/>
          <w:spacing w:val="-29"/>
          <w:w w:val="110"/>
          <w:sz w:val="18"/>
        </w:rPr>
        <w:t> </w:t>
      </w:r>
      <w:r>
        <w:rPr>
          <w:color w:val="4C4D4F"/>
          <w:w w:val="110"/>
          <w:sz w:val="18"/>
        </w:rPr>
        <w:t>16.</w:t>
      </w:r>
    </w:p>
    <w:p>
      <w:pPr>
        <w:pStyle w:val="ListParagraph"/>
        <w:numPr>
          <w:ilvl w:val="0"/>
          <w:numId w:val="51"/>
        </w:numPr>
        <w:tabs>
          <w:tab w:pos="500" w:val="left" w:leader="none"/>
        </w:tabs>
        <w:spacing w:line="247" w:lineRule="auto" w:before="74" w:after="0"/>
        <w:ind w:left="500" w:right="168" w:hanging="360"/>
        <w:jc w:val="left"/>
        <w:rPr>
          <w:color w:val="4C4D4F"/>
          <w:sz w:val="18"/>
        </w:rPr>
      </w:pPr>
      <w:r>
        <w:rPr>
          <w:color w:val="4C4D4F"/>
          <w:w w:val="110"/>
          <w:sz w:val="18"/>
        </w:rPr>
        <w:t>Jones, H. E., Deppen, K., Hudak, M. L., Leffert, L., McClelland, C., Sahin, L., … Creanga, A. A. (2014). Clinical care for opioid-using pregnant and postpartum women: The role of obstetric providers. </w:t>
      </w:r>
      <w:r>
        <w:rPr>
          <w:rFonts w:ascii="Arial" w:hAnsi="Arial"/>
          <w:i/>
          <w:color w:val="4C4D4F"/>
          <w:w w:val="110"/>
          <w:sz w:val="18"/>
        </w:rPr>
        <w:t>American </w:t>
      </w:r>
      <w:r>
        <w:rPr>
          <w:rFonts w:ascii="Arial" w:hAnsi="Arial"/>
          <w:i/>
          <w:color w:val="4C4D4F"/>
          <w:w w:val="105"/>
          <w:sz w:val="18"/>
        </w:rPr>
        <w:t>Journal</w:t>
      </w:r>
      <w:r>
        <w:rPr>
          <w:rFonts w:ascii="Arial" w:hAnsi="Arial"/>
          <w:i/>
          <w:color w:val="4C4D4F"/>
          <w:spacing w:val="-18"/>
          <w:w w:val="105"/>
          <w:sz w:val="18"/>
        </w:rPr>
        <w:t> </w:t>
      </w:r>
      <w:r>
        <w:rPr>
          <w:rFonts w:ascii="Arial" w:hAnsi="Arial"/>
          <w:i/>
          <w:color w:val="4C4D4F"/>
          <w:w w:val="105"/>
          <w:sz w:val="18"/>
        </w:rPr>
        <w:t>of</w:t>
      </w:r>
      <w:r>
        <w:rPr>
          <w:rFonts w:ascii="Arial" w:hAnsi="Arial"/>
          <w:i/>
          <w:color w:val="4C4D4F"/>
          <w:spacing w:val="-18"/>
          <w:w w:val="105"/>
          <w:sz w:val="18"/>
        </w:rPr>
        <w:t> </w:t>
      </w:r>
      <w:r>
        <w:rPr>
          <w:rFonts w:ascii="Arial" w:hAnsi="Arial"/>
          <w:i/>
          <w:color w:val="4C4D4F"/>
          <w:w w:val="105"/>
          <w:sz w:val="18"/>
        </w:rPr>
        <w:t>Obstetrics</w:t>
      </w:r>
      <w:r>
        <w:rPr>
          <w:rFonts w:ascii="Arial" w:hAnsi="Arial"/>
          <w:i/>
          <w:color w:val="4C4D4F"/>
          <w:spacing w:val="-18"/>
          <w:w w:val="105"/>
          <w:sz w:val="18"/>
        </w:rPr>
        <w:t> </w:t>
      </w:r>
      <w:r>
        <w:rPr>
          <w:rFonts w:ascii="Arial" w:hAnsi="Arial"/>
          <w:i/>
          <w:color w:val="4C4D4F"/>
          <w:w w:val="105"/>
          <w:sz w:val="18"/>
        </w:rPr>
        <w:t>and</w:t>
      </w:r>
      <w:r>
        <w:rPr>
          <w:rFonts w:ascii="Arial" w:hAnsi="Arial"/>
          <w:i/>
          <w:color w:val="4C4D4F"/>
          <w:spacing w:val="-18"/>
          <w:w w:val="105"/>
          <w:sz w:val="18"/>
        </w:rPr>
        <w:t> </w:t>
      </w:r>
      <w:r>
        <w:rPr>
          <w:rFonts w:ascii="Arial" w:hAnsi="Arial"/>
          <w:i/>
          <w:color w:val="4C4D4F"/>
          <w:w w:val="105"/>
          <w:sz w:val="18"/>
        </w:rPr>
        <w:t>Gynecology,</w:t>
      </w:r>
      <w:r>
        <w:rPr>
          <w:rFonts w:ascii="Arial" w:hAnsi="Arial"/>
          <w:i/>
          <w:color w:val="4C4D4F"/>
          <w:spacing w:val="-18"/>
          <w:w w:val="105"/>
          <w:sz w:val="18"/>
        </w:rPr>
        <w:t> </w:t>
      </w:r>
      <w:r>
        <w:rPr>
          <w:rFonts w:ascii="Arial" w:hAnsi="Arial"/>
          <w:i/>
          <w:color w:val="4C4D4F"/>
          <w:w w:val="105"/>
          <w:sz w:val="18"/>
        </w:rPr>
        <w:t>210</w:t>
      </w:r>
      <w:r>
        <w:rPr>
          <w:color w:val="4C4D4F"/>
          <w:w w:val="105"/>
          <w:sz w:val="18"/>
        </w:rPr>
        <w:t>(4),</w:t>
      </w:r>
      <w:r>
        <w:rPr>
          <w:color w:val="4C4D4F"/>
          <w:spacing w:val="-18"/>
          <w:w w:val="105"/>
          <w:sz w:val="18"/>
        </w:rPr>
        <w:t> </w:t>
      </w:r>
      <w:r>
        <w:rPr>
          <w:color w:val="4C4D4F"/>
          <w:w w:val="105"/>
          <w:sz w:val="18"/>
        </w:rPr>
        <w:t>302–310.</w:t>
      </w:r>
    </w:p>
    <w:p>
      <w:pPr>
        <w:pStyle w:val="ListParagraph"/>
        <w:numPr>
          <w:ilvl w:val="0"/>
          <w:numId w:val="51"/>
        </w:numPr>
        <w:tabs>
          <w:tab w:pos="500" w:val="left" w:leader="none"/>
        </w:tabs>
        <w:spacing w:line="247" w:lineRule="auto" w:before="74" w:after="0"/>
        <w:ind w:left="500" w:right="633" w:hanging="360"/>
        <w:jc w:val="left"/>
        <w:rPr>
          <w:color w:val="4C4D4F"/>
          <w:sz w:val="18"/>
        </w:rPr>
      </w:pPr>
      <w:r>
        <w:rPr>
          <w:color w:val="4C4D4F"/>
          <w:w w:val="115"/>
          <w:sz w:val="18"/>
        </w:rPr>
        <w:t>Alizadeh,</w:t>
      </w:r>
      <w:r>
        <w:rPr>
          <w:color w:val="4C4D4F"/>
          <w:spacing w:val="-8"/>
          <w:w w:val="115"/>
          <w:sz w:val="18"/>
        </w:rPr>
        <w:t> </w:t>
      </w:r>
      <w:r>
        <w:rPr>
          <w:color w:val="4C4D4F"/>
          <w:w w:val="115"/>
          <w:sz w:val="18"/>
        </w:rPr>
        <w:t>S.,</w:t>
      </w:r>
      <w:r>
        <w:rPr>
          <w:color w:val="4C4D4F"/>
          <w:spacing w:val="-7"/>
          <w:w w:val="115"/>
          <w:sz w:val="18"/>
        </w:rPr>
        <w:t> </w:t>
      </w:r>
      <w:r>
        <w:rPr>
          <w:color w:val="4C4D4F"/>
          <w:w w:val="115"/>
          <w:sz w:val="18"/>
        </w:rPr>
        <w:t>Mahmoudi,</w:t>
      </w:r>
      <w:r>
        <w:rPr>
          <w:color w:val="4C4D4F"/>
          <w:spacing w:val="-7"/>
          <w:w w:val="115"/>
          <w:sz w:val="18"/>
        </w:rPr>
        <w:t> </w:t>
      </w:r>
      <w:r>
        <w:rPr>
          <w:color w:val="4C4D4F"/>
          <w:w w:val="115"/>
          <w:sz w:val="18"/>
        </w:rPr>
        <w:t>G.</w:t>
      </w:r>
      <w:r>
        <w:rPr>
          <w:color w:val="4C4D4F"/>
          <w:spacing w:val="-7"/>
          <w:w w:val="115"/>
          <w:sz w:val="18"/>
        </w:rPr>
        <w:t> </w:t>
      </w:r>
      <w:r>
        <w:rPr>
          <w:color w:val="4C4D4F"/>
          <w:w w:val="115"/>
          <w:sz w:val="18"/>
        </w:rPr>
        <w:t>A.,</w:t>
      </w:r>
      <w:r>
        <w:rPr>
          <w:color w:val="4C4D4F"/>
          <w:spacing w:val="-7"/>
          <w:w w:val="115"/>
          <w:sz w:val="18"/>
        </w:rPr>
        <w:t> </w:t>
      </w:r>
      <w:r>
        <w:rPr>
          <w:color w:val="4C4D4F"/>
          <w:w w:val="115"/>
          <w:sz w:val="18"/>
        </w:rPr>
        <w:t>Solhi,</w:t>
      </w:r>
      <w:r>
        <w:rPr>
          <w:color w:val="4C4D4F"/>
          <w:spacing w:val="-8"/>
          <w:w w:val="115"/>
          <w:sz w:val="18"/>
        </w:rPr>
        <w:t> </w:t>
      </w:r>
      <w:r>
        <w:rPr>
          <w:color w:val="4C4D4F"/>
          <w:w w:val="115"/>
          <w:sz w:val="18"/>
        </w:rPr>
        <w:t>H.,</w:t>
      </w:r>
      <w:r>
        <w:rPr>
          <w:color w:val="4C4D4F"/>
          <w:spacing w:val="-7"/>
          <w:w w:val="115"/>
          <w:sz w:val="18"/>
        </w:rPr>
        <w:t> </w:t>
      </w:r>
      <w:r>
        <w:rPr>
          <w:color w:val="4C4D4F"/>
          <w:spacing w:val="-3"/>
          <w:w w:val="115"/>
          <w:sz w:val="18"/>
        </w:rPr>
        <w:t>Sadeghi- </w:t>
      </w:r>
      <w:r>
        <w:rPr>
          <w:color w:val="4C4D4F"/>
          <w:w w:val="115"/>
          <w:sz w:val="18"/>
        </w:rPr>
        <w:t>Sedeh,</w:t>
      </w:r>
      <w:r>
        <w:rPr>
          <w:color w:val="4C4D4F"/>
          <w:spacing w:val="-17"/>
          <w:w w:val="115"/>
          <w:sz w:val="18"/>
        </w:rPr>
        <w:t> </w:t>
      </w:r>
      <w:r>
        <w:rPr>
          <w:color w:val="4C4D4F"/>
          <w:w w:val="115"/>
          <w:sz w:val="18"/>
        </w:rPr>
        <w:t>B.,</w:t>
      </w:r>
      <w:r>
        <w:rPr>
          <w:color w:val="4C4D4F"/>
          <w:spacing w:val="-16"/>
          <w:w w:val="115"/>
          <w:sz w:val="18"/>
        </w:rPr>
        <w:t> </w:t>
      </w:r>
      <w:r>
        <w:rPr>
          <w:color w:val="4C4D4F"/>
          <w:w w:val="115"/>
          <w:sz w:val="18"/>
        </w:rPr>
        <w:t>Behzadi,</w:t>
      </w:r>
      <w:r>
        <w:rPr>
          <w:color w:val="4C4D4F"/>
          <w:spacing w:val="-17"/>
          <w:w w:val="115"/>
          <w:sz w:val="18"/>
        </w:rPr>
        <w:t> </w:t>
      </w:r>
      <w:r>
        <w:rPr>
          <w:color w:val="4C4D4F"/>
          <w:w w:val="115"/>
          <w:sz w:val="18"/>
        </w:rPr>
        <w:t>R.,</w:t>
      </w:r>
      <w:r>
        <w:rPr>
          <w:color w:val="4C4D4F"/>
          <w:spacing w:val="-16"/>
          <w:w w:val="115"/>
          <w:sz w:val="18"/>
        </w:rPr>
        <w:t> </w:t>
      </w:r>
      <w:r>
        <w:rPr>
          <w:color w:val="4C4D4F"/>
          <w:w w:val="115"/>
          <w:sz w:val="18"/>
        </w:rPr>
        <w:t>&amp;</w:t>
      </w:r>
      <w:r>
        <w:rPr>
          <w:color w:val="4C4D4F"/>
          <w:spacing w:val="-17"/>
          <w:w w:val="115"/>
          <w:sz w:val="18"/>
        </w:rPr>
        <w:t> </w:t>
      </w:r>
      <w:r>
        <w:rPr>
          <w:color w:val="4C4D4F"/>
          <w:w w:val="115"/>
          <w:sz w:val="18"/>
        </w:rPr>
        <w:t>Kazemifar,</w:t>
      </w:r>
      <w:r>
        <w:rPr>
          <w:color w:val="4C4D4F"/>
          <w:spacing w:val="-16"/>
          <w:w w:val="115"/>
          <w:sz w:val="18"/>
        </w:rPr>
        <w:t> </w:t>
      </w:r>
      <w:r>
        <w:rPr>
          <w:color w:val="4C4D4F"/>
          <w:w w:val="115"/>
          <w:sz w:val="18"/>
        </w:rPr>
        <w:t>A.</w:t>
      </w:r>
      <w:r>
        <w:rPr>
          <w:color w:val="4C4D4F"/>
          <w:spacing w:val="-17"/>
          <w:w w:val="115"/>
          <w:sz w:val="18"/>
        </w:rPr>
        <w:t> </w:t>
      </w:r>
      <w:r>
        <w:rPr>
          <w:color w:val="4C4D4F"/>
          <w:w w:val="115"/>
          <w:sz w:val="18"/>
        </w:rPr>
        <w:t>M.</w:t>
      </w:r>
      <w:r>
        <w:rPr>
          <w:color w:val="4C4D4F"/>
          <w:spacing w:val="-16"/>
          <w:w w:val="115"/>
          <w:sz w:val="18"/>
        </w:rPr>
        <w:t> </w:t>
      </w:r>
      <w:r>
        <w:rPr>
          <w:color w:val="4C4D4F"/>
          <w:w w:val="115"/>
          <w:sz w:val="18"/>
        </w:rPr>
        <w:t>(2015).</w:t>
      </w:r>
    </w:p>
    <w:p>
      <w:pPr>
        <w:spacing w:line="247" w:lineRule="auto" w:before="2"/>
        <w:ind w:left="500" w:right="0" w:firstLine="0"/>
        <w:jc w:val="left"/>
        <w:rPr>
          <w:sz w:val="18"/>
        </w:rPr>
      </w:pPr>
      <w:r>
        <w:rPr>
          <w:color w:val="4C4D4F"/>
          <w:w w:val="110"/>
          <w:sz w:val="18"/>
        </w:rPr>
        <w:t>Post-operative analgesia in opioid dependent patients: Comparison of intravenous morphine and sublingual buprenorphine. </w:t>
      </w:r>
      <w:r>
        <w:rPr>
          <w:rFonts w:ascii="Arial" w:hAnsi="Arial"/>
          <w:i/>
          <w:color w:val="4C4D4F"/>
          <w:w w:val="110"/>
          <w:sz w:val="18"/>
        </w:rPr>
        <w:t>Addiction and Health, 7</w:t>
      </w:r>
      <w:r>
        <w:rPr>
          <w:color w:val="4C4D4F"/>
          <w:w w:val="110"/>
          <w:sz w:val="18"/>
        </w:rPr>
        <w:t>(1–2), 60–65.</w:t>
      </w:r>
    </w:p>
    <w:p>
      <w:pPr>
        <w:pStyle w:val="ListParagraph"/>
        <w:numPr>
          <w:ilvl w:val="0"/>
          <w:numId w:val="51"/>
        </w:numPr>
        <w:tabs>
          <w:tab w:pos="500" w:val="left" w:leader="none"/>
        </w:tabs>
        <w:spacing w:line="247" w:lineRule="auto" w:before="74" w:after="0"/>
        <w:ind w:left="500" w:right="405" w:hanging="360"/>
        <w:jc w:val="left"/>
        <w:rPr>
          <w:color w:val="4C4D4F"/>
          <w:sz w:val="18"/>
        </w:rPr>
      </w:pPr>
      <w:r>
        <w:rPr>
          <w:color w:val="4C4D4F"/>
          <w:w w:val="110"/>
          <w:sz w:val="18"/>
        </w:rPr>
        <w:t>Sen, S., Arulkumar, S., Cornett, E. M., Gayle, </w:t>
      </w:r>
      <w:r>
        <w:rPr>
          <w:color w:val="4C4D4F"/>
          <w:w w:val="135"/>
          <w:sz w:val="18"/>
        </w:rPr>
        <w:t>J. </w:t>
      </w:r>
      <w:r>
        <w:rPr>
          <w:color w:val="4C4D4F"/>
          <w:w w:val="110"/>
          <w:sz w:val="18"/>
        </w:rPr>
        <w:t>A., </w:t>
      </w:r>
      <w:r>
        <w:rPr>
          <w:color w:val="4C4D4F"/>
          <w:spacing w:val="-3"/>
          <w:w w:val="110"/>
          <w:sz w:val="18"/>
        </w:rPr>
        <w:t>Flower, </w:t>
      </w:r>
      <w:r>
        <w:rPr>
          <w:color w:val="4C4D4F"/>
          <w:w w:val="110"/>
          <w:sz w:val="18"/>
        </w:rPr>
        <w:t>R. R., Fox, C. </w:t>
      </w:r>
      <w:r>
        <w:rPr>
          <w:color w:val="4C4D4F"/>
          <w:w w:val="135"/>
          <w:sz w:val="18"/>
        </w:rPr>
        <w:t>J., </w:t>
      </w:r>
      <w:r>
        <w:rPr>
          <w:color w:val="4C4D4F"/>
          <w:w w:val="110"/>
          <w:sz w:val="18"/>
        </w:rPr>
        <w:t>&amp; Kaye, A. D. (2016). New pain management options for the  surgical  patient on</w:t>
      </w:r>
      <w:r>
        <w:rPr>
          <w:color w:val="4C4D4F"/>
          <w:spacing w:val="-15"/>
          <w:w w:val="110"/>
          <w:sz w:val="18"/>
        </w:rPr>
        <w:t> </w:t>
      </w:r>
      <w:r>
        <w:rPr>
          <w:color w:val="4C4D4F"/>
          <w:w w:val="110"/>
          <w:sz w:val="18"/>
        </w:rPr>
        <w:t>methadone</w:t>
      </w:r>
      <w:r>
        <w:rPr>
          <w:color w:val="4C4D4F"/>
          <w:spacing w:val="-15"/>
          <w:w w:val="110"/>
          <w:sz w:val="18"/>
        </w:rPr>
        <w:t> </w:t>
      </w:r>
      <w:r>
        <w:rPr>
          <w:color w:val="4C4D4F"/>
          <w:w w:val="110"/>
          <w:sz w:val="18"/>
        </w:rPr>
        <w:t>and</w:t>
      </w:r>
      <w:r>
        <w:rPr>
          <w:color w:val="4C4D4F"/>
          <w:spacing w:val="-15"/>
          <w:w w:val="110"/>
          <w:sz w:val="18"/>
        </w:rPr>
        <w:t> </w:t>
      </w:r>
      <w:r>
        <w:rPr>
          <w:color w:val="4C4D4F"/>
          <w:w w:val="110"/>
          <w:sz w:val="18"/>
        </w:rPr>
        <w:t>buprenorphine.</w:t>
      </w:r>
      <w:r>
        <w:rPr>
          <w:color w:val="4C4D4F"/>
          <w:spacing w:val="-15"/>
          <w:w w:val="110"/>
          <w:sz w:val="18"/>
        </w:rPr>
        <w:t> </w:t>
      </w:r>
      <w:r>
        <w:rPr>
          <w:rFonts w:ascii="Arial"/>
          <w:i/>
          <w:color w:val="4C4D4F"/>
          <w:w w:val="110"/>
          <w:sz w:val="18"/>
        </w:rPr>
        <w:t>Current</w:t>
      </w:r>
      <w:r>
        <w:rPr>
          <w:rFonts w:ascii="Arial"/>
          <w:i/>
          <w:color w:val="4C4D4F"/>
          <w:spacing w:val="-15"/>
          <w:w w:val="110"/>
          <w:sz w:val="18"/>
        </w:rPr>
        <w:t> </w:t>
      </w:r>
      <w:r>
        <w:rPr>
          <w:rFonts w:ascii="Arial"/>
          <w:i/>
          <w:color w:val="4C4D4F"/>
          <w:w w:val="110"/>
          <w:sz w:val="18"/>
        </w:rPr>
        <w:t>Pain</w:t>
      </w:r>
      <w:r>
        <w:rPr>
          <w:rFonts w:ascii="Arial"/>
          <w:i/>
          <w:color w:val="4C4D4F"/>
          <w:spacing w:val="-15"/>
          <w:w w:val="110"/>
          <w:sz w:val="18"/>
        </w:rPr>
        <w:t> </w:t>
      </w:r>
      <w:r>
        <w:rPr>
          <w:rFonts w:ascii="Arial"/>
          <w:i/>
          <w:color w:val="4C4D4F"/>
          <w:spacing w:val="-6"/>
          <w:w w:val="110"/>
          <w:sz w:val="18"/>
        </w:rPr>
        <w:t>and </w:t>
      </w:r>
      <w:r>
        <w:rPr>
          <w:rFonts w:ascii="Arial"/>
          <w:i/>
          <w:color w:val="4C4D4F"/>
          <w:w w:val="110"/>
          <w:sz w:val="18"/>
        </w:rPr>
        <w:t>Headache Reports,</w:t>
      </w:r>
      <w:r>
        <w:rPr>
          <w:rFonts w:ascii="Arial"/>
          <w:i/>
          <w:color w:val="4C4D4F"/>
          <w:spacing w:val="-20"/>
          <w:w w:val="110"/>
          <w:sz w:val="18"/>
        </w:rPr>
        <w:t> </w:t>
      </w:r>
      <w:r>
        <w:rPr>
          <w:rFonts w:ascii="Arial"/>
          <w:i/>
          <w:color w:val="4C4D4F"/>
          <w:w w:val="110"/>
          <w:sz w:val="18"/>
        </w:rPr>
        <w:t>20</w:t>
      </w:r>
      <w:r>
        <w:rPr>
          <w:color w:val="4C4D4F"/>
          <w:w w:val="110"/>
          <w:sz w:val="18"/>
        </w:rPr>
        <w:t>(3),16.</w:t>
      </w:r>
    </w:p>
    <w:p>
      <w:pPr>
        <w:pStyle w:val="ListParagraph"/>
        <w:numPr>
          <w:ilvl w:val="0"/>
          <w:numId w:val="51"/>
        </w:numPr>
        <w:tabs>
          <w:tab w:pos="500" w:val="left" w:leader="none"/>
        </w:tabs>
        <w:spacing w:line="240" w:lineRule="auto" w:before="73" w:after="0"/>
        <w:ind w:left="500" w:right="0" w:hanging="360"/>
        <w:jc w:val="left"/>
        <w:rPr>
          <w:color w:val="4C4D4F"/>
          <w:sz w:val="18"/>
        </w:rPr>
      </w:pPr>
      <w:r>
        <w:rPr>
          <w:color w:val="4C4D4F"/>
          <w:w w:val="110"/>
          <w:sz w:val="18"/>
        </w:rPr>
        <w:t>Administering or dispensing of narcotic drugs, 21</w:t>
      </w:r>
      <w:r>
        <w:rPr>
          <w:color w:val="4C4D4F"/>
          <w:spacing w:val="-2"/>
          <w:w w:val="110"/>
          <w:sz w:val="18"/>
        </w:rPr>
        <w:t> </w:t>
      </w:r>
      <w:r>
        <w:rPr>
          <w:color w:val="4C4D4F"/>
          <w:w w:val="110"/>
          <w:sz w:val="18"/>
        </w:rPr>
        <w:t>CFR</w:t>
      </w:r>
    </w:p>
    <w:p>
      <w:pPr>
        <w:spacing w:before="8"/>
        <w:ind w:left="500" w:right="0" w:firstLine="0"/>
        <w:jc w:val="left"/>
        <w:rPr>
          <w:sz w:val="18"/>
        </w:rPr>
      </w:pPr>
      <w:r>
        <w:rPr>
          <w:color w:val="4C4D4F"/>
          <w:w w:val="120"/>
          <w:sz w:val="18"/>
        </w:rPr>
        <w:t>§ 1306.07 (2005).</w:t>
      </w:r>
    </w:p>
    <w:p>
      <w:pPr>
        <w:pStyle w:val="ListParagraph"/>
        <w:numPr>
          <w:ilvl w:val="0"/>
          <w:numId w:val="51"/>
        </w:numPr>
        <w:tabs>
          <w:tab w:pos="500" w:val="left" w:leader="none"/>
        </w:tabs>
        <w:spacing w:line="247" w:lineRule="auto" w:before="79" w:after="0"/>
        <w:ind w:left="500" w:right="219" w:hanging="360"/>
        <w:jc w:val="left"/>
        <w:rPr>
          <w:color w:val="4C4D4F"/>
          <w:sz w:val="18"/>
        </w:rPr>
      </w:pPr>
      <w:r>
        <w:rPr>
          <w:color w:val="4C4D4F"/>
          <w:w w:val="110"/>
          <w:sz w:val="18"/>
        </w:rPr>
        <w:t>Alford, D. </w:t>
      </w:r>
      <w:r>
        <w:rPr>
          <w:color w:val="4C4D4F"/>
          <w:spacing w:val="-11"/>
          <w:w w:val="110"/>
          <w:sz w:val="18"/>
        </w:rPr>
        <w:t>P., </w:t>
      </w:r>
      <w:r>
        <w:rPr>
          <w:color w:val="4C4D4F"/>
          <w:w w:val="110"/>
          <w:sz w:val="18"/>
        </w:rPr>
        <w:t>Compton, </w:t>
      </w:r>
      <w:r>
        <w:rPr>
          <w:color w:val="4C4D4F"/>
          <w:spacing w:val="-11"/>
          <w:w w:val="110"/>
          <w:sz w:val="18"/>
        </w:rPr>
        <w:t>P., </w:t>
      </w:r>
      <w:r>
        <w:rPr>
          <w:color w:val="4C4D4F"/>
          <w:w w:val="110"/>
          <w:sz w:val="18"/>
        </w:rPr>
        <w:t>&amp; Samet, </w:t>
      </w:r>
      <w:r>
        <w:rPr>
          <w:color w:val="4C4D4F"/>
          <w:w w:val="135"/>
          <w:sz w:val="18"/>
        </w:rPr>
        <w:t>J. </w:t>
      </w:r>
      <w:r>
        <w:rPr>
          <w:color w:val="4C4D4F"/>
          <w:w w:val="110"/>
          <w:sz w:val="18"/>
        </w:rPr>
        <w:t>H. (2006). </w:t>
      </w:r>
      <w:r>
        <w:rPr>
          <w:color w:val="4C4D4F"/>
          <w:spacing w:val="-3"/>
          <w:w w:val="110"/>
          <w:sz w:val="18"/>
        </w:rPr>
        <w:t>Acute </w:t>
      </w:r>
      <w:r>
        <w:rPr>
          <w:color w:val="4C4D4F"/>
          <w:w w:val="110"/>
          <w:sz w:val="18"/>
        </w:rPr>
        <w:t>pain management for patients receiving maintenance methadone or buprenorphine therapy. </w:t>
      </w:r>
      <w:r>
        <w:rPr>
          <w:rFonts w:ascii="Arial" w:hAnsi="Arial"/>
          <w:i/>
          <w:color w:val="4C4D4F"/>
          <w:w w:val="110"/>
          <w:sz w:val="18"/>
        </w:rPr>
        <w:t>Annals of </w:t>
      </w:r>
      <w:r>
        <w:rPr>
          <w:rFonts w:ascii="Arial" w:hAnsi="Arial"/>
          <w:i/>
          <w:color w:val="4C4D4F"/>
          <w:w w:val="110"/>
          <w:sz w:val="18"/>
        </w:rPr>
        <w:t>Internal Medicine, 144</w:t>
      </w:r>
      <w:r>
        <w:rPr>
          <w:color w:val="4C4D4F"/>
          <w:w w:val="110"/>
          <w:sz w:val="18"/>
        </w:rPr>
        <w:t>(2),</w:t>
      </w:r>
      <w:r>
        <w:rPr>
          <w:color w:val="4C4D4F"/>
          <w:spacing w:val="-28"/>
          <w:w w:val="110"/>
          <w:sz w:val="18"/>
        </w:rPr>
        <w:t> </w:t>
      </w:r>
      <w:r>
        <w:rPr>
          <w:color w:val="4C4D4F"/>
          <w:w w:val="110"/>
          <w:sz w:val="18"/>
        </w:rPr>
        <w:t>127–134.</w:t>
      </w:r>
    </w:p>
    <w:p>
      <w:pPr>
        <w:pStyle w:val="ListParagraph"/>
        <w:numPr>
          <w:ilvl w:val="0"/>
          <w:numId w:val="51"/>
        </w:numPr>
        <w:tabs>
          <w:tab w:pos="500" w:val="left" w:leader="none"/>
        </w:tabs>
        <w:spacing w:line="247" w:lineRule="auto" w:before="73" w:after="0"/>
        <w:ind w:left="500" w:right="348" w:hanging="360"/>
        <w:jc w:val="left"/>
        <w:rPr>
          <w:color w:val="4C4D4F"/>
          <w:sz w:val="18"/>
        </w:rPr>
      </w:pPr>
      <w:r>
        <w:rPr>
          <w:color w:val="4C4D4F"/>
          <w:w w:val="110"/>
          <w:sz w:val="18"/>
        </w:rPr>
        <w:t>Devin, C. </w:t>
      </w:r>
      <w:r>
        <w:rPr>
          <w:color w:val="4C4D4F"/>
          <w:w w:val="135"/>
          <w:sz w:val="18"/>
        </w:rPr>
        <w:t>J., </w:t>
      </w:r>
      <w:r>
        <w:rPr>
          <w:color w:val="4C4D4F"/>
          <w:w w:val="110"/>
          <w:sz w:val="18"/>
        </w:rPr>
        <w:t>&amp; McGirt, M. </w:t>
      </w:r>
      <w:r>
        <w:rPr>
          <w:color w:val="4C4D4F"/>
          <w:w w:val="135"/>
          <w:sz w:val="18"/>
        </w:rPr>
        <w:t>J. </w:t>
      </w:r>
      <w:r>
        <w:rPr>
          <w:color w:val="4C4D4F"/>
          <w:w w:val="110"/>
          <w:sz w:val="18"/>
        </w:rPr>
        <w:t>(2015). Best evidence in multimodal pain management in spine surgery and means of assessing postoperative pain and functional outcomes.</w:t>
      </w:r>
      <w:r>
        <w:rPr>
          <w:color w:val="4C4D4F"/>
          <w:spacing w:val="-30"/>
          <w:w w:val="110"/>
          <w:sz w:val="18"/>
        </w:rPr>
        <w:t> </w:t>
      </w:r>
      <w:r>
        <w:rPr>
          <w:rFonts w:ascii="Arial" w:hAnsi="Arial"/>
          <w:i/>
          <w:color w:val="4C4D4F"/>
          <w:w w:val="110"/>
          <w:sz w:val="18"/>
        </w:rPr>
        <w:t>Journal</w:t>
      </w:r>
      <w:r>
        <w:rPr>
          <w:rFonts w:ascii="Arial" w:hAnsi="Arial"/>
          <w:i/>
          <w:color w:val="4C4D4F"/>
          <w:spacing w:val="-30"/>
          <w:w w:val="110"/>
          <w:sz w:val="18"/>
        </w:rPr>
        <w:t> </w:t>
      </w:r>
      <w:r>
        <w:rPr>
          <w:rFonts w:ascii="Arial" w:hAnsi="Arial"/>
          <w:i/>
          <w:color w:val="4C4D4F"/>
          <w:w w:val="110"/>
          <w:sz w:val="18"/>
        </w:rPr>
        <w:t>of</w:t>
      </w:r>
      <w:r>
        <w:rPr>
          <w:rFonts w:ascii="Arial" w:hAnsi="Arial"/>
          <w:i/>
          <w:color w:val="4C4D4F"/>
          <w:spacing w:val="-30"/>
          <w:w w:val="110"/>
          <w:sz w:val="18"/>
        </w:rPr>
        <w:t> </w:t>
      </w:r>
      <w:r>
        <w:rPr>
          <w:rFonts w:ascii="Arial" w:hAnsi="Arial"/>
          <w:i/>
          <w:color w:val="4C4D4F"/>
          <w:w w:val="110"/>
          <w:sz w:val="18"/>
        </w:rPr>
        <w:t>Clinical</w:t>
      </w:r>
      <w:r>
        <w:rPr>
          <w:rFonts w:ascii="Arial" w:hAnsi="Arial"/>
          <w:i/>
          <w:color w:val="4C4D4F"/>
          <w:spacing w:val="-30"/>
          <w:w w:val="110"/>
          <w:sz w:val="18"/>
        </w:rPr>
        <w:t> </w:t>
      </w:r>
      <w:r>
        <w:rPr>
          <w:rFonts w:ascii="Arial" w:hAnsi="Arial"/>
          <w:i/>
          <w:color w:val="4C4D4F"/>
          <w:w w:val="110"/>
          <w:sz w:val="18"/>
        </w:rPr>
        <w:t>Neuroscience,</w:t>
      </w:r>
      <w:r>
        <w:rPr>
          <w:rFonts w:ascii="Arial" w:hAnsi="Arial"/>
          <w:i/>
          <w:color w:val="4C4D4F"/>
          <w:spacing w:val="-30"/>
          <w:w w:val="110"/>
          <w:sz w:val="18"/>
        </w:rPr>
        <w:t> </w:t>
      </w:r>
      <w:r>
        <w:rPr>
          <w:rFonts w:ascii="Arial" w:hAnsi="Arial"/>
          <w:i/>
          <w:color w:val="4C4D4F"/>
          <w:w w:val="110"/>
          <w:sz w:val="18"/>
        </w:rPr>
        <w:t>22</w:t>
      </w:r>
      <w:r>
        <w:rPr>
          <w:color w:val="4C4D4F"/>
          <w:w w:val="110"/>
          <w:sz w:val="18"/>
        </w:rPr>
        <w:t>(6), 930–938.</w:t>
      </w:r>
    </w:p>
    <w:p>
      <w:pPr>
        <w:pStyle w:val="ListParagraph"/>
        <w:numPr>
          <w:ilvl w:val="0"/>
          <w:numId w:val="51"/>
        </w:numPr>
        <w:tabs>
          <w:tab w:pos="500" w:val="left" w:leader="none"/>
        </w:tabs>
        <w:spacing w:line="247" w:lineRule="auto" w:before="75" w:after="0"/>
        <w:ind w:left="500" w:right="348" w:hanging="360"/>
        <w:jc w:val="left"/>
        <w:rPr>
          <w:color w:val="4C4D4F"/>
          <w:sz w:val="18"/>
        </w:rPr>
      </w:pPr>
      <w:r>
        <w:rPr>
          <w:color w:val="4C4D4F"/>
          <w:w w:val="110"/>
          <w:sz w:val="18"/>
        </w:rPr>
        <w:t>Noska, A., Mohan, A., Wakeman, S., Rich, </w:t>
      </w:r>
      <w:r>
        <w:rPr>
          <w:color w:val="4C4D4F"/>
          <w:w w:val="120"/>
          <w:sz w:val="18"/>
        </w:rPr>
        <w:t>J., </w:t>
      </w:r>
      <w:r>
        <w:rPr>
          <w:color w:val="4C4D4F"/>
          <w:w w:val="110"/>
          <w:sz w:val="18"/>
        </w:rPr>
        <w:t>&amp; Boutwell, A. (2015). Managing opioid use disorder during and after acute hospitalization: A case-based review clarifying methadone regulation for acute </w:t>
      </w:r>
      <w:r>
        <w:rPr>
          <w:color w:val="4C4D4F"/>
          <w:spacing w:val="-5"/>
          <w:w w:val="110"/>
          <w:sz w:val="18"/>
        </w:rPr>
        <w:t>care </w:t>
      </w:r>
      <w:r>
        <w:rPr>
          <w:color w:val="4C4D4F"/>
          <w:w w:val="105"/>
          <w:sz w:val="18"/>
        </w:rPr>
        <w:t>settings.</w:t>
      </w:r>
      <w:r>
        <w:rPr>
          <w:color w:val="4C4D4F"/>
          <w:spacing w:val="-12"/>
          <w:w w:val="105"/>
          <w:sz w:val="18"/>
        </w:rPr>
        <w:t> </w:t>
      </w:r>
      <w:r>
        <w:rPr>
          <w:rFonts w:ascii="Arial"/>
          <w:i/>
          <w:color w:val="4C4D4F"/>
          <w:w w:val="105"/>
          <w:sz w:val="18"/>
        </w:rPr>
        <w:t>Journal</w:t>
      </w:r>
      <w:r>
        <w:rPr>
          <w:rFonts w:ascii="Arial"/>
          <w:i/>
          <w:color w:val="4C4D4F"/>
          <w:spacing w:val="-12"/>
          <w:w w:val="105"/>
          <w:sz w:val="18"/>
        </w:rPr>
        <w:t> </w:t>
      </w:r>
      <w:r>
        <w:rPr>
          <w:rFonts w:ascii="Arial"/>
          <w:i/>
          <w:color w:val="4C4D4F"/>
          <w:w w:val="105"/>
          <w:sz w:val="18"/>
        </w:rPr>
        <w:t>of</w:t>
      </w:r>
      <w:r>
        <w:rPr>
          <w:rFonts w:ascii="Arial"/>
          <w:i/>
          <w:color w:val="4C4D4F"/>
          <w:spacing w:val="-12"/>
          <w:w w:val="105"/>
          <w:sz w:val="18"/>
        </w:rPr>
        <w:t> </w:t>
      </w:r>
      <w:r>
        <w:rPr>
          <w:rFonts w:ascii="Arial"/>
          <w:i/>
          <w:color w:val="4C4D4F"/>
          <w:w w:val="105"/>
          <w:sz w:val="18"/>
        </w:rPr>
        <w:t>Addictive</w:t>
      </w:r>
      <w:r>
        <w:rPr>
          <w:rFonts w:ascii="Arial"/>
          <w:i/>
          <w:color w:val="4C4D4F"/>
          <w:spacing w:val="-11"/>
          <w:w w:val="105"/>
          <w:sz w:val="18"/>
        </w:rPr>
        <w:t> </w:t>
      </w:r>
      <w:r>
        <w:rPr>
          <w:rFonts w:ascii="Arial"/>
          <w:i/>
          <w:color w:val="4C4D4F"/>
          <w:w w:val="105"/>
          <w:sz w:val="18"/>
        </w:rPr>
        <w:t>Behaviors,</w:t>
      </w:r>
      <w:r>
        <w:rPr>
          <w:rFonts w:ascii="Arial"/>
          <w:i/>
          <w:color w:val="4C4D4F"/>
          <w:spacing w:val="-12"/>
          <w:w w:val="105"/>
          <w:sz w:val="18"/>
        </w:rPr>
        <w:t> </w:t>
      </w:r>
      <w:r>
        <w:rPr>
          <w:rFonts w:ascii="Arial"/>
          <w:i/>
          <w:color w:val="4C4D4F"/>
          <w:w w:val="105"/>
          <w:sz w:val="18"/>
        </w:rPr>
        <w:t>Therapy</w:t>
      </w:r>
      <w:r>
        <w:rPr>
          <w:rFonts w:ascii="Arial"/>
          <w:i/>
          <w:color w:val="4C4D4F"/>
          <w:spacing w:val="-12"/>
          <w:w w:val="105"/>
          <w:sz w:val="18"/>
        </w:rPr>
        <w:t> </w:t>
      </w:r>
      <w:r>
        <w:rPr>
          <w:rFonts w:ascii="Arial"/>
          <w:i/>
          <w:color w:val="4C4D4F"/>
          <w:spacing w:val="-5"/>
          <w:w w:val="105"/>
          <w:sz w:val="18"/>
        </w:rPr>
        <w:t>and </w:t>
      </w:r>
      <w:r>
        <w:rPr>
          <w:rFonts w:ascii="Arial"/>
          <w:i/>
          <w:color w:val="4C4D4F"/>
          <w:w w:val="110"/>
          <w:sz w:val="18"/>
        </w:rPr>
        <w:t>Rehabilitation, 4</w:t>
      </w:r>
      <w:r>
        <w:rPr>
          <w:color w:val="4C4D4F"/>
          <w:w w:val="110"/>
          <w:sz w:val="18"/>
        </w:rPr>
        <w:t>(2),</w:t>
      </w:r>
      <w:r>
        <w:rPr>
          <w:color w:val="4C4D4F"/>
          <w:spacing w:val="-16"/>
          <w:w w:val="110"/>
          <w:sz w:val="18"/>
        </w:rPr>
        <w:t> </w:t>
      </w:r>
      <w:r>
        <w:rPr>
          <w:color w:val="4C4D4F"/>
          <w:w w:val="110"/>
          <w:sz w:val="18"/>
        </w:rPr>
        <w:t>1000138.</w:t>
      </w:r>
    </w:p>
    <w:p>
      <w:pPr>
        <w:pStyle w:val="ListParagraph"/>
        <w:numPr>
          <w:ilvl w:val="0"/>
          <w:numId w:val="51"/>
        </w:numPr>
        <w:tabs>
          <w:tab w:pos="500" w:val="left" w:leader="none"/>
        </w:tabs>
        <w:spacing w:line="247" w:lineRule="auto" w:before="75" w:after="0"/>
        <w:ind w:left="500" w:right="398" w:hanging="360"/>
        <w:jc w:val="left"/>
        <w:rPr>
          <w:color w:val="4C4D4F"/>
          <w:sz w:val="18"/>
        </w:rPr>
      </w:pPr>
      <w:r>
        <w:rPr>
          <w:color w:val="4C4D4F"/>
          <w:w w:val="115"/>
          <w:sz w:val="18"/>
        </w:rPr>
        <w:t>Liebschutz,</w:t>
      </w:r>
      <w:r>
        <w:rPr>
          <w:color w:val="4C4D4F"/>
          <w:spacing w:val="-32"/>
          <w:w w:val="115"/>
          <w:sz w:val="18"/>
        </w:rPr>
        <w:t> </w:t>
      </w:r>
      <w:r>
        <w:rPr>
          <w:color w:val="4C4D4F"/>
          <w:w w:val="135"/>
          <w:sz w:val="18"/>
        </w:rPr>
        <w:t>J.</w:t>
      </w:r>
      <w:r>
        <w:rPr>
          <w:color w:val="4C4D4F"/>
          <w:spacing w:val="-41"/>
          <w:w w:val="135"/>
          <w:sz w:val="18"/>
        </w:rPr>
        <w:t> </w:t>
      </w:r>
      <w:r>
        <w:rPr>
          <w:color w:val="4C4D4F"/>
          <w:w w:val="115"/>
          <w:sz w:val="18"/>
        </w:rPr>
        <w:t>M.,</w:t>
      </w:r>
      <w:r>
        <w:rPr>
          <w:color w:val="4C4D4F"/>
          <w:spacing w:val="-31"/>
          <w:w w:val="115"/>
          <w:sz w:val="18"/>
        </w:rPr>
        <w:t> </w:t>
      </w:r>
      <w:r>
        <w:rPr>
          <w:color w:val="4C4D4F"/>
          <w:w w:val="115"/>
          <w:sz w:val="18"/>
        </w:rPr>
        <w:t>Crooks,</w:t>
      </w:r>
      <w:r>
        <w:rPr>
          <w:color w:val="4C4D4F"/>
          <w:spacing w:val="-31"/>
          <w:w w:val="115"/>
          <w:sz w:val="18"/>
        </w:rPr>
        <w:t> </w:t>
      </w:r>
      <w:r>
        <w:rPr>
          <w:color w:val="4C4D4F"/>
          <w:w w:val="115"/>
          <w:sz w:val="18"/>
        </w:rPr>
        <w:t>D.,</w:t>
      </w:r>
      <w:r>
        <w:rPr>
          <w:color w:val="4C4D4F"/>
          <w:spacing w:val="-31"/>
          <w:w w:val="115"/>
          <w:sz w:val="18"/>
        </w:rPr>
        <w:t> </w:t>
      </w:r>
      <w:r>
        <w:rPr>
          <w:color w:val="4C4D4F"/>
          <w:w w:val="115"/>
          <w:sz w:val="18"/>
        </w:rPr>
        <w:t>Herman,</w:t>
      </w:r>
      <w:r>
        <w:rPr>
          <w:color w:val="4C4D4F"/>
          <w:spacing w:val="-31"/>
          <w:w w:val="115"/>
          <w:sz w:val="18"/>
        </w:rPr>
        <w:t> </w:t>
      </w:r>
      <w:r>
        <w:rPr>
          <w:color w:val="4C4D4F"/>
          <w:w w:val="115"/>
          <w:sz w:val="18"/>
        </w:rPr>
        <w:t>D.,</w:t>
      </w:r>
      <w:r>
        <w:rPr>
          <w:color w:val="4C4D4F"/>
          <w:spacing w:val="-31"/>
          <w:w w:val="115"/>
          <w:sz w:val="18"/>
        </w:rPr>
        <w:t> </w:t>
      </w:r>
      <w:r>
        <w:rPr>
          <w:color w:val="4C4D4F"/>
          <w:w w:val="115"/>
          <w:sz w:val="18"/>
        </w:rPr>
        <w:t>Anderson, B.,</w:t>
      </w:r>
      <w:r>
        <w:rPr>
          <w:color w:val="4C4D4F"/>
          <w:spacing w:val="-13"/>
          <w:w w:val="115"/>
          <w:sz w:val="18"/>
        </w:rPr>
        <w:t> </w:t>
      </w:r>
      <w:r>
        <w:rPr>
          <w:color w:val="4C4D4F"/>
          <w:spacing w:val="-4"/>
          <w:w w:val="115"/>
          <w:sz w:val="18"/>
        </w:rPr>
        <w:t>Tsui,</w:t>
      </w:r>
      <w:r>
        <w:rPr>
          <w:color w:val="4C4D4F"/>
          <w:spacing w:val="-13"/>
          <w:w w:val="115"/>
          <w:sz w:val="18"/>
        </w:rPr>
        <w:t> </w:t>
      </w:r>
      <w:r>
        <w:rPr>
          <w:color w:val="4C4D4F"/>
          <w:w w:val="135"/>
          <w:sz w:val="18"/>
        </w:rPr>
        <w:t>J.,</w:t>
      </w:r>
      <w:r>
        <w:rPr>
          <w:color w:val="4C4D4F"/>
          <w:spacing w:val="-22"/>
          <w:w w:val="135"/>
          <w:sz w:val="18"/>
        </w:rPr>
        <w:t> </w:t>
      </w:r>
      <w:r>
        <w:rPr>
          <w:color w:val="4C4D4F"/>
          <w:w w:val="115"/>
          <w:sz w:val="18"/>
        </w:rPr>
        <w:t>Meshesha,</w:t>
      </w:r>
      <w:r>
        <w:rPr>
          <w:color w:val="4C4D4F"/>
          <w:spacing w:val="-13"/>
          <w:w w:val="115"/>
          <w:sz w:val="18"/>
        </w:rPr>
        <w:t> </w:t>
      </w:r>
      <w:r>
        <w:rPr>
          <w:color w:val="4C4D4F"/>
          <w:w w:val="115"/>
          <w:sz w:val="18"/>
        </w:rPr>
        <w:t>L.</w:t>
      </w:r>
      <w:r>
        <w:rPr>
          <w:color w:val="4C4D4F"/>
          <w:spacing w:val="-12"/>
          <w:w w:val="115"/>
          <w:sz w:val="18"/>
        </w:rPr>
        <w:t> </w:t>
      </w:r>
      <w:r>
        <w:rPr>
          <w:color w:val="4C4D4F"/>
          <w:w w:val="115"/>
          <w:sz w:val="18"/>
        </w:rPr>
        <w:t>Z.,</w:t>
      </w:r>
      <w:r>
        <w:rPr>
          <w:color w:val="4C4D4F"/>
          <w:spacing w:val="-13"/>
          <w:w w:val="115"/>
          <w:sz w:val="18"/>
        </w:rPr>
        <w:t> </w:t>
      </w:r>
      <w:r>
        <w:rPr>
          <w:color w:val="4C4D4F"/>
          <w:w w:val="115"/>
          <w:sz w:val="18"/>
        </w:rPr>
        <w:t>…</w:t>
      </w:r>
      <w:r>
        <w:rPr>
          <w:color w:val="4C4D4F"/>
          <w:spacing w:val="-12"/>
          <w:w w:val="115"/>
          <w:sz w:val="18"/>
        </w:rPr>
        <w:t> </w:t>
      </w:r>
      <w:r>
        <w:rPr>
          <w:color w:val="4C4D4F"/>
          <w:w w:val="115"/>
          <w:sz w:val="18"/>
        </w:rPr>
        <w:t>Stein,</w:t>
      </w:r>
      <w:r>
        <w:rPr>
          <w:color w:val="4C4D4F"/>
          <w:spacing w:val="-13"/>
          <w:w w:val="115"/>
          <w:sz w:val="18"/>
        </w:rPr>
        <w:t> </w:t>
      </w:r>
      <w:r>
        <w:rPr>
          <w:color w:val="4C4D4F"/>
          <w:w w:val="115"/>
          <w:sz w:val="18"/>
        </w:rPr>
        <w:t>M.</w:t>
      </w:r>
      <w:r>
        <w:rPr>
          <w:color w:val="4C4D4F"/>
          <w:spacing w:val="-12"/>
          <w:w w:val="115"/>
          <w:sz w:val="18"/>
        </w:rPr>
        <w:t> </w:t>
      </w:r>
      <w:r>
        <w:rPr>
          <w:color w:val="4C4D4F"/>
          <w:w w:val="115"/>
          <w:sz w:val="18"/>
        </w:rPr>
        <w:t>(2014).</w:t>
      </w:r>
    </w:p>
    <w:p>
      <w:pPr>
        <w:spacing w:line="247" w:lineRule="auto" w:before="2"/>
        <w:ind w:left="500" w:right="0" w:firstLine="0"/>
        <w:jc w:val="left"/>
        <w:rPr>
          <w:sz w:val="18"/>
        </w:rPr>
      </w:pPr>
      <w:r>
        <w:rPr>
          <w:color w:val="4C4D4F"/>
          <w:w w:val="110"/>
          <w:sz w:val="18"/>
        </w:rPr>
        <w:t>Buprenorphine treatment for hospitalized, opioid- dependent patients: A randomized clinical trial. </w:t>
      </w:r>
      <w:r>
        <w:rPr>
          <w:rFonts w:ascii="Arial" w:hAnsi="Arial"/>
          <w:i/>
          <w:color w:val="4C4D4F"/>
          <w:w w:val="110"/>
          <w:sz w:val="18"/>
        </w:rPr>
        <w:t>JAMA </w:t>
      </w:r>
      <w:r>
        <w:rPr>
          <w:rFonts w:ascii="Arial" w:hAnsi="Arial"/>
          <w:i/>
          <w:color w:val="4C4D4F"/>
          <w:w w:val="110"/>
          <w:sz w:val="18"/>
        </w:rPr>
        <w:t>Internal Medicine, 174</w:t>
      </w:r>
      <w:r>
        <w:rPr>
          <w:color w:val="4C4D4F"/>
          <w:w w:val="110"/>
          <w:sz w:val="18"/>
        </w:rPr>
        <w:t>(8), 1369–1376.</w:t>
      </w:r>
    </w:p>
    <w:p>
      <w:pPr>
        <w:pStyle w:val="ListParagraph"/>
        <w:numPr>
          <w:ilvl w:val="0"/>
          <w:numId w:val="51"/>
        </w:numPr>
        <w:tabs>
          <w:tab w:pos="500" w:val="left" w:leader="none"/>
        </w:tabs>
        <w:spacing w:line="247" w:lineRule="auto" w:before="72" w:after="0"/>
        <w:ind w:left="500" w:right="393" w:hanging="360"/>
        <w:jc w:val="left"/>
        <w:rPr>
          <w:color w:val="4C4D4F"/>
          <w:sz w:val="18"/>
        </w:rPr>
      </w:pPr>
      <w:r>
        <w:rPr>
          <w:color w:val="4C4D4F"/>
          <w:w w:val="110"/>
          <w:sz w:val="18"/>
        </w:rPr>
        <w:t>D’Onofrio, G., O’Connor, </w:t>
      </w:r>
      <w:r>
        <w:rPr>
          <w:color w:val="4C4D4F"/>
          <w:spacing w:val="-17"/>
          <w:w w:val="110"/>
          <w:sz w:val="18"/>
        </w:rPr>
        <w:t>P. </w:t>
      </w:r>
      <w:r>
        <w:rPr>
          <w:color w:val="4C4D4F"/>
          <w:w w:val="110"/>
          <w:sz w:val="18"/>
        </w:rPr>
        <w:t>G., Pantalon, M. </w:t>
      </w:r>
      <w:r>
        <w:rPr>
          <w:color w:val="4C4D4F"/>
          <w:spacing w:val="-8"/>
          <w:w w:val="110"/>
          <w:sz w:val="18"/>
        </w:rPr>
        <w:t>V., </w:t>
      </w:r>
      <w:r>
        <w:rPr>
          <w:color w:val="4C4D4F"/>
          <w:w w:val="110"/>
          <w:sz w:val="18"/>
        </w:rPr>
        <w:t>Chawarski, M. C., Busch, S. H., Owens, </w:t>
      </w:r>
      <w:r>
        <w:rPr>
          <w:color w:val="4C4D4F"/>
          <w:spacing w:val="-17"/>
          <w:w w:val="110"/>
          <w:sz w:val="18"/>
        </w:rPr>
        <w:t>P. </w:t>
      </w:r>
      <w:r>
        <w:rPr>
          <w:color w:val="4C4D4F"/>
          <w:w w:val="110"/>
          <w:sz w:val="18"/>
        </w:rPr>
        <w:t>H., … Fiellin, D. A. (2015). Emergency department-initiated buprenorphine/naloxone treatment for opioid dependence: A randomized clinical trial. </w:t>
      </w:r>
      <w:r>
        <w:rPr>
          <w:rFonts w:ascii="Arial" w:hAnsi="Arial"/>
          <w:i/>
          <w:color w:val="4C4D4F"/>
          <w:w w:val="110"/>
          <w:sz w:val="18"/>
        </w:rPr>
        <w:t>JAMA, </w:t>
      </w:r>
      <w:r>
        <w:rPr>
          <w:rFonts w:ascii="Arial" w:hAnsi="Arial"/>
          <w:i/>
          <w:color w:val="4C4D4F"/>
          <w:w w:val="110"/>
          <w:sz w:val="18"/>
        </w:rPr>
        <w:t>313</w:t>
      </w:r>
      <w:r>
        <w:rPr>
          <w:color w:val="4C4D4F"/>
          <w:w w:val="110"/>
          <w:sz w:val="18"/>
        </w:rPr>
        <w:t>(16),</w:t>
      </w:r>
      <w:r>
        <w:rPr>
          <w:color w:val="4C4D4F"/>
          <w:spacing w:val="-6"/>
          <w:w w:val="110"/>
          <w:sz w:val="18"/>
        </w:rPr>
        <w:t> </w:t>
      </w:r>
      <w:r>
        <w:rPr>
          <w:color w:val="4C4D4F"/>
          <w:w w:val="110"/>
          <w:sz w:val="18"/>
        </w:rPr>
        <w:t>1636–1644.</w:t>
      </w:r>
    </w:p>
    <w:p>
      <w:pPr>
        <w:spacing w:after="0" w:line="247" w:lineRule="auto"/>
        <w:jc w:val="left"/>
        <w:rPr>
          <w:sz w:val="18"/>
        </w:rPr>
        <w:sectPr>
          <w:type w:val="continuous"/>
          <w:pgSz w:w="12240" w:h="15840"/>
          <w:pgMar w:top="540" w:bottom="280" w:left="940" w:right="920"/>
          <w:cols w:num="2" w:equalWidth="0">
            <w:col w:w="5011" w:space="209"/>
            <w:col w:w="5160"/>
          </w:cols>
        </w:sectPr>
      </w:pPr>
    </w:p>
    <w:p>
      <w:pPr>
        <w:pStyle w:val="BodyText"/>
        <w:spacing w:before="11"/>
        <w:rPr>
          <w:sz w:val="27"/>
        </w:rPr>
      </w:pPr>
    </w:p>
    <w:p>
      <w:pPr>
        <w:spacing w:after="0"/>
        <w:rPr>
          <w:sz w:val="27"/>
        </w:rPr>
        <w:sectPr>
          <w:pgSz w:w="12240" w:h="15840"/>
          <w:pgMar w:header="576" w:footer="677" w:top="1340" w:bottom="860" w:left="940" w:right="920"/>
        </w:sectPr>
      </w:pPr>
    </w:p>
    <w:p>
      <w:pPr>
        <w:pStyle w:val="ListParagraph"/>
        <w:numPr>
          <w:ilvl w:val="0"/>
          <w:numId w:val="51"/>
        </w:numPr>
        <w:tabs>
          <w:tab w:pos="500" w:val="left" w:leader="none"/>
        </w:tabs>
        <w:spacing w:line="247" w:lineRule="auto" w:before="100" w:after="0"/>
        <w:ind w:left="500" w:right="38" w:hanging="360"/>
        <w:jc w:val="left"/>
        <w:rPr>
          <w:color w:val="4C4D4F"/>
          <w:sz w:val="18"/>
        </w:rPr>
      </w:pPr>
      <w:r>
        <w:rPr>
          <w:color w:val="4C4D4F"/>
          <w:w w:val="115"/>
          <w:sz w:val="18"/>
        </w:rPr>
        <w:t>Substance Abuse and Mental Health Services Administration.</w:t>
      </w:r>
      <w:r>
        <w:rPr>
          <w:color w:val="4C4D4F"/>
          <w:spacing w:val="-32"/>
          <w:w w:val="115"/>
          <w:sz w:val="18"/>
        </w:rPr>
        <w:t> </w:t>
      </w:r>
      <w:r>
        <w:rPr>
          <w:color w:val="4C4D4F"/>
          <w:w w:val="115"/>
          <w:sz w:val="18"/>
        </w:rPr>
        <w:t>(2016,</w:t>
      </w:r>
      <w:r>
        <w:rPr>
          <w:color w:val="4C4D4F"/>
          <w:spacing w:val="-32"/>
          <w:w w:val="115"/>
          <w:sz w:val="18"/>
        </w:rPr>
        <w:t> </w:t>
      </w:r>
      <w:r>
        <w:rPr>
          <w:color w:val="4C4D4F"/>
          <w:w w:val="115"/>
          <w:sz w:val="18"/>
        </w:rPr>
        <w:t>March).</w:t>
      </w:r>
      <w:r>
        <w:rPr>
          <w:color w:val="4C4D4F"/>
          <w:spacing w:val="-32"/>
          <w:w w:val="115"/>
          <w:sz w:val="18"/>
        </w:rPr>
        <w:t> </w:t>
      </w:r>
      <w:r>
        <w:rPr>
          <w:color w:val="4C4D4F"/>
          <w:w w:val="115"/>
          <w:sz w:val="18"/>
        </w:rPr>
        <w:t>Special</w:t>
      </w:r>
      <w:r>
        <w:rPr>
          <w:color w:val="4C4D4F"/>
          <w:spacing w:val="-32"/>
          <w:w w:val="115"/>
          <w:sz w:val="18"/>
        </w:rPr>
        <w:t> </w:t>
      </w:r>
      <w:r>
        <w:rPr>
          <w:color w:val="4C4D4F"/>
          <w:w w:val="115"/>
          <w:sz w:val="18"/>
        </w:rPr>
        <w:t>circumstances for</w:t>
      </w:r>
      <w:r>
        <w:rPr>
          <w:color w:val="4C4D4F"/>
          <w:spacing w:val="-35"/>
          <w:w w:val="115"/>
          <w:sz w:val="18"/>
        </w:rPr>
        <w:t> </w:t>
      </w:r>
      <w:r>
        <w:rPr>
          <w:color w:val="4C4D4F"/>
          <w:w w:val="115"/>
          <w:sz w:val="18"/>
        </w:rPr>
        <w:t>providing</w:t>
      </w:r>
      <w:r>
        <w:rPr>
          <w:color w:val="4C4D4F"/>
          <w:spacing w:val="-35"/>
          <w:w w:val="115"/>
          <w:sz w:val="18"/>
        </w:rPr>
        <w:t> </w:t>
      </w:r>
      <w:r>
        <w:rPr>
          <w:color w:val="4C4D4F"/>
          <w:w w:val="115"/>
          <w:sz w:val="18"/>
        </w:rPr>
        <w:t>buprenorphine.</w:t>
      </w:r>
      <w:r>
        <w:rPr>
          <w:color w:val="4C4D4F"/>
          <w:spacing w:val="-35"/>
          <w:w w:val="115"/>
          <w:sz w:val="18"/>
        </w:rPr>
        <w:t> </w:t>
      </w:r>
      <w:r>
        <w:rPr>
          <w:color w:val="4C4D4F"/>
          <w:w w:val="115"/>
          <w:sz w:val="18"/>
        </w:rPr>
        <w:t>Retrieved</w:t>
      </w:r>
      <w:r>
        <w:rPr>
          <w:color w:val="4C4D4F"/>
          <w:spacing w:val="-35"/>
          <w:w w:val="115"/>
          <w:sz w:val="18"/>
        </w:rPr>
        <w:t> </w:t>
      </w:r>
      <w:r>
        <w:rPr>
          <w:color w:val="4C4D4F"/>
          <w:w w:val="115"/>
          <w:sz w:val="18"/>
        </w:rPr>
        <w:t>December</w:t>
      </w:r>
      <w:r>
        <w:rPr>
          <w:color w:val="4C4D4F"/>
          <w:spacing w:val="-35"/>
          <w:w w:val="115"/>
          <w:sz w:val="18"/>
        </w:rPr>
        <w:t> </w:t>
      </w:r>
      <w:r>
        <w:rPr>
          <w:color w:val="4C4D4F"/>
          <w:spacing w:val="-6"/>
          <w:w w:val="115"/>
          <w:sz w:val="18"/>
        </w:rPr>
        <w:t>18, </w:t>
      </w:r>
      <w:r>
        <w:rPr>
          <w:color w:val="4C4D4F"/>
          <w:w w:val="115"/>
          <w:sz w:val="18"/>
        </w:rPr>
        <w:t>2017, from</w:t>
      </w:r>
      <w:r>
        <w:rPr>
          <w:color w:val="205E9E"/>
          <w:spacing w:val="-37"/>
          <w:w w:val="115"/>
          <w:sz w:val="18"/>
        </w:rPr>
        <w:t> </w:t>
      </w:r>
      <w:hyperlink r:id="rId51">
        <w:r>
          <w:rPr>
            <w:color w:val="205E9E"/>
            <w:w w:val="115"/>
            <w:sz w:val="18"/>
            <w:u w:val="single" w:color="205E9E"/>
          </w:rPr>
          <w:t>www.samhsa.gov/medication-assisted</w:t>
        </w:r>
      </w:hyperlink>
    </w:p>
    <w:p>
      <w:pPr>
        <w:spacing w:before="4"/>
        <w:ind w:left="500" w:right="0" w:firstLine="0"/>
        <w:jc w:val="left"/>
        <w:rPr>
          <w:sz w:val="18"/>
        </w:rPr>
      </w:pPr>
      <w:r>
        <w:rPr>
          <w:color w:val="205E9E"/>
          <w:w w:val="115"/>
          <w:sz w:val="18"/>
          <w:u w:val="single" w:color="205E9E"/>
        </w:rPr>
        <w:t>-treatment/legislation-regulations-guidelines/special</w:t>
      </w:r>
    </w:p>
    <w:p>
      <w:pPr>
        <w:spacing w:before="7"/>
        <w:ind w:left="500" w:right="0" w:firstLine="0"/>
        <w:jc w:val="left"/>
        <w:rPr>
          <w:sz w:val="18"/>
        </w:rPr>
      </w:pPr>
      <w:r>
        <w:rPr>
          <w:color w:val="205E9E"/>
          <w:w w:val="110"/>
          <w:sz w:val="18"/>
          <w:u w:val="single" w:color="205E9E"/>
        </w:rPr>
        <w:t>-circumstances-providing-buprenorphine</w:t>
      </w:r>
    </w:p>
    <w:p>
      <w:pPr>
        <w:pStyle w:val="ListParagraph"/>
        <w:numPr>
          <w:ilvl w:val="0"/>
          <w:numId w:val="51"/>
        </w:numPr>
        <w:tabs>
          <w:tab w:pos="500" w:val="left" w:leader="none"/>
        </w:tabs>
        <w:spacing w:line="247" w:lineRule="auto" w:before="79" w:after="0"/>
        <w:ind w:left="500" w:right="148" w:hanging="360"/>
        <w:jc w:val="left"/>
        <w:rPr>
          <w:color w:val="4C4D4F"/>
          <w:sz w:val="18"/>
        </w:rPr>
      </w:pPr>
      <w:r>
        <w:rPr>
          <w:color w:val="4C4D4F"/>
          <w:w w:val="110"/>
          <w:sz w:val="18"/>
        </w:rPr>
        <w:t>D’Onofrio, G., O’Connor, </w:t>
      </w:r>
      <w:r>
        <w:rPr>
          <w:color w:val="4C4D4F"/>
          <w:spacing w:val="-17"/>
          <w:w w:val="110"/>
          <w:sz w:val="18"/>
        </w:rPr>
        <w:t>P. </w:t>
      </w:r>
      <w:r>
        <w:rPr>
          <w:color w:val="4C4D4F"/>
          <w:w w:val="110"/>
          <w:sz w:val="18"/>
        </w:rPr>
        <w:t>G., Pantalon, M. </w:t>
      </w:r>
      <w:r>
        <w:rPr>
          <w:color w:val="4C4D4F"/>
          <w:spacing w:val="-8"/>
          <w:w w:val="110"/>
          <w:sz w:val="18"/>
        </w:rPr>
        <w:t>V., </w:t>
      </w:r>
      <w:r>
        <w:rPr>
          <w:color w:val="4C4D4F"/>
          <w:w w:val="110"/>
          <w:sz w:val="18"/>
        </w:rPr>
        <w:t>Chawarski, M. C., Busch, S. H., Owens, </w:t>
      </w:r>
      <w:r>
        <w:rPr>
          <w:color w:val="4C4D4F"/>
          <w:spacing w:val="-17"/>
          <w:w w:val="110"/>
          <w:sz w:val="18"/>
        </w:rPr>
        <w:t>P. </w:t>
      </w:r>
      <w:r>
        <w:rPr>
          <w:color w:val="4C4D4F"/>
          <w:w w:val="110"/>
          <w:sz w:val="18"/>
        </w:rPr>
        <w:t>H., … Fiellin, D. A. (2015). Emergency department-initiated buprenorphine/naloxone treatment for opioid dependence: A randomized clinical trial. </w:t>
      </w:r>
      <w:r>
        <w:rPr>
          <w:rFonts w:ascii="Arial" w:hAnsi="Arial"/>
          <w:i/>
          <w:color w:val="4C4D4F"/>
          <w:w w:val="110"/>
          <w:sz w:val="18"/>
        </w:rPr>
        <w:t>JAMA, </w:t>
      </w:r>
      <w:r>
        <w:rPr>
          <w:rFonts w:ascii="Arial" w:hAnsi="Arial"/>
          <w:i/>
          <w:color w:val="4C4D4F"/>
          <w:w w:val="110"/>
          <w:sz w:val="18"/>
        </w:rPr>
        <w:t>313</w:t>
      </w:r>
      <w:r>
        <w:rPr>
          <w:color w:val="4C4D4F"/>
          <w:w w:val="110"/>
          <w:sz w:val="18"/>
        </w:rPr>
        <w:t>(16),</w:t>
      </w:r>
      <w:r>
        <w:rPr>
          <w:color w:val="4C4D4F"/>
          <w:spacing w:val="-6"/>
          <w:w w:val="110"/>
          <w:sz w:val="18"/>
        </w:rPr>
        <w:t> </w:t>
      </w:r>
      <w:r>
        <w:rPr>
          <w:color w:val="4C4D4F"/>
          <w:w w:val="110"/>
          <w:sz w:val="18"/>
        </w:rPr>
        <w:t>1636–1644.</w:t>
      </w:r>
    </w:p>
    <w:p>
      <w:pPr>
        <w:pStyle w:val="ListParagraph"/>
        <w:numPr>
          <w:ilvl w:val="0"/>
          <w:numId w:val="51"/>
        </w:numPr>
        <w:tabs>
          <w:tab w:pos="500" w:val="left" w:leader="none"/>
        </w:tabs>
        <w:spacing w:line="247" w:lineRule="auto" w:before="100" w:after="0"/>
        <w:ind w:left="500" w:right="725" w:hanging="360"/>
        <w:jc w:val="left"/>
        <w:rPr>
          <w:color w:val="4C4D4F"/>
          <w:sz w:val="18"/>
        </w:rPr>
      </w:pPr>
      <w:r>
        <w:rPr>
          <w:color w:val="4C4D4F"/>
          <w:w w:val="110"/>
          <w:sz w:val="18"/>
        </w:rPr>
        <w:br w:type="column"/>
      </w:r>
      <w:r>
        <w:rPr>
          <w:color w:val="4C4D4F"/>
          <w:w w:val="110"/>
          <w:sz w:val="18"/>
        </w:rPr>
        <w:t>Huxtable, C. A., Roberts, L. </w:t>
      </w:r>
      <w:r>
        <w:rPr>
          <w:color w:val="4C4D4F"/>
          <w:w w:val="120"/>
          <w:sz w:val="18"/>
        </w:rPr>
        <w:t>J., </w:t>
      </w:r>
      <w:r>
        <w:rPr>
          <w:color w:val="4C4D4F"/>
          <w:w w:val="110"/>
          <w:sz w:val="18"/>
        </w:rPr>
        <w:t>Somogyi, A. A., </w:t>
      </w:r>
      <w:r>
        <w:rPr>
          <w:color w:val="4C4D4F"/>
          <w:spacing w:val="-17"/>
          <w:w w:val="110"/>
          <w:sz w:val="18"/>
        </w:rPr>
        <w:t>&amp; </w:t>
      </w:r>
      <w:r>
        <w:rPr>
          <w:color w:val="4C4D4F"/>
          <w:w w:val="110"/>
          <w:sz w:val="18"/>
        </w:rPr>
        <w:t>Macintyre, </w:t>
      </w:r>
      <w:r>
        <w:rPr>
          <w:color w:val="4C4D4F"/>
          <w:spacing w:val="-17"/>
          <w:w w:val="110"/>
          <w:sz w:val="18"/>
        </w:rPr>
        <w:t>P. </w:t>
      </w:r>
      <w:r>
        <w:rPr>
          <w:color w:val="4C4D4F"/>
          <w:w w:val="110"/>
          <w:sz w:val="18"/>
        </w:rPr>
        <w:t>E. (2011). Acute pain management in opioid-tolerant patients: A growing challenge. </w:t>
      </w:r>
      <w:r>
        <w:rPr>
          <w:rFonts w:ascii="Arial" w:hAnsi="Arial"/>
          <w:i/>
          <w:color w:val="4C4D4F"/>
          <w:w w:val="105"/>
          <w:sz w:val="18"/>
        </w:rPr>
        <w:t>Anaesthesia</w:t>
      </w:r>
      <w:r>
        <w:rPr>
          <w:rFonts w:ascii="Arial" w:hAnsi="Arial"/>
          <w:i/>
          <w:color w:val="4C4D4F"/>
          <w:spacing w:val="-23"/>
          <w:w w:val="105"/>
          <w:sz w:val="18"/>
        </w:rPr>
        <w:t> </w:t>
      </w:r>
      <w:r>
        <w:rPr>
          <w:rFonts w:ascii="Arial" w:hAnsi="Arial"/>
          <w:i/>
          <w:color w:val="4C4D4F"/>
          <w:w w:val="105"/>
          <w:sz w:val="18"/>
        </w:rPr>
        <w:t>and</w:t>
      </w:r>
      <w:r>
        <w:rPr>
          <w:rFonts w:ascii="Arial" w:hAnsi="Arial"/>
          <w:i/>
          <w:color w:val="4C4D4F"/>
          <w:spacing w:val="-23"/>
          <w:w w:val="105"/>
          <w:sz w:val="18"/>
        </w:rPr>
        <w:t> </w:t>
      </w:r>
      <w:r>
        <w:rPr>
          <w:rFonts w:ascii="Arial" w:hAnsi="Arial"/>
          <w:i/>
          <w:color w:val="4C4D4F"/>
          <w:w w:val="105"/>
          <w:sz w:val="18"/>
        </w:rPr>
        <w:t>Intensive</w:t>
      </w:r>
      <w:r>
        <w:rPr>
          <w:rFonts w:ascii="Arial" w:hAnsi="Arial"/>
          <w:i/>
          <w:color w:val="4C4D4F"/>
          <w:spacing w:val="-23"/>
          <w:w w:val="105"/>
          <w:sz w:val="18"/>
        </w:rPr>
        <w:t> </w:t>
      </w:r>
      <w:r>
        <w:rPr>
          <w:rFonts w:ascii="Arial" w:hAnsi="Arial"/>
          <w:i/>
          <w:color w:val="4C4D4F"/>
          <w:w w:val="105"/>
          <w:sz w:val="18"/>
        </w:rPr>
        <w:t>Care,</w:t>
      </w:r>
      <w:r>
        <w:rPr>
          <w:rFonts w:ascii="Arial" w:hAnsi="Arial"/>
          <w:i/>
          <w:color w:val="4C4D4F"/>
          <w:spacing w:val="-23"/>
          <w:w w:val="105"/>
          <w:sz w:val="18"/>
        </w:rPr>
        <w:t> </w:t>
      </w:r>
      <w:r>
        <w:rPr>
          <w:rFonts w:ascii="Arial" w:hAnsi="Arial"/>
          <w:i/>
          <w:color w:val="4C4D4F"/>
          <w:w w:val="105"/>
          <w:sz w:val="18"/>
        </w:rPr>
        <w:t>39</w:t>
      </w:r>
      <w:r>
        <w:rPr>
          <w:color w:val="4C4D4F"/>
          <w:w w:val="105"/>
          <w:sz w:val="18"/>
        </w:rPr>
        <w:t>(5),</w:t>
      </w:r>
      <w:r>
        <w:rPr>
          <w:color w:val="4C4D4F"/>
          <w:spacing w:val="-23"/>
          <w:w w:val="105"/>
          <w:sz w:val="18"/>
        </w:rPr>
        <w:t> </w:t>
      </w:r>
      <w:r>
        <w:rPr>
          <w:color w:val="4C4D4F"/>
          <w:w w:val="105"/>
          <w:sz w:val="18"/>
        </w:rPr>
        <w:t>804–823.</w:t>
      </w:r>
    </w:p>
    <w:sectPr>
      <w:type w:val="continuous"/>
      <w:pgSz w:w="12240" w:h="15840"/>
      <w:pgMar w:top="540" w:bottom="280" w:left="940" w:right="920"/>
      <w:cols w:num="2" w:equalWidth="0">
        <w:col w:w="4916" w:space="304"/>
        <w:col w:w="51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Calibri">
    <w:altName w:val="Calibri"/>
    <w:charset w:val="0"/>
    <w:family w:val="swiss"/>
    <w:pitch w:val="variable"/>
  </w:font>
  <w:font w:name="Gill Sans MT">
    <w:altName w:val="Gill Sans MT"/>
    <w:charset w:val="0"/>
    <w:family w:val="swiss"/>
    <w:pitch w:val="variable"/>
  </w:font>
  <w:font w:name="Arial">
    <w:altName w:val="Arial"/>
    <w:charset w:val="0"/>
    <w:family w:val="swiss"/>
    <w:pitch w:val="variable"/>
  </w:font>
  <w:font w:name="Tahoma">
    <w:altName w:val="Tahoma"/>
    <w:charset w:val="0"/>
    <w:family w:val="swiss"/>
    <w:pitch w:val="variable"/>
  </w:font>
  <w:font w:name="Arial Black">
    <w:altName w:val="Arial Black"/>
    <w:charset w:val="0"/>
    <w:family w:val="swiss"/>
    <w:pitch w:val="variable"/>
  </w:font>
  <w:font w:name="Lucida Sans Unicode">
    <w:altName w:val="Lucida Sans Unicode"/>
    <w:charset w:val="0"/>
    <w:family w:val="swiss"/>
    <w:pitch w:val="variable"/>
  </w:font>
  <w:font w:name="Verdana">
    <w:altName w:val="Verdana"/>
    <w:charset w:val="0"/>
    <w:family w:val="swiss"/>
    <w:pitch w:val="variable"/>
  </w:font>
  <w:font w:name="Century Gothic">
    <w:altName w:val="Century Gothic"/>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7.127502pt;width:14.2pt;height:12.9pt;mso-position-horizontal-relative:page;mso-position-vertical-relative:page;z-index:-19584512" type="#_x0000_t202" filled="false" stroked="false">
          <v:textbox inset="0,0,0,0">
            <w:txbxContent>
              <w:p>
                <w:pPr>
                  <w:spacing w:before="15"/>
                  <w:ind w:left="20" w:right="0" w:firstLine="0"/>
                  <w:jc w:val="left"/>
                  <w:rPr>
                    <w:rFonts w:ascii="Calibri"/>
                    <w:sz w:val="18"/>
                  </w:rPr>
                </w:pPr>
                <w:r>
                  <w:rPr>
                    <w:rFonts w:ascii="Calibri"/>
                    <w:color w:val="414142"/>
                    <w:w w:val="105"/>
                    <w:sz w:val="18"/>
                  </w:rPr>
                  <w:t>3-ii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5020pt;margin-top:747.127502pt;width:21.9pt;height:12.9pt;mso-position-horizontal-relative:page;mso-position-vertical-relative:page;z-index:-19567616"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17</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7.127502pt;width:21.9pt;height:12.9pt;mso-position-horizontal-relative:page;mso-position-vertical-relative:page;z-index:-19567104"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18</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5020pt;margin-top:747.127502pt;width:21.9pt;height:12.9pt;mso-position-horizontal-relative:page;mso-position-vertical-relative:page;z-index:-19563520" type="#_x0000_t202" filled="false" stroked="false">
          <v:textbox inset="0,0,0,0">
            <w:txbxContent>
              <w:p>
                <w:pPr>
                  <w:spacing w:before="15"/>
                  <w:ind w:left="20" w:right="0" w:firstLine="0"/>
                  <w:jc w:val="left"/>
                  <w:rPr>
                    <w:rFonts w:ascii="Calibri"/>
                    <w:sz w:val="18"/>
                  </w:rPr>
                </w:pPr>
                <w:r>
                  <w:rPr>
                    <w:rFonts w:ascii="Calibri"/>
                    <w:color w:val="414042"/>
                    <w:w w:val="110"/>
                    <w:sz w:val="18"/>
                  </w:rPr>
                  <w:t>3-</w:t>
                </w:r>
                <w:r>
                  <w:rPr/>
                  <w:fldChar w:fldCharType="begin"/>
                </w:r>
                <w:r>
                  <w:rPr>
                    <w:rFonts w:ascii="Calibri"/>
                    <w:color w:val="414042"/>
                    <w:w w:val="110"/>
                    <w:sz w:val="18"/>
                  </w:rPr>
                  <w:instrText> PAGE </w:instrText>
                </w:r>
                <w:r>
                  <w:rPr/>
                  <w:fldChar w:fldCharType="separate"/>
                </w:r>
                <w:r>
                  <w:rPr/>
                  <w:t>83</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7.127502pt;width:26.9pt;height:12.9pt;mso-position-horizontal-relative:page;mso-position-vertical-relative:page;z-index:-19563008"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100</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141113pt;margin-top:747.127502pt;width:26.9pt;height:12.9pt;mso-position-horizontal-relative:page;mso-position-vertical-relative:page;z-index:-19559424"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103</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7.127502pt;width:26.9pt;height:12.9pt;mso-position-horizontal-relative:page;mso-position-vertical-relative:page;z-index:-19558912"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104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2.672974pt;margin-top:747.127502pt;width:16.3500pt;height:12.9pt;mso-position-horizontal-relative:page;mso-position-vertical-relative:page;z-index:-19584000" type="#_x0000_t202" filled="false" stroked="false">
          <v:textbox inset="0,0,0,0">
            <w:txbxContent>
              <w:p>
                <w:pPr>
                  <w:spacing w:before="15"/>
                  <w:ind w:left="20" w:right="0" w:firstLine="0"/>
                  <w:jc w:val="left"/>
                  <w:rPr>
                    <w:rFonts w:ascii="Calibri"/>
                    <w:sz w:val="18"/>
                  </w:rPr>
                </w:pPr>
                <w:r>
                  <w:rPr>
                    <w:rFonts w:ascii="Calibri"/>
                    <w:color w:val="414142"/>
                    <w:w w:val="105"/>
                    <w:sz w:val="18"/>
                  </w:rPr>
                  <w:t>3-iii</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148987pt;margin-top:747.127502pt;width:16.9pt;height:12.9pt;mso-position-horizontal-relative:page;mso-position-vertical-relative:page;z-index:-19579392"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7.127502pt;width:14.9pt;height:12.9pt;mso-position-horizontal-relative:page;mso-position-vertical-relative:page;z-index:-19578880" type="#_x0000_t202" filled="false" stroked="false">
          <v:textbox inset="0,0,0,0">
            <w:txbxContent>
              <w:p>
                <w:pPr>
                  <w:spacing w:before="15"/>
                  <w:ind w:left="20" w:right="0" w:firstLine="0"/>
                  <w:jc w:val="left"/>
                  <w:rPr>
                    <w:rFonts w:ascii="Calibri"/>
                    <w:sz w:val="18"/>
                  </w:rPr>
                </w:pPr>
                <w:r>
                  <w:rPr>
                    <w:rFonts w:ascii="Calibri"/>
                    <w:color w:val="414142"/>
                    <w:w w:val="110"/>
                    <w:sz w:val="18"/>
                  </w:rPr>
                  <w:t>3-2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141113pt;margin-top:747.127502pt;width:26.9pt;height:12.9pt;mso-position-horizontal-relative:page;mso-position-vertical-relative:page;z-index:-19575296"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101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148987pt;margin-top:747.127502pt;width:16.9pt;height:12.9pt;mso-position-horizontal-relative:page;mso-position-vertical-relative:page;z-index:-19571712" type="#_x0000_t202" filled="false" stroked="false">
          <v:textbox inset="0,0,0,0">
            <w:txbxContent>
              <w:p>
                <w:pPr>
                  <w:spacing w:before="15"/>
                  <w:ind w:left="20" w:right="0" w:firstLine="0"/>
                  <w:jc w:val="left"/>
                  <w:rPr>
                    <w:rFonts w:ascii="Calibri"/>
                    <w:sz w:val="18"/>
                  </w:rPr>
                </w:pPr>
                <w:r>
                  <w:rPr>
                    <w:rFonts w:ascii="Calibri"/>
                    <w:color w:val="414142"/>
                    <w:w w:val="110"/>
                    <w:sz w:val="18"/>
                  </w:rPr>
                  <w:t>3-</w:t>
                </w:r>
                <w:r>
                  <w:rPr/>
                  <w:fldChar w:fldCharType="begin"/>
                </w:r>
                <w:r>
                  <w:rPr>
                    <w:rFonts w:ascii="Calibri"/>
                    <w:color w:val="414142"/>
                    <w:w w:val="110"/>
                    <w:sz w:val="18"/>
                  </w:rPr>
                  <w:instrText> PAGE </w:instrText>
                </w:r>
                <w:r>
                  <w:rPr/>
                  <w:fldChar w:fldCharType="separate"/>
                </w:r>
                <w:r>
                  <w:rPr/>
                  <w:t>5</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7.127502pt;width:21.9pt;height:12.9pt;mso-position-horizontal-relative:page;mso-position-vertical-relative:page;z-index:-19571200" type="#_x0000_t202" filled="false" stroked="false">
          <v:textbox inset="0,0,0,0">
            <w:txbxContent>
              <w:p>
                <w:pPr>
                  <w:spacing w:before="15"/>
                  <w:ind w:left="20" w:right="0" w:firstLine="0"/>
                  <w:jc w:val="left"/>
                  <w:rPr>
                    <w:rFonts w:ascii="Calibri"/>
                    <w:sz w:val="18"/>
                  </w:rPr>
                </w:pPr>
                <w:r>
                  <w:rPr>
                    <w:rFonts w:ascii="Calibri"/>
                    <w:color w:val="414042"/>
                    <w:w w:val="110"/>
                    <w:sz w:val="18"/>
                  </w:rPr>
                  <w:t>3-</w:t>
                </w:r>
                <w:r>
                  <w:rPr/>
                  <w:fldChar w:fldCharType="begin"/>
                </w:r>
                <w:r>
                  <w:rPr>
                    <w:rFonts w:ascii="Calibri"/>
                    <w:color w:val="414042"/>
                    <w:w w:val="110"/>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87584"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9587072"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279.024292pt;margin-top:41.490101pt;width:269pt;height:13.9pt;mso-position-horizontal-relative:page;mso-position-vertical-relative:page;z-index:-19586560" type="#_x0000_t202" filled="false" stroked="false">
          <v:textbox inset="0,0,0,0">
            <w:txbxContent>
              <w:p>
                <w:pPr>
                  <w:spacing w:before="17"/>
                  <w:ind w:left="20" w:right="0" w:firstLine="0"/>
                  <w:jc w:val="left"/>
                  <w:rPr>
                    <w:rFonts w:ascii="Calibri" w:hAnsi="Calibri"/>
                    <w:b/>
                    <w:sz w:val="20"/>
                  </w:rPr>
                </w:pPr>
                <w:r>
                  <w:rPr>
                    <w:rFonts w:ascii="Calibri" w:hAnsi="Calibri"/>
                    <w:b/>
                    <w:color w:val="FFFFFF"/>
                    <w:w w:val="115"/>
                    <w:sz w:val="20"/>
                  </w:rPr>
                  <w:t>MEDICATIONS FOR OPIOID USE DISORDER—Part 3 of 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70688"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570176"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66.320999pt;margin-top:41.640099pt;width:250.4pt;height:14.1pt;mso-position-horizontal-relative:page;mso-position-vertical-relative:page;z-index:-19569664" type="#_x0000_t202" filled="false" stroked="false">
          <v:textbox inset="0,0,0,0">
            <w:txbxContent>
              <w:p>
                <w:pPr>
                  <w:spacing w:before="14"/>
                  <w:ind w:left="20" w:right="0" w:firstLine="0"/>
                  <w:jc w:val="left"/>
                  <w:rPr>
                    <w:rFonts w:ascii="Calibri" w:hAnsi="Calibri"/>
                    <w:sz w:val="20"/>
                  </w:rPr>
                </w:pPr>
                <w:r>
                  <w:rPr>
                    <w:rFonts w:ascii="Calibri" w:hAnsi="Calibri"/>
                    <w:color w:val="FFFFFF"/>
                    <w:w w:val="110"/>
                    <w:sz w:val="20"/>
                  </w:rPr>
                  <w:t>Part 3 of 5—Pharmacotherapy for Opioid Use Disorder</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69152"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568640"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379.33371pt;margin-top:41.640099pt;width:168.7pt;height:14.1pt;mso-position-horizontal-relative:page;mso-position-vertical-relative:page;z-index:-19568128" type="#_x0000_t202" filled="false" stroked="false">
          <v:textbox inset="0,0,0,0">
            <w:txbxContent>
              <w:p>
                <w:pPr>
                  <w:spacing w:before="14"/>
                  <w:ind w:left="20" w:right="0" w:firstLine="0"/>
                  <w:jc w:val="left"/>
                  <w:rPr>
                    <w:rFonts w:ascii="Calibri"/>
                    <w:sz w:val="20"/>
                  </w:rPr>
                </w:pPr>
                <w:r>
                  <w:rPr>
                    <w:rFonts w:ascii="Calibri"/>
                    <w:color w:val="FFFFFF"/>
                    <w:w w:val="110"/>
                    <w:sz w:val="20"/>
                  </w:rPr>
                  <w:t>Medications for Opioid Use Disorder</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6659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566080"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66.320999pt;margin-top:41.640099pt;width:250.4pt;height:14.1pt;mso-position-horizontal-relative:page;mso-position-vertical-relative:page;z-index:-19565568" type="#_x0000_t202" filled="false" stroked="false">
          <v:textbox inset="0,0,0,0">
            <w:txbxContent>
              <w:p>
                <w:pPr>
                  <w:spacing w:before="14"/>
                  <w:ind w:left="20" w:right="0" w:firstLine="0"/>
                  <w:jc w:val="left"/>
                  <w:rPr>
                    <w:rFonts w:ascii="Calibri" w:hAnsi="Calibri"/>
                    <w:sz w:val="20"/>
                  </w:rPr>
                </w:pPr>
                <w:r>
                  <w:rPr>
                    <w:rFonts w:ascii="Calibri" w:hAnsi="Calibri"/>
                    <w:color w:val="FFFFFF"/>
                    <w:w w:val="110"/>
                    <w:sz w:val="20"/>
                  </w:rPr>
                  <w:t>Part 3 of 5—Pharmacotherapy for Opioid Use Disorder</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65056"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564544"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379.33371pt;margin-top:41.640099pt;width:168.7pt;height:14.1pt;mso-position-horizontal-relative:page;mso-position-vertical-relative:page;z-index:-19564032" type="#_x0000_t202" filled="false" stroked="false">
          <v:textbox inset="0,0,0,0">
            <w:txbxContent>
              <w:p>
                <w:pPr>
                  <w:spacing w:before="14"/>
                  <w:ind w:left="20" w:right="0" w:firstLine="0"/>
                  <w:jc w:val="left"/>
                  <w:rPr>
                    <w:rFonts w:ascii="Calibri"/>
                    <w:sz w:val="20"/>
                  </w:rPr>
                </w:pPr>
                <w:r>
                  <w:rPr>
                    <w:rFonts w:ascii="Calibri"/>
                    <w:color w:val="FFFFFF"/>
                    <w:w w:val="110"/>
                    <w:sz w:val="20"/>
                  </w:rPr>
                  <w:t>Medications for Opioid Use Disorder</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62496"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561984"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66.320999pt;margin-top:41.640099pt;width:250.4pt;height:14.1pt;mso-position-horizontal-relative:page;mso-position-vertical-relative:page;z-index:-19561472" type="#_x0000_t202" filled="false" stroked="false">
          <v:textbox inset="0,0,0,0">
            <w:txbxContent>
              <w:p>
                <w:pPr>
                  <w:spacing w:before="14"/>
                  <w:ind w:left="20" w:right="0" w:firstLine="0"/>
                  <w:jc w:val="left"/>
                  <w:rPr>
                    <w:rFonts w:ascii="Calibri" w:hAnsi="Calibri"/>
                    <w:sz w:val="20"/>
                  </w:rPr>
                </w:pPr>
                <w:r>
                  <w:rPr>
                    <w:rFonts w:ascii="Calibri" w:hAnsi="Calibri"/>
                    <w:color w:val="FFFFFF"/>
                    <w:w w:val="110"/>
                    <w:sz w:val="20"/>
                  </w:rPr>
                  <w:t>Part 3 of 5—Pharmacotherapy for Opioid Use Disorder</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60960"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560448"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379.33371pt;margin-top:41.640099pt;width:168.7pt;height:14.1pt;mso-position-horizontal-relative:page;mso-position-vertical-relative:page;z-index:-19559936" type="#_x0000_t202" filled="false" stroked="false">
          <v:textbox inset="0,0,0,0">
            <w:txbxContent>
              <w:p>
                <w:pPr>
                  <w:spacing w:before="14"/>
                  <w:ind w:left="20" w:right="0" w:firstLine="0"/>
                  <w:jc w:val="left"/>
                  <w:rPr>
                    <w:rFonts w:ascii="Calibri"/>
                    <w:sz w:val="20"/>
                  </w:rPr>
                </w:pPr>
                <w:r>
                  <w:rPr>
                    <w:rFonts w:ascii="Calibri"/>
                    <w:color w:val="FFFFFF"/>
                    <w:w w:val="110"/>
                    <w:sz w:val="20"/>
                  </w:rPr>
                  <w:t>Medications for Opioid Use Disorder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86048"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66.320999pt;margin-top:41.490101pt;width:269pt;height:13.9pt;mso-position-horizontal-relative:page;mso-position-vertical-relative:page;z-index:-19585536" type="#_x0000_t202" filled="false" stroked="false">
          <v:textbox inset="0,0,0,0">
            <w:txbxContent>
              <w:p>
                <w:pPr>
                  <w:spacing w:before="17"/>
                  <w:ind w:left="20" w:right="0" w:firstLine="0"/>
                  <w:jc w:val="left"/>
                  <w:rPr>
                    <w:rFonts w:ascii="Calibri" w:hAnsi="Calibri"/>
                    <w:b/>
                    <w:sz w:val="20"/>
                  </w:rPr>
                </w:pPr>
                <w:r>
                  <w:rPr>
                    <w:rFonts w:ascii="Calibri" w:hAnsi="Calibri"/>
                    <w:b/>
                    <w:color w:val="FFFFFF"/>
                    <w:w w:val="115"/>
                    <w:sz w:val="20"/>
                  </w:rPr>
                  <w:t>MEDICATIONS FOR OPIOID USE DISORDER—Part 3 of 5</w:t>
                </w:r>
              </w:p>
            </w:txbxContent>
          </v:textbox>
          <w10:wrap type="none"/>
        </v:shape>
      </w:pict>
    </w:r>
    <w:r>
      <w:rPr/>
      <w:pict>
        <v:shape style="position:absolute;margin-left:515.606018pt;margin-top:41.490101pt;width:31.45pt;height:13.9pt;mso-position-horizontal-relative:page;mso-position-vertical-relative:page;z-index:-19585024"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78368"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577856"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379.33371pt;margin-top:41.640099pt;width:168.7pt;height:14.1pt;mso-position-horizontal-relative:page;mso-position-vertical-relative:page;z-index:-19577344" type="#_x0000_t202" filled="false" stroked="false">
          <v:textbox inset="0,0,0,0">
            <w:txbxContent>
              <w:p>
                <w:pPr>
                  <w:spacing w:before="14"/>
                  <w:ind w:left="20" w:right="0" w:firstLine="0"/>
                  <w:jc w:val="left"/>
                  <w:rPr>
                    <w:rFonts w:ascii="Calibri"/>
                    <w:sz w:val="20"/>
                  </w:rPr>
                </w:pPr>
                <w:r>
                  <w:rPr>
                    <w:rFonts w:ascii="Calibri"/>
                    <w:color w:val="FFFFFF"/>
                    <w:w w:val="110"/>
                    <w:sz w:val="20"/>
                  </w:rPr>
                  <w:t>Medications for Opioid Use Disorder</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76832"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576320"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66.320999pt;margin-top:41.640099pt;width:250.4pt;height:14.1pt;mso-position-horizontal-relative:page;mso-position-vertical-relative:page;z-index:-19575808" type="#_x0000_t202" filled="false" stroked="false">
          <v:textbox inset="0,0,0,0">
            <w:txbxContent>
              <w:p>
                <w:pPr>
                  <w:spacing w:before="14"/>
                  <w:ind w:left="20" w:right="0" w:firstLine="0"/>
                  <w:jc w:val="left"/>
                  <w:rPr>
                    <w:rFonts w:ascii="Calibri" w:hAnsi="Calibri"/>
                    <w:sz w:val="20"/>
                  </w:rPr>
                </w:pPr>
                <w:r>
                  <w:rPr>
                    <w:rFonts w:ascii="Calibri" w:hAnsi="Calibri"/>
                    <w:color w:val="FFFFFF"/>
                    <w:w w:val="110"/>
                    <w:sz w:val="20"/>
                  </w:rPr>
                  <w:t>Part 3 of 5—Pharmacotherapy for Opioid Use Disorder</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74784"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574272"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66.320999pt;margin-top:41.640099pt;width:250.4pt;height:14.1pt;mso-position-horizontal-relative:page;mso-position-vertical-relative:page;z-index:-19573760" type="#_x0000_t202" filled="false" stroked="false">
          <v:textbox inset="0,0,0,0">
            <w:txbxContent>
              <w:p>
                <w:pPr>
                  <w:spacing w:before="14"/>
                  <w:ind w:left="20" w:right="0" w:firstLine="0"/>
                  <w:jc w:val="left"/>
                  <w:rPr>
                    <w:rFonts w:ascii="Calibri" w:hAnsi="Calibri"/>
                    <w:sz w:val="20"/>
                  </w:rPr>
                </w:pPr>
                <w:r>
                  <w:rPr>
                    <w:rFonts w:ascii="Calibri" w:hAnsi="Calibri"/>
                    <w:color w:val="FFFFFF"/>
                    <w:w w:val="110"/>
                    <w:sz w:val="20"/>
                  </w:rPr>
                  <w:t>Part 3 of 5—Pharmacotherapy for Opioid Use Disorder</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57324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572736" type="#_x0000_t202" filled="false" stroked="false">
          <v:textbox inset="0,0,0,0">
            <w:txbxContent>
              <w:p>
                <w:pPr>
                  <w:spacing w:before="17"/>
                  <w:ind w:left="20" w:right="0" w:firstLine="0"/>
                  <w:jc w:val="left"/>
                  <w:rPr>
                    <w:rFonts w:ascii="Calibri"/>
                    <w:b/>
                    <w:sz w:val="20"/>
                  </w:rPr>
                </w:pPr>
                <w:r>
                  <w:rPr>
                    <w:rFonts w:ascii="Calibri"/>
                    <w:b/>
                    <w:color w:val="FFFFFF"/>
                    <w:w w:val="115"/>
                    <w:sz w:val="20"/>
                  </w:rPr>
                  <w:t>TIP 63</w:t>
                </w:r>
              </w:p>
            </w:txbxContent>
          </v:textbox>
          <w10:wrap type="none"/>
        </v:shape>
      </w:pict>
    </w:r>
    <w:r>
      <w:rPr/>
      <w:pict>
        <v:shape style="position:absolute;margin-left:379.33371pt;margin-top:41.640099pt;width:168.7pt;height:14.1pt;mso-position-horizontal-relative:page;mso-position-vertical-relative:page;z-index:-19572224" type="#_x0000_t202" filled="false" stroked="false">
          <v:textbox inset="0,0,0,0">
            <w:txbxContent>
              <w:p>
                <w:pPr>
                  <w:spacing w:before="14"/>
                  <w:ind w:left="20" w:right="0" w:firstLine="0"/>
                  <w:jc w:val="left"/>
                  <w:rPr>
                    <w:rFonts w:ascii="Calibri"/>
                    <w:sz w:val="20"/>
                  </w:rPr>
                </w:pPr>
                <w:r>
                  <w:rPr>
                    <w:rFonts w:ascii="Calibri"/>
                    <w:color w:val="FFFFFF"/>
                    <w:w w:val="110"/>
                    <w:sz w:val="20"/>
                  </w:rPr>
                  <w:t>Medications for Opioid Use Disorder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
      <w:numFmt w:val="decimal"/>
      <w:lvlText w:val="%1."/>
      <w:lvlJc w:val="left"/>
      <w:pPr>
        <w:ind w:left="775" w:hanging="360"/>
        <w:jc w:val="left"/>
      </w:pPr>
      <w:rPr>
        <w:rFonts w:hint="default" w:ascii="Arial" w:hAnsi="Arial" w:eastAsia="Arial" w:cs="Arial"/>
        <w:b/>
        <w:bCs/>
        <w:color w:val="137692"/>
        <w:w w:val="74"/>
        <w:sz w:val="18"/>
        <w:szCs w:val="18"/>
      </w:rPr>
    </w:lvl>
    <w:lvl w:ilvl="1">
      <w:start w:val="0"/>
      <w:numFmt w:val="bullet"/>
      <w:lvlText w:val="•"/>
      <w:lvlJc w:val="left"/>
      <w:pPr>
        <w:ind w:left="174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6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80" w:hanging="360"/>
      </w:pPr>
      <w:rPr>
        <w:rFonts w:hint="default"/>
      </w:rPr>
    </w:lvl>
    <w:lvl w:ilvl="6">
      <w:start w:val="0"/>
      <w:numFmt w:val="bullet"/>
      <w:lvlText w:val="•"/>
      <w:lvlJc w:val="left"/>
      <w:pPr>
        <w:ind w:left="6540" w:hanging="360"/>
      </w:pPr>
      <w:rPr>
        <w:rFonts w:hint="default"/>
      </w:rPr>
    </w:lvl>
    <w:lvl w:ilvl="7">
      <w:start w:val="0"/>
      <w:numFmt w:val="bullet"/>
      <w:lvlText w:val="•"/>
      <w:lvlJc w:val="left"/>
      <w:pPr>
        <w:ind w:left="7500" w:hanging="360"/>
      </w:pPr>
      <w:rPr>
        <w:rFonts w:hint="default"/>
      </w:rPr>
    </w:lvl>
    <w:lvl w:ilvl="8">
      <w:start w:val="0"/>
      <w:numFmt w:val="bullet"/>
      <w:lvlText w:val="•"/>
      <w:lvlJc w:val="left"/>
      <w:pPr>
        <w:ind w:left="8460" w:hanging="360"/>
      </w:pPr>
      <w:rPr>
        <w:rFonts w:hint="default"/>
      </w:rPr>
    </w:lvl>
  </w:abstractNum>
  <w:abstractNum w:abstractNumId="25">
    <w:multiLevelType w:val="hybridMultilevel"/>
    <w:lvl w:ilvl="0">
      <w:start w:val="1"/>
      <w:numFmt w:val="decimal"/>
      <w:lvlText w:val="%1."/>
      <w:lvlJc w:val="left"/>
      <w:pPr>
        <w:ind w:left="775" w:hanging="360"/>
        <w:jc w:val="left"/>
      </w:pPr>
      <w:rPr>
        <w:rFonts w:hint="default" w:ascii="Arial" w:hAnsi="Arial" w:eastAsia="Arial" w:cs="Arial"/>
        <w:b/>
        <w:bCs/>
        <w:color w:val="137692"/>
        <w:spacing w:val="-2"/>
        <w:w w:val="74"/>
        <w:sz w:val="18"/>
        <w:szCs w:val="18"/>
      </w:rPr>
    </w:lvl>
    <w:lvl w:ilvl="1">
      <w:start w:val="0"/>
      <w:numFmt w:val="bullet"/>
      <w:lvlText w:val="•"/>
      <w:lvlJc w:val="left"/>
      <w:pPr>
        <w:ind w:left="174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6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80" w:hanging="360"/>
      </w:pPr>
      <w:rPr>
        <w:rFonts w:hint="default"/>
      </w:rPr>
    </w:lvl>
    <w:lvl w:ilvl="6">
      <w:start w:val="0"/>
      <w:numFmt w:val="bullet"/>
      <w:lvlText w:val="•"/>
      <w:lvlJc w:val="left"/>
      <w:pPr>
        <w:ind w:left="6540" w:hanging="360"/>
      </w:pPr>
      <w:rPr>
        <w:rFonts w:hint="default"/>
      </w:rPr>
    </w:lvl>
    <w:lvl w:ilvl="7">
      <w:start w:val="0"/>
      <w:numFmt w:val="bullet"/>
      <w:lvlText w:val="•"/>
      <w:lvlJc w:val="left"/>
      <w:pPr>
        <w:ind w:left="7500" w:hanging="360"/>
      </w:pPr>
      <w:rPr>
        <w:rFonts w:hint="default"/>
      </w:rPr>
    </w:lvl>
    <w:lvl w:ilvl="8">
      <w:start w:val="0"/>
      <w:numFmt w:val="bullet"/>
      <w:lvlText w:val="•"/>
      <w:lvlJc w:val="left"/>
      <w:pPr>
        <w:ind w:left="8460" w:hanging="360"/>
      </w:pPr>
      <w:rPr>
        <w:rFonts w:hint="default"/>
      </w:rPr>
    </w:lvl>
  </w:abstractNum>
  <w:abstractNum w:abstractNumId="18">
    <w:multiLevelType w:val="hybridMultilevel"/>
    <w:lvl w:ilvl="0">
      <w:start w:val="1"/>
      <w:numFmt w:val="decimal"/>
      <w:lvlText w:val="%1."/>
      <w:lvlJc w:val="left"/>
      <w:pPr>
        <w:ind w:left="780" w:hanging="360"/>
        <w:jc w:val="left"/>
      </w:pPr>
      <w:rPr>
        <w:rFonts w:hint="default" w:ascii="Arial" w:hAnsi="Arial" w:eastAsia="Arial" w:cs="Arial"/>
        <w:b/>
        <w:bCs/>
        <w:color w:val="137692"/>
        <w:w w:val="74"/>
        <w:sz w:val="18"/>
        <w:szCs w:val="18"/>
      </w:rPr>
    </w:lvl>
    <w:lvl w:ilvl="1">
      <w:start w:val="0"/>
      <w:numFmt w:val="bullet"/>
      <w:lvlText w:val="•"/>
      <w:lvlJc w:val="left"/>
      <w:pPr>
        <w:ind w:left="174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6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80" w:hanging="360"/>
      </w:pPr>
      <w:rPr>
        <w:rFonts w:hint="default"/>
      </w:rPr>
    </w:lvl>
    <w:lvl w:ilvl="6">
      <w:start w:val="0"/>
      <w:numFmt w:val="bullet"/>
      <w:lvlText w:val="•"/>
      <w:lvlJc w:val="left"/>
      <w:pPr>
        <w:ind w:left="6540" w:hanging="360"/>
      </w:pPr>
      <w:rPr>
        <w:rFonts w:hint="default"/>
      </w:rPr>
    </w:lvl>
    <w:lvl w:ilvl="7">
      <w:start w:val="0"/>
      <w:numFmt w:val="bullet"/>
      <w:lvlText w:val="•"/>
      <w:lvlJc w:val="left"/>
      <w:pPr>
        <w:ind w:left="7500" w:hanging="360"/>
      </w:pPr>
      <w:rPr>
        <w:rFonts w:hint="default"/>
      </w:rPr>
    </w:lvl>
    <w:lvl w:ilvl="8">
      <w:start w:val="0"/>
      <w:numFmt w:val="bullet"/>
      <w:lvlText w:val="•"/>
      <w:lvlJc w:val="left"/>
      <w:pPr>
        <w:ind w:left="8460" w:hanging="360"/>
      </w:pPr>
      <w:rPr>
        <w:rFonts w:hint="default"/>
      </w:rPr>
    </w:lvl>
  </w:abstractNum>
  <w:abstractNum w:abstractNumId="51">
    <w:multiLevelType w:val="hybridMultilevel"/>
    <w:lvl w:ilvl="0">
      <w:start w:val="1"/>
      <w:numFmt w:val="upperRoman"/>
      <w:lvlText w:val="%1."/>
      <w:lvlJc w:val="left"/>
      <w:pPr>
        <w:ind w:left="500" w:hanging="147"/>
        <w:jc w:val="left"/>
      </w:pPr>
      <w:rPr>
        <w:rFonts w:hint="default" w:ascii="Gill Sans MT" w:hAnsi="Gill Sans MT" w:eastAsia="Gill Sans MT" w:cs="Gill Sans MT"/>
        <w:color w:val="4C4D4F"/>
        <w:w w:val="114"/>
        <w:sz w:val="18"/>
        <w:szCs w:val="18"/>
      </w:rPr>
    </w:lvl>
    <w:lvl w:ilvl="1">
      <w:start w:val="0"/>
      <w:numFmt w:val="bullet"/>
      <w:lvlText w:val="•"/>
      <w:lvlJc w:val="left"/>
      <w:pPr>
        <w:ind w:left="966" w:hanging="147"/>
      </w:pPr>
      <w:rPr>
        <w:rFonts w:hint="default"/>
      </w:rPr>
    </w:lvl>
    <w:lvl w:ilvl="2">
      <w:start w:val="0"/>
      <w:numFmt w:val="bullet"/>
      <w:lvlText w:val="•"/>
      <w:lvlJc w:val="left"/>
      <w:pPr>
        <w:ind w:left="1432" w:hanging="147"/>
      </w:pPr>
      <w:rPr>
        <w:rFonts w:hint="default"/>
      </w:rPr>
    </w:lvl>
    <w:lvl w:ilvl="3">
      <w:start w:val="0"/>
      <w:numFmt w:val="bullet"/>
      <w:lvlText w:val="•"/>
      <w:lvlJc w:val="left"/>
      <w:pPr>
        <w:ind w:left="1898" w:hanging="147"/>
      </w:pPr>
      <w:rPr>
        <w:rFonts w:hint="default"/>
      </w:rPr>
    </w:lvl>
    <w:lvl w:ilvl="4">
      <w:start w:val="0"/>
      <w:numFmt w:val="bullet"/>
      <w:lvlText w:val="•"/>
      <w:lvlJc w:val="left"/>
      <w:pPr>
        <w:ind w:left="2364" w:hanging="147"/>
      </w:pPr>
      <w:rPr>
        <w:rFonts w:hint="default"/>
      </w:rPr>
    </w:lvl>
    <w:lvl w:ilvl="5">
      <w:start w:val="0"/>
      <w:numFmt w:val="bullet"/>
      <w:lvlText w:val="•"/>
      <w:lvlJc w:val="left"/>
      <w:pPr>
        <w:ind w:left="2830" w:hanging="147"/>
      </w:pPr>
      <w:rPr>
        <w:rFonts w:hint="default"/>
      </w:rPr>
    </w:lvl>
    <w:lvl w:ilvl="6">
      <w:start w:val="0"/>
      <w:numFmt w:val="bullet"/>
      <w:lvlText w:val="•"/>
      <w:lvlJc w:val="left"/>
      <w:pPr>
        <w:ind w:left="3296" w:hanging="147"/>
      </w:pPr>
      <w:rPr>
        <w:rFonts w:hint="default"/>
      </w:rPr>
    </w:lvl>
    <w:lvl w:ilvl="7">
      <w:start w:val="0"/>
      <w:numFmt w:val="bullet"/>
      <w:lvlText w:val="•"/>
      <w:lvlJc w:val="left"/>
      <w:pPr>
        <w:ind w:left="3762" w:hanging="147"/>
      </w:pPr>
      <w:rPr>
        <w:rFonts w:hint="default"/>
      </w:rPr>
    </w:lvl>
    <w:lvl w:ilvl="8">
      <w:start w:val="0"/>
      <w:numFmt w:val="bullet"/>
      <w:lvlText w:val="•"/>
      <w:lvlJc w:val="left"/>
      <w:pPr>
        <w:ind w:left="4228" w:hanging="147"/>
      </w:pPr>
      <w:rPr>
        <w:rFonts w:hint="default"/>
      </w:rPr>
    </w:lvl>
  </w:abstractNum>
  <w:abstractNum w:abstractNumId="50">
    <w:multiLevelType w:val="hybridMultilevel"/>
    <w:lvl w:ilvl="0">
      <w:start w:val="1"/>
      <w:numFmt w:val="decimal"/>
      <w:lvlText w:val="%1"/>
      <w:lvlJc w:val="left"/>
      <w:pPr>
        <w:ind w:left="500" w:hanging="360"/>
        <w:jc w:val="left"/>
      </w:pPr>
      <w:rPr>
        <w:rFonts w:hint="default"/>
        <w:w w:val="111"/>
      </w:rPr>
    </w:lvl>
    <w:lvl w:ilvl="1">
      <w:start w:val="0"/>
      <w:numFmt w:val="bullet"/>
      <w:lvlText w:val="-"/>
      <w:lvlJc w:val="left"/>
      <w:pPr>
        <w:ind w:left="500" w:hanging="110"/>
      </w:pPr>
      <w:rPr>
        <w:rFonts w:hint="default" w:ascii="Gill Sans MT" w:hAnsi="Gill Sans MT" w:eastAsia="Gill Sans MT" w:cs="Gill Sans MT"/>
        <w:color w:val="4C4D4F"/>
        <w:w w:val="103"/>
        <w:sz w:val="18"/>
        <w:szCs w:val="18"/>
      </w:rPr>
    </w:lvl>
    <w:lvl w:ilvl="2">
      <w:start w:val="0"/>
      <w:numFmt w:val="bullet"/>
      <w:lvlText w:val="•"/>
      <w:lvlJc w:val="left"/>
      <w:pPr>
        <w:ind w:left="364" w:hanging="110"/>
      </w:pPr>
      <w:rPr>
        <w:rFonts w:hint="default"/>
      </w:rPr>
    </w:lvl>
    <w:lvl w:ilvl="3">
      <w:start w:val="0"/>
      <w:numFmt w:val="bullet"/>
      <w:lvlText w:val="•"/>
      <w:lvlJc w:val="left"/>
      <w:pPr>
        <w:ind w:left="296" w:hanging="110"/>
      </w:pPr>
      <w:rPr>
        <w:rFonts w:hint="default"/>
      </w:rPr>
    </w:lvl>
    <w:lvl w:ilvl="4">
      <w:start w:val="0"/>
      <w:numFmt w:val="bullet"/>
      <w:lvlText w:val="•"/>
      <w:lvlJc w:val="left"/>
      <w:pPr>
        <w:ind w:left="228" w:hanging="110"/>
      </w:pPr>
      <w:rPr>
        <w:rFonts w:hint="default"/>
      </w:rPr>
    </w:lvl>
    <w:lvl w:ilvl="5">
      <w:start w:val="0"/>
      <w:numFmt w:val="bullet"/>
      <w:lvlText w:val="•"/>
      <w:lvlJc w:val="left"/>
      <w:pPr>
        <w:ind w:left="160" w:hanging="110"/>
      </w:pPr>
      <w:rPr>
        <w:rFonts w:hint="default"/>
      </w:rPr>
    </w:lvl>
    <w:lvl w:ilvl="6">
      <w:start w:val="0"/>
      <w:numFmt w:val="bullet"/>
      <w:lvlText w:val="•"/>
      <w:lvlJc w:val="left"/>
      <w:pPr>
        <w:ind w:left="92" w:hanging="110"/>
      </w:pPr>
      <w:rPr>
        <w:rFonts w:hint="default"/>
      </w:rPr>
    </w:lvl>
    <w:lvl w:ilvl="7">
      <w:start w:val="0"/>
      <w:numFmt w:val="bullet"/>
      <w:lvlText w:val="•"/>
      <w:lvlJc w:val="left"/>
      <w:pPr>
        <w:ind w:left="24" w:hanging="110"/>
      </w:pPr>
      <w:rPr>
        <w:rFonts w:hint="default"/>
      </w:rPr>
    </w:lvl>
    <w:lvl w:ilvl="8">
      <w:start w:val="0"/>
      <w:numFmt w:val="bullet"/>
      <w:lvlText w:val="•"/>
      <w:lvlJc w:val="left"/>
      <w:pPr>
        <w:ind w:left="-44" w:hanging="110"/>
      </w:pPr>
      <w:rPr>
        <w:rFonts w:hint="default"/>
      </w:rPr>
    </w:lvl>
  </w:abstractNum>
  <w:abstractNum w:abstractNumId="49">
    <w:multiLevelType w:val="hybridMultilevel"/>
    <w:lvl w:ilvl="0">
      <w:start w:val="0"/>
      <w:numFmt w:val="bullet"/>
      <w:lvlText w:val="•"/>
      <w:lvlJc w:val="left"/>
      <w:pPr>
        <w:ind w:left="410" w:hanging="180"/>
      </w:pPr>
      <w:rPr>
        <w:rFonts w:hint="default" w:ascii="Arial" w:hAnsi="Arial" w:eastAsia="Arial" w:cs="Arial"/>
        <w:color w:val="377F9A"/>
        <w:w w:val="100"/>
        <w:position w:val="-3"/>
        <w:sz w:val="28"/>
        <w:szCs w:val="28"/>
      </w:rPr>
    </w:lvl>
    <w:lvl w:ilvl="1">
      <w:start w:val="0"/>
      <w:numFmt w:val="bullet"/>
      <w:lvlText w:val="•"/>
      <w:lvlJc w:val="left"/>
      <w:pPr>
        <w:ind w:left="863" w:hanging="180"/>
      </w:pPr>
      <w:rPr>
        <w:rFonts w:hint="default"/>
      </w:rPr>
    </w:lvl>
    <w:lvl w:ilvl="2">
      <w:start w:val="0"/>
      <w:numFmt w:val="bullet"/>
      <w:lvlText w:val="•"/>
      <w:lvlJc w:val="left"/>
      <w:pPr>
        <w:ind w:left="1306" w:hanging="180"/>
      </w:pPr>
      <w:rPr>
        <w:rFonts w:hint="default"/>
      </w:rPr>
    </w:lvl>
    <w:lvl w:ilvl="3">
      <w:start w:val="0"/>
      <w:numFmt w:val="bullet"/>
      <w:lvlText w:val="•"/>
      <w:lvlJc w:val="left"/>
      <w:pPr>
        <w:ind w:left="1749" w:hanging="180"/>
      </w:pPr>
      <w:rPr>
        <w:rFonts w:hint="default"/>
      </w:rPr>
    </w:lvl>
    <w:lvl w:ilvl="4">
      <w:start w:val="0"/>
      <w:numFmt w:val="bullet"/>
      <w:lvlText w:val="•"/>
      <w:lvlJc w:val="left"/>
      <w:pPr>
        <w:ind w:left="2192" w:hanging="180"/>
      </w:pPr>
      <w:rPr>
        <w:rFonts w:hint="default"/>
      </w:rPr>
    </w:lvl>
    <w:lvl w:ilvl="5">
      <w:start w:val="0"/>
      <w:numFmt w:val="bullet"/>
      <w:lvlText w:val="•"/>
      <w:lvlJc w:val="left"/>
      <w:pPr>
        <w:ind w:left="2635" w:hanging="180"/>
      </w:pPr>
      <w:rPr>
        <w:rFonts w:hint="default"/>
      </w:rPr>
    </w:lvl>
    <w:lvl w:ilvl="6">
      <w:start w:val="0"/>
      <w:numFmt w:val="bullet"/>
      <w:lvlText w:val="•"/>
      <w:lvlJc w:val="left"/>
      <w:pPr>
        <w:ind w:left="3078" w:hanging="180"/>
      </w:pPr>
      <w:rPr>
        <w:rFonts w:hint="default"/>
      </w:rPr>
    </w:lvl>
    <w:lvl w:ilvl="7">
      <w:start w:val="0"/>
      <w:numFmt w:val="bullet"/>
      <w:lvlText w:val="•"/>
      <w:lvlJc w:val="left"/>
      <w:pPr>
        <w:ind w:left="3521" w:hanging="180"/>
      </w:pPr>
      <w:rPr>
        <w:rFonts w:hint="default"/>
      </w:rPr>
    </w:lvl>
    <w:lvl w:ilvl="8">
      <w:start w:val="0"/>
      <w:numFmt w:val="bullet"/>
      <w:lvlText w:val="•"/>
      <w:lvlJc w:val="left"/>
      <w:pPr>
        <w:ind w:left="3964" w:hanging="180"/>
      </w:pPr>
      <w:rPr>
        <w:rFonts w:hint="default"/>
      </w:rPr>
    </w:lvl>
  </w:abstractNum>
  <w:abstractNum w:abstractNumId="48">
    <w:multiLevelType w:val="hybridMultilevel"/>
    <w:lvl w:ilvl="0">
      <w:start w:val="1"/>
      <w:numFmt w:val="decimal"/>
      <w:lvlText w:val="%1."/>
      <w:lvlJc w:val="left"/>
      <w:pPr>
        <w:ind w:left="589" w:hanging="450"/>
        <w:jc w:val="left"/>
      </w:pPr>
      <w:rPr>
        <w:rFonts w:hint="default" w:ascii="Gill Sans MT" w:hAnsi="Gill Sans MT" w:eastAsia="Gill Sans MT" w:cs="Gill Sans MT"/>
        <w:color w:val="4D4D4F"/>
        <w:w w:val="115"/>
        <w:sz w:val="22"/>
        <w:szCs w:val="22"/>
      </w:rPr>
    </w:lvl>
    <w:lvl w:ilvl="1">
      <w:start w:val="0"/>
      <w:numFmt w:val="bullet"/>
      <w:lvlText w:val="•"/>
      <w:lvlJc w:val="left"/>
      <w:pPr>
        <w:ind w:left="580" w:hanging="450"/>
      </w:pPr>
      <w:rPr>
        <w:rFonts w:hint="default"/>
      </w:rPr>
    </w:lvl>
    <w:lvl w:ilvl="2">
      <w:start w:val="0"/>
      <w:numFmt w:val="bullet"/>
      <w:lvlText w:val="•"/>
      <w:lvlJc w:val="left"/>
      <w:pPr>
        <w:ind w:left="495" w:hanging="450"/>
      </w:pPr>
      <w:rPr>
        <w:rFonts w:hint="default"/>
      </w:rPr>
    </w:lvl>
    <w:lvl w:ilvl="3">
      <w:start w:val="0"/>
      <w:numFmt w:val="bullet"/>
      <w:lvlText w:val="•"/>
      <w:lvlJc w:val="left"/>
      <w:pPr>
        <w:ind w:left="411" w:hanging="450"/>
      </w:pPr>
      <w:rPr>
        <w:rFonts w:hint="default"/>
      </w:rPr>
    </w:lvl>
    <w:lvl w:ilvl="4">
      <w:start w:val="0"/>
      <w:numFmt w:val="bullet"/>
      <w:lvlText w:val="•"/>
      <w:lvlJc w:val="left"/>
      <w:pPr>
        <w:ind w:left="326" w:hanging="450"/>
      </w:pPr>
      <w:rPr>
        <w:rFonts w:hint="default"/>
      </w:rPr>
    </w:lvl>
    <w:lvl w:ilvl="5">
      <w:start w:val="0"/>
      <w:numFmt w:val="bullet"/>
      <w:lvlText w:val="•"/>
      <w:lvlJc w:val="left"/>
      <w:pPr>
        <w:ind w:left="242" w:hanging="450"/>
      </w:pPr>
      <w:rPr>
        <w:rFonts w:hint="default"/>
      </w:rPr>
    </w:lvl>
    <w:lvl w:ilvl="6">
      <w:start w:val="0"/>
      <w:numFmt w:val="bullet"/>
      <w:lvlText w:val="•"/>
      <w:lvlJc w:val="left"/>
      <w:pPr>
        <w:ind w:left="157" w:hanging="450"/>
      </w:pPr>
      <w:rPr>
        <w:rFonts w:hint="default"/>
      </w:rPr>
    </w:lvl>
    <w:lvl w:ilvl="7">
      <w:start w:val="0"/>
      <w:numFmt w:val="bullet"/>
      <w:lvlText w:val="•"/>
      <w:lvlJc w:val="left"/>
      <w:pPr>
        <w:ind w:left="73" w:hanging="450"/>
      </w:pPr>
      <w:rPr>
        <w:rFonts w:hint="default"/>
      </w:rPr>
    </w:lvl>
    <w:lvl w:ilvl="8">
      <w:start w:val="0"/>
      <w:numFmt w:val="bullet"/>
      <w:lvlText w:val="•"/>
      <w:lvlJc w:val="left"/>
      <w:pPr>
        <w:ind w:left="-11" w:hanging="450"/>
      </w:pPr>
      <w:rPr>
        <w:rFonts w:hint="default"/>
      </w:rPr>
    </w:lvl>
  </w:abstractNum>
  <w:abstractNum w:abstractNumId="47">
    <w:multiLevelType w:val="hybridMultilevel"/>
    <w:lvl w:ilvl="0">
      <w:start w:val="5"/>
      <w:numFmt w:val="decimal"/>
      <w:lvlText w:val="(%1)"/>
      <w:lvlJc w:val="left"/>
      <w:pPr>
        <w:ind w:left="140" w:hanging="251"/>
        <w:jc w:val="left"/>
      </w:pPr>
      <w:rPr>
        <w:rFonts w:hint="default" w:ascii="Gill Sans MT" w:hAnsi="Gill Sans MT" w:eastAsia="Gill Sans MT" w:cs="Gill Sans MT"/>
        <w:color w:val="4D4D4F"/>
        <w:w w:val="96"/>
        <w:sz w:val="18"/>
        <w:szCs w:val="18"/>
      </w:rPr>
    </w:lvl>
    <w:lvl w:ilvl="1">
      <w:start w:val="0"/>
      <w:numFmt w:val="bullet"/>
      <w:lvlText w:val="•"/>
      <w:lvlJc w:val="left"/>
      <w:pPr>
        <w:ind w:left="770" w:hanging="180"/>
      </w:pPr>
      <w:rPr>
        <w:rFonts w:hint="default" w:ascii="Arial" w:hAnsi="Arial" w:eastAsia="Arial" w:cs="Arial"/>
        <w:color w:val="137692"/>
        <w:w w:val="100"/>
        <w:sz w:val="20"/>
        <w:szCs w:val="20"/>
      </w:rPr>
    </w:lvl>
    <w:lvl w:ilvl="2">
      <w:start w:val="0"/>
      <w:numFmt w:val="bullet"/>
      <w:lvlText w:val="•"/>
      <w:lvlJc w:val="left"/>
      <w:pPr>
        <w:ind w:left="1846" w:hanging="180"/>
      </w:pPr>
      <w:rPr>
        <w:rFonts w:hint="default"/>
      </w:rPr>
    </w:lvl>
    <w:lvl w:ilvl="3">
      <w:start w:val="0"/>
      <w:numFmt w:val="bullet"/>
      <w:lvlText w:val="•"/>
      <w:lvlJc w:val="left"/>
      <w:pPr>
        <w:ind w:left="2913" w:hanging="180"/>
      </w:pPr>
      <w:rPr>
        <w:rFonts w:hint="default"/>
      </w:rPr>
    </w:lvl>
    <w:lvl w:ilvl="4">
      <w:start w:val="0"/>
      <w:numFmt w:val="bullet"/>
      <w:lvlText w:val="•"/>
      <w:lvlJc w:val="left"/>
      <w:pPr>
        <w:ind w:left="3980" w:hanging="180"/>
      </w:pPr>
      <w:rPr>
        <w:rFonts w:hint="default"/>
      </w:rPr>
    </w:lvl>
    <w:lvl w:ilvl="5">
      <w:start w:val="0"/>
      <w:numFmt w:val="bullet"/>
      <w:lvlText w:val="•"/>
      <w:lvlJc w:val="left"/>
      <w:pPr>
        <w:ind w:left="5046" w:hanging="180"/>
      </w:pPr>
      <w:rPr>
        <w:rFonts w:hint="default"/>
      </w:rPr>
    </w:lvl>
    <w:lvl w:ilvl="6">
      <w:start w:val="0"/>
      <w:numFmt w:val="bullet"/>
      <w:lvlText w:val="•"/>
      <w:lvlJc w:val="left"/>
      <w:pPr>
        <w:ind w:left="6113" w:hanging="180"/>
      </w:pPr>
      <w:rPr>
        <w:rFonts w:hint="default"/>
      </w:rPr>
    </w:lvl>
    <w:lvl w:ilvl="7">
      <w:start w:val="0"/>
      <w:numFmt w:val="bullet"/>
      <w:lvlText w:val="•"/>
      <w:lvlJc w:val="left"/>
      <w:pPr>
        <w:ind w:left="7180" w:hanging="180"/>
      </w:pPr>
      <w:rPr>
        <w:rFonts w:hint="default"/>
      </w:rPr>
    </w:lvl>
    <w:lvl w:ilvl="8">
      <w:start w:val="0"/>
      <w:numFmt w:val="bullet"/>
      <w:lvlText w:val="•"/>
      <w:lvlJc w:val="left"/>
      <w:pPr>
        <w:ind w:left="8246" w:hanging="180"/>
      </w:pPr>
      <w:rPr>
        <w:rFonts w:hint="default"/>
      </w:rPr>
    </w:lvl>
  </w:abstractNum>
  <w:abstractNum w:abstractNumId="46">
    <w:multiLevelType w:val="hybridMultilevel"/>
    <w:lvl w:ilvl="0">
      <w:start w:val="0"/>
      <w:numFmt w:val="bullet"/>
      <w:lvlText w:val="•"/>
      <w:lvlJc w:val="left"/>
      <w:pPr>
        <w:ind w:left="625" w:hanging="180"/>
      </w:pPr>
      <w:rPr>
        <w:rFonts w:hint="default" w:ascii="Arial" w:hAnsi="Arial" w:eastAsia="Arial" w:cs="Arial"/>
        <w:color w:val="147592"/>
        <w:w w:val="100"/>
        <w:position w:val="-3"/>
        <w:sz w:val="28"/>
        <w:szCs w:val="28"/>
      </w:rPr>
    </w:lvl>
    <w:lvl w:ilvl="1">
      <w:start w:val="0"/>
      <w:numFmt w:val="bullet"/>
      <w:lvlText w:val="•"/>
      <w:lvlJc w:val="left"/>
      <w:pPr>
        <w:ind w:left="1039" w:hanging="180"/>
      </w:pPr>
      <w:rPr>
        <w:rFonts w:hint="default"/>
      </w:rPr>
    </w:lvl>
    <w:lvl w:ilvl="2">
      <w:start w:val="0"/>
      <w:numFmt w:val="bullet"/>
      <w:lvlText w:val="•"/>
      <w:lvlJc w:val="left"/>
      <w:pPr>
        <w:ind w:left="1459" w:hanging="180"/>
      </w:pPr>
      <w:rPr>
        <w:rFonts w:hint="default"/>
      </w:rPr>
    </w:lvl>
    <w:lvl w:ilvl="3">
      <w:start w:val="0"/>
      <w:numFmt w:val="bullet"/>
      <w:lvlText w:val="•"/>
      <w:lvlJc w:val="left"/>
      <w:pPr>
        <w:ind w:left="1879" w:hanging="180"/>
      </w:pPr>
      <w:rPr>
        <w:rFonts w:hint="default"/>
      </w:rPr>
    </w:lvl>
    <w:lvl w:ilvl="4">
      <w:start w:val="0"/>
      <w:numFmt w:val="bullet"/>
      <w:lvlText w:val="•"/>
      <w:lvlJc w:val="left"/>
      <w:pPr>
        <w:ind w:left="2298" w:hanging="180"/>
      </w:pPr>
      <w:rPr>
        <w:rFonts w:hint="default"/>
      </w:rPr>
    </w:lvl>
    <w:lvl w:ilvl="5">
      <w:start w:val="0"/>
      <w:numFmt w:val="bullet"/>
      <w:lvlText w:val="•"/>
      <w:lvlJc w:val="left"/>
      <w:pPr>
        <w:ind w:left="2718" w:hanging="180"/>
      </w:pPr>
      <w:rPr>
        <w:rFonts w:hint="default"/>
      </w:rPr>
    </w:lvl>
    <w:lvl w:ilvl="6">
      <w:start w:val="0"/>
      <w:numFmt w:val="bullet"/>
      <w:lvlText w:val="•"/>
      <w:lvlJc w:val="left"/>
      <w:pPr>
        <w:ind w:left="3138" w:hanging="180"/>
      </w:pPr>
      <w:rPr>
        <w:rFonts w:hint="default"/>
      </w:rPr>
    </w:lvl>
    <w:lvl w:ilvl="7">
      <w:start w:val="0"/>
      <w:numFmt w:val="bullet"/>
      <w:lvlText w:val="•"/>
      <w:lvlJc w:val="left"/>
      <w:pPr>
        <w:ind w:left="3558" w:hanging="180"/>
      </w:pPr>
      <w:rPr>
        <w:rFonts w:hint="default"/>
      </w:rPr>
    </w:lvl>
    <w:lvl w:ilvl="8">
      <w:start w:val="0"/>
      <w:numFmt w:val="bullet"/>
      <w:lvlText w:val="•"/>
      <w:lvlJc w:val="left"/>
      <w:pPr>
        <w:ind w:left="3977" w:hanging="180"/>
      </w:pPr>
      <w:rPr>
        <w:rFonts w:hint="default"/>
      </w:rPr>
    </w:lvl>
  </w:abstractNum>
  <w:abstractNum w:abstractNumId="45">
    <w:multiLevelType w:val="hybridMultilevel"/>
    <w:lvl w:ilvl="0">
      <w:start w:val="0"/>
      <w:numFmt w:val="bullet"/>
      <w:lvlText w:val="•"/>
      <w:lvlJc w:val="left"/>
      <w:pPr>
        <w:ind w:left="450" w:hanging="180"/>
      </w:pPr>
      <w:rPr>
        <w:rFonts w:hint="default" w:ascii="Arial" w:hAnsi="Arial" w:eastAsia="Arial" w:cs="Arial"/>
        <w:color w:val="147592"/>
        <w:w w:val="100"/>
        <w:position w:val="-3"/>
        <w:sz w:val="28"/>
        <w:szCs w:val="28"/>
      </w:rPr>
    </w:lvl>
    <w:lvl w:ilvl="1">
      <w:start w:val="0"/>
      <w:numFmt w:val="bullet"/>
      <w:lvlText w:val="•"/>
      <w:lvlJc w:val="left"/>
      <w:pPr>
        <w:ind w:left="1401" w:hanging="180"/>
      </w:pPr>
      <w:rPr>
        <w:rFonts w:hint="default"/>
      </w:rPr>
    </w:lvl>
    <w:lvl w:ilvl="2">
      <w:start w:val="0"/>
      <w:numFmt w:val="bullet"/>
      <w:lvlText w:val="•"/>
      <w:lvlJc w:val="left"/>
      <w:pPr>
        <w:ind w:left="2363" w:hanging="180"/>
      </w:pPr>
      <w:rPr>
        <w:rFonts w:hint="default"/>
      </w:rPr>
    </w:lvl>
    <w:lvl w:ilvl="3">
      <w:start w:val="0"/>
      <w:numFmt w:val="bullet"/>
      <w:lvlText w:val="•"/>
      <w:lvlJc w:val="left"/>
      <w:pPr>
        <w:ind w:left="3325" w:hanging="180"/>
      </w:pPr>
      <w:rPr>
        <w:rFonts w:hint="default"/>
      </w:rPr>
    </w:lvl>
    <w:lvl w:ilvl="4">
      <w:start w:val="0"/>
      <w:numFmt w:val="bullet"/>
      <w:lvlText w:val="•"/>
      <w:lvlJc w:val="left"/>
      <w:pPr>
        <w:ind w:left="4287" w:hanging="180"/>
      </w:pPr>
      <w:rPr>
        <w:rFonts w:hint="default"/>
      </w:rPr>
    </w:lvl>
    <w:lvl w:ilvl="5">
      <w:start w:val="0"/>
      <w:numFmt w:val="bullet"/>
      <w:lvlText w:val="•"/>
      <w:lvlJc w:val="left"/>
      <w:pPr>
        <w:ind w:left="5249" w:hanging="180"/>
      </w:pPr>
      <w:rPr>
        <w:rFonts w:hint="default"/>
      </w:rPr>
    </w:lvl>
    <w:lvl w:ilvl="6">
      <w:start w:val="0"/>
      <w:numFmt w:val="bullet"/>
      <w:lvlText w:val="•"/>
      <w:lvlJc w:val="left"/>
      <w:pPr>
        <w:ind w:left="6210" w:hanging="180"/>
      </w:pPr>
      <w:rPr>
        <w:rFonts w:hint="default"/>
      </w:rPr>
    </w:lvl>
    <w:lvl w:ilvl="7">
      <w:start w:val="0"/>
      <w:numFmt w:val="bullet"/>
      <w:lvlText w:val="•"/>
      <w:lvlJc w:val="left"/>
      <w:pPr>
        <w:ind w:left="7172" w:hanging="180"/>
      </w:pPr>
      <w:rPr>
        <w:rFonts w:hint="default"/>
      </w:rPr>
    </w:lvl>
    <w:lvl w:ilvl="8">
      <w:start w:val="0"/>
      <w:numFmt w:val="bullet"/>
      <w:lvlText w:val="•"/>
      <w:lvlJc w:val="left"/>
      <w:pPr>
        <w:ind w:left="8134" w:hanging="180"/>
      </w:pPr>
      <w:rPr>
        <w:rFonts w:hint="default"/>
      </w:rPr>
    </w:lvl>
  </w:abstractNum>
  <w:abstractNum w:abstractNumId="44">
    <w:multiLevelType w:val="hybridMultilevel"/>
    <w:lvl w:ilvl="0">
      <w:start w:val="0"/>
      <w:numFmt w:val="bullet"/>
      <w:lvlText w:val="•"/>
      <w:lvlJc w:val="left"/>
      <w:pPr>
        <w:ind w:left="606" w:hanging="270"/>
      </w:pPr>
      <w:rPr>
        <w:rFonts w:hint="default" w:ascii="Arial" w:hAnsi="Arial" w:eastAsia="Arial" w:cs="Arial"/>
        <w:color w:val="137692"/>
        <w:w w:val="100"/>
        <w:position w:val="-3"/>
        <w:sz w:val="28"/>
        <w:szCs w:val="28"/>
      </w:rPr>
    </w:lvl>
    <w:lvl w:ilvl="1">
      <w:start w:val="0"/>
      <w:numFmt w:val="bullet"/>
      <w:lvlText w:val="•"/>
      <w:lvlJc w:val="left"/>
      <w:pPr>
        <w:ind w:left="1075" w:hanging="270"/>
      </w:pPr>
      <w:rPr>
        <w:rFonts w:hint="default"/>
      </w:rPr>
    </w:lvl>
    <w:lvl w:ilvl="2">
      <w:start w:val="0"/>
      <w:numFmt w:val="bullet"/>
      <w:lvlText w:val="•"/>
      <w:lvlJc w:val="left"/>
      <w:pPr>
        <w:ind w:left="1551" w:hanging="270"/>
      </w:pPr>
      <w:rPr>
        <w:rFonts w:hint="default"/>
      </w:rPr>
    </w:lvl>
    <w:lvl w:ilvl="3">
      <w:start w:val="0"/>
      <w:numFmt w:val="bullet"/>
      <w:lvlText w:val="•"/>
      <w:lvlJc w:val="left"/>
      <w:pPr>
        <w:ind w:left="2027" w:hanging="270"/>
      </w:pPr>
      <w:rPr>
        <w:rFonts w:hint="default"/>
      </w:rPr>
    </w:lvl>
    <w:lvl w:ilvl="4">
      <w:start w:val="0"/>
      <w:numFmt w:val="bullet"/>
      <w:lvlText w:val="•"/>
      <w:lvlJc w:val="left"/>
      <w:pPr>
        <w:ind w:left="2502" w:hanging="270"/>
      </w:pPr>
      <w:rPr>
        <w:rFonts w:hint="default"/>
      </w:rPr>
    </w:lvl>
    <w:lvl w:ilvl="5">
      <w:start w:val="0"/>
      <w:numFmt w:val="bullet"/>
      <w:lvlText w:val="•"/>
      <w:lvlJc w:val="left"/>
      <w:pPr>
        <w:ind w:left="2978" w:hanging="270"/>
      </w:pPr>
      <w:rPr>
        <w:rFonts w:hint="default"/>
      </w:rPr>
    </w:lvl>
    <w:lvl w:ilvl="6">
      <w:start w:val="0"/>
      <w:numFmt w:val="bullet"/>
      <w:lvlText w:val="•"/>
      <w:lvlJc w:val="left"/>
      <w:pPr>
        <w:ind w:left="3454" w:hanging="270"/>
      </w:pPr>
      <w:rPr>
        <w:rFonts w:hint="default"/>
      </w:rPr>
    </w:lvl>
    <w:lvl w:ilvl="7">
      <w:start w:val="0"/>
      <w:numFmt w:val="bullet"/>
      <w:lvlText w:val="•"/>
      <w:lvlJc w:val="left"/>
      <w:pPr>
        <w:ind w:left="3929" w:hanging="270"/>
      </w:pPr>
      <w:rPr>
        <w:rFonts w:hint="default"/>
      </w:rPr>
    </w:lvl>
    <w:lvl w:ilvl="8">
      <w:start w:val="0"/>
      <w:numFmt w:val="bullet"/>
      <w:lvlText w:val="•"/>
      <w:lvlJc w:val="left"/>
      <w:pPr>
        <w:ind w:left="4405" w:hanging="270"/>
      </w:pPr>
      <w:rPr>
        <w:rFonts w:hint="default"/>
      </w:rPr>
    </w:lvl>
  </w:abstractNum>
  <w:abstractNum w:abstractNumId="43">
    <w:multiLevelType w:val="hybridMultilevel"/>
    <w:lvl w:ilvl="0">
      <w:start w:val="0"/>
      <w:numFmt w:val="bullet"/>
      <w:lvlText w:val="□"/>
      <w:lvlJc w:val="left"/>
      <w:pPr>
        <w:ind w:left="540" w:hanging="270"/>
      </w:pPr>
      <w:rPr>
        <w:rFonts w:hint="default" w:ascii="Times New Roman" w:hAnsi="Times New Roman" w:eastAsia="Times New Roman" w:cs="Times New Roman"/>
        <w:b/>
        <w:bCs/>
        <w:color w:val="4D4D4F"/>
        <w:w w:val="100"/>
        <w:sz w:val="32"/>
        <w:szCs w:val="32"/>
      </w:rPr>
    </w:lvl>
    <w:lvl w:ilvl="1">
      <w:start w:val="0"/>
      <w:numFmt w:val="bullet"/>
      <w:lvlText w:val="•"/>
      <w:lvlJc w:val="left"/>
      <w:pPr>
        <w:ind w:left="1494" w:hanging="270"/>
      </w:pPr>
      <w:rPr>
        <w:rFonts w:hint="default"/>
      </w:rPr>
    </w:lvl>
    <w:lvl w:ilvl="2">
      <w:start w:val="0"/>
      <w:numFmt w:val="bullet"/>
      <w:lvlText w:val="•"/>
      <w:lvlJc w:val="left"/>
      <w:pPr>
        <w:ind w:left="2448" w:hanging="270"/>
      </w:pPr>
      <w:rPr>
        <w:rFonts w:hint="default"/>
      </w:rPr>
    </w:lvl>
    <w:lvl w:ilvl="3">
      <w:start w:val="0"/>
      <w:numFmt w:val="bullet"/>
      <w:lvlText w:val="•"/>
      <w:lvlJc w:val="left"/>
      <w:pPr>
        <w:ind w:left="3402" w:hanging="270"/>
      </w:pPr>
      <w:rPr>
        <w:rFonts w:hint="default"/>
      </w:rPr>
    </w:lvl>
    <w:lvl w:ilvl="4">
      <w:start w:val="0"/>
      <w:numFmt w:val="bullet"/>
      <w:lvlText w:val="•"/>
      <w:lvlJc w:val="left"/>
      <w:pPr>
        <w:ind w:left="4356" w:hanging="270"/>
      </w:pPr>
      <w:rPr>
        <w:rFonts w:hint="default"/>
      </w:rPr>
    </w:lvl>
    <w:lvl w:ilvl="5">
      <w:start w:val="0"/>
      <w:numFmt w:val="bullet"/>
      <w:lvlText w:val="•"/>
      <w:lvlJc w:val="left"/>
      <w:pPr>
        <w:ind w:left="5310" w:hanging="270"/>
      </w:pPr>
      <w:rPr>
        <w:rFonts w:hint="default"/>
      </w:rPr>
    </w:lvl>
    <w:lvl w:ilvl="6">
      <w:start w:val="0"/>
      <w:numFmt w:val="bullet"/>
      <w:lvlText w:val="•"/>
      <w:lvlJc w:val="left"/>
      <w:pPr>
        <w:ind w:left="6264" w:hanging="270"/>
      </w:pPr>
      <w:rPr>
        <w:rFonts w:hint="default"/>
      </w:rPr>
    </w:lvl>
    <w:lvl w:ilvl="7">
      <w:start w:val="0"/>
      <w:numFmt w:val="bullet"/>
      <w:lvlText w:val="•"/>
      <w:lvlJc w:val="left"/>
      <w:pPr>
        <w:ind w:left="7218" w:hanging="270"/>
      </w:pPr>
      <w:rPr>
        <w:rFonts w:hint="default"/>
      </w:rPr>
    </w:lvl>
    <w:lvl w:ilvl="8">
      <w:start w:val="0"/>
      <w:numFmt w:val="bullet"/>
      <w:lvlText w:val="•"/>
      <w:lvlJc w:val="left"/>
      <w:pPr>
        <w:ind w:left="8172" w:hanging="270"/>
      </w:pPr>
      <w:rPr>
        <w:rFonts w:hint="default"/>
      </w:rPr>
    </w:lvl>
  </w:abstractNum>
  <w:abstractNum w:abstractNumId="42">
    <w:multiLevelType w:val="hybridMultilevel"/>
    <w:lvl w:ilvl="0">
      <w:start w:val="0"/>
      <w:numFmt w:val="bullet"/>
      <w:lvlText w:val="□"/>
      <w:lvlJc w:val="left"/>
      <w:pPr>
        <w:ind w:left="410" w:hanging="270"/>
      </w:pPr>
      <w:rPr>
        <w:rFonts w:hint="default" w:ascii="Times New Roman" w:hAnsi="Times New Roman" w:eastAsia="Times New Roman" w:cs="Times New Roman"/>
        <w:b/>
        <w:bCs/>
        <w:color w:val="4D4D4F"/>
        <w:w w:val="100"/>
        <w:sz w:val="32"/>
        <w:szCs w:val="32"/>
      </w:rPr>
    </w:lvl>
    <w:lvl w:ilvl="1">
      <w:start w:val="0"/>
      <w:numFmt w:val="bullet"/>
      <w:lvlText w:val="•"/>
      <w:lvlJc w:val="left"/>
      <w:pPr>
        <w:ind w:left="1416" w:hanging="270"/>
      </w:pPr>
      <w:rPr>
        <w:rFonts w:hint="default"/>
      </w:rPr>
    </w:lvl>
    <w:lvl w:ilvl="2">
      <w:start w:val="0"/>
      <w:numFmt w:val="bullet"/>
      <w:lvlText w:val="•"/>
      <w:lvlJc w:val="left"/>
      <w:pPr>
        <w:ind w:left="2412" w:hanging="270"/>
      </w:pPr>
      <w:rPr>
        <w:rFonts w:hint="default"/>
      </w:rPr>
    </w:lvl>
    <w:lvl w:ilvl="3">
      <w:start w:val="0"/>
      <w:numFmt w:val="bullet"/>
      <w:lvlText w:val="•"/>
      <w:lvlJc w:val="left"/>
      <w:pPr>
        <w:ind w:left="3408" w:hanging="270"/>
      </w:pPr>
      <w:rPr>
        <w:rFonts w:hint="default"/>
      </w:rPr>
    </w:lvl>
    <w:lvl w:ilvl="4">
      <w:start w:val="0"/>
      <w:numFmt w:val="bullet"/>
      <w:lvlText w:val="•"/>
      <w:lvlJc w:val="left"/>
      <w:pPr>
        <w:ind w:left="4404" w:hanging="270"/>
      </w:pPr>
      <w:rPr>
        <w:rFonts w:hint="default"/>
      </w:rPr>
    </w:lvl>
    <w:lvl w:ilvl="5">
      <w:start w:val="0"/>
      <w:numFmt w:val="bullet"/>
      <w:lvlText w:val="•"/>
      <w:lvlJc w:val="left"/>
      <w:pPr>
        <w:ind w:left="5400" w:hanging="270"/>
      </w:pPr>
      <w:rPr>
        <w:rFonts w:hint="default"/>
      </w:rPr>
    </w:lvl>
    <w:lvl w:ilvl="6">
      <w:start w:val="0"/>
      <w:numFmt w:val="bullet"/>
      <w:lvlText w:val="•"/>
      <w:lvlJc w:val="left"/>
      <w:pPr>
        <w:ind w:left="6396" w:hanging="270"/>
      </w:pPr>
      <w:rPr>
        <w:rFonts w:hint="default"/>
      </w:rPr>
    </w:lvl>
    <w:lvl w:ilvl="7">
      <w:start w:val="0"/>
      <w:numFmt w:val="bullet"/>
      <w:lvlText w:val="•"/>
      <w:lvlJc w:val="left"/>
      <w:pPr>
        <w:ind w:left="7392" w:hanging="270"/>
      </w:pPr>
      <w:rPr>
        <w:rFonts w:hint="default"/>
      </w:rPr>
    </w:lvl>
    <w:lvl w:ilvl="8">
      <w:start w:val="0"/>
      <w:numFmt w:val="bullet"/>
      <w:lvlText w:val="•"/>
      <w:lvlJc w:val="left"/>
      <w:pPr>
        <w:ind w:left="8388" w:hanging="270"/>
      </w:pPr>
      <w:rPr>
        <w:rFonts w:hint="default"/>
      </w:rPr>
    </w:lvl>
  </w:abstractNum>
  <w:abstractNum w:abstractNumId="40">
    <w:multiLevelType w:val="hybridMultilevel"/>
    <w:lvl w:ilvl="0">
      <w:start w:val="0"/>
      <w:numFmt w:val="bullet"/>
      <w:lvlText w:val="•"/>
      <w:lvlJc w:val="left"/>
      <w:pPr>
        <w:ind w:left="590" w:hanging="180"/>
      </w:pPr>
      <w:rPr>
        <w:rFonts w:hint="default" w:ascii="Arial" w:hAnsi="Arial" w:eastAsia="Arial" w:cs="Arial"/>
        <w:color w:val="137692"/>
        <w:w w:val="100"/>
        <w:sz w:val="20"/>
        <w:szCs w:val="20"/>
      </w:rPr>
    </w:lvl>
    <w:lvl w:ilvl="1">
      <w:start w:val="0"/>
      <w:numFmt w:val="bullet"/>
      <w:lvlText w:val="•"/>
      <w:lvlJc w:val="left"/>
      <w:pPr>
        <w:ind w:left="1578" w:hanging="180"/>
      </w:pPr>
      <w:rPr>
        <w:rFonts w:hint="default"/>
      </w:rPr>
    </w:lvl>
    <w:lvl w:ilvl="2">
      <w:start w:val="0"/>
      <w:numFmt w:val="bullet"/>
      <w:lvlText w:val="•"/>
      <w:lvlJc w:val="left"/>
      <w:pPr>
        <w:ind w:left="2556" w:hanging="180"/>
      </w:pPr>
      <w:rPr>
        <w:rFonts w:hint="default"/>
      </w:rPr>
    </w:lvl>
    <w:lvl w:ilvl="3">
      <w:start w:val="0"/>
      <w:numFmt w:val="bullet"/>
      <w:lvlText w:val="•"/>
      <w:lvlJc w:val="left"/>
      <w:pPr>
        <w:ind w:left="3534" w:hanging="180"/>
      </w:pPr>
      <w:rPr>
        <w:rFonts w:hint="default"/>
      </w:rPr>
    </w:lvl>
    <w:lvl w:ilvl="4">
      <w:start w:val="0"/>
      <w:numFmt w:val="bullet"/>
      <w:lvlText w:val="•"/>
      <w:lvlJc w:val="left"/>
      <w:pPr>
        <w:ind w:left="4512" w:hanging="180"/>
      </w:pPr>
      <w:rPr>
        <w:rFonts w:hint="default"/>
      </w:rPr>
    </w:lvl>
    <w:lvl w:ilvl="5">
      <w:start w:val="0"/>
      <w:numFmt w:val="bullet"/>
      <w:lvlText w:val="•"/>
      <w:lvlJc w:val="left"/>
      <w:pPr>
        <w:ind w:left="5490" w:hanging="180"/>
      </w:pPr>
      <w:rPr>
        <w:rFonts w:hint="default"/>
      </w:rPr>
    </w:lvl>
    <w:lvl w:ilvl="6">
      <w:start w:val="0"/>
      <w:numFmt w:val="bullet"/>
      <w:lvlText w:val="•"/>
      <w:lvlJc w:val="left"/>
      <w:pPr>
        <w:ind w:left="6468" w:hanging="180"/>
      </w:pPr>
      <w:rPr>
        <w:rFonts w:hint="default"/>
      </w:rPr>
    </w:lvl>
    <w:lvl w:ilvl="7">
      <w:start w:val="0"/>
      <w:numFmt w:val="bullet"/>
      <w:lvlText w:val="•"/>
      <w:lvlJc w:val="left"/>
      <w:pPr>
        <w:ind w:left="7446" w:hanging="180"/>
      </w:pPr>
      <w:rPr>
        <w:rFonts w:hint="default"/>
      </w:rPr>
    </w:lvl>
    <w:lvl w:ilvl="8">
      <w:start w:val="0"/>
      <w:numFmt w:val="bullet"/>
      <w:lvlText w:val="•"/>
      <w:lvlJc w:val="left"/>
      <w:pPr>
        <w:ind w:left="8424" w:hanging="180"/>
      </w:pPr>
      <w:rPr>
        <w:rFonts w:hint="default"/>
      </w:rPr>
    </w:lvl>
  </w:abstractNum>
  <w:abstractNum w:abstractNumId="39">
    <w:multiLevelType w:val="hybridMultilevel"/>
    <w:lvl w:ilvl="0">
      <w:start w:val="0"/>
      <w:numFmt w:val="bullet"/>
      <w:lvlText w:val="•"/>
      <w:lvlJc w:val="left"/>
      <w:pPr>
        <w:ind w:left="867" w:hanging="180"/>
      </w:pPr>
      <w:rPr>
        <w:rFonts w:hint="default" w:ascii="Arial" w:hAnsi="Arial" w:eastAsia="Arial" w:cs="Arial"/>
        <w:color w:val="137692"/>
        <w:w w:val="100"/>
        <w:sz w:val="20"/>
        <w:szCs w:val="20"/>
      </w:rPr>
    </w:lvl>
    <w:lvl w:ilvl="1">
      <w:start w:val="0"/>
      <w:numFmt w:val="bullet"/>
      <w:lvlText w:val="•"/>
      <w:lvlJc w:val="left"/>
      <w:pPr>
        <w:ind w:left="1812" w:hanging="180"/>
      </w:pPr>
      <w:rPr>
        <w:rFonts w:hint="default"/>
      </w:rPr>
    </w:lvl>
    <w:lvl w:ilvl="2">
      <w:start w:val="0"/>
      <w:numFmt w:val="bullet"/>
      <w:lvlText w:val="•"/>
      <w:lvlJc w:val="left"/>
      <w:pPr>
        <w:ind w:left="2764" w:hanging="180"/>
      </w:pPr>
      <w:rPr>
        <w:rFonts w:hint="default"/>
      </w:rPr>
    </w:lvl>
    <w:lvl w:ilvl="3">
      <w:start w:val="0"/>
      <w:numFmt w:val="bullet"/>
      <w:lvlText w:val="•"/>
      <w:lvlJc w:val="left"/>
      <w:pPr>
        <w:ind w:left="3716" w:hanging="180"/>
      </w:pPr>
      <w:rPr>
        <w:rFonts w:hint="default"/>
      </w:rPr>
    </w:lvl>
    <w:lvl w:ilvl="4">
      <w:start w:val="0"/>
      <w:numFmt w:val="bullet"/>
      <w:lvlText w:val="•"/>
      <w:lvlJc w:val="left"/>
      <w:pPr>
        <w:ind w:left="4668" w:hanging="180"/>
      </w:pPr>
      <w:rPr>
        <w:rFonts w:hint="default"/>
      </w:rPr>
    </w:lvl>
    <w:lvl w:ilvl="5">
      <w:start w:val="0"/>
      <w:numFmt w:val="bullet"/>
      <w:lvlText w:val="•"/>
      <w:lvlJc w:val="left"/>
      <w:pPr>
        <w:ind w:left="5620" w:hanging="180"/>
      </w:pPr>
      <w:rPr>
        <w:rFonts w:hint="default"/>
      </w:rPr>
    </w:lvl>
    <w:lvl w:ilvl="6">
      <w:start w:val="0"/>
      <w:numFmt w:val="bullet"/>
      <w:lvlText w:val="•"/>
      <w:lvlJc w:val="left"/>
      <w:pPr>
        <w:ind w:left="6572" w:hanging="180"/>
      </w:pPr>
      <w:rPr>
        <w:rFonts w:hint="default"/>
      </w:rPr>
    </w:lvl>
    <w:lvl w:ilvl="7">
      <w:start w:val="0"/>
      <w:numFmt w:val="bullet"/>
      <w:lvlText w:val="•"/>
      <w:lvlJc w:val="left"/>
      <w:pPr>
        <w:ind w:left="7524" w:hanging="180"/>
      </w:pPr>
      <w:rPr>
        <w:rFonts w:hint="default"/>
      </w:rPr>
    </w:lvl>
    <w:lvl w:ilvl="8">
      <w:start w:val="0"/>
      <w:numFmt w:val="bullet"/>
      <w:lvlText w:val="•"/>
      <w:lvlJc w:val="left"/>
      <w:pPr>
        <w:ind w:left="8476" w:hanging="180"/>
      </w:pPr>
      <w:rPr>
        <w:rFonts w:hint="default"/>
      </w:rPr>
    </w:lvl>
  </w:abstractNum>
  <w:abstractNum w:abstractNumId="38">
    <w:multiLevelType w:val="hybridMultilevel"/>
    <w:lvl w:ilvl="0">
      <w:start w:val="0"/>
      <w:numFmt w:val="bullet"/>
      <w:lvlText w:val="•"/>
      <w:lvlJc w:val="left"/>
      <w:pPr>
        <w:ind w:left="603" w:hanging="180"/>
      </w:pPr>
      <w:rPr>
        <w:rFonts w:hint="default" w:ascii="Arial" w:hAnsi="Arial" w:eastAsia="Arial" w:cs="Arial"/>
        <w:color w:val="137692"/>
        <w:w w:val="100"/>
        <w:position w:val="-3"/>
        <w:sz w:val="28"/>
        <w:szCs w:val="28"/>
      </w:rPr>
    </w:lvl>
    <w:lvl w:ilvl="1">
      <w:start w:val="0"/>
      <w:numFmt w:val="bullet"/>
      <w:lvlText w:val="-"/>
      <w:lvlJc w:val="left"/>
      <w:pPr>
        <w:ind w:left="783" w:hanging="180"/>
      </w:pPr>
      <w:rPr>
        <w:rFonts w:hint="default" w:ascii="Arial" w:hAnsi="Arial" w:eastAsia="Arial" w:cs="Arial"/>
        <w:color w:val="137692"/>
        <w:w w:val="100"/>
        <w:position w:val="-3"/>
        <w:sz w:val="28"/>
        <w:szCs w:val="28"/>
      </w:rPr>
    </w:lvl>
    <w:lvl w:ilvl="2">
      <w:start w:val="0"/>
      <w:numFmt w:val="bullet"/>
      <w:lvlText w:val="•"/>
      <w:lvlJc w:val="left"/>
      <w:pPr>
        <w:ind w:left="1846" w:hanging="180"/>
      </w:pPr>
      <w:rPr>
        <w:rFonts w:hint="default"/>
      </w:rPr>
    </w:lvl>
    <w:lvl w:ilvl="3">
      <w:start w:val="0"/>
      <w:numFmt w:val="bullet"/>
      <w:lvlText w:val="•"/>
      <w:lvlJc w:val="left"/>
      <w:pPr>
        <w:ind w:left="2913" w:hanging="180"/>
      </w:pPr>
      <w:rPr>
        <w:rFonts w:hint="default"/>
      </w:rPr>
    </w:lvl>
    <w:lvl w:ilvl="4">
      <w:start w:val="0"/>
      <w:numFmt w:val="bullet"/>
      <w:lvlText w:val="•"/>
      <w:lvlJc w:val="left"/>
      <w:pPr>
        <w:ind w:left="3980" w:hanging="180"/>
      </w:pPr>
      <w:rPr>
        <w:rFonts w:hint="default"/>
      </w:rPr>
    </w:lvl>
    <w:lvl w:ilvl="5">
      <w:start w:val="0"/>
      <w:numFmt w:val="bullet"/>
      <w:lvlText w:val="•"/>
      <w:lvlJc w:val="left"/>
      <w:pPr>
        <w:ind w:left="5046" w:hanging="180"/>
      </w:pPr>
      <w:rPr>
        <w:rFonts w:hint="default"/>
      </w:rPr>
    </w:lvl>
    <w:lvl w:ilvl="6">
      <w:start w:val="0"/>
      <w:numFmt w:val="bullet"/>
      <w:lvlText w:val="•"/>
      <w:lvlJc w:val="left"/>
      <w:pPr>
        <w:ind w:left="6113" w:hanging="180"/>
      </w:pPr>
      <w:rPr>
        <w:rFonts w:hint="default"/>
      </w:rPr>
    </w:lvl>
    <w:lvl w:ilvl="7">
      <w:start w:val="0"/>
      <w:numFmt w:val="bullet"/>
      <w:lvlText w:val="•"/>
      <w:lvlJc w:val="left"/>
      <w:pPr>
        <w:ind w:left="7180" w:hanging="180"/>
      </w:pPr>
      <w:rPr>
        <w:rFonts w:hint="default"/>
      </w:rPr>
    </w:lvl>
    <w:lvl w:ilvl="8">
      <w:start w:val="0"/>
      <w:numFmt w:val="bullet"/>
      <w:lvlText w:val="•"/>
      <w:lvlJc w:val="left"/>
      <w:pPr>
        <w:ind w:left="8246" w:hanging="180"/>
      </w:pPr>
      <w:rPr>
        <w:rFonts w:hint="default"/>
      </w:rPr>
    </w:lvl>
  </w:abstractNum>
  <w:abstractNum w:abstractNumId="37">
    <w:multiLevelType w:val="hybridMultilevel"/>
    <w:lvl w:ilvl="0">
      <w:start w:val="0"/>
      <w:numFmt w:val="bullet"/>
      <w:lvlText w:val="•"/>
      <w:lvlJc w:val="left"/>
      <w:pPr>
        <w:ind w:left="574" w:hanging="180"/>
      </w:pPr>
      <w:rPr>
        <w:rFonts w:hint="default" w:ascii="Arial" w:hAnsi="Arial" w:eastAsia="Arial" w:cs="Arial"/>
        <w:color w:val="147592"/>
        <w:w w:val="100"/>
        <w:position w:val="-3"/>
        <w:sz w:val="28"/>
        <w:szCs w:val="28"/>
      </w:rPr>
    </w:lvl>
    <w:lvl w:ilvl="1">
      <w:start w:val="0"/>
      <w:numFmt w:val="bullet"/>
      <w:lvlText w:val="-"/>
      <w:lvlJc w:val="left"/>
      <w:pPr>
        <w:ind w:left="754" w:hanging="180"/>
      </w:pPr>
      <w:rPr>
        <w:rFonts w:hint="default" w:ascii="Arial" w:hAnsi="Arial" w:eastAsia="Arial" w:cs="Arial"/>
        <w:color w:val="147592"/>
        <w:w w:val="100"/>
        <w:position w:val="-3"/>
        <w:sz w:val="28"/>
        <w:szCs w:val="28"/>
      </w:rPr>
    </w:lvl>
    <w:lvl w:ilvl="2">
      <w:start w:val="0"/>
      <w:numFmt w:val="bullet"/>
      <w:lvlText w:val="•"/>
      <w:lvlJc w:val="left"/>
      <w:pPr>
        <w:ind w:left="1203" w:hanging="180"/>
      </w:pPr>
      <w:rPr>
        <w:rFonts w:hint="default"/>
      </w:rPr>
    </w:lvl>
    <w:lvl w:ilvl="3">
      <w:start w:val="0"/>
      <w:numFmt w:val="bullet"/>
      <w:lvlText w:val="•"/>
      <w:lvlJc w:val="left"/>
      <w:pPr>
        <w:ind w:left="1646" w:hanging="180"/>
      </w:pPr>
      <w:rPr>
        <w:rFonts w:hint="default"/>
      </w:rPr>
    </w:lvl>
    <w:lvl w:ilvl="4">
      <w:start w:val="0"/>
      <w:numFmt w:val="bullet"/>
      <w:lvlText w:val="•"/>
      <w:lvlJc w:val="left"/>
      <w:pPr>
        <w:ind w:left="2089" w:hanging="180"/>
      </w:pPr>
      <w:rPr>
        <w:rFonts w:hint="default"/>
      </w:rPr>
    </w:lvl>
    <w:lvl w:ilvl="5">
      <w:start w:val="0"/>
      <w:numFmt w:val="bullet"/>
      <w:lvlText w:val="•"/>
      <w:lvlJc w:val="left"/>
      <w:pPr>
        <w:ind w:left="2531" w:hanging="180"/>
      </w:pPr>
      <w:rPr>
        <w:rFonts w:hint="default"/>
      </w:rPr>
    </w:lvl>
    <w:lvl w:ilvl="6">
      <w:start w:val="0"/>
      <w:numFmt w:val="bullet"/>
      <w:lvlText w:val="•"/>
      <w:lvlJc w:val="left"/>
      <w:pPr>
        <w:ind w:left="2974" w:hanging="180"/>
      </w:pPr>
      <w:rPr>
        <w:rFonts w:hint="default"/>
      </w:rPr>
    </w:lvl>
    <w:lvl w:ilvl="7">
      <w:start w:val="0"/>
      <w:numFmt w:val="bullet"/>
      <w:lvlText w:val="•"/>
      <w:lvlJc w:val="left"/>
      <w:pPr>
        <w:ind w:left="3417" w:hanging="180"/>
      </w:pPr>
      <w:rPr>
        <w:rFonts w:hint="default"/>
      </w:rPr>
    </w:lvl>
    <w:lvl w:ilvl="8">
      <w:start w:val="0"/>
      <w:numFmt w:val="bullet"/>
      <w:lvlText w:val="•"/>
      <w:lvlJc w:val="left"/>
      <w:pPr>
        <w:ind w:left="3860" w:hanging="180"/>
      </w:pPr>
      <w:rPr>
        <w:rFonts w:hint="default"/>
      </w:rPr>
    </w:lvl>
  </w:abstractNum>
  <w:abstractNum w:abstractNumId="36">
    <w:multiLevelType w:val="hybridMultilevel"/>
    <w:lvl w:ilvl="0">
      <w:start w:val="0"/>
      <w:numFmt w:val="bullet"/>
      <w:lvlText w:val="•"/>
      <w:lvlJc w:val="left"/>
      <w:pPr>
        <w:ind w:left="658" w:hanging="180"/>
      </w:pPr>
      <w:rPr>
        <w:rFonts w:hint="default" w:ascii="Arial" w:hAnsi="Arial" w:eastAsia="Arial" w:cs="Arial"/>
        <w:color w:val="137692"/>
        <w:w w:val="100"/>
        <w:position w:val="-3"/>
        <w:sz w:val="28"/>
        <w:szCs w:val="28"/>
      </w:rPr>
    </w:lvl>
    <w:lvl w:ilvl="1">
      <w:start w:val="0"/>
      <w:numFmt w:val="bullet"/>
      <w:lvlText w:val="•"/>
      <w:lvlJc w:val="left"/>
      <w:pPr>
        <w:ind w:left="1110" w:hanging="180"/>
      </w:pPr>
      <w:rPr>
        <w:rFonts w:hint="default"/>
      </w:rPr>
    </w:lvl>
    <w:lvl w:ilvl="2">
      <w:start w:val="0"/>
      <w:numFmt w:val="bullet"/>
      <w:lvlText w:val="•"/>
      <w:lvlJc w:val="left"/>
      <w:pPr>
        <w:ind w:left="1560" w:hanging="180"/>
      </w:pPr>
      <w:rPr>
        <w:rFonts w:hint="default"/>
      </w:rPr>
    </w:lvl>
    <w:lvl w:ilvl="3">
      <w:start w:val="0"/>
      <w:numFmt w:val="bullet"/>
      <w:lvlText w:val="•"/>
      <w:lvlJc w:val="left"/>
      <w:pPr>
        <w:ind w:left="2010" w:hanging="180"/>
      </w:pPr>
      <w:rPr>
        <w:rFonts w:hint="default"/>
      </w:rPr>
    </w:lvl>
    <w:lvl w:ilvl="4">
      <w:start w:val="0"/>
      <w:numFmt w:val="bullet"/>
      <w:lvlText w:val="•"/>
      <w:lvlJc w:val="left"/>
      <w:pPr>
        <w:ind w:left="2460" w:hanging="180"/>
      </w:pPr>
      <w:rPr>
        <w:rFonts w:hint="default"/>
      </w:rPr>
    </w:lvl>
    <w:lvl w:ilvl="5">
      <w:start w:val="0"/>
      <w:numFmt w:val="bullet"/>
      <w:lvlText w:val="•"/>
      <w:lvlJc w:val="left"/>
      <w:pPr>
        <w:ind w:left="2910" w:hanging="180"/>
      </w:pPr>
      <w:rPr>
        <w:rFonts w:hint="default"/>
      </w:rPr>
    </w:lvl>
    <w:lvl w:ilvl="6">
      <w:start w:val="0"/>
      <w:numFmt w:val="bullet"/>
      <w:lvlText w:val="•"/>
      <w:lvlJc w:val="left"/>
      <w:pPr>
        <w:ind w:left="3360" w:hanging="180"/>
      </w:pPr>
      <w:rPr>
        <w:rFonts w:hint="default"/>
      </w:rPr>
    </w:lvl>
    <w:lvl w:ilvl="7">
      <w:start w:val="0"/>
      <w:numFmt w:val="bullet"/>
      <w:lvlText w:val="•"/>
      <w:lvlJc w:val="left"/>
      <w:pPr>
        <w:ind w:left="3810" w:hanging="180"/>
      </w:pPr>
      <w:rPr>
        <w:rFonts w:hint="default"/>
      </w:rPr>
    </w:lvl>
    <w:lvl w:ilvl="8">
      <w:start w:val="0"/>
      <w:numFmt w:val="bullet"/>
      <w:lvlText w:val="•"/>
      <w:lvlJc w:val="left"/>
      <w:pPr>
        <w:ind w:left="4260" w:hanging="180"/>
      </w:pPr>
      <w:rPr>
        <w:rFonts w:hint="default"/>
      </w:rPr>
    </w:lvl>
  </w:abstractNum>
  <w:abstractNum w:abstractNumId="35">
    <w:multiLevelType w:val="hybridMultilevel"/>
    <w:lvl w:ilvl="0">
      <w:start w:val="0"/>
      <w:numFmt w:val="bullet"/>
      <w:lvlText w:val="•"/>
      <w:lvlJc w:val="left"/>
      <w:pPr>
        <w:ind w:left="277" w:hanging="180"/>
      </w:pPr>
      <w:rPr>
        <w:rFonts w:hint="default" w:ascii="Arial" w:hAnsi="Arial" w:eastAsia="Arial" w:cs="Arial"/>
        <w:color w:val="137692"/>
        <w:w w:val="100"/>
        <w:position w:val="-3"/>
        <w:sz w:val="28"/>
        <w:szCs w:val="28"/>
      </w:rPr>
    </w:lvl>
    <w:lvl w:ilvl="1">
      <w:start w:val="0"/>
      <w:numFmt w:val="bullet"/>
      <w:lvlText w:val="•"/>
      <w:lvlJc w:val="left"/>
      <w:pPr>
        <w:ind w:left="826" w:hanging="180"/>
      </w:pPr>
      <w:rPr>
        <w:rFonts w:hint="default"/>
      </w:rPr>
    </w:lvl>
    <w:lvl w:ilvl="2">
      <w:start w:val="0"/>
      <w:numFmt w:val="bullet"/>
      <w:lvlText w:val="•"/>
      <w:lvlJc w:val="left"/>
      <w:pPr>
        <w:ind w:left="1373" w:hanging="180"/>
      </w:pPr>
      <w:rPr>
        <w:rFonts w:hint="default"/>
      </w:rPr>
    </w:lvl>
    <w:lvl w:ilvl="3">
      <w:start w:val="0"/>
      <w:numFmt w:val="bullet"/>
      <w:lvlText w:val="•"/>
      <w:lvlJc w:val="left"/>
      <w:pPr>
        <w:ind w:left="1919" w:hanging="180"/>
      </w:pPr>
      <w:rPr>
        <w:rFonts w:hint="default"/>
      </w:rPr>
    </w:lvl>
    <w:lvl w:ilvl="4">
      <w:start w:val="0"/>
      <w:numFmt w:val="bullet"/>
      <w:lvlText w:val="•"/>
      <w:lvlJc w:val="left"/>
      <w:pPr>
        <w:ind w:left="2466" w:hanging="180"/>
      </w:pPr>
      <w:rPr>
        <w:rFonts w:hint="default"/>
      </w:rPr>
    </w:lvl>
    <w:lvl w:ilvl="5">
      <w:start w:val="0"/>
      <w:numFmt w:val="bullet"/>
      <w:lvlText w:val="•"/>
      <w:lvlJc w:val="left"/>
      <w:pPr>
        <w:ind w:left="3013" w:hanging="180"/>
      </w:pPr>
      <w:rPr>
        <w:rFonts w:hint="default"/>
      </w:rPr>
    </w:lvl>
    <w:lvl w:ilvl="6">
      <w:start w:val="0"/>
      <w:numFmt w:val="bullet"/>
      <w:lvlText w:val="•"/>
      <w:lvlJc w:val="left"/>
      <w:pPr>
        <w:ind w:left="3559" w:hanging="180"/>
      </w:pPr>
      <w:rPr>
        <w:rFonts w:hint="default"/>
      </w:rPr>
    </w:lvl>
    <w:lvl w:ilvl="7">
      <w:start w:val="0"/>
      <w:numFmt w:val="bullet"/>
      <w:lvlText w:val="•"/>
      <w:lvlJc w:val="left"/>
      <w:pPr>
        <w:ind w:left="4106" w:hanging="180"/>
      </w:pPr>
      <w:rPr>
        <w:rFonts w:hint="default"/>
      </w:rPr>
    </w:lvl>
    <w:lvl w:ilvl="8">
      <w:start w:val="0"/>
      <w:numFmt w:val="bullet"/>
      <w:lvlText w:val="•"/>
      <w:lvlJc w:val="left"/>
      <w:pPr>
        <w:ind w:left="4653" w:hanging="180"/>
      </w:pPr>
      <w:rPr>
        <w:rFonts w:hint="default"/>
      </w:rPr>
    </w:lvl>
  </w:abstractNum>
  <w:abstractNum w:abstractNumId="34">
    <w:multiLevelType w:val="hybridMultilevel"/>
    <w:lvl w:ilvl="0">
      <w:start w:val="0"/>
      <w:numFmt w:val="bullet"/>
      <w:lvlText w:val="•"/>
      <w:lvlJc w:val="left"/>
      <w:pPr>
        <w:ind w:left="277" w:hanging="180"/>
      </w:pPr>
      <w:rPr>
        <w:rFonts w:hint="default" w:ascii="Arial" w:hAnsi="Arial" w:eastAsia="Arial" w:cs="Arial"/>
        <w:color w:val="137692"/>
        <w:w w:val="100"/>
        <w:position w:val="-3"/>
        <w:sz w:val="28"/>
        <w:szCs w:val="28"/>
      </w:rPr>
    </w:lvl>
    <w:lvl w:ilvl="1">
      <w:start w:val="0"/>
      <w:numFmt w:val="bullet"/>
      <w:lvlText w:val="•"/>
      <w:lvlJc w:val="left"/>
      <w:pPr>
        <w:ind w:left="826" w:hanging="180"/>
      </w:pPr>
      <w:rPr>
        <w:rFonts w:hint="default"/>
      </w:rPr>
    </w:lvl>
    <w:lvl w:ilvl="2">
      <w:start w:val="0"/>
      <w:numFmt w:val="bullet"/>
      <w:lvlText w:val="•"/>
      <w:lvlJc w:val="left"/>
      <w:pPr>
        <w:ind w:left="1373" w:hanging="180"/>
      </w:pPr>
      <w:rPr>
        <w:rFonts w:hint="default"/>
      </w:rPr>
    </w:lvl>
    <w:lvl w:ilvl="3">
      <w:start w:val="0"/>
      <w:numFmt w:val="bullet"/>
      <w:lvlText w:val="•"/>
      <w:lvlJc w:val="left"/>
      <w:pPr>
        <w:ind w:left="1919" w:hanging="180"/>
      </w:pPr>
      <w:rPr>
        <w:rFonts w:hint="default"/>
      </w:rPr>
    </w:lvl>
    <w:lvl w:ilvl="4">
      <w:start w:val="0"/>
      <w:numFmt w:val="bullet"/>
      <w:lvlText w:val="•"/>
      <w:lvlJc w:val="left"/>
      <w:pPr>
        <w:ind w:left="2466" w:hanging="180"/>
      </w:pPr>
      <w:rPr>
        <w:rFonts w:hint="default"/>
      </w:rPr>
    </w:lvl>
    <w:lvl w:ilvl="5">
      <w:start w:val="0"/>
      <w:numFmt w:val="bullet"/>
      <w:lvlText w:val="•"/>
      <w:lvlJc w:val="left"/>
      <w:pPr>
        <w:ind w:left="3013" w:hanging="180"/>
      </w:pPr>
      <w:rPr>
        <w:rFonts w:hint="default"/>
      </w:rPr>
    </w:lvl>
    <w:lvl w:ilvl="6">
      <w:start w:val="0"/>
      <w:numFmt w:val="bullet"/>
      <w:lvlText w:val="•"/>
      <w:lvlJc w:val="left"/>
      <w:pPr>
        <w:ind w:left="3559" w:hanging="180"/>
      </w:pPr>
      <w:rPr>
        <w:rFonts w:hint="default"/>
      </w:rPr>
    </w:lvl>
    <w:lvl w:ilvl="7">
      <w:start w:val="0"/>
      <w:numFmt w:val="bullet"/>
      <w:lvlText w:val="•"/>
      <w:lvlJc w:val="left"/>
      <w:pPr>
        <w:ind w:left="4106" w:hanging="180"/>
      </w:pPr>
      <w:rPr>
        <w:rFonts w:hint="default"/>
      </w:rPr>
    </w:lvl>
    <w:lvl w:ilvl="8">
      <w:start w:val="0"/>
      <w:numFmt w:val="bullet"/>
      <w:lvlText w:val="•"/>
      <w:lvlJc w:val="left"/>
      <w:pPr>
        <w:ind w:left="4653" w:hanging="180"/>
      </w:pPr>
      <w:rPr>
        <w:rFonts w:hint="default"/>
      </w:rPr>
    </w:lvl>
  </w:abstractNum>
  <w:abstractNum w:abstractNumId="33">
    <w:multiLevelType w:val="hybridMultilevel"/>
    <w:lvl w:ilvl="0">
      <w:start w:val="0"/>
      <w:numFmt w:val="bullet"/>
      <w:lvlText w:val="•"/>
      <w:lvlJc w:val="left"/>
      <w:pPr>
        <w:ind w:left="281" w:hanging="180"/>
      </w:pPr>
      <w:rPr>
        <w:rFonts w:hint="default" w:ascii="Arial" w:hAnsi="Arial" w:eastAsia="Arial" w:cs="Arial"/>
        <w:color w:val="137692"/>
        <w:w w:val="100"/>
        <w:position w:val="-3"/>
        <w:sz w:val="28"/>
        <w:szCs w:val="28"/>
      </w:rPr>
    </w:lvl>
    <w:lvl w:ilvl="1">
      <w:start w:val="0"/>
      <w:numFmt w:val="bullet"/>
      <w:lvlText w:val="•"/>
      <w:lvlJc w:val="left"/>
      <w:pPr>
        <w:ind w:left="588" w:hanging="180"/>
      </w:pPr>
      <w:rPr>
        <w:rFonts w:hint="default"/>
      </w:rPr>
    </w:lvl>
    <w:lvl w:ilvl="2">
      <w:start w:val="0"/>
      <w:numFmt w:val="bullet"/>
      <w:lvlText w:val="•"/>
      <w:lvlJc w:val="left"/>
      <w:pPr>
        <w:ind w:left="897" w:hanging="180"/>
      </w:pPr>
      <w:rPr>
        <w:rFonts w:hint="default"/>
      </w:rPr>
    </w:lvl>
    <w:lvl w:ilvl="3">
      <w:start w:val="0"/>
      <w:numFmt w:val="bullet"/>
      <w:lvlText w:val="•"/>
      <w:lvlJc w:val="left"/>
      <w:pPr>
        <w:ind w:left="1206" w:hanging="180"/>
      </w:pPr>
      <w:rPr>
        <w:rFonts w:hint="default"/>
      </w:rPr>
    </w:lvl>
    <w:lvl w:ilvl="4">
      <w:start w:val="0"/>
      <w:numFmt w:val="bullet"/>
      <w:lvlText w:val="•"/>
      <w:lvlJc w:val="left"/>
      <w:pPr>
        <w:ind w:left="1515" w:hanging="180"/>
      </w:pPr>
      <w:rPr>
        <w:rFonts w:hint="default"/>
      </w:rPr>
    </w:lvl>
    <w:lvl w:ilvl="5">
      <w:start w:val="0"/>
      <w:numFmt w:val="bullet"/>
      <w:lvlText w:val="•"/>
      <w:lvlJc w:val="left"/>
      <w:pPr>
        <w:ind w:left="1824" w:hanging="180"/>
      </w:pPr>
      <w:rPr>
        <w:rFonts w:hint="default"/>
      </w:rPr>
    </w:lvl>
    <w:lvl w:ilvl="6">
      <w:start w:val="0"/>
      <w:numFmt w:val="bullet"/>
      <w:lvlText w:val="•"/>
      <w:lvlJc w:val="left"/>
      <w:pPr>
        <w:ind w:left="2133" w:hanging="180"/>
      </w:pPr>
      <w:rPr>
        <w:rFonts w:hint="default"/>
      </w:rPr>
    </w:lvl>
    <w:lvl w:ilvl="7">
      <w:start w:val="0"/>
      <w:numFmt w:val="bullet"/>
      <w:lvlText w:val="•"/>
      <w:lvlJc w:val="left"/>
      <w:pPr>
        <w:ind w:left="2441" w:hanging="180"/>
      </w:pPr>
      <w:rPr>
        <w:rFonts w:hint="default"/>
      </w:rPr>
    </w:lvl>
    <w:lvl w:ilvl="8">
      <w:start w:val="0"/>
      <w:numFmt w:val="bullet"/>
      <w:lvlText w:val="•"/>
      <w:lvlJc w:val="left"/>
      <w:pPr>
        <w:ind w:left="2750" w:hanging="180"/>
      </w:pPr>
      <w:rPr>
        <w:rFonts w:hint="default"/>
      </w:rPr>
    </w:lvl>
  </w:abstractNum>
  <w:abstractNum w:abstractNumId="32">
    <w:multiLevelType w:val="hybridMultilevel"/>
    <w:lvl w:ilvl="0">
      <w:start w:val="0"/>
      <w:numFmt w:val="bullet"/>
      <w:lvlText w:val="•"/>
      <w:lvlJc w:val="left"/>
      <w:pPr>
        <w:ind w:left="281" w:hanging="180"/>
      </w:pPr>
      <w:rPr>
        <w:rFonts w:hint="default" w:ascii="Arial" w:hAnsi="Arial" w:eastAsia="Arial" w:cs="Arial"/>
        <w:color w:val="137692"/>
        <w:w w:val="100"/>
        <w:position w:val="-3"/>
        <w:sz w:val="28"/>
        <w:szCs w:val="28"/>
      </w:rPr>
    </w:lvl>
    <w:lvl w:ilvl="1">
      <w:start w:val="0"/>
      <w:numFmt w:val="bullet"/>
      <w:lvlText w:val="•"/>
      <w:lvlJc w:val="left"/>
      <w:pPr>
        <w:ind w:left="588" w:hanging="180"/>
      </w:pPr>
      <w:rPr>
        <w:rFonts w:hint="default"/>
      </w:rPr>
    </w:lvl>
    <w:lvl w:ilvl="2">
      <w:start w:val="0"/>
      <w:numFmt w:val="bullet"/>
      <w:lvlText w:val="•"/>
      <w:lvlJc w:val="left"/>
      <w:pPr>
        <w:ind w:left="897" w:hanging="180"/>
      </w:pPr>
      <w:rPr>
        <w:rFonts w:hint="default"/>
      </w:rPr>
    </w:lvl>
    <w:lvl w:ilvl="3">
      <w:start w:val="0"/>
      <w:numFmt w:val="bullet"/>
      <w:lvlText w:val="•"/>
      <w:lvlJc w:val="left"/>
      <w:pPr>
        <w:ind w:left="1206" w:hanging="180"/>
      </w:pPr>
      <w:rPr>
        <w:rFonts w:hint="default"/>
      </w:rPr>
    </w:lvl>
    <w:lvl w:ilvl="4">
      <w:start w:val="0"/>
      <w:numFmt w:val="bullet"/>
      <w:lvlText w:val="•"/>
      <w:lvlJc w:val="left"/>
      <w:pPr>
        <w:ind w:left="1515" w:hanging="180"/>
      </w:pPr>
      <w:rPr>
        <w:rFonts w:hint="default"/>
      </w:rPr>
    </w:lvl>
    <w:lvl w:ilvl="5">
      <w:start w:val="0"/>
      <w:numFmt w:val="bullet"/>
      <w:lvlText w:val="•"/>
      <w:lvlJc w:val="left"/>
      <w:pPr>
        <w:ind w:left="1824" w:hanging="180"/>
      </w:pPr>
      <w:rPr>
        <w:rFonts w:hint="default"/>
      </w:rPr>
    </w:lvl>
    <w:lvl w:ilvl="6">
      <w:start w:val="0"/>
      <w:numFmt w:val="bullet"/>
      <w:lvlText w:val="•"/>
      <w:lvlJc w:val="left"/>
      <w:pPr>
        <w:ind w:left="2133" w:hanging="180"/>
      </w:pPr>
      <w:rPr>
        <w:rFonts w:hint="default"/>
      </w:rPr>
    </w:lvl>
    <w:lvl w:ilvl="7">
      <w:start w:val="0"/>
      <w:numFmt w:val="bullet"/>
      <w:lvlText w:val="•"/>
      <w:lvlJc w:val="left"/>
      <w:pPr>
        <w:ind w:left="2441" w:hanging="180"/>
      </w:pPr>
      <w:rPr>
        <w:rFonts w:hint="default"/>
      </w:rPr>
    </w:lvl>
    <w:lvl w:ilvl="8">
      <w:start w:val="0"/>
      <w:numFmt w:val="bullet"/>
      <w:lvlText w:val="•"/>
      <w:lvlJc w:val="left"/>
      <w:pPr>
        <w:ind w:left="2750" w:hanging="180"/>
      </w:pPr>
      <w:rPr>
        <w:rFonts w:hint="default"/>
      </w:rPr>
    </w:lvl>
  </w:abstractNum>
  <w:abstractNum w:abstractNumId="31">
    <w:multiLevelType w:val="hybridMultilevel"/>
    <w:lvl w:ilvl="0">
      <w:start w:val="0"/>
      <w:numFmt w:val="bullet"/>
      <w:lvlText w:val="•"/>
      <w:lvlJc w:val="left"/>
      <w:pPr>
        <w:ind w:left="281" w:hanging="180"/>
      </w:pPr>
      <w:rPr>
        <w:rFonts w:hint="default" w:ascii="Arial" w:hAnsi="Arial" w:eastAsia="Arial" w:cs="Arial"/>
        <w:color w:val="137692"/>
        <w:w w:val="100"/>
        <w:position w:val="-3"/>
        <w:sz w:val="28"/>
        <w:szCs w:val="28"/>
      </w:rPr>
    </w:lvl>
    <w:lvl w:ilvl="1">
      <w:start w:val="0"/>
      <w:numFmt w:val="bullet"/>
      <w:lvlText w:val="•"/>
      <w:lvlJc w:val="left"/>
      <w:pPr>
        <w:ind w:left="588" w:hanging="180"/>
      </w:pPr>
      <w:rPr>
        <w:rFonts w:hint="default"/>
      </w:rPr>
    </w:lvl>
    <w:lvl w:ilvl="2">
      <w:start w:val="0"/>
      <w:numFmt w:val="bullet"/>
      <w:lvlText w:val="•"/>
      <w:lvlJc w:val="left"/>
      <w:pPr>
        <w:ind w:left="897" w:hanging="180"/>
      </w:pPr>
      <w:rPr>
        <w:rFonts w:hint="default"/>
      </w:rPr>
    </w:lvl>
    <w:lvl w:ilvl="3">
      <w:start w:val="0"/>
      <w:numFmt w:val="bullet"/>
      <w:lvlText w:val="•"/>
      <w:lvlJc w:val="left"/>
      <w:pPr>
        <w:ind w:left="1206" w:hanging="180"/>
      </w:pPr>
      <w:rPr>
        <w:rFonts w:hint="default"/>
      </w:rPr>
    </w:lvl>
    <w:lvl w:ilvl="4">
      <w:start w:val="0"/>
      <w:numFmt w:val="bullet"/>
      <w:lvlText w:val="•"/>
      <w:lvlJc w:val="left"/>
      <w:pPr>
        <w:ind w:left="1515" w:hanging="180"/>
      </w:pPr>
      <w:rPr>
        <w:rFonts w:hint="default"/>
      </w:rPr>
    </w:lvl>
    <w:lvl w:ilvl="5">
      <w:start w:val="0"/>
      <w:numFmt w:val="bullet"/>
      <w:lvlText w:val="•"/>
      <w:lvlJc w:val="left"/>
      <w:pPr>
        <w:ind w:left="1824" w:hanging="180"/>
      </w:pPr>
      <w:rPr>
        <w:rFonts w:hint="default"/>
      </w:rPr>
    </w:lvl>
    <w:lvl w:ilvl="6">
      <w:start w:val="0"/>
      <w:numFmt w:val="bullet"/>
      <w:lvlText w:val="•"/>
      <w:lvlJc w:val="left"/>
      <w:pPr>
        <w:ind w:left="2133" w:hanging="180"/>
      </w:pPr>
      <w:rPr>
        <w:rFonts w:hint="default"/>
      </w:rPr>
    </w:lvl>
    <w:lvl w:ilvl="7">
      <w:start w:val="0"/>
      <w:numFmt w:val="bullet"/>
      <w:lvlText w:val="•"/>
      <w:lvlJc w:val="left"/>
      <w:pPr>
        <w:ind w:left="2441" w:hanging="180"/>
      </w:pPr>
      <w:rPr>
        <w:rFonts w:hint="default"/>
      </w:rPr>
    </w:lvl>
    <w:lvl w:ilvl="8">
      <w:start w:val="0"/>
      <w:numFmt w:val="bullet"/>
      <w:lvlText w:val="•"/>
      <w:lvlJc w:val="left"/>
      <w:pPr>
        <w:ind w:left="2750" w:hanging="180"/>
      </w:pPr>
      <w:rPr>
        <w:rFonts w:hint="default"/>
      </w:rPr>
    </w:lvl>
  </w:abstractNum>
  <w:abstractNum w:abstractNumId="30">
    <w:multiLevelType w:val="hybridMultilevel"/>
    <w:lvl w:ilvl="0">
      <w:start w:val="0"/>
      <w:numFmt w:val="bullet"/>
      <w:lvlText w:val="•"/>
      <w:lvlJc w:val="left"/>
      <w:pPr>
        <w:ind w:left="281" w:hanging="180"/>
      </w:pPr>
      <w:rPr>
        <w:rFonts w:hint="default" w:ascii="Arial" w:hAnsi="Arial" w:eastAsia="Arial" w:cs="Arial"/>
        <w:color w:val="137692"/>
        <w:w w:val="100"/>
        <w:position w:val="-3"/>
        <w:sz w:val="28"/>
        <w:szCs w:val="28"/>
      </w:rPr>
    </w:lvl>
    <w:lvl w:ilvl="1">
      <w:start w:val="0"/>
      <w:numFmt w:val="bullet"/>
      <w:lvlText w:val="•"/>
      <w:lvlJc w:val="left"/>
      <w:pPr>
        <w:ind w:left="588" w:hanging="180"/>
      </w:pPr>
      <w:rPr>
        <w:rFonts w:hint="default"/>
      </w:rPr>
    </w:lvl>
    <w:lvl w:ilvl="2">
      <w:start w:val="0"/>
      <w:numFmt w:val="bullet"/>
      <w:lvlText w:val="•"/>
      <w:lvlJc w:val="left"/>
      <w:pPr>
        <w:ind w:left="897" w:hanging="180"/>
      </w:pPr>
      <w:rPr>
        <w:rFonts w:hint="default"/>
      </w:rPr>
    </w:lvl>
    <w:lvl w:ilvl="3">
      <w:start w:val="0"/>
      <w:numFmt w:val="bullet"/>
      <w:lvlText w:val="•"/>
      <w:lvlJc w:val="left"/>
      <w:pPr>
        <w:ind w:left="1206" w:hanging="180"/>
      </w:pPr>
      <w:rPr>
        <w:rFonts w:hint="default"/>
      </w:rPr>
    </w:lvl>
    <w:lvl w:ilvl="4">
      <w:start w:val="0"/>
      <w:numFmt w:val="bullet"/>
      <w:lvlText w:val="•"/>
      <w:lvlJc w:val="left"/>
      <w:pPr>
        <w:ind w:left="1515" w:hanging="180"/>
      </w:pPr>
      <w:rPr>
        <w:rFonts w:hint="default"/>
      </w:rPr>
    </w:lvl>
    <w:lvl w:ilvl="5">
      <w:start w:val="0"/>
      <w:numFmt w:val="bullet"/>
      <w:lvlText w:val="•"/>
      <w:lvlJc w:val="left"/>
      <w:pPr>
        <w:ind w:left="1824" w:hanging="180"/>
      </w:pPr>
      <w:rPr>
        <w:rFonts w:hint="default"/>
      </w:rPr>
    </w:lvl>
    <w:lvl w:ilvl="6">
      <w:start w:val="0"/>
      <w:numFmt w:val="bullet"/>
      <w:lvlText w:val="•"/>
      <w:lvlJc w:val="left"/>
      <w:pPr>
        <w:ind w:left="2133" w:hanging="180"/>
      </w:pPr>
      <w:rPr>
        <w:rFonts w:hint="default"/>
      </w:rPr>
    </w:lvl>
    <w:lvl w:ilvl="7">
      <w:start w:val="0"/>
      <w:numFmt w:val="bullet"/>
      <w:lvlText w:val="•"/>
      <w:lvlJc w:val="left"/>
      <w:pPr>
        <w:ind w:left="2441" w:hanging="180"/>
      </w:pPr>
      <w:rPr>
        <w:rFonts w:hint="default"/>
      </w:rPr>
    </w:lvl>
    <w:lvl w:ilvl="8">
      <w:start w:val="0"/>
      <w:numFmt w:val="bullet"/>
      <w:lvlText w:val="•"/>
      <w:lvlJc w:val="left"/>
      <w:pPr>
        <w:ind w:left="2750" w:hanging="180"/>
      </w:pPr>
      <w:rPr>
        <w:rFonts w:hint="default"/>
      </w:rPr>
    </w:lvl>
  </w:abstractNum>
  <w:abstractNum w:abstractNumId="29">
    <w:multiLevelType w:val="hybridMultilevel"/>
    <w:lvl w:ilvl="0">
      <w:start w:val="0"/>
      <w:numFmt w:val="bullet"/>
      <w:lvlText w:val="•"/>
      <w:lvlJc w:val="left"/>
      <w:pPr>
        <w:ind w:left="281" w:hanging="180"/>
      </w:pPr>
      <w:rPr>
        <w:rFonts w:hint="default" w:ascii="Arial" w:hAnsi="Arial" w:eastAsia="Arial" w:cs="Arial"/>
        <w:color w:val="137692"/>
        <w:w w:val="100"/>
        <w:position w:val="-3"/>
        <w:sz w:val="28"/>
        <w:szCs w:val="28"/>
      </w:rPr>
    </w:lvl>
    <w:lvl w:ilvl="1">
      <w:start w:val="0"/>
      <w:numFmt w:val="bullet"/>
      <w:lvlText w:val="•"/>
      <w:lvlJc w:val="left"/>
      <w:pPr>
        <w:ind w:left="588" w:hanging="180"/>
      </w:pPr>
      <w:rPr>
        <w:rFonts w:hint="default"/>
      </w:rPr>
    </w:lvl>
    <w:lvl w:ilvl="2">
      <w:start w:val="0"/>
      <w:numFmt w:val="bullet"/>
      <w:lvlText w:val="•"/>
      <w:lvlJc w:val="left"/>
      <w:pPr>
        <w:ind w:left="897" w:hanging="180"/>
      </w:pPr>
      <w:rPr>
        <w:rFonts w:hint="default"/>
      </w:rPr>
    </w:lvl>
    <w:lvl w:ilvl="3">
      <w:start w:val="0"/>
      <w:numFmt w:val="bullet"/>
      <w:lvlText w:val="•"/>
      <w:lvlJc w:val="left"/>
      <w:pPr>
        <w:ind w:left="1206" w:hanging="180"/>
      </w:pPr>
      <w:rPr>
        <w:rFonts w:hint="default"/>
      </w:rPr>
    </w:lvl>
    <w:lvl w:ilvl="4">
      <w:start w:val="0"/>
      <w:numFmt w:val="bullet"/>
      <w:lvlText w:val="•"/>
      <w:lvlJc w:val="left"/>
      <w:pPr>
        <w:ind w:left="1515" w:hanging="180"/>
      </w:pPr>
      <w:rPr>
        <w:rFonts w:hint="default"/>
      </w:rPr>
    </w:lvl>
    <w:lvl w:ilvl="5">
      <w:start w:val="0"/>
      <w:numFmt w:val="bullet"/>
      <w:lvlText w:val="•"/>
      <w:lvlJc w:val="left"/>
      <w:pPr>
        <w:ind w:left="1824" w:hanging="180"/>
      </w:pPr>
      <w:rPr>
        <w:rFonts w:hint="default"/>
      </w:rPr>
    </w:lvl>
    <w:lvl w:ilvl="6">
      <w:start w:val="0"/>
      <w:numFmt w:val="bullet"/>
      <w:lvlText w:val="•"/>
      <w:lvlJc w:val="left"/>
      <w:pPr>
        <w:ind w:left="2133" w:hanging="180"/>
      </w:pPr>
      <w:rPr>
        <w:rFonts w:hint="default"/>
      </w:rPr>
    </w:lvl>
    <w:lvl w:ilvl="7">
      <w:start w:val="0"/>
      <w:numFmt w:val="bullet"/>
      <w:lvlText w:val="•"/>
      <w:lvlJc w:val="left"/>
      <w:pPr>
        <w:ind w:left="2441" w:hanging="180"/>
      </w:pPr>
      <w:rPr>
        <w:rFonts w:hint="default"/>
      </w:rPr>
    </w:lvl>
    <w:lvl w:ilvl="8">
      <w:start w:val="0"/>
      <w:numFmt w:val="bullet"/>
      <w:lvlText w:val="•"/>
      <w:lvlJc w:val="left"/>
      <w:pPr>
        <w:ind w:left="2750" w:hanging="180"/>
      </w:pPr>
      <w:rPr>
        <w:rFonts w:hint="default"/>
      </w:rPr>
    </w:lvl>
  </w:abstractNum>
  <w:abstractNum w:abstractNumId="28">
    <w:multiLevelType w:val="hybridMultilevel"/>
    <w:lvl w:ilvl="0">
      <w:start w:val="0"/>
      <w:numFmt w:val="bullet"/>
      <w:lvlText w:val="•"/>
      <w:lvlJc w:val="left"/>
      <w:pPr>
        <w:ind w:left="410" w:hanging="270"/>
      </w:pPr>
      <w:rPr>
        <w:rFonts w:hint="default"/>
        <w:w w:val="100"/>
        <w:position w:val="-3"/>
      </w:rPr>
    </w:lvl>
    <w:lvl w:ilvl="1">
      <w:start w:val="0"/>
      <w:numFmt w:val="bullet"/>
      <w:lvlText w:val="-"/>
      <w:lvlJc w:val="left"/>
      <w:pPr>
        <w:ind w:left="716" w:hanging="270"/>
      </w:pPr>
      <w:rPr>
        <w:rFonts w:hint="default"/>
        <w:w w:val="175"/>
      </w:rPr>
    </w:lvl>
    <w:lvl w:ilvl="2">
      <w:start w:val="0"/>
      <w:numFmt w:val="bullet"/>
      <w:lvlText w:val="•"/>
      <w:lvlJc w:val="left"/>
      <w:pPr>
        <w:ind w:left="950" w:hanging="270"/>
      </w:pPr>
      <w:rPr>
        <w:rFonts w:hint="default" w:ascii="Arial" w:hAnsi="Arial" w:eastAsia="Arial" w:cs="Arial"/>
        <w:color w:val="137692"/>
        <w:w w:val="100"/>
        <w:position w:val="-3"/>
        <w:sz w:val="28"/>
        <w:szCs w:val="28"/>
      </w:rPr>
    </w:lvl>
    <w:lvl w:ilvl="3">
      <w:start w:val="0"/>
      <w:numFmt w:val="bullet"/>
      <w:lvlText w:val="•"/>
      <w:lvlJc w:val="left"/>
      <w:pPr>
        <w:ind w:left="1146" w:hanging="270"/>
      </w:pPr>
      <w:rPr>
        <w:rFonts w:hint="default" w:ascii="Arial" w:hAnsi="Arial" w:eastAsia="Arial" w:cs="Arial"/>
        <w:color w:val="137692"/>
        <w:w w:val="100"/>
        <w:position w:val="-3"/>
        <w:sz w:val="28"/>
        <w:szCs w:val="28"/>
      </w:rPr>
    </w:lvl>
    <w:lvl w:ilvl="4">
      <w:start w:val="0"/>
      <w:numFmt w:val="bullet"/>
      <w:lvlText w:val="•"/>
      <w:lvlJc w:val="left"/>
      <w:pPr>
        <w:ind w:left="941" w:hanging="270"/>
      </w:pPr>
      <w:rPr>
        <w:rFonts w:hint="default"/>
      </w:rPr>
    </w:lvl>
    <w:lvl w:ilvl="5">
      <w:start w:val="0"/>
      <w:numFmt w:val="bullet"/>
      <w:lvlText w:val="•"/>
      <w:lvlJc w:val="left"/>
      <w:pPr>
        <w:ind w:left="742" w:hanging="270"/>
      </w:pPr>
      <w:rPr>
        <w:rFonts w:hint="default"/>
      </w:rPr>
    </w:lvl>
    <w:lvl w:ilvl="6">
      <w:start w:val="0"/>
      <w:numFmt w:val="bullet"/>
      <w:lvlText w:val="•"/>
      <w:lvlJc w:val="left"/>
      <w:pPr>
        <w:ind w:left="543" w:hanging="270"/>
      </w:pPr>
      <w:rPr>
        <w:rFonts w:hint="default"/>
      </w:rPr>
    </w:lvl>
    <w:lvl w:ilvl="7">
      <w:start w:val="0"/>
      <w:numFmt w:val="bullet"/>
      <w:lvlText w:val="•"/>
      <w:lvlJc w:val="left"/>
      <w:pPr>
        <w:ind w:left="345" w:hanging="270"/>
      </w:pPr>
      <w:rPr>
        <w:rFonts w:hint="default"/>
      </w:rPr>
    </w:lvl>
    <w:lvl w:ilvl="8">
      <w:start w:val="0"/>
      <w:numFmt w:val="bullet"/>
      <w:lvlText w:val="•"/>
      <w:lvlJc w:val="left"/>
      <w:pPr>
        <w:ind w:left="146" w:hanging="270"/>
      </w:pPr>
      <w:rPr>
        <w:rFonts w:hint="default"/>
      </w:rPr>
    </w:lvl>
  </w:abstractNum>
  <w:abstractNum w:abstractNumId="27">
    <w:multiLevelType w:val="hybridMultilevel"/>
    <w:lvl w:ilvl="0">
      <w:start w:val="0"/>
      <w:numFmt w:val="bullet"/>
      <w:lvlText w:val="•"/>
      <w:lvlJc w:val="left"/>
      <w:pPr>
        <w:ind w:left="272" w:hanging="193"/>
      </w:pPr>
      <w:rPr>
        <w:rFonts w:hint="default" w:ascii="Calibri" w:hAnsi="Calibri" w:eastAsia="Calibri" w:cs="Calibri"/>
        <w:color w:val="004A61"/>
        <w:w w:val="122"/>
        <w:sz w:val="18"/>
        <w:szCs w:val="18"/>
      </w:rPr>
    </w:lvl>
    <w:lvl w:ilvl="1">
      <w:start w:val="0"/>
      <w:numFmt w:val="bullet"/>
      <w:lvlText w:val="•"/>
      <w:lvlJc w:val="left"/>
      <w:pPr>
        <w:ind w:left="752" w:hanging="193"/>
      </w:pPr>
      <w:rPr>
        <w:rFonts w:hint="default"/>
      </w:rPr>
    </w:lvl>
    <w:lvl w:ilvl="2">
      <w:start w:val="0"/>
      <w:numFmt w:val="bullet"/>
      <w:lvlText w:val="•"/>
      <w:lvlJc w:val="left"/>
      <w:pPr>
        <w:ind w:left="1225" w:hanging="193"/>
      </w:pPr>
      <w:rPr>
        <w:rFonts w:hint="default"/>
      </w:rPr>
    </w:lvl>
    <w:lvl w:ilvl="3">
      <w:start w:val="0"/>
      <w:numFmt w:val="bullet"/>
      <w:lvlText w:val="•"/>
      <w:lvlJc w:val="left"/>
      <w:pPr>
        <w:ind w:left="1697" w:hanging="193"/>
      </w:pPr>
      <w:rPr>
        <w:rFonts w:hint="default"/>
      </w:rPr>
    </w:lvl>
    <w:lvl w:ilvl="4">
      <w:start w:val="0"/>
      <w:numFmt w:val="bullet"/>
      <w:lvlText w:val="•"/>
      <w:lvlJc w:val="left"/>
      <w:pPr>
        <w:ind w:left="2170" w:hanging="193"/>
      </w:pPr>
      <w:rPr>
        <w:rFonts w:hint="default"/>
      </w:rPr>
    </w:lvl>
    <w:lvl w:ilvl="5">
      <w:start w:val="0"/>
      <w:numFmt w:val="bullet"/>
      <w:lvlText w:val="•"/>
      <w:lvlJc w:val="left"/>
      <w:pPr>
        <w:ind w:left="2642" w:hanging="193"/>
      </w:pPr>
      <w:rPr>
        <w:rFonts w:hint="default"/>
      </w:rPr>
    </w:lvl>
    <w:lvl w:ilvl="6">
      <w:start w:val="0"/>
      <w:numFmt w:val="bullet"/>
      <w:lvlText w:val="•"/>
      <w:lvlJc w:val="left"/>
      <w:pPr>
        <w:ind w:left="3115" w:hanging="193"/>
      </w:pPr>
      <w:rPr>
        <w:rFonts w:hint="default"/>
      </w:rPr>
    </w:lvl>
    <w:lvl w:ilvl="7">
      <w:start w:val="0"/>
      <w:numFmt w:val="bullet"/>
      <w:lvlText w:val="•"/>
      <w:lvlJc w:val="left"/>
      <w:pPr>
        <w:ind w:left="3587" w:hanging="193"/>
      </w:pPr>
      <w:rPr>
        <w:rFonts w:hint="default"/>
      </w:rPr>
    </w:lvl>
    <w:lvl w:ilvl="8">
      <w:start w:val="0"/>
      <w:numFmt w:val="bullet"/>
      <w:lvlText w:val="•"/>
      <w:lvlJc w:val="left"/>
      <w:pPr>
        <w:ind w:left="4060" w:hanging="193"/>
      </w:pPr>
      <w:rPr>
        <w:rFonts w:hint="default"/>
      </w:rPr>
    </w:lvl>
  </w:abstractNum>
  <w:abstractNum w:abstractNumId="26">
    <w:multiLevelType w:val="hybridMultilevel"/>
    <w:lvl w:ilvl="0">
      <w:start w:val="0"/>
      <w:numFmt w:val="bullet"/>
      <w:lvlText w:val="•"/>
      <w:lvlJc w:val="left"/>
      <w:pPr>
        <w:ind w:left="1846" w:hanging="192"/>
      </w:pPr>
      <w:rPr>
        <w:rFonts w:hint="default" w:ascii="Calibri" w:hAnsi="Calibri" w:eastAsia="Calibri" w:cs="Calibri"/>
        <w:color w:val="004A61"/>
        <w:w w:val="122"/>
        <w:sz w:val="18"/>
        <w:szCs w:val="18"/>
      </w:rPr>
    </w:lvl>
    <w:lvl w:ilvl="1">
      <w:start w:val="0"/>
      <w:numFmt w:val="bullet"/>
      <w:lvlText w:val="•"/>
      <w:lvlJc w:val="left"/>
      <w:pPr>
        <w:ind w:left="2694" w:hanging="192"/>
      </w:pPr>
      <w:rPr>
        <w:rFonts w:hint="default"/>
      </w:rPr>
    </w:lvl>
    <w:lvl w:ilvl="2">
      <w:start w:val="0"/>
      <w:numFmt w:val="bullet"/>
      <w:lvlText w:val="•"/>
      <w:lvlJc w:val="left"/>
      <w:pPr>
        <w:ind w:left="3548" w:hanging="192"/>
      </w:pPr>
      <w:rPr>
        <w:rFonts w:hint="default"/>
      </w:rPr>
    </w:lvl>
    <w:lvl w:ilvl="3">
      <w:start w:val="0"/>
      <w:numFmt w:val="bullet"/>
      <w:lvlText w:val="•"/>
      <w:lvlJc w:val="left"/>
      <w:pPr>
        <w:ind w:left="4402" w:hanging="192"/>
      </w:pPr>
      <w:rPr>
        <w:rFonts w:hint="default"/>
      </w:rPr>
    </w:lvl>
    <w:lvl w:ilvl="4">
      <w:start w:val="0"/>
      <w:numFmt w:val="bullet"/>
      <w:lvlText w:val="•"/>
      <w:lvlJc w:val="left"/>
      <w:pPr>
        <w:ind w:left="5256" w:hanging="192"/>
      </w:pPr>
      <w:rPr>
        <w:rFonts w:hint="default"/>
      </w:rPr>
    </w:lvl>
    <w:lvl w:ilvl="5">
      <w:start w:val="0"/>
      <w:numFmt w:val="bullet"/>
      <w:lvlText w:val="•"/>
      <w:lvlJc w:val="left"/>
      <w:pPr>
        <w:ind w:left="6110" w:hanging="192"/>
      </w:pPr>
      <w:rPr>
        <w:rFonts w:hint="default"/>
      </w:rPr>
    </w:lvl>
    <w:lvl w:ilvl="6">
      <w:start w:val="0"/>
      <w:numFmt w:val="bullet"/>
      <w:lvlText w:val="•"/>
      <w:lvlJc w:val="left"/>
      <w:pPr>
        <w:ind w:left="6964" w:hanging="192"/>
      </w:pPr>
      <w:rPr>
        <w:rFonts w:hint="default"/>
      </w:rPr>
    </w:lvl>
    <w:lvl w:ilvl="7">
      <w:start w:val="0"/>
      <w:numFmt w:val="bullet"/>
      <w:lvlText w:val="•"/>
      <w:lvlJc w:val="left"/>
      <w:pPr>
        <w:ind w:left="7818" w:hanging="192"/>
      </w:pPr>
      <w:rPr>
        <w:rFonts w:hint="default"/>
      </w:rPr>
    </w:lvl>
    <w:lvl w:ilvl="8">
      <w:start w:val="0"/>
      <w:numFmt w:val="bullet"/>
      <w:lvlText w:val="•"/>
      <w:lvlJc w:val="left"/>
      <w:pPr>
        <w:ind w:left="8672" w:hanging="192"/>
      </w:pPr>
      <w:rPr>
        <w:rFonts w:hint="default"/>
      </w:rPr>
    </w:lvl>
  </w:abstractNum>
  <w:abstractNum w:abstractNumId="24">
    <w:multiLevelType w:val="hybridMultilevel"/>
    <w:lvl w:ilvl="0">
      <w:start w:val="0"/>
      <w:numFmt w:val="bullet"/>
      <w:lvlText w:val="-"/>
      <w:lvlJc w:val="left"/>
      <w:pPr>
        <w:ind w:left="716" w:hanging="270"/>
      </w:pPr>
      <w:rPr>
        <w:rFonts w:hint="default" w:ascii="Arial" w:hAnsi="Arial" w:eastAsia="Arial" w:cs="Arial"/>
        <w:color w:val="137692"/>
        <w:w w:val="175"/>
        <w:sz w:val="24"/>
        <w:szCs w:val="24"/>
      </w:rPr>
    </w:lvl>
    <w:lvl w:ilvl="1">
      <w:start w:val="0"/>
      <w:numFmt w:val="bullet"/>
      <w:lvlText w:val="•"/>
      <w:lvlJc w:val="left"/>
      <w:pPr>
        <w:ind w:left="1164" w:hanging="270"/>
      </w:pPr>
      <w:rPr>
        <w:rFonts w:hint="default"/>
      </w:rPr>
    </w:lvl>
    <w:lvl w:ilvl="2">
      <w:start w:val="0"/>
      <w:numFmt w:val="bullet"/>
      <w:lvlText w:val="•"/>
      <w:lvlJc w:val="left"/>
      <w:pPr>
        <w:ind w:left="1608" w:hanging="270"/>
      </w:pPr>
      <w:rPr>
        <w:rFonts w:hint="default"/>
      </w:rPr>
    </w:lvl>
    <w:lvl w:ilvl="3">
      <w:start w:val="0"/>
      <w:numFmt w:val="bullet"/>
      <w:lvlText w:val="•"/>
      <w:lvlJc w:val="left"/>
      <w:pPr>
        <w:ind w:left="2052" w:hanging="270"/>
      </w:pPr>
      <w:rPr>
        <w:rFonts w:hint="default"/>
      </w:rPr>
    </w:lvl>
    <w:lvl w:ilvl="4">
      <w:start w:val="0"/>
      <w:numFmt w:val="bullet"/>
      <w:lvlText w:val="•"/>
      <w:lvlJc w:val="left"/>
      <w:pPr>
        <w:ind w:left="2496" w:hanging="270"/>
      </w:pPr>
      <w:rPr>
        <w:rFonts w:hint="default"/>
      </w:rPr>
    </w:lvl>
    <w:lvl w:ilvl="5">
      <w:start w:val="0"/>
      <w:numFmt w:val="bullet"/>
      <w:lvlText w:val="•"/>
      <w:lvlJc w:val="left"/>
      <w:pPr>
        <w:ind w:left="2939" w:hanging="270"/>
      </w:pPr>
      <w:rPr>
        <w:rFonts w:hint="default"/>
      </w:rPr>
    </w:lvl>
    <w:lvl w:ilvl="6">
      <w:start w:val="0"/>
      <w:numFmt w:val="bullet"/>
      <w:lvlText w:val="•"/>
      <w:lvlJc w:val="left"/>
      <w:pPr>
        <w:ind w:left="3383" w:hanging="270"/>
      </w:pPr>
      <w:rPr>
        <w:rFonts w:hint="default"/>
      </w:rPr>
    </w:lvl>
    <w:lvl w:ilvl="7">
      <w:start w:val="0"/>
      <w:numFmt w:val="bullet"/>
      <w:lvlText w:val="•"/>
      <w:lvlJc w:val="left"/>
      <w:pPr>
        <w:ind w:left="3827" w:hanging="270"/>
      </w:pPr>
      <w:rPr>
        <w:rFonts w:hint="default"/>
      </w:rPr>
    </w:lvl>
    <w:lvl w:ilvl="8">
      <w:start w:val="0"/>
      <w:numFmt w:val="bullet"/>
      <w:lvlText w:val="•"/>
      <w:lvlJc w:val="left"/>
      <w:pPr>
        <w:ind w:left="4271" w:hanging="270"/>
      </w:pPr>
      <w:rPr>
        <w:rFonts w:hint="default"/>
      </w:rPr>
    </w:lvl>
  </w:abstractNum>
  <w:abstractNum w:abstractNumId="23">
    <w:multiLevelType w:val="hybridMultilevel"/>
    <w:lvl w:ilvl="0">
      <w:start w:val="0"/>
      <w:numFmt w:val="bullet"/>
      <w:lvlText w:val="-"/>
      <w:lvlJc w:val="left"/>
      <w:pPr>
        <w:ind w:left="510" w:hanging="180"/>
      </w:pPr>
      <w:rPr>
        <w:rFonts w:hint="default" w:ascii="Arial" w:hAnsi="Arial" w:eastAsia="Arial" w:cs="Arial"/>
        <w:color w:val="137692"/>
        <w:w w:val="100"/>
        <w:position w:val="-3"/>
        <w:sz w:val="28"/>
        <w:szCs w:val="28"/>
      </w:rPr>
    </w:lvl>
    <w:lvl w:ilvl="1">
      <w:start w:val="0"/>
      <w:numFmt w:val="bullet"/>
      <w:lvlText w:val="•"/>
      <w:lvlJc w:val="left"/>
      <w:pPr>
        <w:ind w:left="984" w:hanging="180"/>
      </w:pPr>
      <w:rPr>
        <w:rFonts w:hint="default"/>
      </w:rPr>
    </w:lvl>
    <w:lvl w:ilvl="2">
      <w:start w:val="0"/>
      <w:numFmt w:val="bullet"/>
      <w:lvlText w:val="•"/>
      <w:lvlJc w:val="left"/>
      <w:pPr>
        <w:ind w:left="1448" w:hanging="180"/>
      </w:pPr>
      <w:rPr>
        <w:rFonts w:hint="default"/>
      </w:rPr>
    </w:lvl>
    <w:lvl w:ilvl="3">
      <w:start w:val="0"/>
      <w:numFmt w:val="bullet"/>
      <w:lvlText w:val="•"/>
      <w:lvlJc w:val="left"/>
      <w:pPr>
        <w:ind w:left="1912" w:hanging="180"/>
      </w:pPr>
      <w:rPr>
        <w:rFonts w:hint="default"/>
      </w:rPr>
    </w:lvl>
    <w:lvl w:ilvl="4">
      <w:start w:val="0"/>
      <w:numFmt w:val="bullet"/>
      <w:lvlText w:val="•"/>
      <w:lvlJc w:val="left"/>
      <w:pPr>
        <w:ind w:left="2376" w:hanging="180"/>
      </w:pPr>
      <w:rPr>
        <w:rFonts w:hint="default"/>
      </w:rPr>
    </w:lvl>
    <w:lvl w:ilvl="5">
      <w:start w:val="0"/>
      <w:numFmt w:val="bullet"/>
      <w:lvlText w:val="•"/>
      <w:lvlJc w:val="left"/>
      <w:pPr>
        <w:ind w:left="2840" w:hanging="180"/>
      </w:pPr>
      <w:rPr>
        <w:rFonts w:hint="default"/>
      </w:rPr>
    </w:lvl>
    <w:lvl w:ilvl="6">
      <w:start w:val="0"/>
      <w:numFmt w:val="bullet"/>
      <w:lvlText w:val="•"/>
      <w:lvlJc w:val="left"/>
      <w:pPr>
        <w:ind w:left="3304" w:hanging="180"/>
      </w:pPr>
      <w:rPr>
        <w:rFonts w:hint="default"/>
      </w:rPr>
    </w:lvl>
    <w:lvl w:ilvl="7">
      <w:start w:val="0"/>
      <w:numFmt w:val="bullet"/>
      <w:lvlText w:val="•"/>
      <w:lvlJc w:val="left"/>
      <w:pPr>
        <w:ind w:left="3768" w:hanging="180"/>
      </w:pPr>
      <w:rPr>
        <w:rFonts w:hint="default"/>
      </w:rPr>
    </w:lvl>
    <w:lvl w:ilvl="8">
      <w:start w:val="0"/>
      <w:numFmt w:val="bullet"/>
      <w:lvlText w:val="•"/>
      <w:lvlJc w:val="left"/>
      <w:pPr>
        <w:ind w:left="4232" w:hanging="180"/>
      </w:pPr>
      <w:rPr>
        <w:rFonts w:hint="default"/>
      </w:rPr>
    </w:lvl>
  </w:abstractNum>
  <w:abstractNum w:abstractNumId="22">
    <w:multiLevelType w:val="hybridMultilevel"/>
    <w:lvl w:ilvl="0">
      <w:start w:val="0"/>
      <w:numFmt w:val="bullet"/>
      <w:lvlText w:val="-"/>
      <w:lvlJc w:val="left"/>
      <w:pPr>
        <w:ind w:left="715" w:hanging="270"/>
      </w:pPr>
      <w:rPr>
        <w:rFonts w:hint="default"/>
        <w:w w:val="175"/>
      </w:rPr>
    </w:lvl>
    <w:lvl w:ilvl="1">
      <w:start w:val="0"/>
      <w:numFmt w:val="bullet"/>
      <w:lvlText w:val="•"/>
      <w:lvlJc w:val="left"/>
      <w:pPr>
        <w:ind w:left="1164" w:hanging="270"/>
      </w:pPr>
      <w:rPr>
        <w:rFonts w:hint="default"/>
      </w:rPr>
    </w:lvl>
    <w:lvl w:ilvl="2">
      <w:start w:val="0"/>
      <w:numFmt w:val="bullet"/>
      <w:lvlText w:val="•"/>
      <w:lvlJc w:val="left"/>
      <w:pPr>
        <w:ind w:left="1608" w:hanging="270"/>
      </w:pPr>
      <w:rPr>
        <w:rFonts w:hint="default"/>
      </w:rPr>
    </w:lvl>
    <w:lvl w:ilvl="3">
      <w:start w:val="0"/>
      <w:numFmt w:val="bullet"/>
      <w:lvlText w:val="•"/>
      <w:lvlJc w:val="left"/>
      <w:pPr>
        <w:ind w:left="2052" w:hanging="270"/>
      </w:pPr>
      <w:rPr>
        <w:rFonts w:hint="default"/>
      </w:rPr>
    </w:lvl>
    <w:lvl w:ilvl="4">
      <w:start w:val="0"/>
      <w:numFmt w:val="bullet"/>
      <w:lvlText w:val="•"/>
      <w:lvlJc w:val="left"/>
      <w:pPr>
        <w:ind w:left="2495" w:hanging="270"/>
      </w:pPr>
      <w:rPr>
        <w:rFonts w:hint="default"/>
      </w:rPr>
    </w:lvl>
    <w:lvl w:ilvl="5">
      <w:start w:val="0"/>
      <w:numFmt w:val="bullet"/>
      <w:lvlText w:val="•"/>
      <w:lvlJc w:val="left"/>
      <w:pPr>
        <w:ind w:left="2939" w:hanging="270"/>
      </w:pPr>
      <w:rPr>
        <w:rFonts w:hint="default"/>
      </w:rPr>
    </w:lvl>
    <w:lvl w:ilvl="6">
      <w:start w:val="0"/>
      <w:numFmt w:val="bullet"/>
      <w:lvlText w:val="•"/>
      <w:lvlJc w:val="left"/>
      <w:pPr>
        <w:ind w:left="3383" w:hanging="270"/>
      </w:pPr>
      <w:rPr>
        <w:rFonts w:hint="default"/>
      </w:rPr>
    </w:lvl>
    <w:lvl w:ilvl="7">
      <w:start w:val="0"/>
      <w:numFmt w:val="bullet"/>
      <w:lvlText w:val="•"/>
      <w:lvlJc w:val="left"/>
      <w:pPr>
        <w:ind w:left="3827" w:hanging="270"/>
      </w:pPr>
      <w:rPr>
        <w:rFonts w:hint="default"/>
      </w:rPr>
    </w:lvl>
    <w:lvl w:ilvl="8">
      <w:start w:val="0"/>
      <w:numFmt w:val="bullet"/>
      <w:lvlText w:val="•"/>
      <w:lvlJc w:val="left"/>
      <w:pPr>
        <w:ind w:left="4271" w:hanging="270"/>
      </w:pPr>
      <w:rPr>
        <w:rFonts w:hint="default"/>
      </w:rPr>
    </w:lvl>
  </w:abstractNum>
  <w:abstractNum w:abstractNumId="21">
    <w:multiLevelType w:val="hybridMultilevel"/>
    <w:lvl w:ilvl="0">
      <w:start w:val="0"/>
      <w:numFmt w:val="bullet"/>
      <w:lvlText w:val="-"/>
      <w:lvlJc w:val="left"/>
      <w:pPr>
        <w:ind w:left="716" w:hanging="270"/>
      </w:pPr>
      <w:rPr>
        <w:rFonts w:hint="default" w:ascii="Arial" w:hAnsi="Arial" w:eastAsia="Arial" w:cs="Arial"/>
        <w:color w:val="137692"/>
        <w:w w:val="175"/>
        <w:sz w:val="24"/>
        <w:szCs w:val="24"/>
      </w:rPr>
    </w:lvl>
    <w:lvl w:ilvl="1">
      <w:start w:val="0"/>
      <w:numFmt w:val="bullet"/>
      <w:lvlText w:val="•"/>
      <w:lvlJc w:val="left"/>
      <w:pPr>
        <w:ind w:left="1151" w:hanging="270"/>
      </w:pPr>
      <w:rPr>
        <w:rFonts w:hint="default"/>
      </w:rPr>
    </w:lvl>
    <w:lvl w:ilvl="2">
      <w:start w:val="0"/>
      <w:numFmt w:val="bullet"/>
      <w:lvlText w:val="•"/>
      <w:lvlJc w:val="left"/>
      <w:pPr>
        <w:ind w:left="1583" w:hanging="270"/>
      </w:pPr>
      <w:rPr>
        <w:rFonts w:hint="default"/>
      </w:rPr>
    </w:lvl>
    <w:lvl w:ilvl="3">
      <w:start w:val="0"/>
      <w:numFmt w:val="bullet"/>
      <w:lvlText w:val="•"/>
      <w:lvlJc w:val="left"/>
      <w:pPr>
        <w:ind w:left="2014" w:hanging="270"/>
      </w:pPr>
      <w:rPr>
        <w:rFonts w:hint="default"/>
      </w:rPr>
    </w:lvl>
    <w:lvl w:ilvl="4">
      <w:start w:val="0"/>
      <w:numFmt w:val="bullet"/>
      <w:lvlText w:val="•"/>
      <w:lvlJc w:val="left"/>
      <w:pPr>
        <w:ind w:left="2446" w:hanging="270"/>
      </w:pPr>
      <w:rPr>
        <w:rFonts w:hint="default"/>
      </w:rPr>
    </w:lvl>
    <w:lvl w:ilvl="5">
      <w:start w:val="0"/>
      <w:numFmt w:val="bullet"/>
      <w:lvlText w:val="•"/>
      <w:lvlJc w:val="left"/>
      <w:pPr>
        <w:ind w:left="2877" w:hanging="270"/>
      </w:pPr>
      <w:rPr>
        <w:rFonts w:hint="default"/>
      </w:rPr>
    </w:lvl>
    <w:lvl w:ilvl="6">
      <w:start w:val="0"/>
      <w:numFmt w:val="bullet"/>
      <w:lvlText w:val="•"/>
      <w:lvlJc w:val="left"/>
      <w:pPr>
        <w:ind w:left="3309" w:hanging="270"/>
      </w:pPr>
      <w:rPr>
        <w:rFonts w:hint="default"/>
      </w:rPr>
    </w:lvl>
    <w:lvl w:ilvl="7">
      <w:start w:val="0"/>
      <w:numFmt w:val="bullet"/>
      <w:lvlText w:val="•"/>
      <w:lvlJc w:val="left"/>
      <w:pPr>
        <w:ind w:left="3740" w:hanging="270"/>
      </w:pPr>
      <w:rPr>
        <w:rFonts w:hint="default"/>
      </w:rPr>
    </w:lvl>
    <w:lvl w:ilvl="8">
      <w:start w:val="0"/>
      <w:numFmt w:val="bullet"/>
      <w:lvlText w:val="•"/>
      <w:lvlJc w:val="left"/>
      <w:pPr>
        <w:ind w:left="4172" w:hanging="270"/>
      </w:pPr>
      <w:rPr>
        <w:rFonts w:hint="default"/>
      </w:rPr>
    </w:lvl>
  </w:abstractNum>
  <w:abstractNum w:abstractNumId="20">
    <w:multiLevelType w:val="hybridMultilevel"/>
    <w:lvl w:ilvl="0">
      <w:start w:val="0"/>
      <w:numFmt w:val="bullet"/>
      <w:lvlText w:val="-"/>
      <w:lvlJc w:val="left"/>
      <w:pPr>
        <w:ind w:left="716" w:hanging="270"/>
      </w:pPr>
      <w:rPr>
        <w:rFonts w:hint="default" w:ascii="Arial" w:hAnsi="Arial" w:eastAsia="Arial" w:cs="Arial"/>
        <w:color w:val="137692"/>
        <w:w w:val="175"/>
        <w:sz w:val="24"/>
        <w:szCs w:val="24"/>
      </w:rPr>
    </w:lvl>
    <w:lvl w:ilvl="1">
      <w:start w:val="0"/>
      <w:numFmt w:val="bullet"/>
      <w:lvlText w:val="•"/>
      <w:lvlJc w:val="left"/>
      <w:pPr>
        <w:ind w:left="1151" w:hanging="270"/>
      </w:pPr>
      <w:rPr>
        <w:rFonts w:hint="default"/>
      </w:rPr>
    </w:lvl>
    <w:lvl w:ilvl="2">
      <w:start w:val="0"/>
      <w:numFmt w:val="bullet"/>
      <w:lvlText w:val="•"/>
      <w:lvlJc w:val="left"/>
      <w:pPr>
        <w:ind w:left="1583" w:hanging="270"/>
      </w:pPr>
      <w:rPr>
        <w:rFonts w:hint="default"/>
      </w:rPr>
    </w:lvl>
    <w:lvl w:ilvl="3">
      <w:start w:val="0"/>
      <w:numFmt w:val="bullet"/>
      <w:lvlText w:val="•"/>
      <w:lvlJc w:val="left"/>
      <w:pPr>
        <w:ind w:left="2014" w:hanging="270"/>
      </w:pPr>
      <w:rPr>
        <w:rFonts w:hint="default"/>
      </w:rPr>
    </w:lvl>
    <w:lvl w:ilvl="4">
      <w:start w:val="0"/>
      <w:numFmt w:val="bullet"/>
      <w:lvlText w:val="•"/>
      <w:lvlJc w:val="left"/>
      <w:pPr>
        <w:ind w:left="2446" w:hanging="270"/>
      </w:pPr>
      <w:rPr>
        <w:rFonts w:hint="default"/>
      </w:rPr>
    </w:lvl>
    <w:lvl w:ilvl="5">
      <w:start w:val="0"/>
      <w:numFmt w:val="bullet"/>
      <w:lvlText w:val="•"/>
      <w:lvlJc w:val="left"/>
      <w:pPr>
        <w:ind w:left="2877" w:hanging="270"/>
      </w:pPr>
      <w:rPr>
        <w:rFonts w:hint="default"/>
      </w:rPr>
    </w:lvl>
    <w:lvl w:ilvl="6">
      <w:start w:val="0"/>
      <w:numFmt w:val="bullet"/>
      <w:lvlText w:val="•"/>
      <w:lvlJc w:val="left"/>
      <w:pPr>
        <w:ind w:left="3309" w:hanging="270"/>
      </w:pPr>
      <w:rPr>
        <w:rFonts w:hint="default"/>
      </w:rPr>
    </w:lvl>
    <w:lvl w:ilvl="7">
      <w:start w:val="0"/>
      <w:numFmt w:val="bullet"/>
      <w:lvlText w:val="•"/>
      <w:lvlJc w:val="left"/>
      <w:pPr>
        <w:ind w:left="3740" w:hanging="270"/>
      </w:pPr>
      <w:rPr>
        <w:rFonts w:hint="default"/>
      </w:rPr>
    </w:lvl>
    <w:lvl w:ilvl="8">
      <w:start w:val="0"/>
      <w:numFmt w:val="bullet"/>
      <w:lvlText w:val="•"/>
      <w:lvlJc w:val="left"/>
      <w:pPr>
        <w:ind w:left="4172" w:hanging="270"/>
      </w:pPr>
      <w:rPr>
        <w:rFonts w:hint="default"/>
      </w:rPr>
    </w:lvl>
  </w:abstractNum>
  <w:abstractNum w:abstractNumId="19">
    <w:multiLevelType w:val="hybridMultilevel"/>
    <w:lvl w:ilvl="0">
      <w:start w:val="1"/>
      <w:numFmt w:val="decimal"/>
      <w:lvlText w:val="%1."/>
      <w:lvlJc w:val="left"/>
      <w:pPr>
        <w:ind w:left="780" w:hanging="360"/>
        <w:jc w:val="left"/>
      </w:pPr>
      <w:rPr>
        <w:rFonts w:hint="default" w:ascii="Arial" w:hAnsi="Arial" w:eastAsia="Arial" w:cs="Arial"/>
        <w:b/>
        <w:bCs/>
        <w:color w:val="137692"/>
        <w:w w:val="74"/>
        <w:sz w:val="18"/>
        <w:szCs w:val="18"/>
      </w:rPr>
    </w:lvl>
    <w:lvl w:ilvl="1">
      <w:start w:val="0"/>
      <w:numFmt w:val="bullet"/>
      <w:lvlText w:val="•"/>
      <w:lvlJc w:val="left"/>
      <w:pPr>
        <w:ind w:left="174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6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80" w:hanging="360"/>
      </w:pPr>
      <w:rPr>
        <w:rFonts w:hint="default"/>
      </w:rPr>
    </w:lvl>
    <w:lvl w:ilvl="6">
      <w:start w:val="0"/>
      <w:numFmt w:val="bullet"/>
      <w:lvlText w:val="•"/>
      <w:lvlJc w:val="left"/>
      <w:pPr>
        <w:ind w:left="6540" w:hanging="360"/>
      </w:pPr>
      <w:rPr>
        <w:rFonts w:hint="default"/>
      </w:rPr>
    </w:lvl>
    <w:lvl w:ilvl="7">
      <w:start w:val="0"/>
      <w:numFmt w:val="bullet"/>
      <w:lvlText w:val="•"/>
      <w:lvlJc w:val="left"/>
      <w:pPr>
        <w:ind w:left="7500" w:hanging="360"/>
      </w:pPr>
      <w:rPr>
        <w:rFonts w:hint="default"/>
      </w:rPr>
    </w:lvl>
    <w:lvl w:ilvl="8">
      <w:start w:val="0"/>
      <w:numFmt w:val="bullet"/>
      <w:lvlText w:val="•"/>
      <w:lvlJc w:val="left"/>
      <w:pPr>
        <w:ind w:left="8460" w:hanging="360"/>
      </w:pPr>
      <w:rPr>
        <w:rFonts w:hint="default"/>
      </w:rPr>
    </w:lvl>
  </w:abstractNum>
  <w:abstractNum w:abstractNumId="17">
    <w:multiLevelType w:val="hybridMultilevel"/>
    <w:lvl w:ilvl="0">
      <w:start w:val="0"/>
      <w:numFmt w:val="bullet"/>
      <w:lvlText w:val="-"/>
      <w:lvlJc w:val="left"/>
      <w:pPr>
        <w:ind w:left="711" w:hanging="270"/>
      </w:pPr>
      <w:rPr>
        <w:rFonts w:hint="default" w:ascii="Arial" w:hAnsi="Arial" w:eastAsia="Arial" w:cs="Arial"/>
        <w:color w:val="137692"/>
        <w:w w:val="175"/>
        <w:sz w:val="24"/>
        <w:szCs w:val="24"/>
      </w:rPr>
    </w:lvl>
    <w:lvl w:ilvl="1">
      <w:start w:val="0"/>
      <w:numFmt w:val="bullet"/>
      <w:lvlText w:val="•"/>
      <w:lvlJc w:val="left"/>
      <w:pPr>
        <w:ind w:left="1145" w:hanging="270"/>
      </w:pPr>
      <w:rPr>
        <w:rFonts w:hint="default"/>
      </w:rPr>
    </w:lvl>
    <w:lvl w:ilvl="2">
      <w:start w:val="0"/>
      <w:numFmt w:val="bullet"/>
      <w:lvlText w:val="•"/>
      <w:lvlJc w:val="left"/>
      <w:pPr>
        <w:ind w:left="1571" w:hanging="270"/>
      </w:pPr>
      <w:rPr>
        <w:rFonts w:hint="default"/>
      </w:rPr>
    </w:lvl>
    <w:lvl w:ilvl="3">
      <w:start w:val="0"/>
      <w:numFmt w:val="bullet"/>
      <w:lvlText w:val="•"/>
      <w:lvlJc w:val="left"/>
      <w:pPr>
        <w:ind w:left="1997" w:hanging="270"/>
      </w:pPr>
      <w:rPr>
        <w:rFonts w:hint="default"/>
      </w:rPr>
    </w:lvl>
    <w:lvl w:ilvl="4">
      <w:start w:val="0"/>
      <w:numFmt w:val="bullet"/>
      <w:lvlText w:val="•"/>
      <w:lvlJc w:val="left"/>
      <w:pPr>
        <w:ind w:left="2423" w:hanging="270"/>
      </w:pPr>
      <w:rPr>
        <w:rFonts w:hint="default"/>
      </w:rPr>
    </w:lvl>
    <w:lvl w:ilvl="5">
      <w:start w:val="0"/>
      <w:numFmt w:val="bullet"/>
      <w:lvlText w:val="•"/>
      <w:lvlJc w:val="left"/>
      <w:pPr>
        <w:ind w:left="2849" w:hanging="270"/>
      </w:pPr>
      <w:rPr>
        <w:rFonts w:hint="default"/>
      </w:rPr>
    </w:lvl>
    <w:lvl w:ilvl="6">
      <w:start w:val="0"/>
      <w:numFmt w:val="bullet"/>
      <w:lvlText w:val="•"/>
      <w:lvlJc w:val="left"/>
      <w:pPr>
        <w:ind w:left="3275" w:hanging="270"/>
      </w:pPr>
      <w:rPr>
        <w:rFonts w:hint="default"/>
      </w:rPr>
    </w:lvl>
    <w:lvl w:ilvl="7">
      <w:start w:val="0"/>
      <w:numFmt w:val="bullet"/>
      <w:lvlText w:val="•"/>
      <w:lvlJc w:val="left"/>
      <w:pPr>
        <w:ind w:left="3701" w:hanging="270"/>
      </w:pPr>
      <w:rPr>
        <w:rFonts w:hint="default"/>
      </w:rPr>
    </w:lvl>
    <w:lvl w:ilvl="8">
      <w:start w:val="0"/>
      <w:numFmt w:val="bullet"/>
      <w:lvlText w:val="•"/>
      <w:lvlJc w:val="left"/>
      <w:pPr>
        <w:ind w:left="4127" w:hanging="270"/>
      </w:pPr>
      <w:rPr>
        <w:rFonts w:hint="default"/>
      </w:rPr>
    </w:lvl>
  </w:abstractNum>
  <w:abstractNum w:abstractNumId="16">
    <w:multiLevelType w:val="hybridMultilevel"/>
    <w:lvl w:ilvl="0">
      <w:start w:val="0"/>
      <w:numFmt w:val="bullet"/>
      <w:lvlText w:val="-"/>
      <w:lvlJc w:val="left"/>
      <w:pPr>
        <w:ind w:left="715" w:hanging="270"/>
      </w:pPr>
      <w:rPr>
        <w:rFonts w:hint="default" w:ascii="Arial" w:hAnsi="Arial" w:eastAsia="Arial" w:cs="Arial"/>
        <w:color w:val="137692"/>
        <w:w w:val="175"/>
        <w:sz w:val="24"/>
        <w:szCs w:val="24"/>
      </w:rPr>
    </w:lvl>
    <w:lvl w:ilvl="1">
      <w:start w:val="0"/>
      <w:numFmt w:val="bullet"/>
      <w:lvlText w:val="•"/>
      <w:lvlJc w:val="left"/>
      <w:pPr>
        <w:ind w:left="1147" w:hanging="270"/>
      </w:pPr>
      <w:rPr>
        <w:rFonts w:hint="default"/>
      </w:rPr>
    </w:lvl>
    <w:lvl w:ilvl="2">
      <w:start w:val="0"/>
      <w:numFmt w:val="bullet"/>
      <w:lvlText w:val="•"/>
      <w:lvlJc w:val="left"/>
      <w:pPr>
        <w:ind w:left="1575" w:hanging="270"/>
      </w:pPr>
      <w:rPr>
        <w:rFonts w:hint="default"/>
      </w:rPr>
    </w:lvl>
    <w:lvl w:ilvl="3">
      <w:start w:val="0"/>
      <w:numFmt w:val="bullet"/>
      <w:lvlText w:val="•"/>
      <w:lvlJc w:val="left"/>
      <w:pPr>
        <w:ind w:left="2003" w:hanging="270"/>
      </w:pPr>
      <w:rPr>
        <w:rFonts w:hint="default"/>
      </w:rPr>
    </w:lvl>
    <w:lvl w:ilvl="4">
      <w:start w:val="0"/>
      <w:numFmt w:val="bullet"/>
      <w:lvlText w:val="•"/>
      <w:lvlJc w:val="left"/>
      <w:pPr>
        <w:ind w:left="2431" w:hanging="270"/>
      </w:pPr>
      <w:rPr>
        <w:rFonts w:hint="default"/>
      </w:rPr>
    </w:lvl>
    <w:lvl w:ilvl="5">
      <w:start w:val="0"/>
      <w:numFmt w:val="bullet"/>
      <w:lvlText w:val="•"/>
      <w:lvlJc w:val="left"/>
      <w:pPr>
        <w:ind w:left="2859" w:hanging="270"/>
      </w:pPr>
      <w:rPr>
        <w:rFonts w:hint="default"/>
      </w:rPr>
    </w:lvl>
    <w:lvl w:ilvl="6">
      <w:start w:val="0"/>
      <w:numFmt w:val="bullet"/>
      <w:lvlText w:val="•"/>
      <w:lvlJc w:val="left"/>
      <w:pPr>
        <w:ind w:left="3287" w:hanging="270"/>
      </w:pPr>
      <w:rPr>
        <w:rFonts w:hint="default"/>
      </w:rPr>
    </w:lvl>
    <w:lvl w:ilvl="7">
      <w:start w:val="0"/>
      <w:numFmt w:val="bullet"/>
      <w:lvlText w:val="•"/>
      <w:lvlJc w:val="left"/>
      <w:pPr>
        <w:ind w:left="3715" w:hanging="270"/>
      </w:pPr>
      <w:rPr>
        <w:rFonts w:hint="default"/>
      </w:rPr>
    </w:lvl>
    <w:lvl w:ilvl="8">
      <w:start w:val="0"/>
      <w:numFmt w:val="bullet"/>
      <w:lvlText w:val="•"/>
      <w:lvlJc w:val="left"/>
      <w:pPr>
        <w:ind w:left="4143" w:hanging="270"/>
      </w:pPr>
      <w:rPr>
        <w:rFonts w:hint="default"/>
      </w:rPr>
    </w:lvl>
  </w:abstractNum>
  <w:abstractNum w:abstractNumId="15">
    <w:multiLevelType w:val="hybridMultilevel"/>
    <w:lvl w:ilvl="0">
      <w:start w:val="0"/>
      <w:numFmt w:val="bullet"/>
      <w:lvlText w:val="-"/>
      <w:lvlJc w:val="left"/>
      <w:pPr>
        <w:ind w:left="716" w:hanging="270"/>
      </w:pPr>
      <w:rPr>
        <w:rFonts w:hint="default" w:ascii="Arial" w:hAnsi="Arial" w:eastAsia="Arial" w:cs="Arial"/>
        <w:color w:val="137692"/>
        <w:w w:val="175"/>
        <w:sz w:val="24"/>
        <w:szCs w:val="24"/>
      </w:rPr>
    </w:lvl>
    <w:lvl w:ilvl="1">
      <w:start w:val="0"/>
      <w:numFmt w:val="bullet"/>
      <w:lvlText w:val="•"/>
      <w:lvlJc w:val="left"/>
      <w:pPr>
        <w:ind w:left="950" w:hanging="270"/>
      </w:pPr>
      <w:rPr>
        <w:rFonts w:hint="default" w:ascii="Arial" w:hAnsi="Arial" w:eastAsia="Arial" w:cs="Arial"/>
        <w:color w:val="137692"/>
        <w:w w:val="100"/>
        <w:position w:val="-3"/>
        <w:sz w:val="28"/>
        <w:szCs w:val="28"/>
      </w:rPr>
    </w:lvl>
    <w:lvl w:ilvl="2">
      <w:start w:val="0"/>
      <w:numFmt w:val="bullet"/>
      <w:lvlText w:val="•"/>
      <w:lvlJc w:val="left"/>
      <w:pPr>
        <w:ind w:left="1409" w:hanging="270"/>
      </w:pPr>
      <w:rPr>
        <w:rFonts w:hint="default"/>
      </w:rPr>
    </w:lvl>
    <w:lvl w:ilvl="3">
      <w:start w:val="0"/>
      <w:numFmt w:val="bullet"/>
      <w:lvlText w:val="•"/>
      <w:lvlJc w:val="left"/>
      <w:pPr>
        <w:ind w:left="1859" w:hanging="270"/>
      </w:pPr>
      <w:rPr>
        <w:rFonts w:hint="default"/>
      </w:rPr>
    </w:lvl>
    <w:lvl w:ilvl="4">
      <w:start w:val="0"/>
      <w:numFmt w:val="bullet"/>
      <w:lvlText w:val="•"/>
      <w:lvlJc w:val="left"/>
      <w:pPr>
        <w:ind w:left="2309" w:hanging="270"/>
      </w:pPr>
      <w:rPr>
        <w:rFonts w:hint="default"/>
      </w:rPr>
    </w:lvl>
    <w:lvl w:ilvl="5">
      <w:start w:val="0"/>
      <w:numFmt w:val="bullet"/>
      <w:lvlText w:val="•"/>
      <w:lvlJc w:val="left"/>
      <w:pPr>
        <w:ind w:left="2758" w:hanging="270"/>
      </w:pPr>
      <w:rPr>
        <w:rFonts w:hint="default"/>
      </w:rPr>
    </w:lvl>
    <w:lvl w:ilvl="6">
      <w:start w:val="0"/>
      <w:numFmt w:val="bullet"/>
      <w:lvlText w:val="•"/>
      <w:lvlJc w:val="left"/>
      <w:pPr>
        <w:ind w:left="3208" w:hanging="270"/>
      </w:pPr>
      <w:rPr>
        <w:rFonts w:hint="default"/>
      </w:rPr>
    </w:lvl>
    <w:lvl w:ilvl="7">
      <w:start w:val="0"/>
      <w:numFmt w:val="bullet"/>
      <w:lvlText w:val="•"/>
      <w:lvlJc w:val="left"/>
      <w:pPr>
        <w:ind w:left="3658" w:hanging="270"/>
      </w:pPr>
      <w:rPr>
        <w:rFonts w:hint="default"/>
      </w:rPr>
    </w:lvl>
    <w:lvl w:ilvl="8">
      <w:start w:val="0"/>
      <w:numFmt w:val="bullet"/>
      <w:lvlText w:val="•"/>
      <w:lvlJc w:val="left"/>
      <w:pPr>
        <w:ind w:left="4107" w:hanging="270"/>
      </w:pPr>
      <w:rPr>
        <w:rFonts w:hint="default"/>
      </w:rPr>
    </w:lvl>
  </w:abstractNum>
  <w:abstractNum w:abstractNumId="14">
    <w:multiLevelType w:val="hybridMultilevel"/>
    <w:lvl w:ilvl="0">
      <w:start w:val="0"/>
      <w:numFmt w:val="bullet"/>
      <w:lvlText w:val="-"/>
      <w:lvlJc w:val="left"/>
      <w:pPr>
        <w:ind w:left="716" w:hanging="270"/>
      </w:pPr>
      <w:rPr>
        <w:rFonts w:hint="default" w:ascii="Arial" w:hAnsi="Arial" w:eastAsia="Arial" w:cs="Arial"/>
        <w:color w:val="137692"/>
        <w:w w:val="175"/>
        <w:sz w:val="24"/>
        <w:szCs w:val="24"/>
      </w:rPr>
    </w:lvl>
    <w:lvl w:ilvl="1">
      <w:start w:val="0"/>
      <w:numFmt w:val="bullet"/>
      <w:lvlText w:val="•"/>
      <w:lvlJc w:val="left"/>
      <w:pPr>
        <w:ind w:left="1148" w:hanging="270"/>
      </w:pPr>
      <w:rPr>
        <w:rFonts w:hint="default"/>
      </w:rPr>
    </w:lvl>
    <w:lvl w:ilvl="2">
      <w:start w:val="0"/>
      <w:numFmt w:val="bullet"/>
      <w:lvlText w:val="•"/>
      <w:lvlJc w:val="left"/>
      <w:pPr>
        <w:ind w:left="1577" w:hanging="270"/>
      </w:pPr>
      <w:rPr>
        <w:rFonts w:hint="default"/>
      </w:rPr>
    </w:lvl>
    <w:lvl w:ilvl="3">
      <w:start w:val="0"/>
      <w:numFmt w:val="bullet"/>
      <w:lvlText w:val="•"/>
      <w:lvlJc w:val="left"/>
      <w:pPr>
        <w:ind w:left="2006" w:hanging="270"/>
      </w:pPr>
      <w:rPr>
        <w:rFonts w:hint="default"/>
      </w:rPr>
    </w:lvl>
    <w:lvl w:ilvl="4">
      <w:start w:val="0"/>
      <w:numFmt w:val="bullet"/>
      <w:lvlText w:val="•"/>
      <w:lvlJc w:val="left"/>
      <w:pPr>
        <w:ind w:left="2434" w:hanging="270"/>
      </w:pPr>
      <w:rPr>
        <w:rFonts w:hint="default"/>
      </w:rPr>
    </w:lvl>
    <w:lvl w:ilvl="5">
      <w:start w:val="0"/>
      <w:numFmt w:val="bullet"/>
      <w:lvlText w:val="•"/>
      <w:lvlJc w:val="left"/>
      <w:pPr>
        <w:ind w:left="2863" w:hanging="270"/>
      </w:pPr>
      <w:rPr>
        <w:rFonts w:hint="default"/>
      </w:rPr>
    </w:lvl>
    <w:lvl w:ilvl="6">
      <w:start w:val="0"/>
      <w:numFmt w:val="bullet"/>
      <w:lvlText w:val="•"/>
      <w:lvlJc w:val="left"/>
      <w:pPr>
        <w:ind w:left="3292" w:hanging="270"/>
      </w:pPr>
      <w:rPr>
        <w:rFonts w:hint="default"/>
      </w:rPr>
    </w:lvl>
    <w:lvl w:ilvl="7">
      <w:start w:val="0"/>
      <w:numFmt w:val="bullet"/>
      <w:lvlText w:val="•"/>
      <w:lvlJc w:val="left"/>
      <w:pPr>
        <w:ind w:left="3721" w:hanging="270"/>
      </w:pPr>
      <w:rPr>
        <w:rFonts w:hint="default"/>
      </w:rPr>
    </w:lvl>
    <w:lvl w:ilvl="8">
      <w:start w:val="0"/>
      <w:numFmt w:val="bullet"/>
      <w:lvlText w:val="•"/>
      <w:lvlJc w:val="left"/>
      <w:pPr>
        <w:ind w:left="4149" w:hanging="270"/>
      </w:pPr>
      <w:rPr>
        <w:rFonts w:hint="default"/>
      </w:rPr>
    </w:lvl>
  </w:abstractNum>
  <w:abstractNum w:abstractNumId="13">
    <w:multiLevelType w:val="hybridMultilevel"/>
    <w:lvl w:ilvl="0">
      <w:start w:val="0"/>
      <w:numFmt w:val="bullet"/>
      <w:lvlText w:val="-"/>
      <w:lvlJc w:val="left"/>
      <w:pPr>
        <w:ind w:left="715" w:hanging="270"/>
      </w:pPr>
      <w:rPr>
        <w:rFonts w:hint="default" w:ascii="Arial" w:hAnsi="Arial" w:eastAsia="Arial" w:cs="Arial"/>
        <w:color w:val="137692"/>
        <w:w w:val="175"/>
        <w:sz w:val="24"/>
        <w:szCs w:val="24"/>
      </w:rPr>
    </w:lvl>
    <w:lvl w:ilvl="1">
      <w:start w:val="0"/>
      <w:numFmt w:val="bullet"/>
      <w:lvlText w:val="•"/>
      <w:lvlJc w:val="left"/>
      <w:pPr>
        <w:ind w:left="1164" w:hanging="270"/>
      </w:pPr>
      <w:rPr>
        <w:rFonts w:hint="default"/>
      </w:rPr>
    </w:lvl>
    <w:lvl w:ilvl="2">
      <w:start w:val="0"/>
      <w:numFmt w:val="bullet"/>
      <w:lvlText w:val="•"/>
      <w:lvlJc w:val="left"/>
      <w:pPr>
        <w:ind w:left="1608" w:hanging="270"/>
      </w:pPr>
      <w:rPr>
        <w:rFonts w:hint="default"/>
      </w:rPr>
    </w:lvl>
    <w:lvl w:ilvl="3">
      <w:start w:val="0"/>
      <w:numFmt w:val="bullet"/>
      <w:lvlText w:val="•"/>
      <w:lvlJc w:val="left"/>
      <w:pPr>
        <w:ind w:left="2052" w:hanging="270"/>
      </w:pPr>
      <w:rPr>
        <w:rFonts w:hint="default"/>
      </w:rPr>
    </w:lvl>
    <w:lvl w:ilvl="4">
      <w:start w:val="0"/>
      <w:numFmt w:val="bullet"/>
      <w:lvlText w:val="•"/>
      <w:lvlJc w:val="left"/>
      <w:pPr>
        <w:ind w:left="2496" w:hanging="270"/>
      </w:pPr>
      <w:rPr>
        <w:rFonts w:hint="default"/>
      </w:rPr>
    </w:lvl>
    <w:lvl w:ilvl="5">
      <w:start w:val="0"/>
      <w:numFmt w:val="bullet"/>
      <w:lvlText w:val="•"/>
      <w:lvlJc w:val="left"/>
      <w:pPr>
        <w:ind w:left="2939" w:hanging="270"/>
      </w:pPr>
      <w:rPr>
        <w:rFonts w:hint="default"/>
      </w:rPr>
    </w:lvl>
    <w:lvl w:ilvl="6">
      <w:start w:val="0"/>
      <w:numFmt w:val="bullet"/>
      <w:lvlText w:val="•"/>
      <w:lvlJc w:val="left"/>
      <w:pPr>
        <w:ind w:left="3383" w:hanging="270"/>
      </w:pPr>
      <w:rPr>
        <w:rFonts w:hint="default"/>
      </w:rPr>
    </w:lvl>
    <w:lvl w:ilvl="7">
      <w:start w:val="0"/>
      <w:numFmt w:val="bullet"/>
      <w:lvlText w:val="•"/>
      <w:lvlJc w:val="left"/>
      <w:pPr>
        <w:ind w:left="3827" w:hanging="270"/>
      </w:pPr>
      <w:rPr>
        <w:rFonts w:hint="default"/>
      </w:rPr>
    </w:lvl>
    <w:lvl w:ilvl="8">
      <w:start w:val="0"/>
      <w:numFmt w:val="bullet"/>
      <w:lvlText w:val="•"/>
      <w:lvlJc w:val="left"/>
      <w:pPr>
        <w:ind w:left="4271" w:hanging="270"/>
      </w:pPr>
      <w:rPr>
        <w:rFonts w:hint="default"/>
      </w:rPr>
    </w:lvl>
  </w:abstractNum>
  <w:abstractNum w:abstractNumId="12">
    <w:multiLevelType w:val="hybridMultilevel"/>
    <w:lvl w:ilvl="0">
      <w:start w:val="0"/>
      <w:numFmt w:val="bullet"/>
      <w:lvlText w:val="-"/>
      <w:lvlJc w:val="left"/>
      <w:pPr>
        <w:ind w:left="715" w:hanging="270"/>
      </w:pPr>
      <w:rPr>
        <w:rFonts w:hint="default" w:ascii="Arial" w:hAnsi="Arial" w:eastAsia="Arial" w:cs="Arial"/>
        <w:color w:val="137692"/>
        <w:w w:val="175"/>
        <w:sz w:val="24"/>
        <w:szCs w:val="24"/>
      </w:rPr>
    </w:lvl>
    <w:lvl w:ilvl="1">
      <w:start w:val="0"/>
      <w:numFmt w:val="bullet"/>
      <w:lvlText w:val="•"/>
      <w:lvlJc w:val="left"/>
      <w:pPr>
        <w:ind w:left="1164" w:hanging="270"/>
      </w:pPr>
      <w:rPr>
        <w:rFonts w:hint="default"/>
      </w:rPr>
    </w:lvl>
    <w:lvl w:ilvl="2">
      <w:start w:val="0"/>
      <w:numFmt w:val="bullet"/>
      <w:lvlText w:val="•"/>
      <w:lvlJc w:val="left"/>
      <w:pPr>
        <w:ind w:left="1608" w:hanging="270"/>
      </w:pPr>
      <w:rPr>
        <w:rFonts w:hint="default"/>
      </w:rPr>
    </w:lvl>
    <w:lvl w:ilvl="3">
      <w:start w:val="0"/>
      <w:numFmt w:val="bullet"/>
      <w:lvlText w:val="•"/>
      <w:lvlJc w:val="left"/>
      <w:pPr>
        <w:ind w:left="2052" w:hanging="270"/>
      </w:pPr>
      <w:rPr>
        <w:rFonts w:hint="default"/>
      </w:rPr>
    </w:lvl>
    <w:lvl w:ilvl="4">
      <w:start w:val="0"/>
      <w:numFmt w:val="bullet"/>
      <w:lvlText w:val="•"/>
      <w:lvlJc w:val="left"/>
      <w:pPr>
        <w:ind w:left="2496" w:hanging="270"/>
      </w:pPr>
      <w:rPr>
        <w:rFonts w:hint="default"/>
      </w:rPr>
    </w:lvl>
    <w:lvl w:ilvl="5">
      <w:start w:val="0"/>
      <w:numFmt w:val="bullet"/>
      <w:lvlText w:val="•"/>
      <w:lvlJc w:val="left"/>
      <w:pPr>
        <w:ind w:left="2939" w:hanging="270"/>
      </w:pPr>
      <w:rPr>
        <w:rFonts w:hint="default"/>
      </w:rPr>
    </w:lvl>
    <w:lvl w:ilvl="6">
      <w:start w:val="0"/>
      <w:numFmt w:val="bullet"/>
      <w:lvlText w:val="•"/>
      <w:lvlJc w:val="left"/>
      <w:pPr>
        <w:ind w:left="3383" w:hanging="270"/>
      </w:pPr>
      <w:rPr>
        <w:rFonts w:hint="default"/>
      </w:rPr>
    </w:lvl>
    <w:lvl w:ilvl="7">
      <w:start w:val="0"/>
      <w:numFmt w:val="bullet"/>
      <w:lvlText w:val="•"/>
      <w:lvlJc w:val="left"/>
      <w:pPr>
        <w:ind w:left="3827" w:hanging="270"/>
      </w:pPr>
      <w:rPr>
        <w:rFonts w:hint="default"/>
      </w:rPr>
    </w:lvl>
    <w:lvl w:ilvl="8">
      <w:start w:val="0"/>
      <w:numFmt w:val="bullet"/>
      <w:lvlText w:val="•"/>
      <w:lvlJc w:val="left"/>
      <w:pPr>
        <w:ind w:left="4271" w:hanging="270"/>
      </w:pPr>
      <w:rPr>
        <w:rFonts w:hint="default"/>
      </w:rPr>
    </w:lvl>
  </w:abstractNum>
  <w:abstractNum w:abstractNumId="11">
    <w:multiLevelType w:val="hybridMultilevel"/>
    <w:lvl w:ilvl="0">
      <w:start w:val="0"/>
      <w:numFmt w:val="bullet"/>
      <w:lvlText w:val="-"/>
      <w:lvlJc w:val="left"/>
      <w:pPr>
        <w:ind w:left="500" w:hanging="180"/>
      </w:pPr>
      <w:rPr>
        <w:rFonts w:hint="default" w:ascii="Arial" w:hAnsi="Arial" w:eastAsia="Arial" w:cs="Arial"/>
        <w:color w:val="137692"/>
        <w:w w:val="100"/>
        <w:position w:val="-3"/>
        <w:sz w:val="28"/>
        <w:szCs w:val="28"/>
      </w:rPr>
    </w:lvl>
    <w:lvl w:ilvl="1">
      <w:start w:val="0"/>
      <w:numFmt w:val="bullet"/>
      <w:lvlText w:val="•"/>
      <w:lvlJc w:val="left"/>
      <w:pPr>
        <w:ind w:left="966" w:hanging="180"/>
      </w:pPr>
      <w:rPr>
        <w:rFonts w:hint="default"/>
      </w:rPr>
    </w:lvl>
    <w:lvl w:ilvl="2">
      <w:start w:val="0"/>
      <w:numFmt w:val="bullet"/>
      <w:lvlText w:val="•"/>
      <w:lvlJc w:val="left"/>
      <w:pPr>
        <w:ind w:left="1432" w:hanging="180"/>
      </w:pPr>
      <w:rPr>
        <w:rFonts w:hint="default"/>
      </w:rPr>
    </w:lvl>
    <w:lvl w:ilvl="3">
      <w:start w:val="0"/>
      <w:numFmt w:val="bullet"/>
      <w:lvlText w:val="•"/>
      <w:lvlJc w:val="left"/>
      <w:pPr>
        <w:ind w:left="1898" w:hanging="180"/>
      </w:pPr>
      <w:rPr>
        <w:rFonts w:hint="default"/>
      </w:rPr>
    </w:lvl>
    <w:lvl w:ilvl="4">
      <w:start w:val="0"/>
      <w:numFmt w:val="bullet"/>
      <w:lvlText w:val="•"/>
      <w:lvlJc w:val="left"/>
      <w:pPr>
        <w:ind w:left="2364" w:hanging="180"/>
      </w:pPr>
      <w:rPr>
        <w:rFonts w:hint="default"/>
      </w:rPr>
    </w:lvl>
    <w:lvl w:ilvl="5">
      <w:start w:val="0"/>
      <w:numFmt w:val="bullet"/>
      <w:lvlText w:val="•"/>
      <w:lvlJc w:val="left"/>
      <w:pPr>
        <w:ind w:left="2830" w:hanging="180"/>
      </w:pPr>
      <w:rPr>
        <w:rFonts w:hint="default"/>
      </w:rPr>
    </w:lvl>
    <w:lvl w:ilvl="6">
      <w:start w:val="0"/>
      <w:numFmt w:val="bullet"/>
      <w:lvlText w:val="•"/>
      <w:lvlJc w:val="left"/>
      <w:pPr>
        <w:ind w:left="3296" w:hanging="180"/>
      </w:pPr>
      <w:rPr>
        <w:rFonts w:hint="default"/>
      </w:rPr>
    </w:lvl>
    <w:lvl w:ilvl="7">
      <w:start w:val="0"/>
      <w:numFmt w:val="bullet"/>
      <w:lvlText w:val="•"/>
      <w:lvlJc w:val="left"/>
      <w:pPr>
        <w:ind w:left="3762" w:hanging="180"/>
      </w:pPr>
      <w:rPr>
        <w:rFonts w:hint="default"/>
      </w:rPr>
    </w:lvl>
    <w:lvl w:ilvl="8">
      <w:start w:val="0"/>
      <w:numFmt w:val="bullet"/>
      <w:lvlText w:val="•"/>
      <w:lvlJc w:val="left"/>
      <w:pPr>
        <w:ind w:left="4228" w:hanging="180"/>
      </w:pPr>
      <w:rPr>
        <w:rFonts w:hint="default"/>
      </w:rPr>
    </w:lvl>
  </w:abstractNum>
  <w:abstractNum w:abstractNumId="10">
    <w:multiLevelType w:val="hybridMultilevel"/>
    <w:lvl w:ilvl="0">
      <w:start w:val="0"/>
      <w:numFmt w:val="bullet"/>
      <w:lvlText w:val="•"/>
      <w:lvlJc w:val="left"/>
      <w:pPr>
        <w:ind w:left="455" w:hanging="180"/>
      </w:pPr>
      <w:rPr>
        <w:rFonts w:hint="default" w:ascii="Arial" w:hAnsi="Arial" w:eastAsia="Arial" w:cs="Arial"/>
        <w:color w:val="137692"/>
        <w:w w:val="100"/>
        <w:position w:val="-3"/>
        <w:sz w:val="28"/>
        <w:szCs w:val="28"/>
      </w:rPr>
    </w:lvl>
    <w:lvl w:ilvl="1">
      <w:start w:val="0"/>
      <w:numFmt w:val="bullet"/>
      <w:lvlText w:val="•"/>
      <w:lvlJc w:val="left"/>
      <w:pPr>
        <w:ind w:left="1419" w:hanging="180"/>
      </w:pPr>
      <w:rPr>
        <w:rFonts w:hint="default"/>
      </w:rPr>
    </w:lvl>
    <w:lvl w:ilvl="2">
      <w:start w:val="0"/>
      <w:numFmt w:val="bullet"/>
      <w:lvlText w:val="•"/>
      <w:lvlJc w:val="left"/>
      <w:pPr>
        <w:ind w:left="2379" w:hanging="180"/>
      </w:pPr>
      <w:rPr>
        <w:rFonts w:hint="default"/>
      </w:rPr>
    </w:lvl>
    <w:lvl w:ilvl="3">
      <w:start w:val="0"/>
      <w:numFmt w:val="bullet"/>
      <w:lvlText w:val="•"/>
      <w:lvlJc w:val="left"/>
      <w:pPr>
        <w:ind w:left="3339" w:hanging="180"/>
      </w:pPr>
      <w:rPr>
        <w:rFonts w:hint="default"/>
      </w:rPr>
    </w:lvl>
    <w:lvl w:ilvl="4">
      <w:start w:val="0"/>
      <w:numFmt w:val="bullet"/>
      <w:lvlText w:val="•"/>
      <w:lvlJc w:val="left"/>
      <w:pPr>
        <w:ind w:left="4299" w:hanging="180"/>
      </w:pPr>
      <w:rPr>
        <w:rFonts w:hint="default"/>
      </w:rPr>
    </w:lvl>
    <w:lvl w:ilvl="5">
      <w:start w:val="0"/>
      <w:numFmt w:val="bullet"/>
      <w:lvlText w:val="•"/>
      <w:lvlJc w:val="left"/>
      <w:pPr>
        <w:ind w:left="5259" w:hanging="180"/>
      </w:pPr>
      <w:rPr>
        <w:rFonts w:hint="default"/>
      </w:rPr>
    </w:lvl>
    <w:lvl w:ilvl="6">
      <w:start w:val="0"/>
      <w:numFmt w:val="bullet"/>
      <w:lvlText w:val="•"/>
      <w:lvlJc w:val="left"/>
      <w:pPr>
        <w:ind w:left="6218" w:hanging="180"/>
      </w:pPr>
      <w:rPr>
        <w:rFonts w:hint="default"/>
      </w:rPr>
    </w:lvl>
    <w:lvl w:ilvl="7">
      <w:start w:val="0"/>
      <w:numFmt w:val="bullet"/>
      <w:lvlText w:val="•"/>
      <w:lvlJc w:val="left"/>
      <w:pPr>
        <w:ind w:left="7178" w:hanging="180"/>
      </w:pPr>
      <w:rPr>
        <w:rFonts w:hint="default"/>
      </w:rPr>
    </w:lvl>
    <w:lvl w:ilvl="8">
      <w:start w:val="0"/>
      <w:numFmt w:val="bullet"/>
      <w:lvlText w:val="•"/>
      <w:lvlJc w:val="left"/>
      <w:pPr>
        <w:ind w:left="8138" w:hanging="180"/>
      </w:pPr>
      <w:rPr>
        <w:rFonts w:hint="default"/>
      </w:rPr>
    </w:lvl>
  </w:abstractNum>
  <w:abstractNum w:abstractNumId="9">
    <w:multiLevelType w:val="hybridMultilevel"/>
    <w:lvl w:ilvl="0">
      <w:start w:val="0"/>
      <w:numFmt w:val="bullet"/>
      <w:lvlText w:val="•"/>
      <w:lvlJc w:val="left"/>
      <w:pPr>
        <w:ind w:left="455" w:hanging="180"/>
      </w:pPr>
      <w:rPr>
        <w:rFonts w:hint="default" w:ascii="Arial" w:hAnsi="Arial" w:eastAsia="Arial" w:cs="Arial"/>
        <w:color w:val="137692"/>
        <w:w w:val="100"/>
        <w:position w:val="-3"/>
        <w:sz w:val="28"/>
        <w:szCs w:val="28"/>
      </w:rPr>
    </w:lvl>
    <w:lvl w:ilvl="1">
      <w:start w:val="0"/>
      <w:numFmt w:val="bullet"/>
      <w:lvlText w:val="•"/>
      <w:lvlJc w:val="left"/>
      <w:pPr>
        <w:ind w:left="1419" w:hanging="180"/>
      </w:pPr>
      <w:rPr>
        <w:rFonts w:hint="default"/>
      </w:rPr>
    </w:lvl>
    <w:lvl w:ilvl="2">
      <w:start w:val="0"/>
      <w:numFmt w:val="bullet"/>
      <w:lvlText w:val="•"/>
      <w:lvlJc w:val="left"/>
      <w:pPr>
        <w:ind w:left="2379" w:hanging="180"/>
      </w:pPr>
      <w:rPr>
        <w:rFonts w:hint="default"/>
      </w:rPr>
    </w:lvl>
    <w:lvl w:ilvl="3">
      <w:start w:val="0"/>
      <w:numFmt w:val="bullet"/>
      <w:lvlText w:val="•"/>
      <w:lvlJc w:val="left"/>
      <w:pPr>
        <w:ind w:left="3339" w:hanging="180"/>
      </w:pPr>
      <w:rPr>
        <w:rFonts w:hint="default"/>
      </w:rPr>
    </w:lvl>
    <w:lvl w:ilvl="4">
      <w:start w:val="0"/>
      <w:numFmt w:val="bullet"/>
      <w:lvlText w:val="•"/>
      <w:lvlJc w:val="left"/>
      <w:pPr>
        <w:ind w:left="4299" w:hanging="180"/>
      </w:pPr>
      <w:rPr>
        <w:rFonts w:hint="default"/>
      </w:rPr>
    </w:lvl>
    <w:lvl w:ilvl="5">
      <w:start w:val="0"/>
      <w:numFmt w:val="bullet"/>
      <w:lvlText w:val="•"/>
      <w:lvlJc w:val="left"/>
      <w:pPr>
        <w:ind w:left="5259" w:hanging="180"/>
      </w:pPr>
      <w:rPr>
        <w:rFonts w:hint="default"/>
      </w:rPr>
    </w:lvl>
    <w:lvl w:ilvl="6">
      <w:start w:val="0"/>
      <w:numFmt w:val="bullet"/>
      <w:lvlText w:val="•"/>
      <w:lvlJc w:val="left"/>
      <w:pPr>
        <w:ind w:left="6218" w:hanging="180"/>
      </w:pPr>
      <w:rPr>
        <w:rFonts w:hint="default"/>
      </w:rPr>
    </w:lvl>
    <w:lvl w:ilvl="7">
      <w:start w:val="0"/>
      <w:numFmt w:val="bullet"/>
      <w:lvlText w:val="•"/>
      <w:lvlJc w:val="left"/>
      <w:pPr>
        <w:ind w:left="7178" w:hanging="180"/>
      </w:pPr>
      <w:rPr>
        <w:rFonts w:hint="default"/>
      </w:rPr>
    </w:lvl>
    <w:lvl w:ilvl="8">
      <w:start w:val="0"/>
      <w:numFmt w:val="bullet"/>
      <w:lvlText w:val="•"/>
      <w:lvlJc w:val="left"/>
      <w:pPr>
        <w:ind w:left="8138" w:hanging="180"/>
      </w:pPr>
      <w:rPr>
        <w:rFonts w:hint="default"/>
      </w:rPr>
    </w:lvl>
  </w:abstractNum>
  <w:abstractNum w:abstractNumId="8">
    <w:multiLevelType w:val="hybridMultilevel"/>
    <w:lvl w:ilvl="0">
      <w:start w:val="0"/>
      <w:numFmt w:val="bullet"/>
      <w:lvlText w:val="•"/>
      <w:lvlJc w:val="left"/>
      <w:pPr>
        <w:ind w:left="410" w:hanging="180"/>
      </w:pPr>
      <w:rPr>
        <w:rFonts w:hint="default" w:ascii="Arial" w:hAnsi="Arial" w:eastAsia="Arial" w:cs="Arial"/>
        <w:color w:val="367E9A"/>
        <w:w w:val="100"/>
        <w:position w:val="-3"/>
        <w:sz w:val="28"/>
        <w:szCs w:val="28"/>
      </w:rPr>
    </w:lvl>
    <w:lvl w:ilvl="1">
      <w:start w:val="0"/>
      <w:numFmt w:val="bullet"/>
      <w:lvlText w:val="•"/>
      <w:lvlJc w:val="left"/>
      <w:pPr>
        <w:ind w:left="863" w:hanging="180"/>
      </w:pPr>
      <w:rPr>
        <w:rFonts w:hint="default"/>
      </w:rPr>
    </w:lvl>
    <w:lvl w:ilvl="2">
      <w:start w:val="0"/>
      <w:numFmt w:val="bullet"/>
      <w:lvlText w:val="•"/>
      <w:lvlJc w:val="left"/>
      <w:pPr>
        <w:ind w:left="1306" w:hanging="180"/>
      </w:pPr>
      <w:rPr>
        <w:rFonts w:hint="default"/>
      </w:rPr>
    </w:lvl>
    <w:lvl w:ilvl="3">
      <w:start w:val="0"/>
      <w:numFmt w:val="bullet"/>
      <w:lvlText w:val="•"/>
      <w:lvlJc w:val="left"/>
      <w:pPr>
        <w:ind w:left="1749" w:hanging="180"/>
      </w:pPr>
      <w:rPr>
        <w:rFonts w:hint="default"/>
      </w:rPr>
    </w:lvl>
    <w:lvl w:ilvl="4">
      <w:start w:val="0"/>
      <w:numFmt w:val="bullet"/>
      <w:lvlText w:val="•"/>
      <w:lvlJc w:val="left"/>
      <w:pPr>
        <w:ind w:left="2192" w:hanging="180"/>
      </w:pPr>
      <w:rPr>
        <w:rFonts w:hint="default"/>
      </w:rPr>
    </w:lvl>
    <w:lvl w:ilvl="5">
      <w:start w:val="0"/>
      <w:numFmt w:val="bullet"/>
      <w:lvlText w:val="•"/>
      <w:lvlJc w:val="left"/>
      <w:pPr>
        <w:ind w:left="2635" w:hanging="180"/>
      </w:pPr>
      <w:rPr>
        <w:rFonts w:hint="default"/>
      </w:rPr>
    </w:lvl>
    <w:lvl w:ilvl="6">
      <w:start w:val="0"/>
      <w:numFmt w:val="bullet"/>
      <w:lvlText w:val="•"/>
      <w:lvlJc w:val="left"/>
      <w:pPr>
        <w:ind w:left="3078" w:hanging="180"/>
      </w:pPr>
      <w:rPr>
        <w:rFonts w:hint="default"/>
      </w:rPr>
    </w:lvl>
    <w:lvl w:ilvl="7">
      <w:start w:val="0"/>
      <w:numFmt w:val="bullet"/>
      <w:lvlText w:val="•"/>
      <w:lvlJc w:val="left"/>
      <w:pPr>
        <w:ind w:left="3521" w:hanging="180"/>
      </w:pPr>
      <w:rPr>
        <w:rFonts w:hint="default"/>
      </w:rPr>
    </w:lvl>
    <w:lvl w:ilvl="8">
      <w:start w:val="0"/>
      <w:numFmt w:val="bullet"/>
      <w:lvlText w:val="•"/>
      <w:lvlJc w:val="left"/>
      <w:pPr>
        <w:ind w:left="3964" w:hanging="180"/>
      </w:pPr>
      <w:rPr>
        <w:rFonts w:hint="default"/>
      </w:rPr>
    </w:lvl>
  </w:abstractNum>
  <w:abstractNum w:abstractNumId="7">
    <w:multiLevelType w:val="hybridMultilevel"/>
    <w:lvl w:ilvl="0">
      <w:start w:val="0"/>
      <w:numFmt w:val="bullet"/>
      <w:lvlText w:val="•"/>
      <w:lvlJc w:val="left"/>
      <w:pPr>
        <w:ind w:left="257" w:hanging="180"/>
      </w:pPr>
      <w:rPr>
        <w:rFonts w:hint="default" w:ascii="Arial" w:hAnsi="Arial" w:eastAsia="Arial" w:cs="Arial"/>
        <w:color w:val="147592"/>
        <w:w w:val="100"/>
        <w:position w:val="-3"/>
        <w:sz w:val="28"/>
        <w:szCs w:val="28"/>
      </w:rPr>
    </w:lvl>
    <w:lvl w:ilvl="1">
      <w:start w:val="0"/>
      <w:numFmt w:val="bullet"/>
      <w:lvlText w:val="•"/>
      <w:lvlJc w:val="left"/>
      <w:pPr>
        <w:ind w:left="429" w:hanging="180"/>
      </w:pPr>
      <w:rPr>
        <w:rFonts w:hint="default"/>
      </w:rPr>
    </w:lvl>
    <w:lvl w:ilvl="2">
      <w:start w:val="0"/>
      <w:numFmt w:val="bullet"/>
      <w:lvlText w:val="•"/>
      <w:lvlJc w:val="left"/>
      <w:pPr>
        <w:ind w:left="599" w:hanging="180"/>
      </w:pPr>
      <w:rPr>
        <w:rFonts w:hint="default"/>
      </w:rPr>
    </w:lvl>
    <w:lvl w:ilvl="3">
      <w:start w:val="0"/>
      <w:numFmt w:val="bullet"/>
      <w:lvlText w:val="•"/>
      <w:lvlJc w:val="left"/>
      <w:pPr>
        <w:ind w:left="768" w:hanging="180"/>
      </w:pPr>
      <w:rPr>
        <w:rFonts w:hint="default"/>
      </w:rPr>
    </w:lvl>
    <w:lvl w:ilvl="4">
      <w:start w:val="0"/>
      <w:numFmt w:val="bullet"/>
      <w:lvlText w:val="•"/>
      <w:lvlJc w:val="left"/>
      <w:pPr>
        <w:ind w:left="938" w:hanging="180"/>
      </w:pPr>
      <w:rPr>
        <w:rFonts w:hint="default"/>
      </w:rPr>
    </w:lvl>
    <w:lvl w:ilvl="5">
      <w:start w:val="0"/>
      <w:numFmt w:val="bullet"/>
      <w:lvlText w:val="•"/>
      <w:lvlJc w:val="left"/>
      <w:pPr>
        <w:ind w:left="1108" w:hanging="180"/>
      </w:pPr>
      <w:rPr>
        <w:rFonts w:hint="default"/>
      </w:rPr>
    </w:lvl>
    <w:lvl w:ilvl="6">
      <w:start w:val="0"/>
      <w:numFmt w:val="bullet"/>
      <w:lvlText w:val="•"/>
      <w:lvlJc w:val="left"/>
      <w:pPr>
        <w:ind w:left="1277" w:hanging="180"/>
      </w:pPr>
      <w:rPr>
        <w:rFonts w:hint="default"/>
      </w:rPr>
    </w:lvl>
    <w:lvl w:ilvl="7">
      <w:start w:val="0"/>
      <w:numFmt w:val="bullet"/>
      <w:lvlText w:val="•"/>
      <w:lvlJc w:val="left"/>
      <w:pPr>
        <w:ind w:left="1447" w:hanging="180"/>
      </w:pPr>
      <w:rPr>
        <w:rFonts w:hint="default"/>
      </w:rPr>
    </w:lvl>
    <w:lvl w:ilvl="8">
      <w:start w:val="0"/>
      <w:numFmt w:val="bullet"/>
      <w:lvlText w:val="•"/>
      <w:lvlJc w:val="left"/>
      <w:pPr>
        <w:ind w:left="1617" w:hanging="180"/>
      </w:pPr>
      <w:rPr>
        <w:rFonts w:hint="default"/>
      </w:rPr>
    </w:lvl>
  </w:abstractNum>
  <w:abstractNum w:abstractNumId="6">
    <w:multiLevelType w:val="hybridMultilevel"/>
    <w:lvl w:ilvl="0">
      <w:start w:val="0"/>
      <w:numFmt w:val="bullet"/>
      <w:lvlText w:val="•"/>
      <w:lvlJc w:val="left"/>
      <w:pPr>
        <w:ind w:left="257" w:hanging="180"/>
      </w:pPr>
      <w:rPr>
        <w:rFonts w:hint="default" w:ascii="Arial" w:hAnsi="Arial" w:eastAsia="Arial" w:cs="Arial"/>
        <w:color w:val="147592"/>
        <w:w w:val="100"/>
        <w:position w:val="-3"/>
        <w:sz w:val="28"/>
        <w:szCs w:val="28"/>
      </w:rPr>
    </w:lvl>
    <w:lvl w:ilvl="1">
      <w:start w:val="0"/>
      <w:numFmt w:val="bullet"/>
      <w:lvlText w:val="•"/>
      <w:lvlJc w:val="left"/>
      <w:pPr>
        <w:ind w:left="425" w:hanging="180"/>
      </w:pPr>
      <w:rPr>
        <w:rFonts w:hint="default"/>
      </w:rPr>
    </w:lvl>
    <w:lvl w:ilvl="2">
      <w:start w:val="0"/>
      <w:numFmt w:val="bullet"/>
      <w:lvlText w:val="•"/>
      <w:lvlJc w:val="left"/>
      <w:pPr>
        <w:ind w:left="591" w:hanging="180"/>
      </w:pPr>
      <w:rPr>
        <w:rFonts w:hint="default"/>
      </w:rPr>
    </w:lvl>
    <w:lvl w:ilvl="3">
      <w:start w:val="0"/>
      <w:numFmt w:val="bullet"/>
      <w:lvlText w:val="•"/>
      <w:lvlJc w:val="left"/>
      <w:pPr>
        <w:ind w:left="757" w:hanging="180"/>
      </w:pPr>
      <w:rPr>
        <w:rFonts w:hint="default"/>
      </w:rPr>
    </w:lvl>
    <w:lvl w:ilvl="4">
      <w:start w:val="0"/>
      <w:numFmt w:val="bullet"/>
      <w:lvlText w:val="•"/>
      <w:lvlJc w:val="left"/>
      <w:pPr>
        <w:ind w:left="922" w:hanging="180"/>
      </w:pPr>
      <w:rPr>
        <w:rFonts w:hint="default"/>
      </w:rPr>
    </w:lvl>
    <w:lvl w:ilvl="5">
      <w:start w:val="0"/>
      <w:numFmt w:val="bullet"/>
      <w:lvlText w:val="•"/>
      <w:lvlJc w:val="left"/>
      <w:pPr>
        <w:ind w:left="1088" w:hanging="180"/>
      </w:pPr>
      <w:rPr>
        <w:rFonts w:hint="default"/>
      </w:rPr>
    </w:lvl>
    <w:lvl w:ilvl="6">
      <w:start w:val="0"/>
      <w:numFmt w:val="bullet"/>
      <w:lvlText w:val="•"/>
      <w:lvlJc w:val="left"/>
      <w:pPr>
        <w:ind w:left="1254" w:hanging="180"/>
      </w:pPr>
      <w:rPr>
        <w:rFonts w:hint="default"/>
      </w:rPr>
    </w:lvl>
    <w:lvl w:ilvl="7">
      <w:start w:val="0"/>
      <w:numFmt w:val="bullet"/>
      <w:lvlText w:val="•"/>
      <w:lvlJc w:val="left"/>
      <w:pPr>
        <w:ind w:left="1419" w:hanging="180"/>
      </w:pPr>
      <w:rPr>
        <w:rFonts w:hint="default"/>
      </w:rPr>
    </w:lvl>
    <w:lvl w:ilvl="8">
      <w:start w:val="0"/>
      <w:numFmt w:val="bullet"/>
      <w:lvlText w:val="•"/>
      <w:lvlJc w:val="left"/>
      <w:pPr>
        <w:ind w:left="1585" w:hanging="180"/>
      </w:pPr>
      <w:rPr>
        <w:rFonts w:hint="default"/>
      </w:rPr>
    </w:lvl>
  </w:abstractNum>
  <w:abstractNum w:abstractNumId="5">
    <w:multiLevelType w:val="hybridMultilevel"/>
    <w:lvl w:ilvl="0">
      <w:start w:val="0"/>
      <w:numFmt w:val="bullet"/>
      <w:lvlText w:val="•"/>
      <w:lvlJc w:val="left"/>
      <w:pPr>
        <w:ind w:left="257" w:hanging="180"/>
      </w:pPr>
      <w:rPr>
        <w:rFonts w:hint="default" w:ascii="Arial" w:hAnsi="Arial" w:eastAsia="Arial" w:cs="Arial"/>
        <w:color w:val="147592"/>
        <w:w w:val="100"/>
        <w:position w:val="-3"/>
        <w:sz w:val="28"/>
        <w:szCs w:val="28"/>
      </w:rPr>
    </w:lvl>
    <w:lvl w:ilvl="1">
      <w:start w:val="0"/>
      <w:numFmt w:val="bullet"/>
      <w:lvlText w:val="•"/>
      <w:lvlJc w:val="left"/>
      <w:pPr>
        <w:ind w:left="481" w:hanging="180"/>
      </w:pPr>
      <w:rPr>
        <w:rFonts w:hint="default"/>
      </w:rPr>
    </w:lvl>
    <w:lvl w:ilvl="2">
      <w:start w:val="0"/>
      <w:numFmt w:val="bullet"/>
      <w:lvlText w:val="•"/>
      <w:lvlJc w:val="left"/>
      <w:pPr>
        <w:ind w:left="703" w:hanging="180"/>
      </w:pPr>
      <w:rPr>
        <w:rFonts w:hint="default"/>
      </w:rPr>
    </w:lvl>
    <w:lvl w:ilvl="3">
      <w:start w:val="0"/>
      <w:numFmt w:val="bullet"/>
      <w:lvlText w:val="•"/>
      <w:lvlJc w:val="left"/>
      <w:pPr>
        <w:ind w:left="924" w:hanging="180"/>
      </w:pPr>
      <w:rPr>
        <w:rFonts w:hint="default"/>
      </w:rPr>
    </w:lvl>
    <w:lvl w:ilvl="4">
      <w:start w:val="0"/>
      <w:numFmt w:val="bullet"/>
      <w:lvlText w:val="•"/>
      <w:lvlJc w:val="left"/>
      <w:pPr>
        <w:ind w:left="1146" w:hanging="180"/>
      </w:pPr>
      <w:rPr>
        <w:rFonts w:hint="default"/>
      </w:rPr>
    </w:lvl>
    <w:lvl w:ilvl="5">
      <w:start w:val="0"/>
      <w:numFmt w:val="bullet"/>
      <w:lvlText w:val="•"/>
      <w:lvlJc w:val="left"/>
      <w:pPr>
        <w:ind w:left="1367" w:hanging="180"/>
      </w:pPr>
      <w:rPr>
        <w:rFonts w:hint="default"/>
      </w:rPr>
    </w:lvl>
    <w:lvl w:ilvl="6">
      <w:start w:val="0"/>
      <w:numFmt w:val="bullet"/>
      <w:lvlText w:val="•"/>
      <w:lvlJc w:val="left"/>
      <w:pPr>
        <w:ind w:left="1589" w:hanging="180"/>
      </w:pPr>
      <w:rPr>
        <w:rFonts w:hint="default"/>
      </w:rPr>
    </w:lvl>
    <w:lvl w:ilvl="7">
      <w:start w:val="0"/>
      <w:numFmt w:val="bullet"/>
      <w:lvlText w:val="•"/>
      <w:lvlJc w:val="left"/>
      <w:pPr>
        <w:ind w:left="1810" w:hanging="180"/>
      </w:pPr>
      <w:rPr>
        <w:rFonts w:hint="default"/>
      </w:rPr>
    </w:lvl>
    <w:lvl w:ilvl="8">
      <w:start w:val="0"/>
      <w:numFmt w:val="bullet"/>
      <w:lvlText w:val="•"/>
      <w:lvlJc w:val="left"/>
      <w:pPr>
        <w:ind w:left="2032" w:hanging="180"/>
      </w:pPr>
      <w:rPr>
        <w:rFonts w:hint="default"/>
      </w:rPr>
    </w:lvl>
  </w:abstractNum>
  <w:abstractNum w:abstractNumId="4">
    <w:multiLevelType w:val="hybridMultilevel"/>
    <w:lvl w:ilvl="0">
      <w:start w:val="0"/>
      <w:numFmt w:val="bullet"/>
      <w:lvlText w:val="•"/>
      <w:lvlJc w:val="left"/>
      <w:pPr>
        <w:ind w:left="257" w:hanging="180"/>
      </w:pPr>
      <w:rPr>
        <w:rFonts w:hint="default" w:ascii="Arial" w:hAnsi="Arial" w:eastAsia="Arial" w:cs="Arial"/>
        <w:color w:val="147592"/>
        <w:w w:val="100"/>
        <w:position w:val="-3"/>
        <w:sz w:val="28"/>
        <w:szCs w:val="28"/>
      </w:rPr>
    </w:lvl>
    <w:lvl w:ilvl="1">
      <w:start w:val="0"/>
      <w:numFmt w:val="bullet"/>
      <w:lvlText w:val="•"/>
      <w:lvlJc w:val="left"/>
      <w:pPr>
        <w:ind w:left="420" w:hanging="180"/>
      </w:pPr>
      <w:rPr>
        <w:rFonts w:hint="default"/>
      </w:rPr>
    </w:lvl>
    <w:lvl w:ilvl="2">
      <w:start w:val="0"/>
      <w:numFmt w:val="bullet"/>
      <w:lvlText w:val="•"/>
      <w:lvlJc w:val="left"/>
      <w:pPr>
        <w:ind w:left="581" w:hanging="180"/>
      </w:pPr>
      <w:rPr>
        <w:rFonts w:hint="default"/>
      </w:rPr>
    </w:lvl>
    <w:lvl w:ilvl="3">
      <w:start w:val="0"/>
      <w:numFmt w:val="bullet"/>
      <w:lvlText w:val="•"/>
      <w:lvlJc w:val="left"/>
      <w:pPr>
        <w:ind w:left="742" w:hanging="180"/>
      </w:pPr>
      <w:rPr>
        <w:rFonts w:hint="default"/>
      </w:rPr>
    </w:lvl>
    <w:lvl w:ilvl="4">
      <w:start w:val="0"/>
      <w:numFmt w:val="bullet"/>
      <w:lvlText w:val="•"/>
      <w:lvlJc w:val="left"/>
      <w:pPr>
        <w:ind w:left="902" w:hanging="180"/>
      </w:pPr>
      <w:rPr>
        <w:rFonts w:hint="default"/>
      </w:rPr>
    </w:lvl>
    <w:lvl w:ilvl="5">
      <w:start w:val="0"/>
      <w:numFmt w:val="bullet"/>
      <w:lvlText w:val="•"/>
      <w:lvlJc w:val="left"/>
      <w:pPr>
        <w:ind w:left="1063" w:hanging="180"/>
      </w:pPr>
      <w:rPr>
        <w:rFonts w:hint="default"/>
      </w:rPr>
    </w:lvl>
    <w:lvl w:ilvl="6">
      <w:start w:val="0"/>
      <w:numFmt w:val="bullet"/>
      <w:lvlText w:val="•"/>
      <w:lvlJc w:val="left"/>
      <w:pPr>
        <w:ind w:left="1224" w:hanging="180"/>
      </w:pPr>
      <w:rPr>
        <w:rFonts w:hint="default"/>
      </w:rPr>
    </w:lvl>
    <w:lvl w:ilvl="7">
      <w:start w:val="0"/>
      <w:numFmt w:val="bullet"/>
      <w:lvlText w:val="•"/>
      <w:lvlJc w:val="left"/>
      <w:pPr>
        <w:ind w:left="1384" w:hanging="180"/>
      </w:pPr>
      <w:rPr>
        <w:rFonts w:hint="default"/>
      </w:rPr>
    </w:lvl>
    <w:lvl w:ilvl="8">
      <w:start w:val="0"/>
      <w:numFmt w:val="bullet"/>
      <w:lvlText w:val="•"/>
      <w:lvlJc w:val="left"/>
      <w:pPr>
        <w:ind w:left="1545" w:hanging="180"/>
      </w:pPr>
      <w:rPr>
        <w:rFonts w:hint="default"/>
      </w:rPr>
    </w:lvl>
  </w:abstractNum>
  <w:abstractNum w:abstractNumId="3">
    <w:multiLevelType w:val="hybridMultilevel"/>
    <w:lvl w:ilvl="0">
      <w:start w:val="0"/>
      <w:numFmt w:val="bullet"/>
      <w:lvlText w:val="•"/>
      <w:lvlJc w:val="left"/>
      <w:pPr>
        <w:ind w:left="409" w:hanging="270"/>
      </w:pPr>
      <w:rPr>
        <w:rFonts w:hint="default"/>
        <w:w w:val="100"/>
        <w:position w:val="-3"/>
      </w:rPr>
    </w:lvl>
    <w:lvl w:ilvl="1">
      <w:start w:val="0"/>
      <w:numFmt w:val="bullet"/>
      <w:lvlText w:val="•"/>
      <w:lvlJc w:val="left"/>
      <w:pPr>
        <w:ind w:left="620" w:hanging="180"/>
      </w:pPr>
      <w:rPr>
        <w:rFonts w:hint="default"/>
        <w:w w:val="100"/>
        <w:position w:val="-3"/>
      </w:rPr>
    </w:lvl>
    <w:lvl w:ilvl="2">
      <w:start w:val="0"/>
      <w:numFmt w:val="bullet"/>
      <w:lvlText w:val="-"/>
      <w:lvlJc w:val="left"/>
      <w:pPr>
        <w:ind w:left="770" w:hanging="180"/>
      </w:pPr>
      <w:rPr>
        <w:rFonts w:hint="default" w:ascii="Arial" w:hAnsi="Arial" w:eastAsia="Arial" w:cs="Arial"/>
        <w:color w:val="137692"/>
        <w:w w:val="100"/>
        <w:position w:val="-3"/>
        <w:sz w:val="28"/>
        <w:szCs w:val="28"/>
      </w:rPr>
    </w:lvl>
    <w:lvl w:ilvl="3">
      <w:start w:val="0"/>
      <w:numFmt w:val="bullet"/>
      <w:lvlText w:val="•"/>
      <w:lvlJc w:val="left"/>
      <w:pPr>
        <w:ind w:left="780" w:hanging="180"/>
      </w:pPr>
      <w:rPr>
        <w:rFonts w:hint="default"/>
      </w:rPr>
    </w:lvl>
    <w:lvl w:ilvl="4">
      <w:start w:val="0"/>
      <w:numFmt w:val="bullet"/>
      <w:lvlText w:val="•"/>
      <w:lvlJc w:val="left"/>
      <w:pPr>
        <w:ind w:left="800" w:hanging="180"/>
      </w:pPr>
      <w:rPr>
        <w:rFonts w:hint="default"/>
      </w:rPr>
    </w:lvl>
    <w:lvl w:ilvl="5">
      <w:start w:val="0"/>
      <w:numFmt w:val="bullet"/>
      <w:lvlText w:val="•"/>
      <w:lvlJc w:val="left"/>
      <w:pPr>
        <w:ind w:left="620" w:hanging="180"/>
      </w:pPr>
      <w:rPr>
        <w:rFonts w:hint="default"/>
      </w:rPr>
    </w:lvl>
    <w:lvl w:ilvl="6">
      <w:start w:val="0"/>
      <w:numFmt w:val="bullet"/>
      <w:lvlText w:val="•"/>
      <w:lvlJc w:val="left"/>
      <w:pPr>
        <w:ind w:left="440" w:hanging="180"/>
      </w:pPr>
      <w:rPr>
        <w:rFonts w:hint="default"/>
      </w:rPr>
    </w:lvl>
    <w:lvl w:ilvl="7">
      <w:start w:val="0"/>
      <w:numFmt w:val="bullet"/>
      <w:lvlText w:val="•"/>
      <w:lvlJc w:val="left"/>
      <w:pPr>
        <w:ind w:left="261" w:hanging="180"/>
      </w:pPr>
      <w:rPr>
        <w:rFonts w:hint="default"/>
      </w:rPr>
    </w:lvl>
    <w:lvl w:ilvl="8">
      <w:start w:val="0"/>
      <w:numFmt w:val="bullet"/>
      <w:lvlText w:val="•"/>
      <w:lvlJc w:val="left"/>
      <w:pPr>
        <w:ind w:left="81" w:hanging="180"/>
      </w:pPr>
      <w:rPr>
        <w:rFonts w:hint="default"/>
      </w:rPr>
    </w:lvl>
  </w:abstractNum>
  <w:abstractNum w:abstractNumId="2">
    <w:multiLevelType w:val="hybridMultilevel"/>
    <w:lvl w:ilvl="0">
      <w:start w:val="0"/>
      <w:numFmt w:val="bullet"/>
      <w:lvlText w:val="•"/>
      <w:lvlJc w:val="left"/>
      <w:pPr>
        <w:ind w:left="458" w:hanging="180"/>
      </w:pPr>
      <w:rPr>
        <w:rFonts w:hint="default" w:ascii="Arial" w:hAnsi="Arial" w:eastAsia="Arial" w:cs="Arial"/>
        <w:color w:val="377F9A"/>
        <w:w w:val="100"/>
        <w:position w:val="-3"/>
        <w:sz w:val="28"/>
        <w:szCs w:val="28"/>
      </w:rPr>
    </w:lvl>
    <w:lvl w:ilvl="1">
      <w:start w:val="0"/>
      <w:numFmt w:val="bullet"/>
      <w:lvlText w:val="•"/>
      <w:lvlJc w:val="left"/>
      <w:pPr>
        <w:ind w:left="916" w:hanging="180"/>
      </w:pPr>
      <w:rPr>
        <w:rFonts w:hint="default"/>
      </w:rPr>
    </w:lvl>
    <w:lvl w:ilvl="2">
      <w:start w:val="0"/>
      <w:numFmt w:val="bullet"/>
      <w:lvlText w:val="•"/>
      <w:lvlJc w:val="left"/>
      <w:pPr>
        <w:ind w:left="1372" w:hanging="180"/>
      </w:pPr>
      <w:rPr>
        <w:rFonts w:hint="default"/>
      </w:rPr>
    </w:lvl>
    <w:lvl w:ilvl="3">
      <w:start w:val="0"/>
      <w:numFmt w:val="bullet"/>
      <w:lvlText w:val="•"/>
      <w:lvlJc w:val="left"/>
      <w:pPr>
        <w:ind w:left="1829" w:hanging="180"/>
      </w:pPr>
      <w:rPr>
        <w:rFonts w:hint="default"/>
      </w:rPr>
    </w:lvl>
    <w:lvl w:ilvl="4">
      <w:start w:val="0"/>
      <w:numFmt w:val="bullet"/>
      <w:lvlText w:val="•"/>
      <w:lvlJc w:val="left"/>
      <w:pPr>
        <w:ind w:left="2285" w:hanging="180"/>
      </w:pPr>
      <w:rPr>
        <w:rFonts w:hint="default"/>
      </w:rPr>
    </w:lvl>
    <w:lvl w:ilvl="5">
      <w:start w:val="0"/>
      <w:numFmt w:val="bullet"/>
      <w:lvlText w:val="•"/>
      <w:lvlJc w:val="left"/>
      <w:pPr>
        <w:ind w:left="2742" w:hanging="180"/>
      </w:pPr>
      <w:rPr>
        <w:rFonts w:hint="default"/>
      </w:rPr>
    </w:lvl>
    <w:lvl w:ilvl="6">
      <w:start w:val="0"/>
      <w:numFmt w:val="bullet"/>
      <w:lvlText w:val="•"/>
      <w:lvlJc w:val="left"/>
      <w:pPr>
        <w:ind w:left="3198" w:hanging="180"/>
      </w:pPr>
      <w:rPr>
        <w:rFonts w:hint="default"/>
      </w:rPr>
    </w:lvl>
    <w:lvl w:ilvl="7">
      <w:start w:val="0"/>
      <w:numFmt w:val="bullet"/>
      <w:lvlText w:val="•"/>
      <w:lvlJc w:val="left"/>
      <w:pPr>
        <w:ind w:left="3654" w:hanging="180"/>
      </w:pPr>
      <w:rPr>
        <w:rFonts w:hint="default"/>
      </w:rPr>
    </w:lvl>
    <w:lvl w:ilvl="8">
      <w:start w:val="0"/>
      <w:numFmt w:val="bullet"/>
      <w:lvlText w:val="•"/>
      <w:lvlJc w:val="left"/>
      <w:pPr>
        <w:ind w:left="4111" w:hanging="180"/>
      </w:pPr>
      <w:rPr>
        <w:rFonts w:hint="default"/>
      </w:rPr>
    </w:lvl>
  </w:abstractNum>
  <w:abstractNum w:abstractNumId="1">
    <w:multiLevelType w:val="hybridMultilevel"/>
    <w:lvl w:ilvl="0">
      <w:start w:val="0"/>
      <w:numFmt w:val="bullet"/>
      <w:lvlText w:val="•"/>
      <w:lvlJc w:val="left"/>
      <w:pPr>
        <w:ind w:left="5507" w:hanging="180"/>
      </w:pPr>
      <w:rPr>
        <w:rFonts w:hint="default" w:ascii="Arial" w:hAnsi="Arial" w:eastAsia="Arial" w:cs="Arial"/>
        <w:color w:val="377F9A"/>
        <w:w w:val="100"/>
        <w:position w:val="-3"/>
        <w:sz w:val="28"/>
        <w:szCs w:val="28"/>
      </w:rPr>
    </w:lvl>
    <w:lvl w:ilvl="1">
      <w:start w:val="0"/>
      <w:numFmt w:val="bullet"/>
      <w:lvlText w:val="•"/>
      <w:lvlJc w:val="left"/>
      <w:pPr>
        <w:ind w:left="5957" w:hanging="180"/>
      </w:pPr>
      <w:rPr>
        <w:rFonts w:hint="default"/>
      </w:rPr>
    </w:lvl>
    <w:lvl w:ilvl="2">
      <w:start w:val="0"/>
      <w:numFmt w:val="bullet"/>
      <w:lvlText w:val="•"/>
      <w:lvlJc w:val="left"/>
      <w:pPr>
        <w:ind w:left="6414" w:hanging="180"/>
      </w:pPr>
      <w:rPr>
        <w:rFonts w:hint="default"/>
      </w:rPr>
    </w:lvl>
    <w:lvl w:ilvl="3">
      <w:start w:val="0"/>
      <w:numFmt w:val="bullet"/>
      <w:lvlText w:val="•"/>
      <w:lvlJc w:val="left"/>
      <w:pPr>
        <w:ind w:left="6871" w:hanging="180"/>
      </w:pPr>
      <w:rPr>
        <w:rFonts w:hint="default"/>
      </w:rPr>
    </w:lvl>
    <w:lvl w:ilvl="4">
      <w:start w:val="0"/>
      <w:numFmt w:val="bullet"/>
      <w:lvlText w:val="•"/>
      <w:lvlJc w:val="left"/>
      <w:pPr>
        <w:ind w:left="7329" w:hanging="180"/>
      </w:pPr>
      <w:rPr>
        <w:rFonts w:hint="default"/>
      </w:rPr>
    </w:lvl>
    <w:lvl w:ilvl="5">
      <w:start w:val="0"/>
      <w:numFmt w:val="bullet"/>
      <w:lvlText w:val="•"/>
      <w:lvlJc w:val="left"/>
      <w:pPr>
        <w:ind w:left="7786" w:hanging="180"/>
      </w:pPr>
      <w:rPr>
        <w:rFonts w:hint="default"/>
      </w:rPr>
    </w:lvl>
    <w:lvl w:ilvl="6">
      <w:start w:val="0"/>
      <w:numFmt w:val="bullet"/>
      <w:lvlText w:val="•"/>
      <w:lvlJc w:val="left"/>
      <w:pPr>
        <w:ind w:left="8243" w:hanging="180"/>
      </w:pPr>
      <w:rPr>
        <w:rFonts w:hint="default"/>
      </w:rPr>
    </w:lvl>
    <w:lvl w:ilvl="7">
      <w:start w:val="0"/>
      <w:numFmt w:val="bullet"/>
      <w:lvlText w:val="•"/>
      <w:lvlJc w:val="left"/>
      <w:pPr>
        <w:ind w:left="8701" w:hanging="180"/>
      </w:pPr>
      <w:rPr>
        <w:rFonts w:hint="default"/>
      </w:rPr>
    </w:lvl>
    <w:lvl w:ilvl="8">
      <w:start w:val="0"/>
      <w:numFmt w:val="bullet"/>
      <w:lvlText w:val="•"/>
      <w:lvlJc w:val="left"/>
      <w:pPr>
        <w:ind w:left="9158" w:hanging="180"/>
      </w:pPr>
      <w:rPr>
        <w:rFonts w:hint="default"/>
      </w:rPr>
    </w:lvl>
  </w:abstractNum>
  <w:abstractNum w:abstractNumId="0">
    <w:multiLevelType w:val="hybridMultilevel"/>
    <w:lvl w:ilvl="0">
      <w:start w:val="0"/>
      <w:numFmt w:val="bullet"/>
      <w:lvlText w:val="•"/>
      <w:lvlJc w:val="left"/>
      <w:pPr>
        <w:ind w:left="458" w:hanging="180"/>
      </w:pPr>
      <w:rPr>
        <w:rFonts w:hint="default" w:ascii="Arial" w:hAnsi="Arial" w:eastAsia="Arial" w:cs="Arial"/>
        <w:color w:val="377F9A"/>
        <w:w w:val="100"/>
        <w:position w:val="-3"/>
        <w:sz w:val="28"/>
        <w:szCs w:val="28"/>
      </w:rPr>
    </w:lvl>
    <w:lvl w:ilvl="1">
      <w:start w:val="0"/>
      <w:numFmt w:val="bullet"/>
      <w:lvlText w:val="•"/>
      <w:lvlJc w:val="left"/>
      <w:pPr>
        <w:ind w:left="916" w:hanging="180"/>
      </w:pPr>
      <w:rPr>
        <w:rFonts w:hint="default"/>
      </w:rPr>
    </w:lvl>
    <w:lvl w:ilvl="2">
      <w:start w:val="0"/>
      <w:numFmt w:val="bullet"/>
      <w:lvlText w:val="•"/>
      <w:lvlJc w:val="left"/>
      <w:pPr>
        <w:ind w:left="1372" w:hanging="180"/>
      </w:pPr>
      <w:rPr>
        <w:rFonts w:hint="default"/>
      </w:rPr>
    </w:lvl>
    <w:lvl w:ilvl="3">
      <w:start w:val="0"/>
      <w:numFmt w:val="bullet"/>
      <w:lvlText w:val="•"/>
      <w:lvlJc w:val="left"/>
      <w:pPr>
        <w:ind w:left="1829" w:hanging="180"/>
      </w:pPr>
      <w:rPr>
        <w:rFonts w:hint="default"/>
      </w:rPr>
    </w:lvl>
    <w:lvl w:ilvl="4">
      <w:start w:val="0"/>
      <w:numFmt w:val="bullet"/>
      <w:lvlText w:val="•"/>
      <w:lvlJc w:val="left"/>
      <w:pPr>
        <w:ind w:left="2285" w:hanging="180"/>
      </w:pPr>
      <w:rPr>
        <w:rFonts w:hint="default"/>
      </w:rPr>
    </w:lvl>
    <w:lvl w:ilvl="5">
      <w:start w:val="0"/>
      <w:numFmt w:val="bullet"/>
      <w:lvlText w:val="•"/>
      <w:lvlJc w:val="left"/>
      <w:pPr>
        <w:ind w:left="2742" w:hanging="180"/>
      </w:pPr>
      <w:rPr>
        <w:rFonts w:hint="default"/>
      </w:rPr>
    </w:lvl>
    <w:lvl w:ilvl="6">
      <w:start w:val="0"/>
      <w:numFmt w:val="bullet"/>
      <w:lvlText w:val="•"/>
      <w:lvlJc w:val="left"/>
      <w:pPr>
        <w:ind w:left="3198" w:hanging="180"/>
      </w:pPr>
      <w:rPr>
        <w:rFonts w:hint="default"/>
      </w:rPr>
    </w:lvl>
    <w:lvl w:ilvl="7">
      <w:start w:val="0"/>
      <w:numFmt w:val="bullet"/>
      <w:lvlText w:val="•"/>
      <w:lvlJc w:val="left"/>
      <w:pPr>
        <w:ind w:left="3654" w:hanging="180"/>
      </w:pPr>
      <w:rPr>
        <w:rFonts w:hint="default"/>
      </w:rPr>
    </w:lvl>
    <w:lvl w:ilvl="8">
      <w:start w:val="0"/>
      <w:numFmt w:val="bullet"/>
      <w:lvlText w:val="•"/>
      <w:lvlJc w:val="left"/>
      <w:pPr>
        <w:ind w:left="4111" w:hanging="180"/>
      </w:pPr>
      <w:rPr>
        <w:rFonts w:hint="default"/>
      </w:rPr>
    </w:lvl>
  </w:abstractNum>
  <w:num w:numId="42">
    <w:abstractNumId w:val="41"/>
  </w:num>
  <w:num w:numId="26">
    <w:abstractNumId w:val="25"/>
  </w:num>
  <w:num w:numId="19">
    <w:abstractNumId w:val="18"/>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rPr>
  </w:style>
  <w:style w:styleId="TOC1" w:type="paragraph">
    <w:name w:val="TOC 1"/>
    <w:basedOn w:val="Normal"/>
    <w:uiPriority w:val="1"/>
    <w:qFormat/>
    <w:pPr>
      <w:spacing w:before="150"/>
      <w:ind w:left="1148"/>
    </w:pPr>
    <w:rPr>
      <w:rFonts w:ascii="Gill Sans MT" w:hAnsi="Gill Sans MT" w:eastAsia="Gill Sans MT" w:cs="Gill Sans MT"/>
      <w:b/>
      <w:bCs/>
      <w:sz w:val="24"/>
      <w:szCs w:val="24"/>
    </w:rPr>
  </w:style>
  <w:style w:styleId="TOC2" w:type="paragraph">
    <w:name w:val="TOC 2"/>
    <w:basedOn w:val="Normal"/>
    <w:uiPriority w:val="1"/>
    <w:qFormat/>
    <w:pPr>
      <w:spacing w:before="287"/>
      <w:ind w:left="1150"/>
    </w:pPr>
    <w:rPr>
      <w:rFonts w:ascii="Lucida Sans" w:hAnsi="Lucida Sans" w:eastAsia="Lucida Sans" w:cs="Lucida Sans"/>
      <w:sz w:val="24"/>
      <w:szCs w:val="24"/>
    </w:rPr>
  </w:style>
  <w:style w:styleId="TOC3" w:type="paragraph">
    <w:name w:val="TOC 3"/>
    <w:basedOn w:val="Normal"/>
    <w:uiPriority w:val="1"/>
    <w:qFormat/>
    <w:pPr>
      <w:spacing w:before="62"/>
      <w:ind w:left="1147"/>
    </w:pPr>
    <w:rPr>
      <w:rFonts w:ascii="Lucida Sans" w:hAnsi="Lucida Sans" w:eastAsia="Lucida Sans" w:cs="Lucida Sans"/>
      <w:sz w:val="20"/>
      <w:szCs w:val="20"/>
    </w:rPr>
  </w:style>
  <w:style w:styleId="TOC4" w:type="paragraph">
    <w:name w:val="TOC 4"/>
    <w:basedOn w:val="Normal"/>
    <w:uiPriority w:val="1"/>
    <w:qFormat/>
    <w:pPr>
      <w:spacing w:before="84"/>
      <w:ind w:left="1148"/>
    </w:pPr>
    <w:rPr>
      <w:rFonts w:ascii="Gill Sans MT" w:hAnsi="Gill Sans MT" w:eastAsia="Gill Sans MT" w:cs="Gill Sans MT"/>
      <w:b/>
      <w:bCs/>
      <w:i/>
    </w:rPr>
  </w:style>
  <w:style w:styleId="TOC5" w:type="paragraph">
    <w:name w:val="TOC 5"/>
    <w:basedOn w:val="Normal"/>
    <w:uiPriority w:val="1"/>
    <w:qFormat/>
    <w:pPr>
      <w:spacing w:before="150"/>
      <w:ind w:left="1209"/>
    </w:pPr>
    <w:rPr>
      <w:rFonts w:ascii="Gill Sans MT" w:hAnsi="Gill Sans MT" w:eastAsia="Gill Sans MT" w:cs="Gill Sans MT"/>
      <w:b/>
      <w:bCs/>
      <w:sz w:val="24"/>
      <w:szCs w:val="24"/>
    </w:rPr>
  </w:style>
  <w:style w:styleId="TOC6" w:type="paragraph">
    <w:name w:val="TOC 6"/>
    <w:basedOn w:val="Normal"/>
    <w:uiPriority w:val="1"/>
    <w:qFormat/>
    <w:pPr>
      <w:spacing w:before="405"/>
      <w:ind w:left="1212" w:right="1248"/>
    </w:pPr>
    <w:rPr>
      <w:rFonts w:ascii="Lucida Sans" w:hAnsi="Lucida Sans" w:eastAsia="Lucida Sans" w:cs="Lucida Sans"/>
      <w:sz w:val="24"/>
      <w:szCs w:val="24"/>
    </w:rPr>
  </w:style>
  <w:style w:styleId="TOC7" w:type="paragraph">
    <w:name w:val="TOC 7"/>
    <w:basedOn w:val="Normal"/>
    <w:uiPriority w:val="1"/>
    <w:qFormat/>
    <w:pPr>
      <w:spacing w:before="62"/>
      <w:ind w:left="1209"/>
    </w:pPr>
    <w:rPr>
      <w:rFonts w:ascii="Lucida Sans" w:hAnsi="Lucida Sans" w:eastAsia="Lucida Sans" w:cs="Lucida Sans"/>
      <w:sz w:val="20"/>
      <w:szCs w:val="20"/>
    </w:rPr>
  </w:style>
  <w:style w:styleId="TOC8" w:type="paragraph">
    <w:name w:val="TOC 8"/>
    <w:basedOn w:val="Normal"/>
    <w:uiPriority w:val="1"/>
    <w:qFormat/>
    <w:pPr>
      <w:spacing w:before="122"/>
      <w:ind w:left="1209"/>
    </w:pPr>
    <w:rPr>
      <w:rFonts w:ascii="Gill Sans MT" w:hAnsi="Gill Sans MT" w:eastAsia="Gill Sans MT" w:cs="Gill Sans MT"/>
      <w:b/>
      <w:bCs/>
      <w:i/>
    </w:rPr>
  </w:style>
  <w:style w:styleId="BodyText" w:type="paragraph">
    <w:name w:val="Body Text"/>
    <w:basedOn w:val="Normal"/>
    <w:uiPriority w:val="1"/>
    <w:qFormat/>
    <w:pPr/>
    <w:rPr>
      <w:rFonts w:ascii="Gill Sans MT" w:hAnsi="Gill Sans MT" w:eastAsia="Gill Sans MT" w:cs="Gill Sans MT"/>
      <w:sz w:val="22"/>
      <w:szCs w:val="22"/>
    </w:rPr>
  </w:style>
  <w:style w:styleId="Heading1" w:type="paragraph">
    <w:name w:val="Heading 1"/>
    <w:basedOn w:val="Normal"/>
    <w:uiPriority w:val="1"/>
    <w:qFormat/>
    <w:pPr>
      <w:spacing w:before="102"/>
      <w:ind w:left="140"/>
      <w:outlineLvl w:val="1"/>
    </w:pPr>
    <w:rPr>
      <w:rFonts w:ascii="Calibri" w:hAnsi="Calibri" w:eastAsia="Calibri" w:cs="Calibri"/>
      <w:b/>
      <w:bCs/>
      <w:sz w:val="50"/>
      <w:szCs w:val="50"/>
    </w:rPr>
  </w:style>
  <w:style w:styleId="Heading2" w:type="paragraph">
    <w:name w:val="Heading 2"/>
    <w:basedOn w:val="Normal"/>
    <w:uiPriority w:val="1"/>
    <w:qFormat/>
    <w:pPr>
      <w:spacing w:before="87"/>
      <w:ind w:left="140"/>
      <w:outlineLvl w:val="2"/>
    </w:pPr>
    <w:rPr>
      <w:rFonts w:ascii="Calibri" w:hAnsi="Calibri" w:eastAsia="Calibri" w:cs="Calibri"/>
      <w:b/>
      <w:bCs/>
      <w:sz w:val="32"/>
      <w:szCs w:val="32"/>
    </w:rPr>
  </w:style>
  <w:style w:styleId="Heading3" w:type="paragraph">
    <w:name w:val="Heading 3"/>
    <w:basedOn w:val="Normal"/>
    <w:uiPriority w:val="1"/>
    <w:qFormat/>
    <w:pPr>
      <w:ind w:left="140"/>
      <w:outlineLvl w:val="3"/>
    </w:pPr>
    <w:rPr>
      <w:rFonts w:ascii="Calibri" w:hAnsi="Calibri" w:eastAsia="Calibri" w:cs="Calibri"/>
      <w:b/>
      <w:bCs/>
      <w:sz w:val="26"/>
      <w:szCs w:val="26"/>
    </w:rPr>
  </w:style>
  <w:style w:styleId="Heading4" w:type="paragraph">
    <w:name w:val="Heading 4"/>
    <w:basedOn w:val="Normal"/>
    <w:uiPriority w:val="1"/>
    <w:qFormat/>
    <w:pPr>
      <w:ind w:left="330"/>
      <w:outlineLvl w:val="4"/>
    </w:pPr>
    <w:rPr>
      <w:rFonts w:ascii="Arial" w:hAnsi="Arial" w:eastAsia="Arial" w:cs="Arial"/>
      <w:b/>
      <w:bCs/>
      <w:sz w:val="24"/>
      <w:szCs w:val="24"/>
    </w:rPr>
  </w:style>
  <w:style w:styleId="Heading5" w:type="paragraph">
    <w:name w:val="Heading 5"/>
    <w:basedOn w:val="Normal"/>
    <w:uiPriority w:val="1"/>
    <w:qFormat/>
    <w:pPr>
      <w:spacing w:before="218"/>
      <w:ind w:left="140"/>
      <w:outlineLvl w:val="5"/>
    </w:pPr>
    <w:rPr>
      <w:rFonts w:ascii="Gill Sans MT" w:hAnsi="Gill Sans MT" w:eastAsia="Gill Sans MT" w:cs="Gill Sans MT"/>
      <w:b/>
      <w:bCs/>
      <w:i/>
      <w:sz w:val="24"/>
      <w:szCs w:val="24"/>
    </w:rPr>
  </w:style>
  <w:style w:styleId="Heading6" w:type="paragraph">
    <w:name w:val="Heading 6"/>
    <w:basedOn w:val="Normal"/>
    <w:uiPriority w:val="1"/>
    <w:qFormat/>
    <w:pPr>
      <w:ind w:left="140"/>
      <w:outlineLvl w:val="6"/>
    </w:pPr>
    <w:rPr>
      <w:rFonts w:ascii="Arial" w:hAnsi="Arial" w:eastAsia="Arial" w:cs="Arial"/>
      <w:sz w:val="23"/>
      <w:szCs w:val="23"/>
    </w:rPr>
  </w:style>
  <w:style w:styleId="Heading7" w:type="paragraph">
    <w:name w:val="Heading 7"/>
    <w:basedOn w:val="Normal"/>
    <w:uiPriority w:val="1"/>
    <w:qFormat/>
    <w:pPr>
      <w:ind w:left="140"/>
      <w:outlineLvl w:val="7"/>
    </w:pPr>
    <w:rPr>
      <w:rFonts w:ascii="Calibri" w:hAnsi="Calibri" w:eastAsia="Calibri" w:cs="Calibri"/>
      <w:b/>
      <w:bCs/>
      <w:sz w:val="22"/>
      <w:szCs w:val="22"/>
    </w:rPr>
  </w:style>
  <w:style w:styleId="ListParagraph" w:type="paragraph">
    <w:name w:val="List Paragraph"/>
    <w:basedOn w:val="Normal"/>
    <w:uiPriority w:val="1"/>
    <w:qFormat/>
    <w:pPr>
      <w:ind w:left="500" w:hanging="270"/>
    </w:pPr>
    <w:rPr>
      <w:rFonts w:ascii="Gill Sans MT" w:hAnsi="Gill Sans MT" w:eastAsia="Gill Sans MT" w:cs="Gill Sans MT"/>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footer" Target="footer7.xm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hyperlink" Target="http://www.samhsa.gov/" TargetMode="External"/><Relationship Id="rId29" Type="http://schemas.openxmlformats.org/officeDocument/2006/relationships/hyperlink" Target="http://www.samhsa.gov/medication-assisted-" TargetMode="External"/><Relationship Id="rId30" Type="http://schemas.openxmlformats.org/officeDocument/2006/relationships/hyperlink" Target="http://www/" TargetMode="External"/><Relationship Id="rId31" Type="http://schemas.openxmlformats.org/officeDocument/2006/relationships/image" Target="media/image9.png"/><Relationship Id="rId32" Type="http://schemas.openxmlformats.org/officeDocument/2006/relationships/image" Target="media/image10.png"/><Relationship Id="rId33" Type="http://schemas.openxmlformats.org/officeDocument/2006/relationships/image" Target="media/image11.png"/><Relationship Id="rId34" Type="http://schemas.openxmlformats.org/officeDocument/2006/relationships/image" Target="media/image12.png"/><Relationship Id="rId35" Type="http://schemas.openxmlformats.org/officeDocument/2006/relationships/image" Target="media/image13.png"/><Relationship Id="rId36" Type="http://schemas.openxmlformats.org/officeDocument/2006/relationships/image" Target="media/image14.png"/><Relationship Id="rId37" Type="http://schemas.openxmlformats.org/officeDocument/2006/relationships/image" Target="media/image15.png"/><Relationship Id="rId38" Type="http://schemas.openxmlformats.org/officeDocument/2006/relationships/image" Target="media/image16.png"/><Relationship Id="rId39" Type="http://schemas.openxmlformats.org/officeDocument/2006/relationships/image" Target="media/image17.png"/><Relationship Id="rId40" Type="http://schemas.openxmlformats.org/officeDocument/2006/relationships/header" Target="header10.xml"/><Relationship Id="rId41" Type="http://schemas.openxmlformats.org/officeDocument/2006/relationships/footer" Target="footer10.xml"/><Relationship Id="rId42" Type="http://schemas.openxmlformats.org/officeDocument/2006/relationships/header" Target="header11.xml"/><Relationship Id="rId43" Type="http://schemas.openxmlformats.org/officeDocument/2006/relationships/header" Target="header12.xml"/><Relationship Id="rId44" Type="http://schemas.openxmlformats.org/officeDocument/2006/relationships/footer" Target="footer11.xml"/><Relationship Id="rId45" Type="http://schemas.openxmlformats.org/officeDocument/2006/relationships/footer" Target="footer12.xml"/><Relationship Id="rId46" Type="http://schemas.openxmlformats.org/officeDocument/2006/relationships/hyperlink" Target="http://www.fda.gov/downloads" TargetMode="External"/><Relationship Id="rId47" Type="http://schemas.openxmlformats.org/officeDocument/2006/relationships/hyperlink" Target="http://ireta/" TargetMode="External"/><Relationship Id="rId48" Type="http://schemas.openxmlformats.org/officeDocument/2006/relationships/hyperlink" Target="http://www.nascsa.org/statepro&#64257;les.htm" TargetMode="External"/><Relationship Id="rId49" Type="http://schemas.openxmlformats.org/officeDocument/2006/relationships/hyperlink" Target="http://www.ncbi.nlm.nih.gov/books" TargetMode="External"/><Relationship Id="rId50" Type="http://schemas.openxmlformats.org/officeDocument/2006/relationships/image" Target="media/image18.png"/><Relationship Id="rId51" Type="http://schemas.openxmlformats.org/officeDocument/2006/relationships/hyperlink" Target="http://www.samhsa.gov/medication-assisted" TargetMode="External"/><Relationship Id="rId52" Type="http://schemas.openxmlformats.org/officeDocument/2006/relationships/hyperlink" Target="http://www.ncpoep.org/wp" TargetMode="External"/><Relationship Id="rId53" Type="http://schemas.openxmlformats.org/officeDocument/2006/relationships/hyperlink" Target="http://pcssmat.org/wp-content" TargetMode="External"/><Relationship Id="rId54" Type="http://schemas.openxmlformats.org/officeDocument/2006/relationships/hyperlink" Target="http://www.asam.org/docs/default-source/advocacy/sample" TargetMode="External"/><Relationship Id="rId55" Type="http://schemas.openxmlformats.org/officeDocument/2006/relationships/image" Target="media/image19.png"/><Relationship Id="rId56" Type="http://schemas.openxmlformats.org/officeDocument/2006/relationships/hyperlink" Target="http://www.vivitrol.com/" TargetMode="External"/><Relationship Id="rId57" Type="http://schemas.openxmlformats.org/officeDocument/2006/relationships/hyperlink" Target="http://www.vivitrolrems.com/content/pdf/patinfo-counseling-tool.pdf)" TargetMode="External"/><Relationship Id="rId58" Type="http://schemas.openxmlformats.org/officeDocument/2006/relationships/hyperlink" Target="http://www.vivitrolrems.com/content/pdf/patinfo-injection-poster.pdf)" TargetMode="External"/><Relationship Id="rId59" Type="http://schemas.openxmlformats.org/officeDocument/2006/relationships/hyperlink" Target="http://www.drugs.com/" TargetMode="External"/><Relationship Id="rId60" Type="http://schemas.openxmlformats.org/officeDocument/2006/relationships/hyperlink" Target="http://www.accessdata.fda.gov/drugsatfda_docs" TargetMode="External"/><Relationship Id="rId61" Type="http://schemas.openxmlformats.org/officeDocument/2006/relationships/hyperlink" Target="http://www.accessdata.fda.gov/" TargetMode="External"/><Relationship Id="rId62" Type="http://schemas.openxmlformats.org/officeDocument/2006/relationships/hyperlink" Target="http://www.accessdata.fda.gov/scripts/cder" TargetMode="External"/><Relationship Id="rId63" Type="http://schemas.openxmlformats.org/officeDocument/2006/relationships/hyperlink" Target="http://pcssmat/" TargetMode="External"/><Relationship Id="rId64" Type="http://schemas.openxmlformats.org/officeDocument/2006/relationships/hyperlink" Target="http://www.accessdata.fda.gov/scripts/cder/rems/index" TargetMode="External"/><Relationship Id="rId65" Type="http://schemas.openxmlformats.org/officeDocument/2006/relationships/image" Target="media/image20.jpeg"/><Relationship Id="rId66" Type="http://schemas.openxmlformats.org/officeDocument/2006/relationships/image" Target="media/image21.jpeg"/><Relationship Id="rId67" Type="http://schemas.openxmlformats.org/officeDocument/2006/relationships/hyperlink" Target="http://www.accessdata.fda.gov/drugsatfda_docs/rems/BTOD_2017-01-23_Appropriate_Use_Checklist.pdf)" TargetMode="External"/><Relationship Id="rId68" Type="http://schemas.openxmlformats.org/officeDocument/2006/relationships/hyperlink" Target="http://www.asam.org/docs" TargetMode="External"/><Relationship Id="rId69" Type="http://schemas.openxmlformats.org/officeDocument/2006/relationships/header" Target="header13.xml"/><Relationship Id="rId70" Type="http://schemas.openxmlformats.org/officeDocument/2006/relationships/footer" Target="footer13.xml"/><Relationship Id="rId71" Type="http://schemas.openxmlformats.org/officeDocument/2006/relationships/header" Target="header14.xml"/><Relationship Id="rId72" Type="http://schemas.openxmlformats.org/officeDocument/2006/relationships/header" Target="header15.xml"/><Relationship Id="rId73" Type="http://schemas.openxmlformats.org/officeDocument/2006/relationships/footer" Target="footer14.xml"/><Relationship Id="rId74" Type="http://schemas.openxmlformats.org/officeDocument/2006/relationships/footer" Target="footer15.xml"/><Relationship Id="rId75" Type="http://schemas.openxmlformats.org/officeDocument/2006/relationships/hyperlink" Target="http://www.fda.gov/Drugs/Drug" TargetMode="External"/><Relationship Id="rId76" Type="http://schemas.openxmlformats.org/officeDocument/2006/relationships/image" Target="media/image22.png"/><Relationship Id="rId77" Type="http://schemas.openxmlformats.org/officeDocument/2006/relationships/hyperlink" Target="http://www.cms.gov/Medicare" TargetMode="External"/><Relationship Id="rId78" Type="http://schemas.openxmlformats.org/officeDocument/2006/relationships/hyperlink" Target="http://www.samhsa.gov/medication-assisted-treatment/" TargetMode="External"/><Relationship Id="rId79" Type="http://schemas.openxmlformats.org/officeDocument/2006/relationships/hyperlink" Target="http://www.deadiversion.usdoj/" TargetMode="External"/><Relationship Id="rId80" Type="http://schemas.openxmlformats.org/officeDocument/2006/relationships/hyperlink" Target="http://www.asam.org/docs/default-source/advocacy/sample-diversion-policy" TargetMode="External"/><Relationship Id="rId81" Type="http://schemas.openxmlformats.org/officeDocument/2006/relationships/header" Target="header16.xml"/><Relationship Id="rId82" Type="http://schemas.openxmlformats.org/officeDocument/2006/relationships/footer" Target="footer16.xml"/><Relationship Id="rId83" Type="http://schemas.openxmlformats.org/officeDocument/2006/relationships/header" Target="header17.xml"/><Relationship Id="rId84" Type="http://schemas.openxmlformats.org/officeDocument/2006/relationships/header" Target="header18.xml"/><Relationship Id="rId85" Type="http://schemas.openxmlformats.org/officeDocument/2006/relationships/footer" Target="footer17.xml"/><Relationship Id="rId86" Type="http://schemas.openxmlformats.org/officeDocument/2006/relationships/footer" Target="footer18.xml"/><Relationship Id="rId87" Type="http://schemas.openxmlformats.org/officeDocument/2006/relationships/image" Target="media/image23.png"/><Relationship Id="rId88" Type="http://schemas.openxmlformats.org/officeDocument/2006/relationships/image" Target="media/image24.png"/><Relationship Id="rId89" Type="http://schemas.openxmlformats.org/officeDocument/2006/relationships/hyperlink" Target="http://www.gpo.gov/fdsys" TargetMode="External"/><Relationship Id="rId90" Type="http://schemas.openxmlformats.org/officeDocument/2006/relationships/hyperlink" Target="http://www.samhsa.gov/data/" TargetMode="External"/><Relationship Id="rId91" Type="http://schemas.openxmlformats.org/officeDocument/2006/relationships/hyperlink" Target="http://www.asam.org/resources/de&#64257;nition" TargetMode="External"/><Relationship Id="rId92" Type="http://schemas.openxmlformats.org/officeDocument/2006/relationships/hyperlink" Target="http://www.aatod.org/wp-content/uploads/2016/07" TargetMode="External"/><Relationship Id="rId93" Type="http://schemas.openxmlformats.org/officeDocument/2006/relationships/hyperlink" Target="http://www.healthquality.va.gov/" TargetMode="External"/><Relationship Id="rId94" Type="http://schemas.openxmlformats.org/officeDocument/2006/relationships/hyperlink" Target="http://www.fda.gov/downloads/Drugs" TargetMode="External"/><Relationship Id="rId95" Type="http://schemas.openxmlformats.org/officeDocument/2006/relationships/hyperlink" Target="http://www.uspreventiveservicestaskforce.org/Page/" TargetMode="External"/><Relationship Id="rId96" Type="http://schemas.openxmlformats.org/officeDocument/2006/relationships/hyperlink" Target="http://www.cdc.gov/hepatitis/hbv/bfaq.htm" TargetMode="External"/><Relationship Id="rId97" Type="http://schemas.openxmlformats.org/officeDocument/2006/relationships/hyperlink" Target="http://www.health.gov.au/sites/default/" TargetMode="External"/><Relationship Id="rId98" Type="http://schemas.openxmlformats.org/officeDocument/2006/relationships/hyperlink" Target="http://www.accessdata.fda.gov/drugsatfda_docs/label/2008" TargetMode="External"/><Relationship Id="rId99" Type="http://schemas.openxmlformats.org/officeDocument/2006/relationships/hyperlink" Target="http://www.asam.org/" TargetMode="External"/><Relationship Id="rId100" Type="http://schemas.openxmlformats.org/officeDocument/2006/relationships/hyperlink" Target="http://medlibrary.org/lib/rx/meds/vivitrol/page/6" TargetMode="External"/><Relationship Id="rId101" Type="http://schemas.openxmlformats.org/officeDocument/2006/relationships/hyperlink" Target="http://www.vivitrol.com/content" TargetMode="External"/><Relationship Id="rId102" Type="http://schemas.openxmlformats.org/officeDocument/2006/relationships/hyperlink" Target="http://www.uspreventiveservicestaskforce.org/" TargetMode="External"/><Relationship Id="rId103" Type="http://schemas.openxmlformats.org/officeDocument/2006/relationships/hyperlink" Target="http://www.cdc.gov/hepatitis/hcv/guidelinesc.htm" TargetMode="External"/><Relationship Id="rId104" Type="http://schemas.openxmlformats.org/officeDocument/2006/relationships/hyperlink" Target="http://www.asam.org/docs/default-source" TargetMode="External"/><Relationship Id="rId105" Type="http://schemas.openxmlformats.org/officeDocument/2006/relationships/hyperlink" Target="http://www.vivitrolrems.com/" TargetMode="External"/><Relationship Id="rId106" Type="http://schemas.openxmlformats.org/officeDocument/2006/relationships/hyperlink" Target="http://www.zubsolv.com/wp-content/uploads/2015/01" TargetMode="External"/><Relationship Id="rId107" Type="http://schemas.openxmlformats.org/officeDocument/2006/relationships/hyperlink" Target="http://dailymed.nlm.nih.gov/dailymed/drugInfo.cfm" TargetMode="External"/><Relationship Id="rId108" Type="http://schemas.openxmlformats.org/officeDocument/2006/relationships/hyperlink" Target="http://dailymed/" TargetMode="External"/><Relationship Id="rId109" Type="http://schemas.openxmlformats.org/officeDocument/2006/relationships/hyperlink" Target="http://www.accessdata.fda/" TargetMode="External"/><Relationship Id="rId110" Type="http://schemas.openxmlformats.org/officeDocument/2006/relationships/hyperlink" Target="http://www.aatod.org/wp-content/uploads/2016/07/2nd" TargetMode="External"/><Relationship Id="rId111" Type="http://schemas.openxmlformats.org/officeDocument/2006/relationships/hyperlink" Target="http://www.hcup-us.ahrq.gov/faststats/" TargetMode="External"/><Relationship Id="rId1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7.jpeg"/></Relationships>

</file>

<file path=word/_rels/header12.xml.rels><?xml version="1.0" encoding="UTF-8" standalone="yes"?>
<Relationships xmlns="http://schemas.openxmlformats.org/package/2006/relationships"><Relationship Id="rId1" Type="http://schemas.openxmlformats.org/officeDocument/2006/relationships/image" Target="media/image7.jpeg"/></Relationships>

</file>

<file path=word/_rels/header14.xml.rels><?xml version="1.0" encoding="UTF-8" standalone="yes"?>
<Relationships xmlns="http://schemas.openxmlformats.org/package/2006/relationships"><Relationship Id="rId1" Type="http://schemas.openxmlformats.org/officeDocument/2006/relationships/image" Target="media/image8.jpeg"/></Relationships>

</file>

<file path=word/_rels/header15.xml.rels><?xml version="1.0" encoding="UTF-8" standalone="yes"?>
<Relationships xmlns="http://schemas.openxmlformats.org/package/2006/relationships"><Relationship Id="rId1" Type="http://schemas.openxmlformats.org/officeDocument/2006/relationships/image" Target="media/image7.jpeg"/></Relationships>

</file>

<file path=word/_rels/header17.xml.rels><?xml version="1.0" encoding="UTF-8" standalone="yes"?>
<Relationships xmlns="http://schemas.openxmlformats.org/package/2006/relationships"><Relationship Id="rId1" Type="http://schemas.openxmlformats.org/officeDocument/2006/relationships/image" Target="media/image7.jpeg"/></Relationships>

</file>

<file path=word/_rels/header18.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7.jpeg"/></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Medications for Opioid Use Disorder, SAMHSA TIP 63 </cp:keywords>
  <dc:subject>For Healthcare and Addiction Professionals, Policymakers, Patients, and Families</dc:subject>
  <dc:title>Medications for Opioid Use Disorder SAMHSA TIP 63 - UPDATED 2020</dc:title>
  <dcterms:created xsi:type="dcterms:W3CDTF">2020-11-09T20:59:43Z</dcterms:created>
  <dcterms:modified xsi:type="dcterms:W3CDTF">2020-11-09T20:59:43Z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Adobe InDesign 15.0 (Windows)</vt:lpwstr>
  </property>
  <property fmtid="{D5CDD505-2E9C-101B-9397-08002B2CF9AE}" pid="4" name="LastSaved">
    <vt:filetime>2020-11-09T00:00:00Z</vt:filetime>
  </property>
</Properties>
</file>