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5B43" w14:textId="2B87B597" w:rsidR="00F04556" w:rsidRPr="00170E71" w:rsidRDefault="00170E71" w:rsidP="00170E71">
      <w:pPr>
        <w:jc w:val="center"/>
        <w:rPr>
          <w:b/>
          <w:bCs/>
          <w:sz w:val="48"/>
          <w:szCs w:val="48"/>
        </w:rPr>
      </w:pPr>
      <w:r w:rsidRPr="00170E71">
        <w:rPr>
          <w:b/>
          <w:bCs/>
          <w:sz w:val="48"/>
          <w:szCs w:val="48"/>
        </w:rPr>
        <w:t>Bibliography</w:t>
      </w:r>
    </w:p>
    <w:p w14:paraId="3A2266CB" w14:textId="5B500A07" w:rsidR="003375BE" w:rsidRPr="003375BE" w:rsidRDefault="003375BE" w:rsidP="003375BE">
      <w:pPr>
        <w:ind w:left="720" w:hanging="720"/>
      </w:pPr>
      <w:r w:rsidRPr="003375BE">
        <w:t xml:space="preserve">Dockrell, S., &amp; Hurley, G. (2021). Moving and handling care of bariatric patients: a survey of clinical nurse managers. Journal of Research in Nursing, 26(3), 194-204. </w:t>
      </w:r>
    </w:p>
    <w:p w14:paraId="54CE5947" w14:textId="289DA5AE" w:rsidR="003375BE" w:rsidRPr="003375BE" w:rsidRDefault="003375BE" w:rsidP="003375BE">
      <w:pPr>
        <w:ind w:left="720" w:hanging="720"/>
      </w:pPr>
      <w:r w:rsidRPr="003375BE">
        <w:t xml:space="preserve">Collins, F. (2020). Implementing a Safe Patient Handling and Mobility Program to Prevent Staff Injury. </w:t>
      </w:r>
    </w:p>
    <w:p w14:paraId="0B43E957" w14:textId="42E9D6B5" w:rsidR="003375BE" w:rsidRPr="003375BE" w:rsidRDefault="003375BE" w:rsidP="003375BE">
      <w:pPr>
        <w:ind w:left="720" w:hanging="720"/>
      </w:pPr>
      <w:r w:rsidRPr="003375BE">
        <w:t xml:space="preserve">Corbyn, C., &amp; Rush, A. (2010). Challenges of wound management in bariatric patients. Wounds UK, 6(4), 62-71. </w:t>
      </w:r>
    </w:p>
    <w:p w14:paraId="475B5B56" w14:textId="1FDEB712" w:rsidR="003375BE" w:rsidRPr="003375BE" w:rsidRDefault="003375BE" w:rsidP="003375BE">
      <w:pPr>
        <w:ind w:left="720" w:hanging="720"/>
      </w:pPr>
      <w:r w:rsidRPr="003375BE">
        <w:t xml:space="preserve">Gallagher, S. (2004). Panniculectomy: more than a tummy tuck. Nursing2020, 34(12), 48-50. </w:t>
      </w:r>
    </w:p>
    <w:p w14:paraId="16CBDCF1" w14:textId="3E21F4CC" w:rsidR="003375BE" w:rsidRPr="003375BE" w:rsidRDefault="003375BE" w:rsidP="003375BE">
      <w:pPr>
        <w:ind w:left="720" w:hanging="720"/>
      </w:pPr>
      <w:r w:rsidRPr="003375BE">
        <w:t xml:space="preserve">Garzillo, E. M., Monaco, M. G. L., Corvino, A. R., D’Ancicco, F., Feola, D., Della Ventura, D., ... &amp; Lamberti, M. (2020). Healthcare workers and manual patient handling: A pilot study for interdisciplinary training. International Journal of Environmental Research and Public Health, 17(14), 4971. </w:t>
      </w:r>
    </w:p>
    <w:p w14:paraId="25E7D634" w14:textId="37B905FC" w:rsidR="003375BE" w:rsidRPr="003375BE" w:rsidRDefault="003375BE" w:rsidP="003375BE">
      <w:pPr>
        <w:ind w:left="720" w:hanging="720"/>
      </w:pPr>
      <w:r w:rsidRPr="003375BE">
        <w:t xml:space="preserve">Gomez-Peralta, F., Abreu, C., Cruz-Bravo, M., Alcarria, E., Gutierrez-Buey, G., Krakauer, N. Y., &amp; Krakauer, J. C. (2018). Relationship between “a body shape index (ABSI)” and body composition in obese patients with type 2 diabetes. Diabetology &amp; metabolic syndrome, 10(1), 1-8. </w:t>
      </w:r>
    </w:p>
    <w:p w14:paraId="4A115BC3" w14:textId="50276026" w:rsidR="003375BE" w:rsidRPr="003375BE" w:rsidRDefault="003375BE" w:rsidP="003375BE">
      <w:pPr>
        <w:ind w:left="720" w:hanging="720"/>
      </w:pPr>
      <w:r w:rsidRPr="003375BE">
        <w:t xml:space="preserve">Hales, C., Curran, N., &amp; de Vries, K. (2018). Morbidly obese patients' experiences of mobility during hospitalisation and rehabilitation: A qualitative descriptive study. Nursing Praxis in New Zealand, 34(1). </w:t>
      </w:r>
    </w:p>
    <w:p w14:paraId="16FA1DA3" w14:textId="11A07636" w:rsidR="003375BE" w:rsidRPr="003375BE" w:rsidRDefault="003375BE" w:rsidP="003375BE">
      <w:pPr>
        <w:ind w:left="720" w:hanging="720"/>
      </w:pPr>
      <w:r w:rsidRPr="003375BE">
        <w:t xml:space="preserve">Hwang, J., Kuppam, V. A., Chodraju, S. S. R., Chen, J., &amp; Kim, J. H. (2019). Commercially available friction-reducing patient-transfer devices reduce biomechanical stresses on caregivers’ upper extremities and low back. Human factors, 61(7), 1125-1140. </w:t>
      </w:r>
    </w:p>
    <w:p w14:paraId="144FA8DF" w14:textId="53E3B861" w:rsidR="003375BE" w:rsidRPr="003375BE" w:rsidRDefault="003375BE" w:rsidP="003375BE">
      <w:pPr>
        <w:ind w:left="720" w:hanging="720"/>
      </w:pPr>
      <w:r w:rsidRPr="003375BE">
        <w:t xml:space="preserve">Jones, D., Martinez-Amezcua, P., &amp; Pandian, V. (2020). Utilization of Resources by Patients Who Are Morbid and Super Obese Admitted to a Tertiary Care Center. Journal of patient safety, 16(2), 143-148. </w:t>
      </w:r>
    </w:p>
    <w:p w14:paraId="4F0E1E65" w14:textId="62253502" w:rsidR="003375BE" w:rsidRPr="003375BE" w:rsidRDefault="003375BE" w:rsidP="003375BE">
      <w:pPr>
        <w:ind w:left="720" w:hanging="720"/>
      </w:pPr>
      <w:r w:rsidRPr="003375BE">
        <w:t xml:space="preserve">McClean, K., Cross, M., &amp; Reed, S. (2021). Risks to healthcare organizations and staff who manage obese (Bariatric) patients and use of obesity data to mitigate risks: a Literature Review. Journal of Multidisciplinary Healthcare, 14, 577. </w:t>
      </w:r>
    </w:p>
    <w:p w14:paraId="7CE961D3" w14:textId="77777777" w:rsidR="003375BE" w:rsidRPr="003375BE" w:rsidRDefault="003375BE" w:rsidP="003375BE">
      <w:pPr>
        <w:ind w:left="720" w:hanging="720"/>
      </w:pPr>
      <w:r w:rsidRPr="003375BE">
        <w:t xml:space="preserve">Muir, M., &amp; Archer-Heese, G. (2009). Essentials of a bariatric patient handling program. OJIN: The Online Journal of Issues in Nursing, 14(1), 5. </w:t>
      </w:r>
    </w:p>
    <w:p w14:paraId="777EEF06" w14:textId="77777777" w:rsidR="00D628C3" w:rsidRPr="00AC529A" w:rsidRDefault="00D628C3" w:rsidP="00AC529A">
      <w:pPr>
        <w:ind w:left="720" w:hanging="720"/>
      </w:pPr>
    </w:p>
    <w:p w14:paraId="39A0BFC9" w14:textId="77777777" w:rsidR="00170E71" w:rsidRDefault="00170E71"/>
    <w:sectPr w:rsidR="0017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871"/>
    <w:multiLevelType w:val="multilevel"/>
    <w:tmpl w:val="216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95E4A"/>
    <w:multiLevelType w:val="multilevel"/>
    <w:tmpl w:val="FB58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430D8"/>
    <w:multiLevelType w:val="multilevel"/>
    <w:tmpl w:val="134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F44D5"/>
    <w:multiLevelType w:val="multilevel"/>
    <w:tmpl w:val="D5B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769825">
    <w:abstractNumId w:val="0"/>
  </w:num>
  <w:num w:numId="2" w16cid:durableId="1577326406">
    <w:abstractNumId w:val="3"/>
  </w:num>
  <w:num w:numId="3" w16cid:durableId="1660688534">
    <w:abstractNumId w:val="2"/>
  </w:num>
  <w:num w:numId="4" w16cid:durableId="172340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1"/>
    <w:rsid w:val="00170E71"/>
    <w:rsid w:val="00172E33"/>
    <w:rsid w:val="00191635"/>
    <w:rsid w:val="003375BE"/>
    <w:rsid w:val="00380DAA"/>
    <w:rsid w:val="007665D4"/>
    <w:rsid w:val="00A659B3"/>
    <w:rsid w:val="00AC529A"/>
    <w:rsid w:val="00AD712D"/>
    <w:rsid w:val="00C253C3"/>
    <w:rsid w:val="00D628C3"/>
    <w:rsid w:val="00DE58EB"/>
    <w:rsid w:val="00F04556"/>
    <w:rsid w:val="00F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2A9"/>
  <w15:chartTrackingRefBased/>
  <w15:docId w15:val="{6B71A544-98FA-492D-9E84-6A527C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Cardaman</dc:creator>
  <cp:keywords/>
  <dc:description/>
  <cp:lastModifiedBy>Vincent Cardaman</cp:lastModifiedBy>
  <cp:revision>4</cp:revision>
  <dcterms:created xsi:type="dcterms:W3CDTF">2025-12-29T23:55:00Z</dcterms:created>
  <dcterms:modified xsi:type="dcterms:W3CDTF">2025-12-30T23:16:00Z</dcterms:modified>
</cp:coreProperties>
</file>